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CEE5" w14:textId="41CE3C7D" w:rsidR="00354C87" w:rsidRPr="0093420D" w:rsidRDefault="007808B8" w:rsidP="00354C87">
      <w:pPr>
        <w:rPr>
          <w:color w:val="FF0000"/>
        </w:rPr>
      </w:pPr>
      <w:r>
        <w:rPr>
          <w:color w:val="FF0000"/>
        </w:rPr>
        <w:t xml:space="preserve"> </w:t>
      </w:r>
    </w:p>
    <w:p w14:paraId="5C970E24" w14:textId="77777777" w:rsidR="00354C87" w:rsidRPr="0093420D" w:rsidRDefault="00354C87" w:rsidP="00354C87">
      <w:pPr>
        <w:pStyle w:val="Normlnywebov"/>
        <w:jc w:val="center"/>
        <w:rPr>
          <w:color w:val="FF0000"/>
        </w:rPr>
      </w:pPr>
    </w:p>
    <w:p w14:paraId="2A066AF3" w14:textId="77777777" w:rsidR="00354C87" w:rsidRPr="0093420D" w:rsidRDefault="00354C87" w:rsidP="00354C87">
      <w:pPr>
        <w:pStyle w:val="Normlnywebov"/>
        <w:jc w:val="center"/>
        <w:rPr>
          <w:color w:val="FF0000"/>
        </w:rPr>
      </w:pPr>
    </w:p>
    <w:p w14:paraId="5341A705" w14:textId="77777777" w:rsidR="00354C87" w:rsidRPr="00EC6D34" w:rsidRDefault="00211C2A" w:rsidP="00354C87">
      <w:pPr>
        <w:pStyle w:val="Normlnywebov"/>
        <w:jc w:val="center"/>
        <w:rPr>
          <w:color w:val="FF0000"/>
        </w:rPr>
      </w:pPr>
      <w:r w:rsidRPr="00EC6D34">
        <w:rPr>
          <w:noProof/>
          <w:color w:val="FF0000"/>
        </w:rPr>
        <w:drawing>
          <wp:inline distT="0" distB="0" distL="0" distR="0" wp14:anchorId="6837B1F8" wp14:editId="3BB36384">
            <wp:extent cx="1419225" cy="1695450"/>
            <wp:effectExtent l="0" t="0" r="0" b="0"/>
            <wp:docPr id="1" name="Obrázok 56" descr="Popis: štátn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descr="Popis: štátny 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1695450"/>
                    </a:xfrm>
                    <a:prstGeom prst="rect">
                      <a:avLst/>
                    </a:prstGeom>
                    <a:noFill/>
                    <a:ln>
                      <a:noFill/>
                    </a:ln>
                  </pic:spPr>
                </pic:pic>
              </a:graphicData>
            </a:graphic>
          </wp:inline>
        </w:drawing>
      </w:r>
    </w:p>
    <w:p w14:paraId="18B1543E" w14:textId="77777777" w:rsidR="00354C87" w:rsidRPr="00EC6D34" w:rsidRDefault="00354C87" w:rsidP="00354C87">
      <w:pPr>
        <w:rPr>
          <w:color w:val="FF0000"/>
        </w:rPr>
      </w:pPr>
    </w:p>
    <w:p w14:paraId="65F997CD" w14:textId="77777777" w:rsidR="00354C87" w:rsidRPr="00EE151F" w:rsidRDefault="00354C87" w:rsidP="00354C87">
      <w:pPr>
        <w:rPr>
          <w:color w:val="FF0000"/>
          <w:highlight w:val="yellow"/>
        </w:rPr>
      </w:pPr>
    </w:p>
    <w:p w14:paraId="3341860A" w14:textId="77777777" w:rsidR="00354C87" w:rsidRPr="00EE151F" w:rsidRDefault="00354C87" w:rsidP="00354C87">
      <w:pPr>
        <w:rPr>
          <w:color w:val="FF0000"/>
          <w:highlight w:val="yellow"/>
        </w:rPr>
      </w:pPr>
    </w:p>
    <w:p w14:paraId="73BFFD0E" w14:textId="77777777" w:rsidR="00354C87" w:rsidRPr="00EE151F" w:rsidRDefault="00354C87" w:rsidP="00354C87">
      <w:pPr>
        <w:rPr>
          <w:color w:val="FF0000"/>
          <w:highlight w:val="yellow"/>
        </w:rPr>
      </w:pPr>
    </w:p>
    <w:p w14:paraId="275BF09B" w14:textId="77777777" w:rsidR="00354C87" w:rsidRPr="000231EB" w:rsidRDefault="00354C87" w:rsidP="00354C87">
      <w:pPr>
        <w:jc w:val="center"/>
        <w:rPr>
          <w:b/>
          <w:sz w:val="40"/>
          <w:szCs w:val="40"/>
        </w:rPr>
      </w:pPr>
      <w:r w:rsidRPr="000231EB">
        <w:rPr>
          <w:b/>
          <w:sz w:val="40"/>
          <w:szCs w:val="40"/>
        </w:rPr>
        <w:t>Súhrnná výročná správa</w:t>
      </w:r>
    </w:p>
    <w:p w14:paraId="0D2A4127" w14:textId="77777777" w:rsidR="00354C87" w:rsidRPr="000231EB" w:rsidRDefault="00354C87" w:rsidP="00354C87">
      <w:pPr>
        <w:jc w:val="center"/>
        <w:rPr>
          <w:b/>
          <w:sz w:val="40"/>
          <w:szCs w:val="40"/>
        </w:rPr>
      </w:pPr>
      <w:r w:rsidRPr="000231EB">
        <w:rPr>
          <w:b/>
          <w:sz w:val="40"/>
          <w:szCs w:val="40"/>
        </w:rPr>
        <w:t>Slovenskej republiky</w:t>
      </w:r>
    </w:p>
    <w:p w14:paraId="29123CA7" w14:textId="764E8A21" w:rsidR="00354C87" w:rsidRPr="000231EB" w:rsidRDefault="00354C87" w:rsidP="00354C87">
      <w:pPr>
        <w:jc w:val="center"/>
        <w:rPr>
          <w:b/>
          <w:sz w:val="40"/>
          <w:szCs w:val="40"/>
        </w:rPr>
      </w:pPr>
      <w:r w:rsidRPr="000231EB">
        <w:rPr>
          <w:b/>
          <w:sz w:val="40"/>
          <w:szCs w:val="40"/>
        </w:rPr>
        <w:t>za rok 20</w:t>
      </w:r>
      <w:r w:rsidR="001D77FC" w:rsidRPr="000231EB">
        <w:rPr>
          <w:b/>
          <w:sz w:val="40"/>
          <w:szCs w:val="40"/>
        </w:rPr>
        <w:t>2</w:t>
      </w:r>
      <w:r w:rsidR="00174C84">
        <w:rPr>
          <w:b/>
          <w:sz w:val="40"/>
          <w:szCs w:val="40"/>
        </w:rPr>
        <w:t>4</w:t>
      </w:r>
    </w:p>
    <w:p w14:paraId="3BAD9115" w14:textId="77777777" w:rsidR="00354C87" w:rsidRPr="00EE151F" w:rsidRDefault="00354C87" w:rsidP="00354C87">
      <w:pPr>
        <w:rPr>
          <w:sz w:val="40"/>
          <w:szCs w:val="40"/>
          <w:highlight w:val="yellow"/>
        </w:rPr>
      </w:pPr>
    </w:p>
    <w:p w14:paraId="0CA3B83C" w14:textId="77777777" w:rsidR="00354C87" w:rsidRPr="00EE151F" w:rsidRDefault="00354C87" w:rsidP="00354C87">
      <w:pPr>
        <w:rPr>
          <w:highlight w:val="yellow"/>
        </w:rPr>
      </w:pPr>
    </w:p>
    <w:p w14:paraId="7FDF94F5" w14:textId="77777777" w:rsidR="00354C87" w:rsidRPr="00EE151F" w:rsidRDefault="00354C87" w:rsidP="00354C87">
      <w:pPr>
        <w:rPr>
          <w:highlight w:val="yellow"/>
        </w:rPr>
      </w:pPr>
    </w:p>
    <w:p w14:paraId="3F627FED" w14:textId="77777777" w:rsidR="00354C87" w:rsidRPr="00EE151F" w:rsidRDefault="00354C87" w:rsidP="00354C87">
      <w:pPr>
        <w:rPr>
          <w:highlight w:val="yellow"/>
        </w:rPr>
      </w:pPr>
    </w:p>
    <w:p w14:paraId="40D289EE" w14:textId="77777777" w:rsidR="00354C87" w:rsidRPr="00EE151F" w:rsidRDefault="00354C87" w:rsidP="00354C87">
      <w:pPr>
        <w:rPr>
          <w:highlight w:val="yellow"/>
        </w:rPr>
      </w:pPr>
    </w:p>
    <w:p w14:paraId="68023957" w14:textId="77777777" w:rsidR="00354C87" w:rsidRPr="00EE151F" w:rsidRDefault="00354C87" w:rsidP="00354C87">
      <w:pPr>
        <w:rPr>
          <w:highlight w:val="yellow"/>
        </w:rPr>
      </w:pPr>
    </w:p>
    <w:p w14:paraId="385E9C31" w14:textId="77777777" w:rsidR="00354C87" w:rsidRPr="00EE151F" w:rsidRDefault="00354C87" w:rsidP="00354C87">
      <w:pPr>
        <w:rPr>
          <w:highlight w:val="yellow"/>
        </w:rPr>
      </w:pPr>
    </w:p>
    <w:p w14:paraId="209AD89F" w14:textId="77777777" w:rsidR="00354C87" w:rsidRPr="00EE151F" w:rsidRDefault="00354C87" w:rsidP="00354C87">
      <w:pPr>
        <w:rPr>
          <w:highlight w:val="yellow"/>
        </w:rPr>
      </w:pPr>
    </w:p>
    <w:p w14:paraId="6F7516EA" w14:textId="70CC4510" w:rsidR="00651A0E" w:rsidRPr="000231EB" w:rsidRDefault="00C32B83" w:rsidP="00651A0E">
      <w:pPr>
        <w:tabs>
          <w:tab w:val="left" w:pos="0"/>
          <w:tab w:val="left" w:pos="284"/>
        </w:tabs>
        <w:spacing w:before="120" w:after="120" w:line="360" w:lineRule="auto"/>
        <w:jc w:val="center"/>
        <w:rPr>
          <w:b/>
          <w:sz w:val="32"/>
          <w:szCs w:val="32"/>
        </w:rPr>
        <w:sectPr w:rsidR="00651A0E" w:rsidRPr="000231EB" w:rsidSect="00234A6C">
          <w:footerReference w:type="even" r:id="rId9"/>
          <w:footerReference w:type="default" r:id="rId10"/>
          <w:footerReference w:type="first" r:id="rId11"/>
          <w:pgSz w:w="11906" w:h="16838" w:code="9"/>
          <w:pgMar w:top="1418" w:right="1134" w:bottom="1418" w:left="1134" w:header="709" w:footer="709" w:gutter="567"/>
          <w:cols w:space="708"/>
          <w:docGrid w:linePitch="360"/>
        </w:sectPr>
      </w:pPr>
      <w:r w:rsidRPr="000231EB">
        <w:rPr>
          <w:b/>
          <w:sz w:val="32"/>
          <w:szCs w:val="32"/>
        </w:rPr>
        <w:t>O</w:t>
      </w:r>
      <w:r w:rsidR="00354C87" w:rsidRPr="000231EB">
        <w:rPr>
          <w:b/>
          <w:sz w:val="32"/>
          <w:szCs w:val="32"/>
        </w:rPr>
        <w:t>któber 20</w:t>
      </w:r>
      <w:r w:rsidR="0033338B" w:rsidRPr="000231EB">
        <w:rPr>
          <w:b/>
          <w:sz w:val="32"/>
          <w:szCs w:val="32"/>
        </w:rPr>
        <w:t>2</w:t>
      </w:r>
      <w:r w:rsidR="00174C84">
        <w:rPr>
          <w:b/>
          <w:sz w:val="32"/>
          <w:szCs w:val="32"/>
        </w:rPr>
        <w:t>5</w:t>
      </w:r>
    </w:p>
    <w:p w14:paraId="79FCEFF6" w14:textId="77777777" w:rsidR="00B34B9C" w:rsidRPr="00C5247B" w:rsidRDefault="00B34B9C" w:rsidP="00894E53">
      <w:pPr>
        <w:spacing w:after="0" w:line="336" w:lineRule="auto"/>
        <w:rPr>
          <w:b/>
          <w:sz w:val="26"/>
          <w:szCs w:val="26"/>
        </w:rPr>
      </w:pPr>
      <w:bookmarkStart w:id="0" w:name="_Toc401920003"/>
      <w:bookmarkStart w:id="1" w:name="_Toc399324354"/>
      <w:r w:rsidRPr="00C5247B">
        <w:rPr>
          <w:b/>
          <w:sz w:val="26"/>
          <w:szCs w:val="26"/>
        </w:rPr>
        <w:lastRenderedPageBreak/>
        <w:t>Obsah</w:t>
      </w:r>
    </w:p>
    <w:p w14:paraId="26705E06" w14:textId="1F0ED5F1" w:rsidR="00532EDC" w:rsidRDefault="00F74AB3">
      <w:pPr>
        <w:pStyle w:val="Obsah1"/>
        <w:rPr>
          <w:rFonts w:asciiTheme="minorHAnsi" w:eastAsiaTheme="minorEastAsia" w:hAnsiTheme="minorHAnsi" w:cstheme="minorBidi"/>
          <w:kern w:val="2"/>
          <w:sz w:val="24"/>
          <w:szCs w:val="24"/>
          <w:lang w:eastAsia="sk-SK"/>
          <w14:ligatures w14:val="standardContextual"/>
        </w:rPr>
      </w:pPr>
      <w:r w:rsidRPr="00174C84">
        <w:rPr>
          <w:rFonts w:cs="Times New Roman"/>
          <w:highlight w:val="yellow"/>
        </w:rPr>
        <w:fldChar w:fldCharType="begin"/>
      </w:r>
      <w:r w:rsidRPr="00174C84">
        <w:rPr>
          <w:rFonts w:cs="Times New Roman"/>
          <w:highlight w:val="yellow"/>
        </w:rPr>
        <w:instrText xml:space="preserve"> TOC \o "1-3" \u </w:instrText>
      </w:r>
      <w:r w:rsidRPr="00174C84">
        <w:rPr>
          <w:rFonts w:cs="Times New Roman"/>
          <w:highlight w:val="yellow"/>
        </w:rPr>
        <w:fldChar w:fldCharType="separate"/>
      </w:r>
      <w:r w:rsidR="00532EDC">
        <w:t>Zhrnutie</w:t>
      </w:r>
      <w:r w:rsidR="00532EDC">
        <w:tab/>
      </w:r>
      <w:r w:rsidR="00532EDC">
        <w:fldChar w:fldCharType="begin"/>
      </w:r>
      <w:r w:rsidR="00532EDC">
        <w:instrText xml:space="preserve"> PAGEREF _Toc212461591 \h </w:instrText>
      </w:r>
      <w:r w:rsidR="00532EDC">
        <w:fldChar w:fldCharType="separate"/>
      </w:r>
      <w:r w:rsidR="00AF78CD">
        <w:t>3</w:t>
      </w:r>
      <w:r w:rsidR="00532EDC">
        <w:fldChar w:fldCharType="end"/>
      </w:r>
    </w:p>
    <w:p w14:paraId="3FD3D47C" w14:textId="7C45C1BF" w:rsidR="00532EDC" w:rsidRDefault="00532EDC">
      <w:pPr>
        <w:pStyle w:val="Obsah1"/>
        <w:rPr>
          <w:rFonts w:asciiTheme="minorHAnsi" w:eastAsiaTheme="minorEastAsia" w:hAnsiTheme="minorHAnsi" w:cstheme="minorBidi"/>
          <w:kern w:val="2"/>
          <w:sz w:val="24"/>
          <w:szCs w:val="24"/>
          <w:lang w:eastAsia="sk-SK"/>
          <w14:ligatures w14:val="standardContextual"/>
        </w:rPr>
      </w:pPr>
      <w:r w:rsidRPr="00040757">
        <w:t>1.</w:t>
      </w:r>
      <w:r>
        <w:rPr>
          <w:rFonts w:asciiTheme="minorHAnsi" w:eastAsiaTheme="minorEastAsia" w:hAnsiTheme="minorHAnsi" w:cstheme="minorBidi"/>
          <w:kern w:val="2"/>
          <w:sz w:val="24"/>
          <w:szCs w:val="24"/>
          <w:lang w:eastAsia="sk-SK"/>
          <w14:ligatures w14:val="standardContextual"/>
        </w:rPr>
        <w:tab/>
      </w:r>
      <w:r w:rsidRPr="00040757">
        <w:t>Hospodárenie verejnej správy v metodike ESA 2010</w:t>
      </w:r>
      <w:r>
        <w:tab/>
      </w:r>
      <w:r>
        <w:fldChar w:fldCharType="begin"/>
      </w:r>
      <w:r>
        <w:instrText xml:space="preserve"> PAGEREF _Toc212461592 \h </w:instrText>
      </w:r>
      <w:r>
        <w:fldChar w:fldCharType="separate"/>
      </w:r>
      <w:r w:rsidR="00AF78CD">
        <w:t>4</w:t>
      </w:r>
      <w:r>
        <w:fldChar w:fldCharType="end"/>
      </w:r>
    </w:p>
    <w:p w14:paraId="3C8B7DC0" w14:textId="35EA57F3"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1.1.</w:t>
      </w:r>
      <w:r>
        <w:rPr>
          <w:rFonts w:asciiTheme="minorHAnsi" w:eastAsiaTheme="minorEastAsia" w:hAnsiTheme="minorHAnsi" w:cstheme="minorBidi"/>
          <w:noProof/>
          <w:kern w:val="2"/>
          <w:sz w:val="24"/>
          <w:szCs w:val="24"/>
          <w:lang w:eastAsia="sk-SK"/>
          <w14:ligatures w14:val="standardContextual"/>
        </w:rPr>
        <w:tab/>
      </w:r>
      <w:r>
        <w:rPr>
          <w:noProof/>
        </w:rPr>
        <w:t>Rozdiely medzi októbrovou a aprílovou notifikáciou údajov</w:t>
      </w:r>
      <w:r>
        <w:rPr>
          <w:noProof/>
        </w:rPr>
        <w:tab/>
      </w:r>
      <w:r>
        <w:rPr>
          <w:noProof/>
        </w:rPr>
        <w:fldChar w:fldCharType="begin"/>
      </w:r>
      <w:r>
        <w:rPr>
          <w:noProof/>
        </w:rPr>
        <w:instrText xml:space="preserve"> PAGEREF _Toc212461593 \h </w:instrText>
      </w:r>
      <w:r>
        <w:rPr>
          <w:noProof/>
        </w:rPr>
      </w:r>
      <w:r>
        <w:rPr>
          <w:noProof/>
        </w:rPr>
        <w:fldChar w:fldCharType="separate"/>
      </w:r>
      <w:r w:rsidR="00AF78CD">
        <w:rPr>
          <w:noProof/>
        </w:rPr>
        <w:t>4</w:t>
      </w:r>
      <w:r>
        <w:rPr>
          <w:noProof/>
        </w:rPr>
        <w:fldChar w:fldCharType="end"/>
      </w:r>
    </w:p>
    <w:p w14:paraId="4E640D62" w14:textId="0D92E4B4"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 xml:space="preserve">1.2. </w:t>
      </w:r>
      <w:r>
        <w:rPr>
          <w:rFonts w:asciiTheme="minorHAnsi" w:eastAsiaTheme="minorEastAsia" w:hAnsiTheme="minorHAnsi" w:cstheme="minorBidi"/>
          <w:noProof/>
          <w:kern w:val="2"/>
          <w:sz w:val="24"/>
          <w:szCs w:val="24"/>
          <w:lang w:eastAsia="sk-SK"/>
          <w14:ligatures w14:val="standardContextual"/>
        </w:rPr>
        <w:tab/>
      </w:r>
      <w:r>
        <w:rPr>
          <w:noProof/>
        </w:rPr>
        <w:t>Saldo verejnej správy</w:t>
      </w:r>
      <w:r>
        <w:rPr>
          <w:noProof/>
        </w:rPr>
        <w:tab/>
      </w:r>
      <w:r>
        <w:rPr>
          <w:noProof/>
        </w:rPr>
        <w:fldChar w:fldCharType="begin"/>
      </w:r>
      <w:r>
        <w:rPr>
          <w:noProof/>
        </w:rPr>
        <w:instrText xml:space="preserve"> PAGEREF _Toc212461594 \h </w:instrText>
      </w:r>
      <w:r>
        <w:rPr>
          <w:noProof/>
        </w:rPr>
      </w:r>
      <w:r>
        <w:rPr>
          <w:noProof/>
        </w:rPr>
        <w:fldChar w:fldCharType="separate"/>
      </w:r>
      <w:r w:rsidR="00AF78CD">
        <w:rPr>
          <w:noProof/>
        </w:rPr>
        <w:t>7</w:t>
      </w:r>
      <w:r>
        <w:rPr>
          <w:noProof/>
        </w:rPr>
        <w:fldChar w:fldCharType="end"/>
      </w:r>
    </w:p>
    <w:p w14:paraId="6F62523F" w14:textId="10B1EE61"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1.3.</w:t>
      </w:r>
      <w:r>
        <w:rPr>
          <w:rFonts w:asciiTheme="minorHAnsi" w:eastAsiaTheme="minorEastAsia" w:hAnsiTheme="minorHAnsi" w:cstheme="minorBidi"/>
          <w:noProof/>
          <w:kern w:val="2"/>
          <w:sz w:val="24"/>
          <w:szCs w:val="24"/>
          <w:lang w:eastAsia="sk-SK"/>
          <w14:ligatures w14:val="standardContextual"/>
        </w:rPr>
        <w:tab/>
      </w:r>
      <w:r>
        <w:rPr>
          <w:noProof/>
        </w:rPr>
        <w:t>Dlh verejnej správy</w:t>
      </w:r>
      <w:r>
        <w:rPr>
          <w:noProof/>
        </w:rPr>
        <w:tab/>
      </w:r>
      <w:r>
        <w:rPr>
          <w:noProof/>
        </w:rPr>
        <w:fldChar w:fldCharType="begin"/>
      </w:r>
      <w:r>
        <w:rPr>
          <w:noProof/>
        </w:rPr>
        <w:instrText xml:space="preserve"> PAGEREF _Toc212461595 \h </w:instrText>
      </w:r>
      <w:r>
        <w:rPr>
          <w:noProof/>
        </w:rPr>
      </w:r>
      <w:r>
        <w:rPr>
          <w:noProof/>
        </w:rPr>
        <w:fldChar w:fldCharType="separate"/>
      </w:r>
      <w:r w:rsidR="00AF78CD">
        <w:rPr>
          <w:noProof/>
        </w:rPr>
        <w:t>8</w:t>
      </w:r>
      <w:r>
        <w:rPr>
          <w:noProof/>
        </w:rPr>
        <w:fldChar w:fldCharType="end"/>
      </w:r>
    </w:p>
    <w:p w14:paraId="29FA3F70" w14:textId="0930EA3A"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1.4.</w:t>
      </w:r>
      <w:r>
        <w:rPr>
          <w:rFonts w:asciiTheme="minorHAnsi" w:eastAsiaTheme="minorEastAsia" w:hAnsiTheme="minorHAnsi" w:cstheme="minorBidi"/>
          <w:noProof/>
          <w:kern w:val="2"/>
          <w:sz w:val="24"/>
          <w:szCs w:val="24"/>
          <w:lang w:eastAsia="sk-SK"/>
          <w14:ligatures w14:val="standardContextual"/>
        </w:rPr>
        <w:tab/>
      </w:r>
      <w:r>
        <w:rPr>
          <w:noProof/>
        </w:rPr>
        <w:t>Čistý dlh verejnej správy</w:t>
      </w:r>
      <w:r>
        <w:rPr>
          <w:noProof/>
        </w:rPr>
        <w:tab/>
      </w:r>
      <w:r>
        <w:rPr>
          <w:noProof/>
        </w:rPr>
        <w:fldChar w:fldCharType="begin"/>
      </w:r>
      <w:r>
        <w:rPr>
          <w:noProof/>
        </w:rPr>
        <w:instrText xml:space="preserve"> PAGEREF _Toc212461596 \h </w:instrText>
      </w:r>
      <w:r>
        <w:rPr>
          <w:noProof/>
        </w:rPr>
      </w:r>
      <w:r>
        <w:rPr>
          <w:noProof/>
        </w:rPr>
        <w:fldChar w:fldCharType="separate"/>
      </w:r>
      <w:r w:rsidR="00AF78CD">
        <w:rPr>
          <w:noProof/>
        </w:rPr>
        <w:t>10</w:t>
      </w:r>
      <w:r>
        <w:rPr>
          <w:noProof/>
        </w:rPr>
        <w:fldChar w:fldCharType="end"/>
      </w:r>
    </w:p>
    <w:p w14:paraId="00606B9B" w14:textId="0739ADEF"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1.5.</w:t>
      </w:r>
      <w:r>
        <w:rPr>
          <w:rFonts w:asciiTheme="minorHAnsi" w:eastAsiaTheme="minorEastAsia" w:hAnsiTheme="minorHAnsi" w:cstheme="minorBidi"/>
          <w:noProof/>
          <w:kern w:val="2"/>
          <w:sz w:val="24"/>
          <w:szCs w:val="24"/>
          <w:lang w:eastAsia="sk-SK"/>
          <w14:ligatures w14:val="standardContextual"/>
        </w:rPr>
        <w:tab/>
      </w:r>
      <w:r>
        <w:rPr>
          <w:noProof/>
        </w:rPr>
        <w:t>Porovnanie salda a dlhu verejnej správy v rámci Európskej únie</w:t>
      </w:r>
      <w:r>
        <w:rPr>
          <w:noProof/>
        </w:rPr>
        <w:tab/>
      </w:r>
      <w:r>
        <w:rPr>
          <w:noProof/>
        </w:rPr>
        <w:fldChar w:fldCharType="begin"/>
      </w:r>
      <w:r>
        <w:rPr>
          <w:noProof/>
        </w:rPr>
        <w:instrText xml:space="preserve"> PAGEREF _Toc212461597 \h </w:instrText>
      </w:r>
      <w:r>
        <w:rPr>
          <w:noProof/>
        </w:rPr>
      </w:r>
      <w:r>
        <w:rPr>
          <w:noProof/>
        </w:rPr>
        <w:fldChar w:fldCharType="separate"/>
      </w:r>
      <w:r w:rsidR="00AF78CD">
        <w:rPr>
          <w:noProof/>
        </w:rPr>
        <w:t>11</w:t>
      </w:r>
      <w:r>
        <w:rPr>
          <w:noProof/>
        </w:rPr>
        <w:fldChar w:fldCharType="end"/>
      </w:r>
    </w:p>
    <w:p w14:paraId="0E0CCA77" w14:textId="03E79DEC" w:rsidR="00532EDC" w:rsidRDefault="00532EDC">
      <w:pPr>
        <w:pStyle w:val="Obsah1"/>
        <w:rPr>
          <w:rFonts w:asciiTheme="minorHAnsi" w:eastAsiaTheme="minorEastAsia" w:hAnsiTheme="minorHAnsi" w:cstheme="minorBidi"/>
          <w:kern w:val="2"/>
          <w:sz w:val="24"/>
          <w:szCs w:val="24"/>
          <w:lang w:eastAsia="sk-SK"/>
          <w14:ligatures w14:val="standardContextual"/>
        </w:rPr>
      </w:pPr>
      <w:r>
        <w:t>2.</w:t>
      </w:r>
      <w:r>
        <w:rPr>
          <w:rFonts w:asciiTheme="minorHAnsi" w:eastAsiaTheme="minorEastAsia" w:hAnsiTheme="minorHAnsi" w:cstheme="minorBidi"/>
          <w:kern w:val="2"/>
          <w:sz w:val="24"/>
          <w:szCs w:val="24"/>
          <w:lang w:eastAsia="sk-SK"/>
          <w14:ligatures w14:val="standardContextual"/>
        </w:rPr>
        <w:tab/>
      </w:r>
      <w:r>
        <w:t>Hospodárenie verejnej správy – požiadavky ústavného zákona o rozpočtovej zodpovednosti</w:t>
      </w:r>
      <w:r>
        <w:tab/>
      </w:r>
      <w:r>
        <w:fldChar w:fldCharType="begin"/>
      </w:r>
      <w:r>
        <w:instrText xml:space="preserve"> PAGEREF _Toc212461598 \h </w:instrText>
      </w:r>
      <w:r>
        <w:fldChar w:fldCharType="separate"/>
      </w:r>
      <w:r w:rsidR="00AF78CD">
        <w:t>13</w:t>
      </w:r>
      <w:r>
        <w:fldChar w:fldCharType="end"/>
      </w:r>
    </w:p>
    <w:p w14:paraId="1BBFF0B4" w14:textId="532480A6"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2.1.</w:t>
      </w:r>
      <w:r>
        <w:rPr>
          <w:rFonts w:asciiTheme="minorHAnsi" w:eastAsiaTheme="minorEastAsia" w:hAnsiTheme="minorHAnsi" w:cstheme="minorBidi"/>
          <w:noProof/>
          <w:kern w:val="2"/>
          <w:sz w:val="24"/>
          <w:szCs w:val="24"/>
          <w:lang w:eastAsia="sk-SK"/>
          <w14:ligatures w14:val="standardContextual"/>
        </w:rPr>
        <w:tab/>
      </w:r>
      <w:r>
        <w:rPr>
          <w:noProof/>
        </w:rPr>
        <w:t>Bilancia rozpočtu verejnej správy</w:t>
      </w:r>
      <w:r>
        <w:rPr>
          <w:noProof/>
        </w:rPr>
        <w:tab/>
      </w:r>
      <w:r>
        <w:rPr>
          <w:noProof/>
        </w:rPr>
        <w:fldChar w:fldCharType="begin"/>
      </w:r>
      <w:r>
        <w:rPr>
          <w:noProof/>
        </w:rPr>
        <w:instrText xml:space="preserve"> PAGEREF _Toc212461599 \h </w:instrText>
      </w:r>
      <w:r>
        <w:rPr>
          <w:noProof/>
        </w:rPr>
      </w:r>
      <w:r>
        <w:rPr>
          <w:noProof/>
        </w:rPr>
        <w:fldChar w:fldCharType="separate"/>
      </w:r>
      <w:r w:rsidR="00AF78CD">
        <w:rPr>
          <w:noProof/>
        </w:rPr>
        <w:t>13</w:t>
      </w:r>
      <w:r>
        <w:rPr>
          <w:noProof/>
        </w:rPr>
        <w:fldChar w:fldCharType="end"/>
      </w:r>
    </w:p>
    <w:p w14:paraId="2D81F773" w14:textId="4ABC786D"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2.1.1.</w:t>
      </w:r>
      <w:r>
        <w:rPr>
          <w:rFonts w:asciiTheme="minorHAnsi" w:eastAsiaTheme="minorEastAsia" w:hAnsiTheme="minorHAnsi" w:cstheme="minorBidi"/>
          <w:noProof/>
          <w:kern w:val="2"/>
          <w:sz w:val="24"/>
          <w:szCs w:val="24"/>
          <w:lang w:eastAsia="sk-SK"/>
          <w14:ligatures w14:val="standardContextual"/>
        </w:rPr>
        <w:tab/>
      </w:r>
      <w:r>
        <w:rPr>
          <w:noProof/>
        </w:rPr>
        <w:t>Príjmy verejnej správy</w:t>
      </w:r>
      <w:r>
        <w:rPr>
          <w:noProof/>
        </w:rPr>
        <w:tab/>
      </w:r>
      <w:r>
        <w:rPr>
          <w:noProof/>
        </w:rPr>
        <w:fldChar w:fldCharType="begin"/>
      </w:r>
      <w:r>
        <w:rPr>
          <w:noProof/>
        </w:rPr>
        <w:instrText xml:space="preserve"> PAGEREF _Toc212461600 \h </w:instrText>
      </w:r>
      <w:r>
        <w:rPr>
          <w:noProof/>
        </w:rPr>
      </w:r>
      <w:r>
        <w:rPr>
          <w:noProof/>
        </w:rPr>
        <w:fldChar w:fldCharType="separate"/>
      </w:r>
      <w:r w:rsidR="00AF78CD">
        <w:rPr>
          <w:noProof/>
        </w:rPr>
        <w:t>14</w:t>
      </w:r>
      <w:r>
        <w:rPr>
          <w:noProof/>
        </w:rPr>
        <w:fldChar w:fldCharType="end"/>
      </w:r>
    </w:p>
    <w:p w14:paraId="6DFEBC75" w14:textId="22ABB7BA"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 xml:space="preserve">2.1.2. </w:t>
      </w:r>
      <w:r>
        <w:rPr>
          <w:rFonts w:asciiTheme="minorHAnsi" w:eastAsiaTheme="minorEastAsia" w:hAnsiTheme="minorHAnsi" w:cstheme="minorBidi"/>
          <w:noProof/>
          <w:kern w:val="2"/>
          <w:sz w:val="24"/>
          <w:szCs w:val="24"/>
          <w:lang w:eastAsia="sk-SK"/>
          <w14:ligatures w14:val="standardContextual"/>
        </w:rPr>
        <w:tab/>
      </w:r>
      <w:r>
        <w:rPr>
          <w:noProof/>
        </w:rPr>
        <w:t>Výdavky verejnej správy</w:t>
      </w:r>
      <w:r>
        <w:rPr>
          <w:noProof/>
        </w:rPr>
        <w:tab/>
      </w:r>
      <w:r>
        <w:rPr>
          <w:noProof/>
        </w:rPr>
        <w:fldChar w:fldCharType="begin"/>
      </w:r>
      <w:r>
        <w:rPr>
          <w:noProof/>
        </w:rPr>
        <w:instrText xml:space="preserve"> PAGEREF _Toc212461601 \h </w:instrText>
      </w:r>
      <w:r>
        <w:rPr>
          <w:noProof/>
        </w:rPr>
      </w:r>
      <w:r>
        <w:rPr>
          <w:noProof/>
        </w:rPr>
        <w:fldChar w:fldCharType="separate"/>
      </w:r>
      <w:r w:rsidR="00AF78CD">
        <w:rPr>
          <w:noProof/>
        </w:rPr>
        <w:t>21</w:t>
      </w:r>
      <w:r>
        <w:rPr>
          <w:noProof/>
        </w:rPr>
        <w:fldChar w:fldCharType="end"/>
      </w:r>
    </w:p>
    <w:p w14:paraId="6090D1DB" w14:textId="07F02400"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2.2.</w:t>
      </w:r>
      <w:r>
        <w:rPr>
          <w:rFonts w:asciiTheme="minorHAnsi" w:eastAsiaTheme="minorEastAsia" w:hAnsiTheme="minorHAnsi" w:cstheme="minorBidi"/>
          <w:noProof/>
          <w:kern w:val="2"/>
          <w:sz w:val="24"/>
          <w:szCs w:val="24"/>
          <w:lang w:eastAsia="sk-SK"/>
          <w14:ligatures w14:val="standardContextual"/>
        </w:rPr>
        <w:tab/>
      </w:r>
      <w:r>
        <w:rPr>
          <w:noProof/>
        </w:rPr>
        <w:t>Štrukturálne saldo, cyklická zložka a jednorazové vplyvy</w:t>
      </w:r>
      <w:r>
        <w:rPr>
          <w:noProof/>
        </w:rPr>
        <w:tab/>
      </w:r>
      <w:r>
        <w:rPr>
          <w:noProof/>
        </w:rPr>
        <w:fldChar w:fldCharType="begin"/>
      </w:r>
      <w:r>
        <w:rPr>
          <w:noProof/>
        </w:rPr>
        <w:instrText xml:space="preserve"> PAGEREF _Toc212461602 \h </w:instrText>
      </w:r>
      <w:r>
        <w:rPr>
          <w:noProof/>
        </w:rPr>
      </w:r>
      <w:r>
        <w:rPr>
          <w:noProof/>
        </w:rPr>
        <w:fldChar w:fldCharType="separate"/>
      </w:r>
      <w:r w:rsidR="00AF78CD">
        <w:rPr>
          <w:noProof/>
        </w:rPr>
        <w:t>26</w:t>
      </w:r>
      <w:r>
        <w:rPr>
          <w:noProof/>
        </w:rPr>
        <w:fldChar w:fldCharType="end"/>
      </w:r>
    </w:p>
    <w:p w14:paraId="2ECFBA6B" w14:textId="3185BAFB"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2.3 Vyhodnotenie plnenia cieľov stratégie riadenia štátneho dlhu</w:t>
      </w:r>
      <w:r>
        <w:rPr>
          <w:noProof/>
        </w:rPr>
        <w:tab/>
      </w:r>
      <w:r>
        <w:rPr>
          <w:noProof/>
        </w:rPr>
        <w:fldChar w:fldCharType="begin"/>
      </w:r>
      <w:r>
        <w:rPr>
          <w:noProof/>
        </w:rPr>
        <w:instrText xml:space="preserve"> PAGEREF _Toc212461603 \h </w:instrText>
      </w:r>
      <w:r>
        <w:rPr>
          <w:noProof/>
        </w:rPr>
      </w:r>
      <w:r>
        <w:rPr>
          <w:noProof/>
        </w:rPr>
        <w:fldChar w:fldCharType="separate"/>
      </w:r>
      <w:r w:rsidR="00AF78CD">
        <w:rPr>
          <w:noProof/>
        </w:rPr>
        <w:t>27</w:t>
      </w:r>
      <w:r>
        <w:rPr>
          <w:noProof/>
        </w:rPr>
        <w:fldChar w:fldCharType="end"/>
      </w:r>
    </w:p>
    <w:p w14:paraId="722F5803" w14:textId="580E2E83"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2.3.1.</w:t>
      </w:r>
      <w:r>
        <w:rPr>
          <w:rFonts w:asciiTheme="minorHAnsi" w:eastAsiaTheme="minorEastAsia" w:hAnsiTheme="minorHAnsi" w:cstheme="minorBidi"/>
          <w:noProof/>
          <w:kern w:val="2"/>
          <w:sz w:val="24"/>
          <w:szCs w:val="24"/>
          <w:lang w:eastAsia="sk-SK"/>
          <w14:ligatures w14:val="standardContextual"/>
        </w:rPr>
        <w:tab/>
      </w:r>
      <w:r>
        <w:rPr>
          <w:noProof/>
        </w:rPr>
        <w:t>Vyhodnotenie plnenia cieľov stratégie riadenia štátneho dlhu</w:t>
      </w:r>
      <w:r>
        <w:rPr>
          <w:noProof/>
        </w:rPr>
        <w:tab/>
      </w:r>
      <w:r>
        <w:rPr>
          <w:noProof/>
        </w:rPr>
        <w:fldChar w:fldCharType="begin"/>
      </w:r>
      <w:r>
        <w:rPr>
          <w:noProof/>
        </w:rPr>
        <w:instrText xml:space="preserve"> PAGEREF _Toc212461604 \h </w:instrText>
      </w:r>
      <w:r>
        <w:rPr>
          <w:noProof/>
        </w:rPr>
      </w:r>
      <w:r>
        <w:rPr>
          <w:noProof/>
        </w:rPr>
        <w:fldChar w:fldCharType="separate"/>
      </w:r>
      <w:r w:rsidR="00AF78CD">
        <w:rPr>
          <w:noProof/>
        </w:rPr>
        <w:t>28</w:t>
      </w:r>
      <w:r>
        <w:rPr>
          <w:noProof/>
        </w:rPr>
        <w:fldChar w:fldCharType="end"/>
      </w:r>
    </w:p>
    <w:p w14:paraId="1D504D53" w14:textId="36A88A99"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 xml:space="preserve">2.3.2. </w:t>
      </w:r>
      <w:r>
        <w:rPr>
          <w:rFonts w:asciiTheme="minorHAnsi" w:eastAsiaTheme="minorEastAsia" w:hAnsiTheme="minorHAnsi" w:cstheme="minorBidi"/>
          <w:noProof/>
          <w:kern w:val="2"/>
          <w:sz w:val="24"/>
          <w:szCs w:val="24"/>
          <w:lang w:eastAsia="sk-SK"/>
          <w14:ligatures w14:val="standardContextual"/>
        </w:rPr>
        <w:tab/>
      </w:r>
      <w:r>
        <w:rPr>
          <w:noProof/>
        </w:rPr>
        <w:t>Riadenie štátneho dlhu v roku 2024</w:t>
      </w:r>
      <w:r>
        <w:rPr>
          <w:noProof/>
        </w:rPr>
        <w:tab/>
      </w:r>
      <w:r>
        <w:rPr>
          <w:noProof/>
        </w:rPr>
        <w:fldChar w:fldCharType="begin"/>
      </w:r>
      <w:r>
        <w:rPr>
          <w:noProof/>
        </w:rPr>
        <w:instrText xml:space="preserve"> PAGEREF _Toc212461605 \h </w:instrText>
      </w:r>
      <w:r>
        <w:rPr>
          <w:noProof/>
        </w:rPr>
      </w:r>
      <w:r>
        <w:rPr>
          <w:noProof/>
        </w:rPr>
        <w:fldChar w:fldCharType="separate"/>
      </w:r>
      <w:r w:rsidR="00AF78CD">
        <w:rPr>
          <w:noProof/>
        </w:rPr>
        <w:t>28</w:t>
      </w:r>
      <w:r>
        <w:rPr>
          <w:noProof/>
        </w:rPr>
        <w:fldChar w:fldCharType="end"/>
      </w:r>
    </w:p>
    <w:p w14:paraId="2CB321BA" w14:textId="12F3FBE5"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2.4.</w:t>
      </w:r>
      <w:r>
        <w:rPr>
          <w:rFonts w:asciiTheme="minorHAnsi" w:eastAsiaTheme="minorEastAsia" w:hAnsiTheme="minorHAnsi" w:cstheme="minorBidi"/>
          <w:noProof/>
          <w:kern w:val="2"/>
          <w:sz w:val="24"/>
          <w:szCs w:val="24"/>
          <w:lang w:eastAsia="sk-SK"/>
          <w14:ligatures w14:val="standardContextual"/>
        </w:rPr>
        <w:tab/>
      </w:r>
      <w:r>
        <w:rPr>
          <w:noProof/>
        </w:rPr>
        <w:t>Rast čistých výdavkov v roku 2024 (fiškálne pravidlá EÚ)</w:t>
      </w:r>
      <w:r>
        <w:rPr>
          <w:noProof/>
        </w:rPr>
        <w:tab/>
      </w:r>
      <w:r>
        <w:rPr>
          <w:noProof/>
        </w:rPr>
        <w:fldChar w:fldCharType="begin"/>
      </w:r>
      <w:r>
        <w:rPr>
          <w:noProof/>
        </w:rPr>
        <w:instrText xml:space="preserve"> PAGEREF _Toc212461606 \h </w:instrText>
      </w:r>
      <w:r>
        <w:rPr>
          <w:noProof/>
        </w:rPr>
      </w:r>
      <w:r>
        <w:rPr>
          <w:noProof/>
        </w:rPr>
        <w:fldChar w:fldCharType="separate"/>
      </w:r>
      <w:r w:rsidR="00AF78CD">
        <w:rPr>
          <w:noProof/>
        </w:rPr>
        <w:t>29</w:t>
      </w:r>
      <w:r>
        <w:rPr>
          <w:noProof/>
        </w:rPr>
        <w:fldChar w:fldCharType="end"/>
      </w:r>
    </w:p>
    <w:p w14:paraId="6F21955D" w14:textId="3E21E83D" w:rsidR="00532EDC" w:rsidRDefault="00532EDC">
      <w:pPr>
        <w:pStyle w:val="Obsah2"/>
        <w:tabs>
          <w:tab w:val="left" w:pos="960"/>
        </w:tabs>
        <w:rPr>
          <w:rFonts w:asciiTheme="minorHAnsi" w:eastAsiaTheme="minorEastAsia" w:hAnsiTheme="minorHAnsi" w:cstheme="minorBidi"/>
          <w:noProof/>
          <w:kern w:val="2"/>
          <w:sz w:val="24"/>
          <w:szCs w:val="24"/>
          <w:lang w:eastAsia="sk-SK"/>
          <w14:ligatures w14:val="standardContextual"/>
        </w:rPr>
      </w:pPr>
      <w:r>
        <w:rPr>
          <w:noProof/>
        </w:rPr>
        <w:t>2.4.1.</w:t>
      </w:r>
      <w:r>
        <w:rPr>
          <w:rFonts w:asciiTheme="minorHAnsi" w:eastAsiaTheme="minorEastAsia" w:hAnsiTheme="minorHAnsi" w:cstheme="minorBidi"/>
          <w:noProof/>
          <w:kern w:val="2"/>
          <w:sz w:val="24"/>
          <w:szCs w:val="24"/>
          <w:lang w:eastAsia="sk-SK"/>
          <w14:ligatures w14:val="standardContextual"/>
        </w:rPr>
        <w:tab/>
      </w:r>
      <w:r>
        <w:rPr>
          <w:noProof/>
        </w:rPr>
        <w:t>Limit verejných výdavkov v roku 2024</w:t>
      </w:r>
      <w:r>
        <w:rPr>
          <w:noProof/>
        </w:rPr>
        <w:tab/>
      </w:r>
      <w:r>
        <w:rPr>
          <w:noProof/>
        </w:rPr>
        <w:fldChar w:fldCharType="begin"/>
      </w:r>
      <w:r>
        <w:rPr>
          <w:noProof/>
        </w:rPr>
        <w:instrText xml:space="preserve"> PAGEREF _Toc212461607 \h </w:instrText>
      </w:r>
      <w:r>
        <w:rPr>
          <w:noProof/>
        </w:rPr>
      </w:r>
      <w:r>
        <w:rPr>
          <w:noProof/>
        </w:rPr>
        <w:fldChar w:fldCharType="separate"/>
      </w:r>
      <w:r w:rsidR="00AF78CD">
        <w:rPr>
          <w:noProof/>
        </w:rPr>
        <w:t>29</w:t>
      </w:r>
      <w:r>
        <w:rPr>
          <w:noProof/>
        </w:rPr>
        <w:fldChar w:fldCharType="end"/>
      </w:r>
    </w:p>
    <w:p w14:paraId="766C04D9" w14:textId="2003EFE5" w:rsidR="00532EDC" w:rsidRDefault="00532EDC">
      <w:pPr>
        <w:pStyle w:val="Obsah1"/>
        <w:rPr>
          <w:rFonts w:asciiTheme="minorHAnsi" w:eastAsiaTheme="minorEastAsia" w:hAnsiTheme="minorHAnsi" w:cstheme="minorBidi"/>
          <w:kern w:val="2"/>
          <w:sz w:val="24"/>
          <w:szCs w:val="24"/>
          <w:lang w:eastAsia="sk-SK"/>
          <w14:ligatures w14:val="standardContextual"/>
        </w:rPr>
      </w:pPr>
      <w:r w:rsidRPr="00040757">
        <w:t>3.</w:t>
      </w:r>
      <w:r>
        <w:rPr>
          <w:rFonts w:asciiTheme="minorHAnsi" w:eastAsiaTheme="minorEastAsia" w:hAnsiTheme="minorHAnsi" w:cstheme="minorBidi"/>
          <w:kern w:val="2"/>
          <w:sz w:val="24"/>
          <w:szCs w:val="24"/>
          <w:lang w:eastAsia="sk-SK"/>
          <w14:ligatures w14:val="standardContextual"/>
        </w:rPr>
        <w:tab/>
      </w:r>
      <w:r w:rsidRPr="00040757">
        <w:t>Čisté bohatstvo</w:t>
      </w:r>
      <w:r>
        <w:tab/>
      </w:r>
      <w:r>
        <w:fldChar w:fldCharType="begin"/>
      </w:r>
      <w:r>
        <w:instrText xml:space="preserve"> PAGEREF _Toc212461608 \h </w:instrText>
      </w:r>
      <w:r>
        <w:fldChar w:fldCharType="separate"/>
      </w:r>
      <w:r w:rsidR="00AF78CD">
        <w:t>31</w:t>
      </w:r>
      <w:r>
        <w:fldChar w:fldCharType="end"/>
      </w:r>
    </w:p>
    <w:p w14:paraId="2902E09C" w14:textId="566FD256" w:rsidR="00532EDC" w:rsidRDefault="00532EDC">
      <w:pPr>
        <w:pStyle w:val="Obsah2"/>
        <w:rPr>
          <w:rFonts w:asciiTheme="minorHAnsi" w:eastAsiaTheme="minorEastAsia" w:hAnsiTheme="minorHAnsi" w:cstheme="minorBidi"/>
          <w:noProof/>
          <w:kern w:val="2"/>
          <w:sz w:val="24"/>
          <w:szCs w:val="24"/>
          <w:lang w:eastAsia="sk-SK"/>
          <w14:ligatures w14:val="standardContextual"/>
        </w:rPr>
      </w:pPr>
      <w:r>
        <w:rPr>
          <w:noProof/>
        </w:rPr>
        <w:t>3.1.</w:t>
      </w:r>
      <w:r>
        <w:rPr>
          <w:rFonts w:asciiTheme="minorHAnsi" w:eastAsiaTheme="minorEastAsia" w:hAnsiTheme="minorHAnsi" w:cstheme="minorBidi"/>
          <w:noProof/>
          <w:kern w:val="2"/>
          <w:sz w:val="24"/>
          <w:szCs w:val="24"/>
          <w:lang w:eastAsia="sk-SK"/>
          <w14:ligatures w14:val="standardContextual"/>
        </w:rPr>
        <w:tab/>
      </w:r>
      <w:r>
        <w:rPr>
          <w:noProof/>
        </w:rPr>
        <w:t>Odhad čistého bohatstva za rok 2024</w:t>
      </w:r>
      <w:r>
        <w:rPr>
          <w:noProof/>
        </w:rPr>
        <w:tab/>
      </w:r>
      <w:r>
        <w:rPr>
          <w:noProof/>
        </w:rPr>
        <w:fldChar w:fldCharType="begin"/>
      </w:r>
      <w:r>
        <w:rPr>
          <w:noProof/>
        </w:rPr>
        <w:instrText xml:space="preserve"> PAGEREF _Toc212461609 \h </w:instrText>
      </w:r>
      <w:r>
        <w:rPr>
          <w:noProof/>
        </w:rPr>
      </w:r>
      <w:r>
        <w:rPr>
          <w:noProof/>
        </w:rPr>
        <w:fldChar w:fldCharType="separate"/>
      </w:r>
      <w:r w:rsidR="00AF78CD">
        <w:rPr>
          <w:noProof/>
        </w:rPr>
        <w:t>31</w:t>
      </w:r>
      <w:r>
        <w:rPr>
          <w:noProof/>
        </w:rPr>
        <w:fldChar w:fldCharType="end"/>
      </w:r>
    </w:p>
    <w:p w14:paraId="6E6F8A2D" w14:textId="61CBA597"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3.1.1.</w:t>
      </w:r>
      <w:r>
        <w:rPr>
          <w:rFonts w:asciiTheme="minorHAnsi" w:eastAsiaTheme="minorEastAsia" w:hAnsiTheme="minorHAnsi" w:cstheme="minorBidi"/>
          <w:noProof/>
          <w:kern w:val="2"/>
          <w:sz w:val="24"/>
          <w:szCs w:val="24"/>
          <w:lang w:eastAsia="sk-SK"/>
          <w14:ligatures w14:val="standardContextual"/>
        </w:rPr>
        <w:tab/>
      </w:r>
      <w:r>
        <w:rPr>
          <w:noProof/>
        </w:rPr>
        <w:t>Vlastné imanie súhrnného celku verejnej správy</w:t>
      </w:r>
      <w:r>
        <w:rPr>
          <w:noProof/>
        </w:rPr>
        <w:tab/>
      </w:r>
      <w:r>
        <w:rPr>
          <w:noProof/>
        </w:rPr>
        <w:fldChar w:fldCharType="begin"/>
      </w:r>
      <w:r>
        <w:rPr>
          <w:noProof/>
        </w:rPr>
        <w:instrText xml:space="preserve"> PAGEREF _Toc212461610 \h </w:instrText>
      </w:r>
      <w:r>
        <w:rPr>
          <w:noProof/>
        </w:rPr>
      </w:r>
      <w:r>
        <w:rPr>
          <w:noProof/>
        </w:rPr>
        <w:fldChar w:fldCharType="separate"/>
      </w:r>
      <w:r w:rsidR="00AF78CD">
        <w:rPr>
          <w:noProof/>
        </w:rPr>
        <w:t>32</w:t>
      </w:r>
      <w:r>
        <w:rPr>
          <w:noProof/>
        </w:rPr>
        <w:fldChar w:fldCharType="end"/>
      </w:r>
    </w:p>
    <w:p w14:paraId="4814C174" w14:textId="78AB5405"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3.1.2.</w:t>
      </w:r>
      <w:r>
        <w:rPr>
          <w:rFonts w:asciiTheme="minorHAnsi" w:eastAsiaTheme="minorEastAsia" w:hAnsiTheme="minorHAnsi" w:cstheme="minorBidi"/>
          <w:noProof/>
          <w:kern w:val="2"/>
          <w:sz w:val="24"/>
          <w:szCs w:val="24"/>
          <w:lang w:eastAsia="sk-SK"/>
          <w14:ligatures w14:val="standardContextual"/>
        </w:rPr>
        <w:tab/>
      </w:r>
      <w:r>
        <w:rPr>
          <w:noProof/>
        </w:rPr>
        <w:t>Vlastné imanie podnikov štátnej správy</w:t>
      </w:r>
      <w:r>
        <w:rPr>
          <w:noProof/>
        </w:rPr>
        <w:tab/>
      </w:r>
      <w:r>
        <w:rPr>
          <w:noProof/>
        </w:rPr>
        <w:fldChar w:fldCharType="begin"/>
      </w:r>
      <w:r>
        <w:rPr>
          <w:noProof/>
        </w:rPr>
        <w:instrText xml:space="preserve"> PAGEREF _Toc212461611 \h </w:instrText>
      </w:r>
      <w:r>
        <w:rPr>
          <w:noProof/>
        </w:rPr>
      </w:r>
      <w:r>
        <w:rPr>
          <w:noProof/>
        </w:rPr>
        <w:fldChar w:fldCharType="separate"/>
      </w:r>
      <w:r w:rsidR="00AF78CD">
        <w:rPr>
          <w:noProof/>
        </w:rPr>
        <w:t>33</w:t>
      </w:r>
      <w:r>
        <w:rPr>
          <w:noProof/>
        </w:rPr>
        <w:fldChar w:fldCharType="end"/>
      </w:r>
    </w:p>
    <w:p w14:paraId="5F4E6890" w14:textId="628AF4C0"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3.1.3.</w:t>
      </w:r>
      <w:r>
        <w:rPr>
          <w:rFonts w:asciiTheme="minorHAnsi" w:eastAsiaTheme="minorEastAsia" w:hAnsiTheme="minorHAnsi" w:cstheme="minorBidi"/>
          <w:noProof/>
          <w:kern w:val="2"/>
          <w:sz w:val="24"/>
          <w:szCs w:val="24"/>
          <w:lang w:eastAsia="sk-SK"/>
          <w14:ligatures w14:val="standardContextual"/>
        </w:rPr>
        <w:tab/>
      </w:r>
      <w:r>
        <w:rPr>
          <w:noProof/>
        </w:rPr>
        <w:t>Implicitné záväzky</w:t>
      </w:r>
      <w:r>
        <w:rPr>
          <w:noProof/>
        </w:rPr>
        <w:tab/>
      </w:r>
      <w:r>
        <w:rPr>
          <w:noProof/>
        </w:rPr>
        <w:fldChar w:fldCharType="begin"/>
      </w:r>
      <w:r>
        <w:rPr>
          <w:noProof/>
        </w:rPr>
        <w:instrText xml:space="preserve"> PAGEREF _Toc212461612 \h </w:instrText>
      </w:r>
      <w:r>
        <w:rPr>
          <w:noProof/>
        </w:rPr>
      </w:r>
      <w:r>
        <w:rPr>
          <w:noProof/>
        </w:rPr>
        <w:fldChar w:fldCharType="separate"/>
      </w:r>
      <w:r w:rsidR="00AF78CD">
        <w:rPr>
          <w:noProof/>
        </w:rPr>
        <w:t>36</w:t>
      </w:r>
      <w:r>
        <w:rPr>
          <w:noProof/>
        </w:rPr>
        <w:fldChar w:fldCharType="end"/>
      </w:r>
    </w:p>
    <w:p w14:paraId="5E0E4BF4" w14:textId="29479BF3"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3.1.4.</w:t>
      </w:r>
      <w:r>
        <w:rPr>
          <w:rFonts w:asciiTheme="minorHAnsi" w:eastAsiaTheme="minorEastAsia" w:hAnsiTheme="minorHAnsi" w:cstheme="minorBidi"/>
          <w:noProof/>
          <w:kern w:val="2"/>
          <w:sz w:val="24"/>
          <w:szCs w:val="24"/>
          <w:lang w:eastAsia="sk-SK"/>
          <w14:ligatures w14:val="standardContextual"/>
        </w:rPr>
        <w:tab/>
      </w:r>
      <w:r>
        <w:rPr>
          <w:noProof/>
        </w:rPr>
        <w:t>Podmienené záväzky</w:t>
      </w:r>
      <w:r>
        <w:rPr>
          <w:noProof/>
        </w:rPr>
        <w:tab/>
      </w:r>
      <w:r>
        <w:rPr>
          <w:noProof/>
        </w:rPr>
        <w:fldChar w:fldCharType="begin"/>
      </w:r>
      <w:r>
        <w:rPr>
          <w:noProof/>
        </w:rPr>
        <w:instrText xml:space="preserve"> PAGEREF _Toc212461613 \h </w:instrText>
      </w:r>
      <w:r>
        <w:rPr>
          <w:noProof/>
        </w:rPr>
      </w:r>
      <w:r>
        <w:rPr>
          <w:noProof/>
        </w:rPr>
        <w:fldChar w:fldCharType="separate"/>
      </w:r>
      <w:r w:rsidR="00AF78CD">
        <w:rPr>
          <w:noProof/>
        </w:rPr>
        <w:t>38</w:t>
      </w:r>
      <w:r>
        <w:rPr>
          <w:noProof/>
        </w:rPr>
        <w:fldChar w:fldCharType="end"/>
      </w:r>
    </w:p>
    <w:p w14:paraId="6584C234" w14:textId="360A6AD7" w:rsidR="00532EDC" w:rsidRDefault="00532EDC">
      <w:pPr>
        <w:pStyle w:val="Obsah3"/>
        <w:rPr>
          <w:rFonts w:asciiTheme="minorHAnsi" w:eastAsiaTheme="minorEastAsia" w:hAnsiTheme="minorHAnsi" w:cstheme="minorBidi"/>
          <w:noProof/>
          <w:kern w:val="2"/>
          <w:sz w:val="24"/>
          <w:szCs w:val="24"/>
          <w:lang w:eastAsia="sk-SK"/>
          <w14:ligatures w14:val="standardContextual"/>
        </w:rPr>
      </w:pPr>
      <w:r>
        <w:rPr>
          <w:noProof/>
        </w:rPr>
        <w:t>3.1.5.</w:t>
      </w:r>
      <w:r>
        <w:rPr>
          <w:rFonts w:asciiTheme="minorHAnsi" w:eastAsiaTheme="minorEastAsia" w:hAnsiTheme="minorHAnsi" w:cstheme="minorBidi"/>
          <w:noProof/>
          <w:kern w:val="2"/>
          <w:sz w:val="24"/>
          <w:szCs w:val="24"/>
          <w:lang w:eastAsia="sk-SK"/>
          <w14:ligatures w14:val="standardContextual"/>
        </w:rPr>
        <w:tab/>
      </w:r>
      <w:r>
        <w:rPr>
          <w:noProof/>
        </w:rPr>
        <w:t>Iné aktíva ako súčasť čistého bohatstva</w:t>
      </w:r>
      <w:r>
        <w:rPr>
          <w:noProof/>
        </w:rPr>
        <w:tab/>
      </w:r>
      <w:r>
        <w:rPr>
          <w:noProof/>
        </w:rPr>
        <w:fldChar w:fldCharType="begin"/>
      </w:r>
      <w:r>
        <w:rPr>
          <w:noProof/>
        </w:rPr>
        <w:instrText xml:space="preserve"> PAGEREF _Toc212461614 \h </w:instrText>
      </w:r>
      <w:r>
        <w:rPr>
          <w:noProof/>
        </w:rPr>
      </w:r>
      <w:r>
        <w:rPr>
          <w:noProof/>
        </w:rPr>
        <w:fldChar w:fldCharType="separate"/>
      </w:r>
      <w:r w:rsidR="00AF78CD">
        <w:rPr>
          <w:noProof/>
        </w:rPr>
        <w:t>44</w:t>
      </w:r>
      <w:r>
        <w:rPr>
          <w:noProof/>
        </w:rPr>
        <w:fldChar w:fldCharType="end"/>
      </w:r>
    </w:p>
    <w:p w14:paraId="311B3AAE" w14:textId="5F7CDCF9" w:rsidR="00532EDC" w:rsidRDefault="00532EDC">
      <w:pPr>
        <w:pStyle w:val="Obsah1"/>
        <w:rPr>
          <w:rFonts w:asciiTheme="minorHAnsi" w:eastAsiaTheme="minorEastAsia" w:hAnsiTheme="minorHAnsi" w:cstheme="minorBidi"/>
          <w:kern w:val="2"/>
          <w:sz w:val="24"/>
          <w:szCs w:val="24"/>
          <w:lang w:eastAsia="sk-SK"/>
          <w14:ligatures w14:val="standardContextual"/>
        </w:rPr>
      </w:pPr>
      <w:r>
        <w:t>Zoznam skratiek</w:t>
      </w:r>
      <w:r>
        <w:tab/>
      </w:r>
      <w:r>
        <w:fldChar w:fldCharType="begin"/>
      </w:r>
      <w:r>
        <w:instrText xml:space="preserve"> PAGEREF _Toc212461615 \h </w:instrText>
      </w:r>
      <w:r>
        <w:fldChar w:fldCharType="separate"/>
      </w:r>
      <w:r w:rsidR="00AF78CD">
        <w:t>47</w:t>
      </w:r>
      <w:r>
        <w:fldChar w:fldCharType="end"/>
      </w:r>
    </w:p>
    <w:p w14:paraId="4250B670" w14:textId="7CA6ED5D" w:rsidR="005A1C55" w:rsidRPr="00174C84" w:rsidRDefault="00F74AB3" w:rsidP="0009732B">
      <w:pPr>
        <w:spacing w:after="0" w:line="336" w:lineRule="auto"/>
        <w:rPr>
          <w:szCs w:val="22"/>
          <w:highlight w:val="yellow"/>
        </w:rPr>
      </w:pPr>
      <w:r w:rsidRPr="00174C84">
        <w:rPr>
          <w:szCs w:val="22"/>
          <w:highlight w:val="yellow"/>
        </w:rPr>
        <w:fldChar w:fldCharType="end"/>
      </w:r>
    </w:p>
    <w:p w14:paraId="6A20C968" w14:textId="06DB9239" w:rsidR="00872FE7" w:rsidRPr="00C17FEB" w:rsidRDefault="00872FE7" w:rsidP="0009732B">
      <w:pPr>
        <w:spacing w:after="0" w:line="336" w:lineRule="auto"/>
        <w:rPr>
          <w:szCs w:val="22"/>
        </w:rPr>
      </w:pPr>
      <w:r w:rsidRPr="00C17FEB">
        <w:rPr>
          <w:szCs w:val="22"/>
        </w:rPr>
        <w:t>Prílohy:</w:t>
      </w:r>
    </w:p>
    <w:p w14:paraId="2D73C39A" w14:textId="77777777" w:rsidR="0009732B" w:rsidRPr="00C17FEB" w:rsidRDefault="0009732B" w:rsidP="0009732B">
      <w:pPr>
        <w:spacing w:after="0" w:line="336" w:lineRule="auto"/>
        <w:rPr>
          <w:szCs w:val="22"/>
        </w:rPr>
      </w:pPr>
      <w:r w:rsidRPr="00C17FEB">
        <w:rPr>
          <w:szCs w:val="22"/>
        </w:rPr>
        <w:t>Príloha č. 1 Prehľad hospodá</w:t>
      </w:r>
      <w:r w:rsidR="00706FC1" w:rsidRPr="00C17FEB">
        <w:rPr>
          <w:szCs w:val="22"/>
        </w:rPr>
        <w:t>renia podnikov štátnej správy</w:t>
      </w:r>
    </w:p>
    <w:p w14:paraId="4D23A769" w14:textId="504A2FD4" w:rsidR="00651A0E" w:rsidRPr="00C17FEB" w:rsidRDefault="0009732B" w:rsidP="00651A0E">
      <w:pPr>
        <w:spacing w:after="0" w:line="336" w:lineRule="auto"/>
        <w:rPr>
          <w:szCs w:val="22"/>
        </w:rPr>
      </w:pPr>
      <w:r w:rsidRPr="00C17FEB">
        <w:rPr>
          <w:szCs w:val="22"/>
        </w:rPr>
        <w:t xml:space="preserve">Príloha č. 2 </w:t>
      </w:r>
      <w:r w:rsidR="00DA243F" w:rsidRPr="00C17FEB">
        <w:rPr>
          <w:szCs w:val="22"/>
        </w:rPr>
        <w:t>Vlastné imanie podnikov štátnej správy</w:t>
      </w:r>
    </w:p>
    <w:p w14:paraId="6D099216" w14:textId="0F255414" w:rsidR="001960E5" w:rsidRPr="00BA1A61" w:rsidRDefault="001960E5" w:rsidP="00651A0E">
      <w:pPr>
        <w:spacing w:after="0" w:line="336" w:lineRule="auto"/>
        <w:rPr>
          <w:szCs w:val="22"/>
        </w:rPr>
      </w:pPr>
      <w:r w:rsidRPr="00BA1A61">
        <w:rPr>
          <w:szCs w:val="22"/>
        </w:rPr>
        <w:t>Príloha č. 3 Súhrnná účtovná závierka verejnej správy SR za rok 20</w:t>
      </w:r>
      <w:r w:rsidR="0068099F" w:rsidRPr="00BA1A61">
        <w:rPr>
          <w:szCs w:val="22"/>
        </w:rPr>
        <w:t>2</w:t>
      </w:r>
      <w:r w:rsidR="00174C84" w:rsidRPr="00BA1A61">
        <w:rPr>
          <w:szCs w:val="22"/>
        </w:rPr>
        <w:t>4</w:t>
      </w:r>
    </w:p>
    <w:p w14:paraId="6BDA5762" w14:textId="77777777" w:rsidR="00651A0E" w:rsidRPr="00174C84" w:rsidRDefault="00651A0E">
      <w:pPr>
        <w:rPr>
          <w:color w:val="FF0000"/>
          <w:szCs w:val="22"/>
          <w:highlight w:val="yellow"/>
        </w:rPr>
      </w:pPr>
      <w:r w:rsidRPr="00174C84">
        <w:rPr>
          <w:color w:val="FF0000"/>
          <w:szCs w:val="22"/>
          <w:highlight w:val="yellow"/>
        </w:rPr>
        <w:br w:type="page"/>
      </w:r>
    </w:p>
    <w:p w14:paraId="1BE4BE7D" w14:textId="77777777" w:rsidR="00CA753E" w:rsidRPr="00927B94" w:rsidRDefault="00CA753E" w:rsidP="00CA753E">
      <w:pPr>
        <w:pStyle w:val="Zoznamobrzkov"/>
        <w:tabs>
          <w:tab w:val="right" w:pos="8920"/>
        </w:tabs>
        <w:rPr>
          <w:b/>
          <w:color w:val="4F81BD" w:themeColor="accent1"/>
          <w:sz w:val="24"/>
          <w:szCs w:val="24"/>
        </w:rPr>
      </w:pPr>
      <w:bookmarkStart w:id="2" w:name="_Toc399324356"/>
      <w:bookmarkStart w:id="3" w:name="_Toc401920005"/>
      <w:bookmarkEnd w:id="0"/>
      <w:bookmarkEnd w:id="1"/>
      <w:r w:rsidRPr="00927B94">
        <w:rPr>
          <w:b/>
          <w:color w:val="4F81BD" w:themeColor="accent1"/>
          <w:sz w:val="24"/>
          <w:szCs w:val="24"/>
        </w:rPr>
        <w:lastRenderedPageBreak/>
        <w:t>Zoznam tabuliek</w:t>
      </w:r>
    </w:p>
    <w:p w14:paraId="04BA706E" w14:textId="343A2D7D" w:rsidR="00C978BD" w:rsidRDefault="00816FE2">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r>
        <w:rPr>
          <w:highlight w:val="yellow"/>
          <w:lang w:eastAsia="cs-CZ"/>
        </w:rPr>
        <w:fldChar w:fldCharType="begin"/>
      </w:r>
      <w:r>
        <w:rPr>
          <w:highlight w:val="yellow"/>
          <w:lang w:eastAsia="cs-CZ"/>
        </w:rPr>
        <w:instrText xml:space="preserve"> TOC \h \z \c "Tabuľka" </w:instrText>
      </w:r>
      <w:r>
        <w:rPr>
          <w:highlight w:val="yellow"/>
          <w:lang w:eastAsia="cs-CZ"/>
        </w:rPr>
        <w:fldChar w:fldCharType="separate"/>
      </w:r>
      <w:hyperlink w:anchor="_Toc212124622" w:history="1">
        <w:r w:rsidR="00C978BD" w:rsidRPr="000B7FBB">
          <w:rPr>
            <w:rStyle w:val="Hypertextovprepojenie"/>
            <w:noProof/>
          </w:rPr>
          <w:t>Tabuľka 1 - Zmena schodku za rok 2024 pri jesennej notifikácii v metodike ESA 2010</w:t>
        </w:r>
        <w:r w:rsidR="00C978BD">
          <w:rPr>
            <w:noProof/>
            <w:webHidden/>
          </w:rPr>
          <w:tab/>
        </w:r>
        <w:r w:rsidR="00C978BD">
          <w:rPr>
            <w:noProof/>
            <w:webHidden/>
          </w:rPr>
          <w:fldChar w:fldCharType="begin"/>
        </w:r>
        <w:r w:rsidR="00C978BD">
          <w:rPr>
            <w:noProof/>
            <w:webHidden/>
          </w:rPr>
          <w:instrText xml:space="preserve"> PAGEREF _Toc212124622 \h </w:instrText>
        </w:r>
        <w:r w:rsidR="00C978BD">
          <w:rPr>
            <w:noProof/>
            <w:webHidden/>
          </w:rPr>
        </w:r>
        <w:r w:rsidR="00C978BD">
          <w:rPr>
            <w:noProof/>
            <w:webHidden/>
          </w:rPr>
          <w:fldChar w:fldCharType="separate"/>
        </w:r>
        <w:r w:rsidR="00532EDC">
          <w:rPr>
            <w:noProof/>
            <w:webHidden/>
          </w:rPr>
          <w:t>4</w:t>
        </w:r>
        <w:r w:rsidR="00C978BD">
          <w:rPr>
            <w:noProof/>
            <w:webHidden/>
          </w:rPr>
          <w:fldChar w:fldCharType="end"/>
        </w:r>
      </w:hyperlink>
    </w:p>
    <w:p w14:paraId="7F77E1C2" w14:textId="5D9155D6"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23" w:history="1">
        <w:r w:rsidRPr="000B7FBB">
          <w:rPr>
            <w:rStyle w:val="Hypertextovprepojenie"/>
            <w:noProof/>
          </w:rPr>
          <w:t>Tabuľka 2 - Úpravy maastrichtského dlhu za rok 2024 pri jesennej notifikácii z pohľadu jednotiek VS</w:t>
        </w:r>
        <w:r>
          <w:rPr>
            <w:noProof/>
            <w:webHidden/>
          </w:rPr>
          <w:tab/>
        </w:r>
        <w:r>
          <w:rPr>
            <w:noProof/>
            <w:webHidden/>
          </w:rPr>
          <w:fldChar w:fldCharType="begin"/>
        </w:r>
        <w:r>
          <w:rPr>
            <w:noProof/>
            <w:webHidden/>
          </w:rPr>
          <w:instrText xml:space="preserve"> PAGEREF _Toc212124623 \h </w:instrText>
        </w:r>
        <w:r>
          <w:rPr>
            <w:noProof/>
            <w:webHidden/>
          </w:rPr>
        </w:r>
        <w:r>
          <w:rPr>
            <w:noProof/>
            <w:webHidden/>
          </w:rPr>
          <w:fldChar w:fldCharType="separate"/>
        </w:r>
        <w:r w:rsidR="00532EDC">
          <w:rPr>
            <w:noProof/>
            <w:webHidden/>
          </w:rPr>
          <w:t>6</w:t>
        </w:r>
        <w:r>
          <w:rPr>
            <w:noProof/>
            <w:webHidden/>
          </w:rPr>
          <w:fldChar w:fldCharType="end"/>
        </w:r>
      </w:hyperlink>
    </w:p>
    <w:p w14:paraId="351CB95A" w14:textId="35252422"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24" w:history="1">
        <w:r w:rsidRPr="000B7FBB">
          <w:rPr>
            <w:rStyle w:val="Hypertextovprepojenie"/>
            <w:noProof/>
          </w:rPr>
          <w:t>Tabuľka 3 - Saldo verejnej správy podľa subsektorov (ESA 2010)</w:t>
        </w:r>
        <w:r>
          <w:rPr>
            <w:noProof/>
            <w:webHidden/>
          </w:rPr>
          <w:tab/>
        </w:r>
        <w:r>
          <w:rPr>
            <w:noProof/>
            <w:webHidden/>
          </w:rPr>
          <w:fldChar w:fldCharType="begin"/>
        </w:r>
        <w:r>
          <w:rPr>
            <w:noProof/>
            <w:webHidden/>
          </w:rPr>
          <w:instrText xml:space="preserve"> PAGEREF _Toc212124624 \h </w:instrText>
        </w:r>
        <w:r>
          <w:rPr>
            <w:noProof/>
            <w:webHidden/>
          </w:rPr>
        </w:r>
        <w:r>
          <w:rPr>
            <w:noProof/>
            <w:webHidden/>
          </w:rPr>
          <w:fldChar w:fldCharType="separate"/>
        </w:r>
        <w:r w:rsidR="00532EDC">
          <w:rPr>
            <w:noProof/>
            <w:webHidden/>
          </w:rPr>
          <w:t>7</w:t>
        </w:r>
        <w:r>
          <w:rPr>
            <w:noProof/>
            <w:webHidden/>
          </w:rPr>
          <w:fldChar w:fldCharType="end"/>
        </w:r>
      </w:hyperlink>
    </w:p>
    <w:p w14:paraId="29FF7E80" w14:textId="767417C0"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25" w:history="1">
        <w:r w:rsidRPr="000B7FBB">
          <w:rPr>
            <w:rStyle w:val="Hypertextovprepojenie"/>
            <w:noProof/>
          </w:rPr>
          <w:t xml:space="preserve">Tabuľka 4 - Schodok verejnej správy podľa jednotlivých subjektov/ zložiek </w:t>
        </w:r>
        <w:r>
          <w:rPr>
            <w:noProof/>
            <w:webHidden/>
          </w:rPr>
          <w:tab/>
        </w:r>
        <w:r>
          <w:rPr>
            <w:noProof/>
            <w:webHidden/>
          </w:rPr>
          <w:fldChar w:fldCharType="begin"/>
        </w:r>
        <w:r>
          <w:rPr>
            <w:noProof/>
            <w:webHidden/>
          </w:rPr>
          <w:instrText xml:space="preserve"> PAGEREF _Toc212124625 \h </w:instrText>
        </w:r>
        <w:r>
          <w:rPr>
            <w:noProof/>
            <w:webHidden/>
          </w:rPr>
        </w:r>
        <w:r>
          <w:rPr>
            <w:noProof/>
            <w:webHidden/>
          </w:rPr>
          <w:fldChar w:fldCharType="separate"/>
        </w:r>
        <w:r w:rsidR="00532EDC">
          <w:rPr>
            <w:noProof/>
            <w:webHidden/>
          </w:rPr>
          <w:t>7</w:t>
        </w:r>
        <w:r>
          <w:rPr>
            <w:noProof/>
            <w:webHidden/>
          </w:rPr>
          <w:fldChar w:fldCharType="end"/>
        </w:r>
      </w:hyperlink>
    </w:p>
    <w:p w14:paraId="49A4AEF2" w14:textId="14459E21"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26" w:history="1">
        <w:r w:rsidRPr="000B7FBB">
          <w:rPr>
            <w:rStyle w:val="Hypertextovprepojenie"/>
            <w:noProof/>
          </w:rPr>
          <w:t xml:space="preserve">Tabuľka 5 - Maastrichtský dlh verejnej správy podľa jednotlivých subjektov </w:t>
        </w:r>
        <w:r>
          <w:rPr>
            <w:noProof/>
            <w:webHidden/>
          </w:rPr>
          <w:tab/>
        </w:r>
        <w:r>
          <w:rPr>
            <w:noProof/>
            <w:webHidden/>
          </w:rPr>
          <w:fldChar w:fldCharType="begin"/>
        </w:r>
        <w:r>
          <w:rPr>
            <w:noProof/>
            <w:webHidden/>
          </w:rPr>
          <w:instrText xml:space="preserve"> PAGEREF _Toc212124626 \h </w:instrText>
        </w:r>
        <w:r>
          <w:rPr>
            <w:noProof/>
            <w:webHidden/>
          </w:rPr>
        </w:r>
        <w:r>
          <w:rPr>
            <w:noProof/>
            <w:webHidden/>
          </w:rPr>
          <w:fldChar w:fldCharType="separate"/>
        </w:r>
        <w:r w:rsidR="00532EDC">
          <w:rPr>
            <w:noProof/>
            <w:webHidden/>
          </w:rPr>
          <w:t>8</w:t>
        </w:r>
        <w:r>
          <w:rPr>
            <w:noProof/>
            <w:webHidden/>
          </w:rPr>
          <w:fldChar w:fldCharType="end"/>
        </w:r>
      </w:hyperlink>
    </w:p>
    <w:p w14:paraId="4DD84777" w14:textId="2EF3200B"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27" w:history="1">
        <w:r w:rsidRPr="000B7FBB">
          <w:rPr>
            <w:rStyle w:val="Hypertextovprepojenie"/>
            <w:noProof/>
          </w:rPr>
          <w:t>Tabuľka 6 - Štruktúra dlhu verejnej správy</w:t>
        </w:r>
        <w:r>
          <w:rPr>
            <w:noProof/>
            <w:webHidden/>
          </w:rPr>
          <w:tab/>
        </w:r>
        <w:r>
          <w:rPr>
            <w:noProof/>
            <w:webHidden/>
          </w:rPr>
          <w:fldChar w:fldCharType="begin"/>
        </w:r>
        <w:r>
          <w:rPr>
            <w:noProof/>
            <w:webHidden/>
          </w:rPr>
          <w:instrText xml:space="preserve"> PAGEREF _Toc212124627 \h </w:instrText>
        </w:r>
        <w:r>
          <w:rPr>
            <w:noProof/>
            <w:webHidden/>
          </w:rPr>
        </w:r>
        <w:r>
          <w:rPr>
            <w:noProof/>
            <w:webHidden/>
          </w:rPr>
          <w:fldChar w:fldCharType="separate"/>
        </w:r>
        <w:r w:rsidR="00532EDC">
          <w:rPr>
            <w:noProof/>
            <w:webHidden/>
          </w:rPr>
          <w:t>10</w:t>
        </w:r>
        <w:r>
          <w:rPr>
            <w:noProof/>
            <w:webHidden/>
          </w:rPr>
          <w:fldChar w:fldCharType="end"/>
        </w:r>
      </w:hyperlink>
    </w:p>
    <w:p w14:paraId="7D3A79FE" w14:textId="4A9BBCEB"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28" w:history="1">
        <w:r w:rsidRPr="000B7FBB">
          <w:rPr>
            <w:rStyle w:val="Hypertextovprepojenie"/>
            <w:noProof/>
          </w:rPr>
          <w:t>Tabuľka 7 - Čistý a hrubý dlh verejnej správy</w:t>
        </w:r>
        <w:r>
          <w:rPr>
            <w:noProof/>
            <w:webHidden/>
          </w:rPr>
          <w:tab/>
        </w:r>
        <w:r>
          <w:rPr>
            <w:noProof/>
            <w:webHidden/>
          </w:rPr>
          <w:fldChar w:fldCharType="begin"/>
        </w:r>
        <w:r>
          <w:rPr>
            <w:noProof/>
            <w:webHidden/>
          </w:rPr>
          <w:instrText xml:space="preserve"> PAGEREF _Toc212124628 \h </w:instrText>
        </w:r>
        <w:r>
          <w:rPr>
            <w:noProof/>
            <w:webHidden/>
          </w:rPr>
        </w:r>
        <w:r>
          <w:rPr>
            <w:noProof/>
            <w:webHidden/>
          </w:rPr>
          <w:fldChar w:fldCharType="separate"/>
        </w:r>
        <w:r w:rsidR="00532EDC">
          <w:rPr>
            <w:noProof/>
            <w:webHidden/>
          </w:rPr>
          <w:t>11</w:t>
        </w:r>
        <w:r>
          <w:rPr>
            <w:noProof/>
            <w:webHidden/>
          </w:rPr>
          <w:fldChar w:fldCharType="end"/>
        </w:r>
      </w:hyperlink>
    </w:p>
    <w:p w14:paraId="4766F657" w14:textId="6EF77190"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29" w:history="1">
        <w:r w:rsidRPr="000B7FBB">
          <w:rPr>
            <w:rStyle w:val="Hypertextovprepojenie"/>
            <w:noProof/>
          </w:rPr>
          <w:t>Tabuľka 8 - Saldo a dlh verejnej správy v EÚ 27</w:t>
        </w:r>
        <w:r>
          <w:rPr>
            <w:noProof/>
            <w:webHidden/>
          </w:rPr>
          <w:tab/>
        </w:r>
        <w:r>
          <w:rPr>
            <w:noProof/>
            <w:webHidden/>
          </w:rPr>
          <w:fldChar w:fldCharType="begin"/>
        </w:r>
        <w:r>
          <w:rPr>
            <w:noProof/>
            <w:webHidden/>
          </w:rPr>
          <w:instrText xml:space="preserve"> PAGEREF _Toc212124629 \h </w:instrText>
        </w:r>
        <w:r>
          <w:rPr>
            <w:noProof/>
            <w:webHidden/>
          </w:rPr>
        </w:r>
        <w:r>
          <w:rPr>
            <w:noProof/>
            <w:webHidden/>
          </w:rPr>
          <w:fldChar w:fldCharType="separate"/>
        </w:r>
        <w:r w:rsidR="00532EDC">
          <w:rPr>
            <w:noProof/>
            <w:webHidden/>
          </w:rPr>
          <w:t>12</w:t>
        </w:r>
        <w:r>
          <w:rPr>
            <w:noProof/>
            <w:webHidden/>
          </w:rPr>
          <w:fldChar w:fldCharType="end"/>
        </w:r>
      </w:hyperlink>
    </w:p>
    <w:p w14:paraId="54054531" w14:textId="48B6CCD1" w:rsidR="00C978BD" w:rsidRDefault="00C978BD">
      <w:pPr>
        <w:pStyle w:val="Zoznamobrzkov"/>
        <w:tabs>
          <w:tab w:val="left" w:pos="5321"/>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0" w:history="1">
        <w:r w:rsidRPr="000B7FBB">
          <w:rPr>
            <w:rStyle w:val="Hypertextovprepojenie"/>
            <w:noProof/>
          </w:rPr>
          <w:t xml:space="preserve">Tabuľka 9 - Bilancia rozpočtu verejnej správy ESA 2010 </w:t>
        </w:r>
        <w:r w:rsidR="0081325D">
          <w:rPr>
            <w:rStyle w:val="Hypertextovprepojenie"/>
            <w:noProof/>
          </w:rPr>
          <w:t>.......</w:t>
        </w:r>
        <w:r>
          <w:rPr>
            <w:noProof/>
            <w:webHidden/>
          </w:rPr>
          <w:tab/>
        </w:r>
        <w:r>
          <w:rPr>
            <w:noProof/>
            <w:webHidden/>
          </w:rPr>
          <w:fldChar w:fldCharType="begin"/>
        </w:r>
        <w:r>
          <w:rPr>
            <w:noProof/>
            <w:webHidden/>
          </w:rPr>
          <w:instrText xml:space="preserve"> PAGEREF _Toc212124630 \h </w:instrText>
        </w:r>
        <w:r>
          <w:rPr>
            <w:noProof/>
            <w:webHidden/>
          </w:rPr>
        </w:r>
        <w:r>
          <w:rPr>
            <w:noProof/>
            <w:webHidden/>
          </w:rPr>
          <w:fldChar w:fldCharType="separate"/>
        </w:r>
        <w:r w:rsidR="00532EDC">
          <w:rPr>
            <w:noProof/>
            <w:webHidden/>
          </w:rPr>
          <w:t>13</w:t>
        </w:r>
        <w:r>
          <w:rPr>
            <w:noProof/>
            <w:webHidden/>
          </w:rPr>
          <w:fldChar w:fldCharType="end"/>
        </w:r>
      </w:hyperlink>
    </w:p>
    <w:p w14:paraId="693C3D9E" w14:textId="4151C4EB"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1" w:history="1">
        <w:r w:rsidRPr="000B7FBB">
          <w:rPr>
            <w:rStyle w:val="Hypertextovprepojenie"/>
            <w:noProof/>
          </w:rPr>
          <w:t xml:space="preserve">Tabuľka 10 - Daňové a odvodové príjmy ESA 2010 </w:t>
        </w:r>
        <w:r w:rsidR="0081325D">
          <w:rPr>
            <w:rStyle w:val="Hypertextovprepojenie"/>
            <w:noProof/>
          </w:rPr>
          <w:t>....................................................................................</w:t>
        </w:r>
        <w:r>
          <w:rPr>
            <w:noProof/>
            <w:webHidden/>
          </w:rPr>
          <w:fldChar w:fldCharType="begin"/>
        </w:r>
        <w:r>
          <w:rPr>
            <w:noProof/>
            <w:webHidden/>
          </w:rPr>
          <w:instrText xml:space="preserve"> PAGEREF _Toc212124631 \h </w:instrText>
        </w:r>
        <w:r>
          <w:rPr>
            <w:noProof/>
            <w:webHidden/>
          </w:rPr>
        </w:r>
        <w:r>
          <w:rPr>
            <w:noProof/>
            <w:webHidden/>
          </w:rPr>
          <w:fldChar w:fldCharType="separate"/>
        </w:r>
        <w:r w:rsidR="00532EDC">
          <w:rPr>
            <w:noProof/>
            <w:webHidden/>
          </w:rPr>
          <w:t>14</w:t>
        </w:r>
        <w:r>
          <w:rPr>
            <w:noProof/>
            <w:webHidden/>
          </w:rPr>
          <w:fldChar w:fldCharType="end"/>
        </w:r>
      </w:hyperlink>
    </w:p>
    <w:p w14:paraId="4714C7EA" w14:textId="61699E48"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2" w:history="1">
        <w:r w:rsidRPr="000B7FBB">
          <w:rPr>
            <w:rStyle w:val="Hypertextovprepojenie"/>
            <w:noProof/>
          </w:rPr>
          <w:t xml:space="preserve">Tabuľka 11 - Prehľad významných príjmov z dividend </w:t>
        </w:r>
        <w:r>
          <w:rPr>
            <w:noProof/>
            <w:webHidden/>
          </w:rPr>
          <w:tab/>
        </w:r>
        <w:r>
          <w:rPr>
            <w:noProof/>
            <w:webHidden/>
          </w:rPr>
          <w:fldChar w:fldCharType="begin"/>
        </w:r>
        <w:r>
          <w:rPr>
            <w:noProof/>
            <w:webHidden/>
          </w:rPr>
          <w:instrText xml:space="preserve"> PAGEREF _Toc212124632 \h </w:instrText>
        </w:r>
        <w:r>
          <w:rPr>
            <w:noProof/>
            <w:webHidden/>
          </w:rPr>
        </w:r>
        <w:r>
          <w:rPr>
            <w:noProof/>
            <w:webHidden/>
          </w:rPr>
          <w:fldChar w:fldCharType="separate"/>
        </w:r>
        <w:r w:rsidR="00532EDC">
          <w:rPr>
            <w:noProof/>
            <w:webHidden/>
          </w:rPr>
          <w:t>19</w:t>
        </w:r>
        <w:r>
          <w:rPr>
            <w:noProof/>
            <w:webHidden/>
          </w:rPr>
          <w:fldChar w:fldCharType="end"/>
        </w:r>
      </w:hyperlink>
    </w:p>
    <w:p w14:paraId="03463CF8" w14:textId="77F9F0F3"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3" w:history="1">
        <w:r w:rsidRPr="000B7FBB">
          <w:rPr>
            <w:rStyle w:val="Hypertextovprepojenie"/>
            <w:noProof/>
          </w:rPr>
          <w:t>Tabuľka 12 - Výpočet štrukturálneho salda a konsolidačného úsilia (ESA 2010)</w:t>
        </w:r>
        <w:r>
          <w:rPr>
            <w:noProof/>
            <w:webHidden/>
          </w:rPr>
          <w:tab/>
        </w:r>
        <w:r>
          <w:rPr>
            <w:noProof/>
            <w:webHidden/>
          </w:rPr>
          <w:fldChar w:fldCharType="begin"/>
        </w:r>
        <w:r>
          <w:rPr>
            <w:noProof/>
            <w:webHidden/>
          </w:rPr>
          <w:instrText xml:space="preserve"> PAGEREF _Toc212124633 \h </w:instrText>
        </w:r>
        <w:r>
          <w:rPr>
            <w:noProof/>
            <w:webHidden/>
          </w:rPr>
        </w:r>
        <w:r>
          <w:rPr>
            <w:noProof/>
            <w:webHidden/>
          </w:rPr>
          <w:fldChar w:fldCharType="separate"/>
        </w:r>
        <w:r w:rsidR="00532EDC">
          <w:rPr>
            <w:noProof/>
            <w:webHidden/>
          </w:rPr>
          <w:t>26</w:t>
        </w:r>
        <w:r>
          <w:rPr>
            <w:noProof/>
            <w:webHidden/>
          </w:rPr>
          <w:fldChar w:fldCharType="end"/>
        </w:r>
      </w:hyperlink>
    </w:p>
    <w:p w14:paraId="389DAB38" w14:textId="7589B4B9"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4" w:history="1">
        <w:r w:rsidRPr="000B7FBB">
          <w:rPr>
            <w:rStyle w:val="Hypertextovprepojenie"/>
            <w:noProof/>
          </w:rPr>
          <w:t xml:space="preserve">Tabuľka 13 - Jednorazové opatrenia ESA 2010 </w:t>
        </w:r>
        <w:r>
          <w:rPr>
            <w:noProof/>
            <w:webHidden/>
          </w:rPr>
          <w:tab/>
        </w:r>
        <w:r>
          <w:rPr>
            <w:noProof/>
            <w:webHidden/>
          </w:rPr>
          <w:fldChar w:fldCharType="begin"/>
        </w:r>
        <w:r>
          <w:rPr>
            <w:noProof/>
            <w:webHidden/>
          </w:rPr>
          <w:instrText xml:space="preserve"> PAGEREF _Toc212124634 \h </w:instrText>
        </w:r>
        <w:r>
          <w:rPr>
            <w:noProof/>
            <w:webHidden/>
          </w:rPr>
        </w:r>
        <w:r>
          <w:rPr>
            <w:noProof/>
            <w:webHidden/>
          </w:rPr>
          <w:fldChar w:fldCharType="separate"/>
        </w:r>
        <w:r w:rsidR="00532EDC">
          <w:rPr>
            <w:noProof/>
            <w:webHidden/>
          </w:rPr>
          <w:t>27</w:t>
        </w:r>
        <w:r>
          <w:rPr>
            <w:noProof/>
            <w:webHidden/>
          </w:rPr>
          <w:fldChar w:fldCharType="end"/>
        </w:r>
      </w:hyperlink>
    </w:p>
    <w:p w14:paraId="13BE54DF" w14:textId="044E1E72"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5" w:history="1">
        <w:r w:rsidRPr="000B7FBB">
          <w:rPr>
            <w:rStyle w:val="Hypertextovprepojenie"/>
            <w:noProof/>
          </w:rPr>
          <w:t xml:space="preserve">Tabuľka 14 - Štátny dlh realizovaný v roku 2024 </w:t>
        </w:r>
        <w:r>
          <w:rPr>
            <w:noProof/>
            <w:webHidden/>
          </w:rPr>
          <w:tab/>
        </w:r>
        <w:r>
          <w:rPr>
            <w:noProof/>
            <w:webHidden/>
          </w:rPr>
          <w:fldChar w:fldCharType="begin"/>
        </w:r>
        <w:r>
          <w:rPr>
            <w:noProof/>
            <w:webHidden/>
          </w:rPr>
          <w:instrText xml:space="preserve"> PAGEREF _Toc212124635 \h </w:instrText>
        </w:r>
        <w:r>
          <w:rPr>
            <w:noProof/>
            <w:webHidden/>
          </w:rPr>
        </w:r>
        <w:r>
          <w:rPr>
            <w:noProof/>
            <w:webHidden/>
          </w:rPr>
          <w:fldChar w:fldCharType="separate"/>
        </w:r>
        <w:r w:rsidR="00532EDC">
          <w:rPr>
            <w:noProof/>
            <w:webHidden/>
          </w:rPr>
          <w:t>28</w:t>
        </w:r>
        <w:r>
          <w:rPr>
            <w:noProof/>
            <w:webHidden/>
          </w:rPr>
          <w:fldChar w:fldCharType="end"/>
        </w:r>
      </w:hyperlink>
    </w:p>
    <w:p w14:paraId="07CAAB1C" w14:textId="3F97893E"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6" w:history="1">
        <w:r w:rsidRPr="000B7FBB">
          <w:rPr>
            <w:rStyle w:val="Hypertextovprepojenie"/>
            <w:noProof/>
          </w:rPr>
          <w:t>Tabuľka 15 – Medziročný rast čistých výdavkov v roku 2024</w:t>
        </w:r>
        <w:r>
          <w:rPr>
            <w:noProof/>
            <w:webHidden/>
          </w:rPr>
          <w:tab/>
        </w:r>
        <w:r>
          <w:rPr>
            <w:noProof/>
            <w:webHidden/>
          </w:rPr>
          <w:fldChar w:fldCharType="begin"/>
        </w:r>
        <w:r>
          <w:rPr>
            <w:noProof/>
            <w:webHidden/>
          </w:rPr>
          <w:instrText xml:space="preserve"> PAGEREF _Toc212124636 \h </w:instrText>
        </w:r>
        <w:r>
          <w:rPr>
            <w:noProof/>
            <w:webHidden/>
          </w:rPr>
        </w:r>
        <w:r>
          <w:rPr>
            <w:noProof/>
            <w:webHidden/>
          </w:rPr>
          <w:fldChar w:fldCharType="separate"/>
        </w:r>
        <w:r w:rsidR="00532EDC">
          <w:rPr>
            <w:noProof/>
            <w:webHidden/>
          </w:rPr>
          <w:t>29</w:t>
        </w:r>
        <w:r>
          <w:rPr>
            <w:noProof/>
            <w:webHidden/>
          </w:rPr>
          <w:fldChar w:fldCharType="end"/>
        </w:r>
      </w:hyperlink>
    </w:p>
    <w:p w14:paraId="0512F837" w14:textId="7A489A1A"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7" w:history="1">
        <w:r w:rsidRPr="000B7FBB">
          <w:rPr>
            <w:rStyle w:val="Hypertextovprepojenie"/>
            <w:noProof/>
          </w:rPr>
          <w:t>Tabuľka 16 - Výdavky verejnej správy spadajúce pod LVV – skutočnosť 2024</w:t>
        </w:r>
        <w:r>
          <w:rPr>
            <w:noProof/>
            <w:webHidden/>
          </w:rPr>
          <w:tab/>
        </w:r>
        <w:r>
          <w:rPr>
            <w:noProof/>
            <w:webHidden/>
          </w:rPr>
          <w:fldChar w:fldCharType="begin"/>
        </w:r>
        <w:r>
          <w:rPr>
            <w:noProof/>
            <w:webHidden/>
          </w:rPr>
          <w:instrText xml:space="preserve"> PAGEREF _Toc212124637 \h </w:instrText>
        </w:r>
        <w:r>
          <w:rPr>
            <w:noProof/>
            <w:webHidden/>
          </w:rPr>
        </w:r>
        <w:r>
          <w:rPr>
            <w:noProof/>
            <w:webHidden/>
          </w:rPr>
          <w:fldChar w:fldCharType="separate"/>
        </w:r>
        <w:r w:rsidR="00532EDC">
          <w:rPr>
            <w:noProof/>
            <w:webHidden/>
          </w:rPr>
          <w:t>30</w:t>
        </w:r>
        <w:r>
          <w:rPr>
            <w:noProof/>
            <w:webHidden/>
          </w:rPr>
          <w:fldChar w:fldCharType="end"/>
        </w:r>
      </w:hyperlink>
    </w:p>
    <w:p w14:paraId="43C8FB72" w14:textId="4D69271E"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8" w:history="1">
        <w:r w:rsidRPr="000B7FBB">
          <w:rPr>
            <w:rStyle w:val="Hypertextovprepojenie"/>
            <w:noProof/>
          </w:rPr>
          <w:t>Tabuľka 17 - Vplyv PPP projektov (v % HDP)</w:t>
        </w:r>
        <w:r>
          <w:rPr>
            <w:noProof/>
            <w:webHidden/>
          </w:rPr>
          <w:tab/>
        </w:r>
        <w:r>
          <w:rPr>
            <w:noProof/>
            <w:webHidden/>
          </w:rPr>
          <w:fldChar w:fldCharType="begin"/>
        </w:r>
        <w:r>
          <w:rPr>
            <w:noProof/>
            <w:webHidden/>
          </w:rPr>
          <w:instrText xml:space="preserve"> PAGEREF _Toc212124638 \h </w:instrText>
        </w:r>
        <w:r>
          <w:rPr>
            <w:noProof/>
            <w:webHidden/>
          </w:rPr>
        </w:r>
        <w:r>
          <w:rPr>
            <w:noProof/>
            <w:webHidden/>
          </w:rPr>
          <w:fldChar w:fldCharType="separate"/>
        </w:r>
        <w:r w:rsidR="00532EDC">
          <w:rPr>
            <w:noProof/>
            <w:webHidden/>
          </w:rPr>
          <w:t>37</w:t>
        </w:r>
        <w:r>
          <w:rPr>
            <w:noProof/>
            <w:webHidden/>
          </w:rPr>
          <w:fldChar w:fldCharType="end"/>
        </w:r>
      </w:hyperlink>
    </w:p>
    <w:p w14:paraId="1063175D" w14:textId="4F498DD5"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39" w:history="1">
        <w:r w:rsidRPr="000B7FBB">
          <w:rPr>
            <w:rStyle w:val="Hypertextovprepojenie"/>
            <w:noProof/>
          </w:rPr>
          <w:t>Tabuľka 18 - Vplyv Národného jadrového fondu (v % HDP)</w:t>
        </w:r>
        <w:r>
          <w:rPr>
            <w:noProof/>
            <w:webHidden/>
          </w:rPr>
          <w:tab/>
        </w:r>
        <w:r>
          <w:rPr>
            <w:noProof/>
            <w:webHidden/>
          </w:rPr>
          <w:fldChar w:fldCharType="begin"/>
        </w:r>
        <w:r>
          <w:rPr>
            <w:noProof/>
            <w:webHidden/>
          </w:rPr>
          <w:instrText xml:space="preserve"> PAGEREF _Toc212124639 \h </w:instrText>
        </w:r>
        <w:r>
          <w:rPr>
            <w:noProof/>
            <w:webHidden/>
          </w:rPr>
        </w:r>
        <w:r>
          <w:rPr>
            <w:noProof/>
            <w:webHidden/>
          </w:rPr>
          <w:fldChar w:fldCharType="separate"/>
        </w:r>
        <w:r w:rsidR="00532EDC">
          <w:rPr>
            <w:noProof/>
            <w:webHidden/>
          </w:rPr>
          <w:t>38</w:t>
        </w:r>
        <w:r>
          <w:rPr>
            <w:noProof/>
            <w:webHidden/>
          </w:rPr>
          <w:fldChar w:fldCharType="end"/>
        </w:r>
      </w:hyperlink>
    </w:p>
    <w:p w14:paraId="4484012F" w14:textId="343906EA"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40" w:history="1">
        <w:r w:rsidRPr="000B7FBB">
          <w:rPr>
            <w:rStyle w:val="Hypertextovprepojenie"/>
            <w:noProof/>
          </w:rPr>
          <w:t>Tabuľka 19 - Vplyv Plánu obnovy (v % HDP)</w:t>
        </w:r>
        <w:r>
          <w:rPr>
            <w:noProof/>
            <w:webHidden/>
          </w:rPr>
          <w:tab/>
        </w:r>
        <w:r>
          <w:rPr>
            <w:noProof/>
            <w:webHidden/>
          </w:rPr>
          <w:fldChar w:fldCharType="begin"/>
        </w:r>
        <w:r>
          <w:rPr>
            <w:noProof/>
            <w:webHidden/>
          </w:rPr>
          <w:instrText xml:space="preserve"> PAGEREF _Toc212124640 \h </w:instrText>
        </w:r>
        <w:r>
          <w:rPr>
            <w:noProof/>
            <w:webHidden/>
          </w:rPr>
        </w:r>
        <w:r>
          <w:rPr>
            <w:noProof/>
            <w:webHidden/>
          </w:rPr>
          <w:fldChar w:fldCharType="separate"/>
        </w:r>
        <w:r w:rsidR="00532EDC">
          <w:rPr>
            <w:noProof/>
            <w:webHidden/>
          </w:rPr>
          <w:t>38</w:t>
        </w:r>
        <w:r>
          <w:rPr>
            <w:noProof/>
            <w:webHidden/>
          </w:rPr>
          <w:fldChar w:fldCharType="end"/>
        </w:r>
      </w:hyperlink>
    </w:p>
    <w:p w14:paraId="172E3CF9" w14:textId="3F4EC589"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41" w:history="1">
        <w:r w:rsidRPr="000B7FBB">
          <w:rPr>
            <w:rStyle w:val="Hypertextovprepojenie"/>
            <w:noProof/>
          </w:rPr>
          <w:t>Tabuľka 20 - Podmienené záväzky nekonsolidované</w:t>
        </w:r>
        <w:r>
          <w:rPr>
            <w:noProof/>
            <w:webHidden/>
          </w:rPr>
          <w:tab/>
        </w:r>
        <w:r>
          <w:rPr>
            <w:noProof/>
            <w:webHidden/>
          </w:rPr>
          <w:fldChar w:fldCharType="begin"/>
        </w:r>
        <w:r>
          <w:rPr>
            <w:noProof/>
            <w:webHidden/>
          </w:rPr>
          <w:instrText xml:space="preserve"> PAGEREF _Toc212124641 \h </w:instrText>
        </w:r>
        <w:r>
          <w:rPr>
            <w:noProof/>
            <w:webHidden/>
          </w:rPr>
        </w:r>
        <w:r>
          <w:rPr>
            <w:noProof/>
            <w:webHidden/>
          </w:rPr>
          <w:fldChar w:fldCharType="separate"/>
        </w:r>
        <w:r w:rsidR="00532EDC">
          <w:rPr>
            <w:noProof/>
            <w:webHidden/>
          </w:rPr>
          <w:t>39</w:t>
        </w:r>
        <w:r>
          <w:rPr>
            <w:noProof/>
            <w:webHidden/>
          </w:rPr>
          <w:fldChar w:fldCharType="end"/>
        </w:r>
      </w:hyperlink>
    </w:p>
    <w:p w14:paraId="63E5C837" w14:textId="765174FA"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42" w:history="1">
        <w:r w:rsidRPr="000B7FBB">
          <w:rPr>
            <w:rStyle w:val="Hypertextovprepojenie"/>
            <w:noProof/>
          </w:rPr>
          <w:t xml:space="preserve">Tabuľka 21 - Prehľad najväčších podmienených záväzkov na nekonsolidovanej báze </w:t>
        </w:r>
        <w:r>
          <w:rPr>
            <w:noProof/>
            <w:webHidden/>
          </w:rPr>
          <w:tab/>
        </w:r>
        <w:r>
          <w:rPr>
            <w:noProof/>
            <w:webHidden/>
          </w:rPr>
          <w:fldChar w:fldCharType="begin"/>
        </w:r>
        <w:r>
          <w:rPr>
            <w:noProof/>
            <w:webHidden/>
          </w:rPr>
          <w:instrText xml:space="preserve"> PAGEREF _Toc212124642 \h </w:instrText>
        </w:r>
        <w:r>
          <w:rPr>
            <w:noProof/>
            <w:webHidden/>
          </w:rPr>
        </w:r>
        <w:r>
          <w:rPr>
            <w:noProof/>
            <w:webHidden/>
          </w:rPr>
          <w:fldChar w:fldCharType="separate"/>
        </w:r>
        <w:r w:rsidR="00532EDC">
          <w:rPr>
            <w:noProof/>
            <w:webHidden/>
          </w:rPr>
          <w:t>40</w:t>
        </w:r>
        <w:r>
          <w:rPr>
            <w:noProof/>
            <w:webHidden/>
          </w:rPr>
          <w:fldChar w:fldCharType="end"/>
        </w:r>
      </w:hyperlink>
    </w:p>
    <w:p w14:paraId="013EC2D2" w14:textId="5A2A8671"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43" w:history="1">
        <w:r w:rsidRPr="000B7FBB">
          <w:rPr>
            <w:rStyle w:val="Hypertextovprepojenie"/>
            <w:noProof/>
          </w:rPr>
          <w:t>Tabuľka 22 - Stav covid záruk poskytnutých na základe zákona č. 67/2020 Z. z.</w:t>
        </w:r>
        <w:r>
          <w:rPr>
            <w:noProof/>
            <w:webHidden/>
          </w:rPr>
          <w:tab/>
        </w:r>
        <w:r>
          <w:rPr>
            <w:noProof/>
            <w:webHidden/>
          </w:rPr>
          <w:fldChar w:fldCharType="begin"/>
        </w:r>
        <w:r>
          <w:rPr>
            <w:noProof/>
            <w:webHidden/>
          </w:rPr>
          <w:instrText xml:space="preserve"> PAGEREF _Toc212124643 \h </w:instrText>
        </w:r>
        <w:r>
          <w:rPr>
            <w:noProof/>
            <w:webHidden/>
          </w:rPr>
        </w:r>
        <w:r>
          <w:rPr>
            <w:noProof/>
            <w:webHidden/>
          </w:rPr>
          <w:fldChar w:fldCharType="separate"/>
        </w:r>
        <w:r w:rsidR="00532EDC">
          <w:rPr>
            <w:noProof/>
            <w:webHidden/>
          </w:rPr>
          <w:t>43</w:t>
        </w:r>
        <w:r>
          <w:rPr>
            <w:noProof/>
            <w:webHidden/>
          </w:rPr>
          <w:fldChar w:fldCharType="end"/>
        </w:r>
      </w:hyperlink>
    </w:p>
    <w:p w14:paraId="5FC4A7C9" w14:textId="108F286F"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44" w:history="1">
        <w:r w:rsidRPr="000B7FBB">
          <w:rPr>
            <w:rStyle w:val="Hypertextovprepojenie"/>
            <w:noProof/>
          </w:rPr>
          <w:t xml:space="preserve">Tabuľka 23 - Podmienené aktíva </w:t>
        </w:r>
        <w:r>
          <w:rPr>
            <w:noProof/>
            <w:webHidden/>
          </w:rPr>
          <w:tab/>
        </w:r>
        <w:r>
          <w:rPr>
            <w:noProof/>
            <w:webHidden/>
          </w:rPr>
          <w:fldChar w:fldCharType="begin"/>
        </w:r>
        <w:r>
          <w:rPr>
            <w:noProof/>
            <w:webHidden/>
          </w:rPr>
          <w:instrText xml:space="preserve"> PAGEREF _Toc212124644 \h </w:instrText>
        </w:r>
        <w:r>
          <w:rPr>
            <w:noProof/>
            <w:webHidden/>
          </w:rPr>
        </w:r>
        <w:r>
          <w:rPr>
            <w:noProof/>
            <w:webHidden/>
          </w:rPr>
          <w:fldChar w:fldCharType="separate"/>
        </w:r>
        <w:r w:rsidR="00532EDC">
          <w:rPr>
            <w:noProof/>
            <w:webHidden/>
          </w:rPr>
          <w:t>44</w:t>
        </w:r>
        <w:r>
          <w:rPr>
            <w:noProof/>
            <w:webHidden/>
          </w:rPr>
          <w:fldChar w:fldCharType="end"/>
        </w:r>
      </w:hyperlink>
    </w:p>
    <w:p w14:paraId="1665BE63" w14:textId="2DFA770A" w:rsidR="00C978BD" w:rsidRDefault="00C978BD">
      <w:pPr>
        <w:pStyle w:val="Zoznamobrzkov"/>
        <w:tabs>
          <w:tab w:val="right" w:leader="dot" w:pos="9485"/>
        </w:tabs>
        <w:rPr>
          <w:rFonts w:asciiTheme="minorHAnsi" w:eastAsiaTheme="minorEastAsia" w:hAnsiTheme="minorHAnsi" w:cstheme="minorBidi"/>
          <w:noProof/>
          <w:kern w:val="2"/>
          <w:sz w:val="24"/>
          <w:szCs w:val="24"/>
          <w:lang w:eastAsia="sk-SK"/>
          <w14:ligatures w14:val="standardContextual"/>
        </w:rPr>
      </w:pPr>
      <w:hyperlink w:anchor="_Toc212124645" w:history="1">
        <w:r w:rsidRPr="000B7FBB">
          <w:rPr>
            <w:rStyle w:val="Hypertextovprepojenie"/>
            <w:noProof/>
          </w:rPr>
          <w:t xml:space="preserve">Tabuľka 24 - Vybrané podmienené aktíva – nekonsolidované </w:t>
        </w:r>
        <w:r>
          <w:rPr>
            <w:noProof/>
            <w:webHidden/>
          </w:rPr>
          <w:tab/>
        </w:r>
        <w:r>
          <w:rPr>
            <w:noProof/>
            <w:webHidden/>
          </w:rPr>
          <w:fldChar w:fldCharType="begin"/>
        </w:r>
        <w:r>
          <w:rPr>
            <w:noProof/>
            <w:webHidden/>
          </w:rPr>
          <w:instrText xml:space="preserve"> PAGEREF _Toc212124645 \h </w:instrText>
        </w:r>
        <w:r>
          <w:rPr>
            <w:noProof/>
            <w:webHidden/>
          </w:rPr>
        </w:r>
        <w:r>
          <w:rPr>
            <w:noProof/>
            <w:webHidden/>
          </w:rPr>
          <w:fldChar w:fldCharType="separate"/>
        </w:r>
        <w:r w:rsidR="00532EDC">
          <w:rPr>
            <w:noProof/>
            <w:webHidden/>
          </w:rPr>
          <w:t>45</w:t>
        </w:r>
        <w:r>
          <w:rPr>
            <w:noProof/>
            <w:webHidden/>
          </w:rPr>
          <w:fldChar w:fldCharType="end"/>
        </w:r>
      </w:hyperlink>
    </w:p>
    <w:p w14:paraId="203B345B" w14:textId="58459E46" w:rsidR="00CA753E" w:rsidRDefault="00816FE2">
      <w:pPr>
        <w:rPr>
          <w:highlight w:val="yellow"/>
          <w:lang w:eastAsia="cs-CZ"/>
        </w:rPr>
      </w:pPr>
      <w:r>
        <w:rPr>
          <w:highlight w:val="yellow"/>
          <w:lang w:eastAsia="cs-CZ"/>
        </w:rPr>
        <w:fldChar w:fldCharType="end"/>
      </w:r>
      <w:r w:rsidR="00CA753E">
        <w:rPr>
          <w:highlight w:val="yellow"/>
          <w:lang w:eastAsia="cs-CZ"/>
        </w:rPr>
        <w:br w:type="page"/>
      </w:r>
    </w:p>
    <w:p w14:paraId="0590931B" w14:textId="59B6678E" w:rsidR="0086315B" w:rsidRPr="00627D28" w:rsidRDefault="0086315B" w:rsidP="006C6327">
      <w:pPr>
        <w:pStyle w:val="Nadpis1"/>
        <w:numPr>
          <w:ilvl w:val="0"/>
          <w:numId w:val="0"/>
        </w:numPr>
        <w:spacing w:after="120" w:line="336" w:lineRule="auto"/>
      </w:pPr>
      <w:bookmarkStart w:id="4" w:name="_Toc465255005"/>
      <w:bookmarkStart w:id="5" w:name="_Toc495990478"/>
      <w:bookmarkStart w:id="6" w:name="_Toc212461591"/>
      <w:r w:rsidRPr="00627D28">
        <w:lastRenderedPageBreak/>
        <w:t>Zhrn</w:t>
      </w:r>
      <w:r w:rsidR="006C6327" w:rsidRPr="00627D28">
        <w:t>u</w:t>
      </w:r>
      <w:r w:rsidRPr="00627D28">
        <w:t>tie</w:t>
      </w:r>
      <w:bookmarkEnd w:id="4"/>
      <w:bookmarkEnd w:id="5"/>
      <w:bookmarkEnd w:id="6"/>
    </w:p>
    <w:p w14:paraId="7497AFB2" w14:textId="38A08EE7" w:rsidR="00A13F85" w:rsidRPr="00627D28" w:rsidRDefault="00A13F85" w:rsidP="00901E59">
      <w:pPr>
        <w:pStyle w:val="Odsekzoznamu"/>
        <w:numPr>
          <w:ilvl w:val="0"/>
          <w:numId w:val="9"/>
        </w:numPr>
        <w:spacing w:after="120"/>
        <w:ind w:left="425" w:hanging="425"/>
        <w:jc w:val="both"/>
        <w:rPr>
          <w:lang w:eastAsia="cs-CZ"/>
        </w:rPr>
      </w:pPr>
      <w:bookmarkStart w:id="7" w:name="_Toc496786973"/>
      <w:bookmarkStart w:id="8" w:name="_Toc465255007"/>
      <w:bookmarkStart w:id="9" w:name="_Toc495990480"/>
      <w:r w:rsidRPr="00627D28">
        <w:rPr>
          <w:b/>
          <w:color w:val="4F81BD" w:themeColor="accent1"/>
        </w:rPr>
        <w:t>Schodok verejnej správy</w:t>
      </w:r>
      <w:r w:rsidRPr="00627D28">
        <w:rPr>
          <w:color w:val="4F81BD" w:themeColor="accent1"/>
        </w:rPr>
        <w:t xml:space="preserve"> </w:t>
      </w:r>
      <w:r w:rsidRPr="00627D28">
        <w:t>Slovenskej republiky vyk</w:t>
      </w:r>
      <w:r w:rsidR="00D418E2" w:rsidRPr="00627D28">
        <w:t>ázaný v jednotnej metodike (ESA </w:t>
      </w:r>
      <w:r w:rsidRPr="00627D28">
        <w:t>2010) pre</w:t>
      </w:r>
      <w:r w:rsidR="00144672" w:rsidRPr="00627D28">
        <w:t> </w:t>
      </w:r>
      <w:r w:rsidRPr="00627D28">
        <w:t xml:space="preserve">členské krajiny EÚ </w:t>
      </w:r>
      <w:r w:rsidRPr="00627D28">
        <w:rPr>
          <w:b/>
        </w:rPr>
        <w:t>dosiahol v roku 202</w:t>
      </w:r>
      <w:r w:rsidR="00A5689A" w:rsidRPr="00627D28">
        <w:rPr>
          <w:b/>
        </w:rPr>
        <w:t>4</w:t>
      </w:r>
      <w:r w:rsidRPr="00627D28">
        <w:rPr>
          <w:b/>
        </w:rPr>
        <w:t xml:space="preserve"> úroveň </w:t>
      </w:r>
      <w:r w:rsidR="00E74A91" w:rsidRPr="00627D28">
        <w:rPr>
          <w:b/>
        </w:rPr>
        <w:t>5</w:t>
      </w:r>
      <w:r w:rsidRPr="00627D28">
        <w:rPr>
          <w:b/>
        </w:rPr>
        <w:t>,</w:t>
      </w:r>
      <w:r w:rsidR="00A5689A" w:rsidRPr="00627D28">
        <w:rPr>
          <w:b/>
        </w:rPr>
        <w:t>5</w:t>
      </w:r>
      <w:r w:rsidRPr="00627D28">
        <w:rPr>
          <w:b/>
        </w:rPr>
        <w:t> % HDP</w:t>
      </w:r>
      <w:r w:rsidRPr="00627D28">
        <w:t xml:space="preserve"> </w:t>
      </w:r>
      <w:r w:rsidRPr="00627D28">
        <w:rPr>
          <w:b/>
        </w:rPr>
        <w:t>(-</w:t>
      </w:r>
      <w:r w:rsidR="00A5689A" w:rsidRPr="00627D28">
        <w:rPr>
          <w:b/>
        </w:rPr>
        <w:t>7</w:t>
      </w:r>
      <w:r w:rsidR="00E74A91" w:rsidRPr="00627D28">
        <w:rPr>
          <w:b/>
        </w:rPr>
        <w:t> </w:t>
      </w:r>
      <w:r w:rsidR="00A5689A" w:rsidRPr="00627D28">
        <w:rPr>
          <w:b/>
        </w:rPr>
        <w:t>157</w:t>
      </w:r>
      <w:r w:rsidR="00E74A91" w:rsidRPr="00627D28">
        <w:rPr>
          <w:b/>
        </w:rPr>
        <w:t> </w:t>
      </w:r>
      <w:r w:rsidR="00A5689A" w:rsidRPr="00627D28">
        <w:rPr>
          <w:b/>
        </w:rPr>
        <w:t>068</w:t>
      </w:r>
      <w:r w:rsidRPr="00627D28">
        <w:rPr>
          <w:b/>
        </w:rPr>
        <w:t> tis. eur</w:t>
      </w:r>
      <w:r w:rsidR="00144672" w:rsidRPr="00627D28">
        <w:t>). Oproti </w:t>
      </w:r>
      <w:r w:rsidRPr="00627D28">
        <w:t>predbežným výsledkom z jarnej notifikácie prezentovaným v Štátnom záverečnom účte</w:t>
      </w:r>
      <w:r w:rsidR="00F31A71" w:rsidRPr="00627D28">
        <w:t xml:space="preserve"> za rok 2024</w:t>
      </w:r>
      <w:r w:rsidRPr="00627D28">
        <w:t xml:space="preserve">, sa schodok </w:t>
      </w:r>
      <w:r w:rsidR="00AA10E9" w:rsidRPr="00627D28">
        <w:t>zvýšil</w:t>
      </w:r>
      <w:r w:rsidRPr="00627D28">
        <w:t xml:space="preserve"> o 0,</w:t>
      </w:r>
      <w:r w:rsidR="008F77D6" w:rsidRPr="00627D28">
        <w:t>2</w:t>
      </w:r>
      <w:r w:rsidRPr="00627D28">
        <w:t> p. b. resp. o</w:t>
      </w:r>
      <w:r w:rsidR="00AA10E9" w:rsidRPr="00627D28">
        <w:t> </w:t>
      </w:r>
      <w:r w:rsidR="00E95DD1" w:rsidRPr="00627D28">
        <w:t>250</w:t>
      </w:r>
      <w:r w:rsidR="00AA10E9" w:rsidRPr="00627D28">
        <w:t> </w:t>
      </w:r>
      <w:r w:rsidR="00E95DD1" w:rsidRPr="00627D28">
        <w:t>330</w:t>
      </w:r>
      <w:r w:rsidR="00AA10E9" w:rsidRPr="00627D28">
        <w:t> </w:t>
      </w:r>
      <w:r w:rsidRPr="00627D28">
        <w:t>tis. eur.</w:t>
      </w:r>
      <w:r w:rsidR="001A6FA7" w:rsidRPr="00627D28">
        <w:t xml:space="preserve"> Medziročná zmena </w:t>
      </w:r>
      <w:r w:rsidR="00750A8C" w:rsidRPr="00627D28">
        <w:t xml:space="preserve">deficitu </w:t>
      </w:r>
      <w:r w:rsidRPr="00627D28">
        <w:t>dosiahla</w:t>
      </w:r>
      <w:r w:rsidR="00B42B5E">
        <w:t xml:space="preserve"> zvýšenie </w:t>
      </w:r>
      <w:r w:rsidR="0052669F">
        <w:t xml:space="preserve">takisto </w:t>
      </w:r>
      <w:r w:rsidR="00B42B5E">
        <w:t xml:space="preserve">o </w:t>
      </w:r>
      <w:r w:rsidR="00252BD9" w:rsidRPr="00627D28">
        <w:t>0</w:t>
      </w:r>
      <w:r w:rsidRPr="00627D28">
        <w:rPr>
          <w:lang w:eastAsia="cs-CZ"/>
        </w:rPr>
        <w:t>,</w:t>
      </w:r>
      <w:r w:rsidR="00252BD9" w:rsidRPr="00627D28">
        <w:rPr>
          <w:lang w:eastAsia="cs-CZ"/>
        </w:rPr>
        <w:t>2</w:t>
      </w:r>
      <w:r w:rsidRPr="00627D28">
        <w:rPr>
          <w:lang w:eastAsia="cs-CZ"/>
        </w:rPr>
        <w:t> p. b.</w:t>
      </w:r>
    </w:p>
    <w:p w14:paraId="7A3C408A" w14:textId="340BE109" w:rsidR="00A13F85" w:rsidRPr="0070144F" w:rsidRDefault="00A13F85" w:rsidP="00601292">
      <w:pPr>
        <w:tabs>
          <w:tab w:val="left" w:pos="993"/>
        </w:tabs>
        <w:spacing w:after="120" w:line="240" w:lineRule="auto"/>
        <w:ind w:left="425"/>
        <w:jc w:val="both"/>
      </w:pPr>
      <w:r w:rsidRPr="0070144F">
        <w:rPr>
          <w:lang w:eastAsia="cs-CZ"/>
        </w:rPr>
        <w:t>Celkové pr</w:t>
      </w:r>
      <w:r w:rsidR="00C840B2" w:rsidRPr="0070144F">
        <w:rPr>
          <w:lang w:eastAsia="cs-CZ"/>
        </w:rPr>
        <w:t>íjmy verejnej správy za rok 202</w:t>
      </w:r>
      <w:r w:rsidR="00D96BA2">
        <w:rPr>
          <w:lang w:eastAsia="cs-CZ"/>
        </w:rPr>
        <w:t>4</w:t>
      </w:r>
      <w:r w:rsidRPr="0070144F">
        <w:rPr>
          <w:lang w:eastAsia="cs-CZ"/>
        </w:rPr>
        <w:t xml:space="preserve"> dosiahli </w:t>
      </w:r>
      <w:r w:rsidR="00F15071" w:rsidRPr="0070144F">
        <w:rPr>
          <w:lang w:eastAsia="cs-CZ"/>
        </w:rPr>
        <w:t>5</w:t>
      </w:r>
      <w:r w:rsidR="0070144F" w:rsidRPr="0070144F">
        <w:rPr>
          <w:lang w:eastAsia="cs-CZ"/>
        </w:rPr>
        <w:t>4</w:t>
      </w:r>
      <w:r w:rsidR="00F15071" w:rsidRPr="0070144F">
        <w:rPr>
          <w:lang w:eastAsia="cs-CZ"/>
        </w:rPr>
        <w:t> </w:t>
      </w:r>
      <w:r w:rsidR="0070144F" w:rsidRPr="0070144F">
        <w:rPr>
          <w:lang w:eastAsia="cs-CZ"/>
        </w:rPr>
        <w:t>649</w:t>
      </w:r>
      <w:r w:rsidR="00511977" w:rsidRPr="0070144F">
        <w:rPr>
          <w:lang w:eastAsia="cs-CZ"/>
        </w:rPr>
        <w:t> </w:t>
      </w:r>
      <w:r w:rsidR="0070144F" w:rsidRPr="0070144F">
        <w:rPr>
          <w:lang w:eastAsia="cs-CZ"/>
        </w:rPr>
        <w:t>290</w:t>
      </w:r>
      <w:r w:rsidR="00F15071" w:rsidRPr="0070144F">
        <w:rPr>
          <w:lang w:eastAsia="cs-CZ"/>
        </w:rPr>
        <w:t> </w:t>
      </w:r>
      <w:r w:rsidRPr="0070144F">
        <w:rPr>
          <w:lang w:eastAsia="cs-CZ"/>
        </w:rPr>
        <w:t>tis. eur (4</w:t>
      </w:r>
      <w:r w:rsidR="0070144F" w:rsidRPr="0070144F">
        <w:rPr>
          <w:lang w:eastAsia="cs-CZ"/>
        </w:rPr>
        <w:t>2</w:t>
      </w:r>
      <w:r w:rsidRPr="0070144F">
        <w:rPr>
          <w:lang w:eastAsia="cs-CZ"/>
        </w:rPr>
        <w:t>,</w:t>
      </w:r>
      <w:r w:rsidR="0070144F" w:rsidRPr="0070144F">
        <w:rPr>
          <w:lang w:eastAsia="cs-CZ"/>
        </w:rPr>
        <w:t>0</w:t>
      </w:r>
      <w:r w:rsidRPr="0070144F">
        <w:rPr>
          <w:lang w:eastAsia="cs-CZ"/>
        </w:rPr>
        <w:t> % HDP) a celkové</w:t>
      </w:r>
      <w:r w:rsidRPr="0070144F">
        <w:t xml:space="preserve"> výdavky verejnej správy dosiahli </w:t>
      </w:r>
      <w:r w:rsidR="0070144F" w:rsidRPr="0070144F">
        <w:t>61</w:t>
      </w:r>
      <w:r w:rsidR="00F15071" w:rsidRPr="0070144F">
        <w:t> </w:t>
      </w:r>
      <w:r w:rsidR="0070144F" w:rsidRPr="0070144F">
        <w:t>806</w:t>
      </w:r>
      <w:r w:rsidR="00F15071" w:rsidRPr="0070144F">
        <w:t> </w:t>
      </w:r>
      <w:r w:rsidR="0070144F" w:rsidRPr="0070144F">
        <w:t>358</w:t>
      </w:r>
      <w:r w:rsidRPr="0070144F">
        <w:t> tis. eur (</w:t>
      </w:r>
      <w:r w:rsidR="00511977" w:rsidRPr="0070144F">
        <w:t>4</w:t>
      </w:r>
      <w:r w:rsidR="0070144F" w:rsidRPr="0070144F">
        <w:t>7</w:t>
      </w:r>
      <w:r w:rsidR="00511977" w:rsidRPr="0070144F">
        <w:t>,5</w:t>
      </w:r>
      <w:r w:rsidRPr="0070144F">
        <w:t xml:space="preserve">% HDP) pri vyčíslenom HDP </w:t>
      </w:r>
      <w:r w:rsidR="00F15071" w:rsidRPr="0070144F">
        <w:t>1</w:t>
      </w:r>
      <w:r w:rsidR="0070144F" w:rsidRPr="0070144F">
        <w:t>30</w:t>
      </w:r>
      <w:r w:rsidR="00F15071" w:rsidRPr="0070144F">
        <w:t> </w:t>
      </w:r>
      <w:r w:rsidR="0070144F" w:rsidRPr="0070144F">
        <w:t>207</w:t>
      </w:r>
      <w:r w:rsidR="00F15071" w:rsidRPr="0070144F">
        <w:t> </w:t>
      </w:r>
      <w:r w:rsidR="0070144F" w:rsidRPr="0070144F">
        <w:t>520</w:t>
      </w:r>
      <w:r w:rsidRPr="0070144F">
        <w:t> tis. eur.</w:t>
      </w:r>
      <w:r w:rsidR="00F31A71">
        <w:t xml:space="preserve"> V medziročnom porovnaní celkové príjmy vzrástli o 1 595 645 tis. eur a celkové výdavky o 2 210 607 tis. eur.</w:t>
      </w:r>
    </w:p>
    <w:p w14:paraId="27655145" w14:textId="625E9AA4" w:rsidR="00A13F85" w:rsidRPr="00627D28" w:rsidRDefault="00A13F85" w:rsidP="00EC0753">
      <w:pPr>
        <w:pStyle w:val="Odsekzoznamu"/>
        <w:numPr>
          <w:ilvl w:val="0"/>
          <w:numId w:val="6"/>
        </w:numPr>
        <w:ind w:left="357" w:hanging="357"/>
        <w:jc w:val="both"/>
        <w:rPr>
          <w:rFonts w:eastAsiaTheme="minorHAnsi"/>
        </w:rPr>
      </w:pPr>
      <w:r w:rsidRPr="008446DE">
        <w:rPr>
          <w:rFonts w:eastAsiaTheme="minorHAnsi"/>
          <w:b/>
          <w:color w:val="4F81BD" w:themeColor="accent1"/>
        </w:rPr>
        <w:t>Hrubý dlh verejnej správy</w:t>
      </w:r>
      <w:r w:rsidRPr="008446DE">
        <w:rPr>
          <w:rFonts w:eastAsiaTheme="minorHAnsi"/>
          <w:color w:val="4F81BD" w:themeColor="accent1"/>
        </w:rPr>
        <w:t xml:space="preserve"> </w:t>
      </w:r>
      <w:r w:rsidRPr="008446DE">
        <w:rPr>
          <w:rFonts w:eastAsiaTheme="minorHAnsi"/>
        </w:rPr>
        <w:t xml:space="preserve">podľa metodiky </w:t>
      </w:r>
      <w:r w:rsidR="00D418E2" w:rsidRPr="008446DE">
        <w:rPr>
          <w:rFonts w:eastAsiaTheme="minorHAnsi"/>
        </w:rPr>
        <w:t>ESA 2010 k </w:t>
      </w:r>
      <w:r w:rsidR="00E502BB" w:rsidRPr="008446DE">
        <w:rPr>
          <w:rFonts w:eastAsiaTheme="minorHAnsi"/>
        </w:rPr>
        <w:t>31.12.202</w:t>
      </w:r>
      <w:r w:rsidR="008446DE" w:rsidRPr="008446DE">
        <w:rPr>
          <w:rFonts w:eastAsiaTheme="minorHAnsi"/>
        </w:rPr>
        <w:t>4</w:t>
      </w:r>
      <w:r w:rsidRPr="008446DE">
        <w:rPr>
          <w:rFonts w:eastAsiaTheme="minorHAnsi"/>
        </w:rPr>
        <w:t xml:space="preserve"> dosiahol </w:t>
      </w:r>
      <w:r w:rsidR="008446DE" w:rsidRPr="008446DE">
        <w:rPr>
          <w:rFonts w:eastAsiaTheme="minorHAnsi"/>
          <w:b/>
        </w:rPr>
        <w:t>77</w:t>
      </w:r>
      <w:r w:rsidR="00DF5367" w:rsidRPr="008446DE">
        <w:rPr>
          <w:rFonts w:eastAsiaTheme="minorHAnsi"/>
          <w:b/>
        </w:rPr>
        <w:t> </w:t>
      </w:r>
      <w:r w:rsidR="008446DE" w:rsidRPr="008446DE">
        <w:rPr>
          <w:rFonts w:eastAsiaTheme="minorHAnsi"/>
          <w:b/>
        </w:rPr>
        <w:t>734</w:t>
      </w:r>
      <w:r w:rsidR="00DF5367" w:rsidRPr="008446DE">
        <w:rPr>
          <w:rFonts w:eastAsiaTheme="minorHAnsi"/>
          <w:b/>
        </w:rPr>
        <w:t> </w:t>
      </w:r>
      <w:r w:rsidR="008446DE" w:rsidRPr="008446DE">
        <w:rPr>
          <w:rFonts w:eastAsiaTheme="minorHAnsi"/>
          <w:b/>
        </w:rPr>
        <w:t>635</w:t>
      </w:r>
      <w:r w:rsidR="002C547E" w:rsidRPr="008446DE">
        <w:rPr>
          <w:rFonts w:eastAsiaTheme="minorHAnsi"/>
          <w:b/>
        </w:rPr>
        <w:t> tis. eur (5</w:t>
      </w:r>
      <w:r w:rsidR="008446DE" w:rsidRPr="008446DE">
        <w:rPr>
          <w:rFonts w:eastAsiaTheme="minorHAnsi"/>
          <w:b/>
        </w:rPr>
        <w:t>9,7</w:t>
      </w:r>
      <w:r w:rsidRPr="008446DE">
        <w:rPr>
          <w:rFonts w:eastAsiaTheme="minorHAnsi"/>
          <w:b/>
        </w:rPr>
        <w:t xml:space="preserve"> % HDP). </w:t>
      </w:r>
      <w:r w:rsidRPr="008446DE">
        <w:rPr>
          <w:rFonts w:eastAsiaTheme="minorHAnsi"/>
        </w:rPr>
        <w:t>Oproti</w:t>
      </w:r>
      <w:r w:rsidRPr="008446DE">
        <w:rPr>
          <w:rFonts w:eastAsiaTheme="minorHAnsi" w:cs="Times New Roman"/>
          <w:iCs/>
        </w:rPr>
        <w:t xml:space="preserve"> jarnej notifikácii došlo k jeho revízi</w:t>
      </w:r>
      <w:r w:rsidR="002175EF" w:rsidRPr="008446DE">
        <w:rPr>
          <w:rFonts w:eastAsiaTheme="minorHAnsi" w:cs="Times New Roman"/>
          <w:iCs/>
        </w:rPr>
        <w:t>i</w:t>
      </w:r>
      <w:r w:rsidRPr="008446DE">
        <w:rPr>
          <w:rFonts w:eastAsiaTheme="minorHAnsi" w:cs="Times New Roman"/>
          <w:iCs/>
        </w:rPr>
        <w:t xml:space="preserve"> smerom </w:t>
      </w:r>
      <w:r w:rsidR="002C547E" w:rsidRPr="008446DE">
        <w:rPr>
          <w:rFonts w:eastAsiaTheme="minorHAnsi" w:cs="Times New Roman"/>
          <w:iCs/>
        </w:rPr>
        <w:t>nahor</w:t>
      </w:r>
      <w:r w:rsidRPr="008446DE">
        <w:rPr>
          <w:rFonts w:eastAsiaTheme="minorHAnsi" w:cs="Times New Roman"/>
          <w:iCs/>
        </w:rPr>
        <w:t xml:space="preserve"> o</w:t>
      </w:r>
      <w:r w:rsidR="008446DE" w:rsidRPr="008446DE">
        <w:rPr>
          <w:rFonts w:eastAsiaTheme="minorHAnsi" w:cs="Times New Roman"/>
          <w:iCs/>
        </w:rPr>
        <w:t> 86 326</w:t>
      </w:r>
      <w:r w:rsidR="002C547E" w:rsidRPr="008446DE">
        <w:rPr>
          <w:rFonts w:eastAsiaTheme="minorHAnsi" w:cs="Times New Roman"/>
          <w:iCs/>
        </w:rPr>
        <w:t> </w:t>
      </w:r>
      <w:r w:rsidR="00144672" w:rsidRPr="008446DE">
        <w:rPr>
          <w:rFonts w:eastAsiaTheme="minorHAnsi" w:cs="Times New Roman"/>
          <w:iCs/>
        </w:rPr>
        <w:t xml:space="preserve">tis. eur, </w:t>
      </w:r>
      <w:r w:rsidR="00144672" w:rsidRPr="00627D28">
        <w:rPr>
          <w:rFonts w:eastAsiaTheme="minorHAnsi" w:cs="Times New Roman"/>
          <w:iCs/>
        </w:rPr>
        <w:t>pričom </w:t>
      </w:r>
      <w:r w:rsidRPr="00627D28">
        <w:rPr>
          <w:rFonts w:eastAsiaTheme="minorHAnsi" w:cs="Times New Roman"/>
          <w:iCs/>
        </w:rPr>
        <w:t xml:space="preserve">v percentuálnom vyjadrení voči </w:t>
      </w:r>
      <w:r w:rsidR="00B40F4C" w:rsidRPr="00627D28">
        <w:rPr>
          <w:rFonts w:eastAsiaTheme="minorHAnsi" w:cs="Times New Roman"/>
          <w:iCs/>
        </w:rPr>
        <w:t xml:space="preserve">aktualizovanej hodnote </w:t>
      </w:r>
      <w:r w:rsidRPr="00627D28">
        <w:rPr>
          <w:rFonts w:eastAsiaTheme="minorHAnsi" w:cs="Times New Roman"/>
          <w:iCs/>
        </w:rPr>
        <w:t xml:space="preserve">HDP dlh </w:t>
      </w:r>
      <w:r w:rsidR="008446DE" w:rsidRPr="00627D28">
        <w:rPr>
          <w:rFonts w:eastAsiaTheme="minorHAnsi" w:cs="Times New Roman"/>
          <w:iCs/>
        </w:rPr>
        <w:t>vzrástol</w:t>
      </w:r>
      <w:r w:rsidR="002C547E" w:rsidRPr="00627D28">
        <w:rPr>
          <w:rFonts w:eastAsiaTheme="minorHAnsi" w:cs="Times New Roman"/>
          <w:iCs/>
        </w:rPr>
        <w:t xml:space="preserve"> o</w:t>
      </w:r>
      <w:r w:rsidR="008446DE" w:rsidRPr="00627D28">
        <w:rPr>
          <w:rFonts w:eastAsiaTheme="minorHAnsi" w:cs="Times New Roman"/>
          <w:iCs/>
        </w:rPr>
        <w:t xml:space="preserve"> necelých </w:t>
      </w:r>
      <w:r w:rsidR="002C547E" w:rsidRPr="00627D28">
        <w:rPr>
          <w:rFonts w:eastAsiaTheme="minorHAnsi" w:cs="Times New Roman"/>
          <w:iCs/>
        </w:rPr>
        <w:t>0,1 p.</w:t>
      </w:r>
      <w:r w:rsidR="00410F95">
        <w:rPr>
          <w:rFonts w:eastAsiaTheme="minorHAnsi" w:cs="Times New Roman"/>
          <w:iCs/>
        </w:rPr>
        <w:t> </w:t>
      </w:r>
      <w:r w:rsidR="002C547E" w:rsidRPr="00627D28">
        <w:rPr>
          <w:rFonts w:eastAsiaTheme="minorHAnsi" w:cs="Times New Roman"/>
          <w:iCs/>
        </w:rPr>
        <w:t>b</w:t>
      </w:r>
      <w:r w:rsidRPr="00627D28">
        <w:rPr>
          <w:rFonts w:eastAsiaTheme="minorHAnsi" w:cs="Times New Roman"/>
          <w:iCs/>
        </w:rPr>
        <w:t xml:space="preserve">. Medziročne sa dlh </w:t>
      </w:r>
      <w:r w:rsidR="008446DE" w:rsidRPr="00627D28">
        <w:rPr>
          <w:rFonts w:eastAsiaTheme="minorHAnsi" w:cs="Times New Roman"/>
          <w:iCs/>
        </w:rPr>
        <w:t>zvýšil</w:t>
      </w:r>
      <w:r w:rsidR="00E53DF0" w:rsidRPr="00627D28">
        <w:rPr>
          <w:rFonts w:eastAsiaTheme="minorHAnsi" w:cs="Times New Roman"/>
          <w:iCs/>
        </w:rPr>
        <w:t xml:space="preserve"> o</w:t>
      </w:r>
      <w:r w:rsidR="008446DE" w:rsidRPr="00627D28">
        <w:rPr>
          <w:rFonts w:eastAsiaTheme="minorHAnsi" w:cs="Times New Roman"/>
          <w:iCs/>
        </w:rPr>
        <w:t> 3,9</w:t>
      </w:r>
      <w:r w:rsidRPr="00627D28">
        <w:rPr>
          <w:rFonts w:eastAsiaTheme="minorHAnsi" w:cs="Times New Roman"/>
          <w:iCs/>
        </w:rPr>
        <w:t xml:space="preserve">  p. b., v nominálnom vyjadrení </w:t>
      </w:r>
      <w:r w:rsidR="00144672" w:rsidRPr="00627D28">
        <w:rPr>
          <w:rFonts w:eastAsiaTheme="minorHAnsi" w:cs="Times New Roman"/>
          <w:iCs/>
        </w:rPr>
        <w:t>vzrástol o</w:t>
      </w:r>
      <w:r w:rsidR="008446DE" w:rsidRPr="00627D28">
        <w:rPr>
          <w:rFonts w:eastAsiaTheme="minorHAnsi" w:cs="Times New Roman"/>
          <w:iCs/>
        </w:rPr>
        <w:t> 8 852 389</w:t>
      </w:r>
      <w:r w:rsidR="00144672" w:rsidRPr="00627D28">
        <w:rPr>
          <w:rFonts w:eastAsiaTheme="minorHAnsi" w:cs="Times New Roman"/>
          <w:iCs/>
        </w:rPr>
        <w:t> tis. </w:t>
      </w:r>
      <w:r w:rsidRPr="00627D28">
        <w:rPr>
          <w:rFonts w:eastAsiaTheme="minorHAnsi" w:cs="Times New Roman"/>
          <w:iCs/>
        </w:rPr>
        <w:t>eur.</w:t>
      </w:r>
    </w:p>
    <w:p w14:paraId="74EB9CB4" w14:textId="77777777" w:rsidR="00A13F85" w:rsidRPr="00627D28" w:rsidRDefault="00A13F85" w:rsidP="00A13F85">
      <w:pPr>
        <w:pStyle w:val="Odsekzoznamu"/>
        <w:ind w:left="357"/>
        <w:jc w:val="both"/>
        <w:rPr>
          <w:rFonts w:eastAsiaTheme="minorHAnsi"/>
        </w:rPr>
      </w:pPr>
    </w:p>
    <w:p w14:paraId="44B7EEFB" w14:textId="65447C3A" w:rsidR="00A13F85" w:rsidRPr="00211C01" w:rsidRDefault="003C1501" w:rsidP="00EC0753">
      <w:pPr>
        <w:pStyle w:val="Odsekzoznamu"/>
        <w:numPr>
          <w:ilvl w:val="0"/>
          <w:numId w:val="6"/>
        </w:numPr>
        <w:ind w:left="357" w:hanging="357"/>
        <w:jc w:val="both"/>
        <w:rPr>
          <w:rFonts w:eastAsiaTheme="minorHAnsi"/>
        </w:rPr>
      </w:pPr>
      <w:r w:rsidRPr="00211C01">
        <w:rPr>
          <w:b/>
          <w:color w:val="4F81BD" w:themeColor="accent1"/>
        </w:rPr>
        <w:t>Štrukturálne saldo dosiahlo</w:t>
      </w:r>
      <w:r w:rsidRPr="00211C01">
        <w:rPr>
          <w:color w:val="4F81BD" w:themeColor="accent1"/>
        </w:rPr>
        <w:t xml:space="preserve"> </w:t>
      </w:r>
      <w:r w:rsidR="00E502BB" w:rsidRPr="00211C01">
        <w:t>v roku 202</w:t>
      </w:r>
      <w:r w:rsidR="00A0288E" w:rsidRPr="00211C01">
        <w:t>4</w:t>
      </w:r>
      <w:r w:rsidRPr="00211C01">
        <w:t xml:space="preserve"> hodnotu </w:t>
      </w:r>
      <w:r w:rsidR="00C26B73" w:rsidRPr="00211C01">
        <w:t>-</w:t>
      </w:r>
      <w:r w:rsidR="00A0288E" w:rsidRPr="00211C01">
        <w:t>4</w:t>
      </w:r>
      <w:r w:rsidR="00C26B73" w:rsidRPr="00211C01">
        <w:t>,</w:t>
      </w:r>
      <w:r w:rsidR="00A0288E" w:rsidRPr="00211C01">
        <w:t>8</w:t>
      </w:r>
      <w:r w:rsidRPr="00211C01">
        <w:t xml:space="preserve"> % HDP a medziročne </w:t>
      </w:r>
      <w:r w:rsidR="002175EF" w:rsidRPr="00211C01">
        <w:t>sa zhoršilo</w:t>
      </w:r>
      <w:r w:rsidRPr="00211C01">
        <w:t xml:space="preserve"> o</w:t>
      </w:r>
      <w:r w:rsidR="00FD51B6" w:rsidRPr="00211C01">
        <w:t> 1,</w:t>
      </w:r>
      <w:r w:rsidR="00A0288E" w:rsidRPr="00211C01">
        <w:t>2</w:t>
      </w:r>
      <w:r w:rsidRPr="00211C01">
        <w:t> p. b.</w:t>
      </w:r>
      <w:r w:rsidR="00E502BB" w:rsidRPr="00211C01">
        <w:t xml:space="preserve"> v pomere k HDP. V roku 202</w:t>
      </w:r>
      <w:r w:rsidR="00A0288E" w:rsidRPr="00211C01">
        <w:t>4</w:t>
      </w:r>
      <w:r w:rsidRPr="00211C01">
        <w:t xml:space="preserve"> boli identifikované </w:t>
      </w:r>
      <w:r w:rsidRPr="00211C01">
        <w:rPr>
          <w:u w:val="single"/>
        </w:rPr>
        <w:t>jednorazové vplyvy</w:t>
      </w:r>
      <w:r w:rsidRPr="00211C01">
        <w:t xml:space="preserve"> o</w:t>
      </w:r>
      <w:r w:rsidR="00121E5E" w:rsidRPr="00211C01">
        <w:t> 1,</w:t>
      </w:r>
      <w:r w:rsidR="00A0288E" w:rsidRPr="00211C01">
        <w:t>0</w:t>
      </w:r>
      <w:r w:rsidRPr="00211C01">
        <w:t xml:space="preserve"> p. b. voči HDP </w:t>
      </w:r>
      <w:r w:rsidR="00A0288E" w:rsidRPr="00211C01">
        <w:t>nižšie</w:t>
      </w:r>
      <w:r w:rsidRPr="00211C01">
        <w:t xml:space="preserve"> ako v roku 202</w:t>
      </w:r>
      <w:r w:rsidR="00A0288E" w:rsidRPr="00211C01">
        <w:t>3</w:t>
      </w:r>
      <w:r w:rsidRPr="00211C01">
        <w:t xml:space="preserve">. </w:t>
      </w:r>
      <w:r w:rsidR="00211C01" w:rsidRPr="00211C01">
        <w:rPr>
          <w:rFonts w:cs="Times New Roman"/>
        </w:rPr>
        <w:t xml:space="preserve">Najväčšia časť bola vyvolaná vysokými cenami energií, v menšej miere to boli výdavky spojené s doznievajúcou pandémiou COVID-19 a s vojnou na Ukrajine. </w:t>
      </w:r>
      <w:r w:rsidR="00211C01" w:rsidRPr="00211C01">
        <w:t xml:space="preserve">V roku 2024  ekonomika oproti predošlému roku sa držala na rovnakej úrovni, mierne nad svoj potenciál. </w:t>
      </w:r>
      <w:r w:rsidR="00211C01" w:rsidRPr="00211C01">
        <w:rPr>
          <w:u w:val="single"/>
        </w:rPr>
        <w:t>Cyklický vývoj tak v roku 2024 mal mierne pozitívny vplyv</w:t>
      </w:r>
      <w:r w:rsidR="00211C01" w:rsidRPr="00211C01">
        <w:t xml:space="preserve"> na štrukturálne saldo verejnej správy vo výške 0,2 %.</w:t>
      </w:r>
    </w:p>
    <w:p w14:paraId="1C38C4F1" w14:textId="77777777" w:rsidR="003C1501" w:rsidRPr="00174C84" w:rsidRDefault="003C1501" w:rsidP="00A13F85">
      <w:pPr>
        <w:pStyle w:val="Odsekzoznamu"/>
        <w:ind w:left="357"/>
        <w:jc w:val="both"/>
        <w:rPr>
          <w:highlight w:val="yellow"/>
        </w:rPr>
      </w:pPr>
    </w:p>
    <w:p w14:paraId="4C9FA02B" w14:textId="534100BC" w:rsidR="00A13F85" w:rsidRPr="007A16C4" w:rsidRDefault="00A13F85" w:rsidP="00EC0753">
      <w:pPr>
        <w:pStyle w:val="Odsekzoznamu"/>
        <w:numPr>
          <w:ilvl w:val="0"/>
          <w:numId w:val="6"/>
        </w:numPr>
        <w:jc w:val="both"/>
        <w:rPr>
          <w:rFonts w:eastAsia="Calibri" w:cs="Times New Roman"/>
        </w:rPr>
      </w:pPr>
      <w:r w:rsidRPr="007A16C4">
        <w:rPr>
          <w:rFonts w:eastAsia="Calibri" w:cs="Times New Roman"/>
          <w:b/>
          <w:color w:val="4F81BD" w:themeColor="accent1"/>
        </w:rPr>
        <w:t xml:space="preserve">Čisté bohatstvo </w:t>
      </w:r>
      <w:r w:rsidRPr="00CA4B84">
        <w:rPr>
          <w:rFonts w:eastAsia="Calibri" w:cs="Times New Roman"/>
          <w:bCs/>
        </w:rPr>
        <w:t>verejného sektora dosiahlo k 31.12.202</w:t>
      </w:r>
      <w:r w:rsidR="007A16C4" w:rsidRPr="00CA4B84">
        <w:rPr>
          <w:rFonts w:eastAsia="Calibri" w:cs="Times New Roman"/>
          <w:bCs/>
        </w:rPr>
        <w:t>4</w:t>
      </w:r>
      <w:r w:rsidRPr="00CA4B84">
        <w:rPr>
          <w:rFonts w:eastAsia="Calibri" w:cs="Times New Roman"/>
          <w:bCs/>
        </w:rPr>
        <w:t xml:space="preserve"> zápornú hodnotu </w:t>
      </w:r>
      <w:r w:rsidR="00EA24EF" w:rsidRPr="00CA4B84">
        <w:rPr>
          <w:rFonts w:eastAsia="Calibri" w:cs="Times New Roman"/>
          <w:bCs/>
        </w:rPr>
        <w:t>1</w:t>
      </w:r>
      <w:r w:rsidR="00987F7B" w:rsidRPr="00CA4B84">
        <w:rPr>
          <w:rFonts w:eastAsia="Calibri" w:cs="Times New Roman"/>
          <w:bCs/>
        </w:rPr>
        <w:t>75,29</w:t>
      </w:r>
      <w:r w:rsidRPr="00CA4B84">
        <w:rPr>
          <w:rFonts w:eastAsia="Calibri" w:cs="Times New Roman"/>
          <w:bCs/>
        </w:rPr>
        <w:t> % HDP</w:t>
      </w:r>
      <w:r w:rsidR="00144672" w:rsidRPr="00CA4B84">
        <w:rPr>
          <w:rFonts w:eastAsia="Calibri" w:cs="Times New Roman"/>
          <w:bCs/>
        </w:rPr>
        <w:t>.</w:t>
      </w:r>
      <w:r w:rsidR="00187EC7" w:rsidRPr="007A16C4">
        <w:rPr>
          <w:rFonts w:eastAsia="Calibri" w:cs="Times New Roman"/>
        </w:rPr>
        <w:br/>
      </w:r>
      <w:r w:rsidR="00EA24EF" w:rsidRPr="007A16C4">
        <w:rPr>
          <w:rFonts w:eastAsia="Calibri" w:cs="Times New Roman"/>
        </w:rPr>
        <w:t xml:space="preserve">Oproti predchádzajúcemu roku sa hodnota čistého bohatstva </w:t>
      </w:r>
      <w:r w:rsidR="007A16C4" w:rsidRPr="007A16C4">
        <w:rPr>
          <w:rFonts w:eastAsia="Calibri" w:cs="Times New Roman"/>
        </w:rPr>
        <w:t xml:space="preserve">v pomere k HDP </w:t>
      </w:r>
      <w:r w:rsidR="00987F7B" w:rsidRPr="007A16C4">
        <w:rPr>
          <w:rFonts w:eastAsia="Calibri" w:cs="Times New Roman"/>
        </w:rPr>
        <w:t xml:space="preserve">mierne </w:t>
      </w:r>
      <w:r w:rsidR="007A16C4" w:rsidRPr="007A16C4">
        <w:rPr>
          <w:rFonts w:eastAsia="Calibri" w:cs="Times New Roman"/>
        </w:rPr>
        <w:t>zlepšila</w:t>
      </w:r>
      <w:r w:rsidR="00EA24EF" w:rsidRPr="007A16C4">
        <w:rPr>
          <w:rFonts w:eastAsia="Calibri" w:cs="Times New Roman"/>
        </w:rPr>
        <w:t xml:space="preserve"> o</w:t>
      </w:r>
      <w:r w:rsidR="00987F7B" w:rsidRPr="007A16C4">
        <w:rPr>
          <w:rFonts w:eastAsia="Calibri" w:cs="Times New Roman"/>
        </w:rPr>
        <w:t> 5,94</w:t>
      </w:r>
      <w:r w:rsidR="00320785">
        <w:rPr>
          <w:rFonts w:eastAsia="Calibri" w:cs="Times New Roman"/>
        </w:rPr>
        <w:t> </w:t>
      </w:r>
      <w:r w:rsidR="00987F7B" w:rsidRPr="007A16C4">
        <w:rPr>
          <w:rFonts w:eastAsia="Calibri" w:cs="Times New Roman"/>
        </w:rPr>
        <w:t>p.</w:t>
      </w:r>
      <w:r w:rsidR="00320785">
        <w:rPr>
          <w:rFonts w:eastAsia="Calibri" w:cs="Times New Roman"/>
        </w:rPr>
        <w:t> </w:t>
      </w:r>
      <w:r w:rsidR="00987F7B" w:rsidRPr="007A16C4">
        <w:rPr>
          <w:rFonts w:eastAsia="Calibri" w:cs="Times New Roman"/>
        </w:rPr>
        <w:t>b.</w:t>
      </w:r>
      <w:r w:rsidR="007A16C4" w:rsidRPr="007A16C4">
        <w:rPr>
          <w:rFonts w:eastAsia="Calibri" w:cs="Times New Roman"/>
        </w:rPr>
        <w:t xml:space="preserve"> Napriek rastúcemu zápornému vlastnému imaniu verejného sektora, pozitívne na medziročnú zmenu vplýval rast HDP, nižšie podmienené záväzky a mierne vyššie podmienené aktíva.</w:t>
      </w:r>
    </w:p>
    <w:p w14:paraId="0BF87463" w14:textId="77777777" w:rsidR="00004FCF" w:rsidRPr="00174C84" w:rsidRDefault="00004FCF" w:rsidP="00004FCF">
      <w:pPr>
        <w:pStyle w:val="Odsekzoznamu"/>
        <w:rPr>
          <w:rFonts w:eastAsia="Calibri" w:cs="Times New Roman"/>
          <w:highlight w:val="yellow"/>
        </w:rPr>
      </w:pPr>
    </w:p>
    <w:p w14:paraId="127006D8" w14:textId="2AA5023E" w:rsidR="00CA4B84" w:rsidRPr="00CA4B84" w:rsidRDefault="00CA4B84" w:rsidP="00CA4B84">
      <w:pPr>
        <w:pStyle w:val="Odsekzoznamu"/>
        <w:numPr>
          <w:ilvl w:val="0"/>
          <w:numId w:val="6"/>
        </w:numPr>
        <w:jc w:val="both"/>
        <w:rPr>
          <w:rFonts w:eastAsia="Calibri" w:cs="Times New Roman"/>
        </w:rPr>
      </w:pPr>
      <w:r w:rsidRPr="00CA4B84">
        <w:rPr>
          <w:rFonts w:eastAsia="Calibri" w:cs="Times New Roman"/>
          <w:b/>
          <w:color w:val="4F81BD" w:themeColor="accent1"/>
        </w:rPr>
        <w:t xml:space="preserve">Hodnota aktív ako aj pasív súhrnného celku verejnej správy k 31. 12. 2024 </w:t>
      </w:r>
      <w:r w:rsidRPr="00CA4B84">
        <w:rPr>
          <w:rFonts w:eastAsia="Calibri" w:cs="Times New Roman"/>
          <w:bCs/>
        </w:rPr>
        <w:t>bola</w:t>
      </w:r>
      <w:r w:rsidRPr="00CA4B84">
        <w:rPr>
          <w:rFonts w:eastAsia="Calibri" w:cs="Times New Roman"/>
          <w:bCs/>
        </w:rPr>
        <w:br/>
        <w:t>94</w:t>
      </w:r>
      <w:r w:rsidR="00410F95">
        <w:rPr>
          <w:rFonts w:eastAsia="Calibri" w:cs="Times New Roman"/>
          <w:bCs/>
        </w:rPr>
        <w:t> </w:t>
      </w:r>
      <w:r w:rsidRPr="00CA4B84">
        <w:rPr>
          <w:rFonts w:eastAsia="Calibri" w:cs="Times New Roman"/>
          <w:bCs/>
        </w:rPr>
        <w:t>706</w:t>
      </w:r>
      <w:r w:rsidR="00410F95">
        <w:rPr>
          <w:rFonts w:eastAsia="Calibri" w:cs="Times New Roman"/>
          <w:bCs/>
        </w:rPr>
        <w:t> </w:t>
      </w:r>
      <w:r w:rsidRPr="00CA4B84">
        <w:rPr>
          <w:rFonts w:eastAsia="Calibri" w:cs="Times New Roman"/>
          <w:bCs/>
        </w:rPr>
        <w:t xml:space="preserve">510 tis. eur (72,7 % HDP) </w:t>
      </w:r>
      <w:r w:rsidRPr="00CA4B84">
        <w:rPr>
          <w:rFonts w:eastAsia="Calibri" w:cs="Times New Roman"/>
        </w:rPr>
        <w:t>a medziročne sa zvýšili o 4</w:t>
      </w:r>
      <w:r w:rsidR="00410F95">
        <w:rPr>
          <w:rFonts w:eastAsia="Calibri" w:cs="Times New Roman"/>
        </w:rPr>
        <w:t> </w:t>
      </w:r>
      <w:r w:rsidRPr="00CA4B84">
        <w:rPr>
          <w:rFonts w:eastAsia="Calibri" w:cs="Times New Roman"/>
        </w:rPr>
        <w:t>875</w:t>
      </w:r>
      <w:r w:rsidR="00410F95">
        <w:rPr>
          <w:rFonts w:eastAsia="Calibri" w:cs="Times New Roman"/>
        </w:rPr>
        <w:t> </w:t>
      </w:r>
      <w:r w:rsidRPr="00CA4B84">
        <w:rPr>
          <w:rFonts w:eastAsia="Calibri" w:cs="Times New Roman"/>
        </w:rPr>
        <w:t>252 tis. eur. Z položiek aktív rástla najmä hodnota hmotného majetku o 2</w:t>
      </w:r>
      <w:r w:rsidR="00410F95">
        <w:rPr>
          <w:rFonts w:eastAsia="Calibri" w:cs="Times New Roman"/>
        </w:rPr>
        <w:t> </w:t>
      </w:r>
      <w:r w:rsidRPr="00CA4B84">
        <w:rPr>
          <w:rFonts w:eastAsia="Calibri" w:cs="Times New Roman"/>
        </w:rPr>
        <w:t>393</w:t>
      </w:r>
      <w:r w:rsidR="00410F95">
        <w:rPr>
          <w:rFonts w:eastAsia="Calibri" w:cs="Times New Roman"/>
        </w:rPr>
        <w:t> </w:t>
      </w:r>
      <w:r w:rsidRPr="00CA4B84">
        <w:rPr>
          <w:rFonts w:eastAsia="Calibri" w:cs="Times New Roman"/>
        </w:rPr>
        <w:t>903 tis. eur, ktorá je ovplyvnená minimálnou mierou vnútornej konsolidácie. Z hmotného majetku vzrástla účtovná hodnota stavieb o 1</w:t>
      </w:r>
      <w:r w:rsidR="00410F95">
        <w:rPr>
          <w:rFonts w:eastAsia="Calibri" w:cs="Times New Roman"/>
        </w:rPr>
        <w:t> </w:t>
      </w:r>
      <w:r w:rsidRPr="00CA4B84">
        <w:rPr>
          <w:rFonts w:eastAsia="Calibri" w:cs="Times New Roman"/>
        </w:rPr>
        <w:t>083</w:t>
      </w:r>
      <w:r w:rsidR="00410F95">
        <w:rPr>
          <w:rFonts w:eastAsia="Calibri" w:cs="Times New Roman"/>
        </w:rPr>
        <w:t> </w:t>
      </w:r>
      <w:r w:rsidRPr="00CA4B84">
        <w:rPr>
          <w:rFonts w:eastAsia="Calibri" w:cs="Times New Roman"/>
        </w:rPr>
        <w:t>452 tis. eur, obstarania majetku o</w:t>
      </w:r>
      <w:r w:rsidR="00410F95">
        <w:rPr>
          <w:rFonts w:eastAsia="Calibri" w:cs="Times New Roman"/>
        </w:rPr>
        <w:t> </w:t>
      </w:r>
      <w:r w:rsidRPr="00CA4B84">
        <w:rPr>
          <w:rFonts w:eastAsia="Calibri" w:cs="Times New Roman"/>
        </w:rPr>
        <w:t>432</w:t>
      </w:r>
      <w:r w:rsidR="00410F95">
        <w:rPr>
          <w:rFonts w:eastAsia="Calibri" w:cs="Times New Roman"/>
        </w:rPr>
        <w:t> </w:t>
      </w:r>
      <w:r w:rsidRPr="00CA4B84">
        <w:rPr>
          <w:rFonts w:eastAsia="Calibri" w:cs="Times New Roman"/>
        </w:rPr>
        <w:t>894 tis. eur, samostatných hnuteľných vecí o</w:t>
      </w:r>
      <w:r w:rsidR="00410F95">
        <w:rPr>
          <w:rFonts w:eastAsia="Calibri" w:cs="Times New Roman"/>
        </w:rPr>
        <w:t> </w:t>
      </w:r>
      <w:r w:rsidRPr="00CA4B84">
        <w:rPr>
          <w:rFonts w:eastAsia="Calibri" w:cs="Times New Roman"/>
        </w:rPr>
        <w:t>429</w:t>
      </w:r>
      <w:r w:rsidR="00410F95">
        <w:rPr>
          <w:rFonts w:eastAsia="Calibri" w:cs="Times New Roman"/>
        </w:rPr>
        <w:t> </w:t>
      </w:r>
      <w:r w:rsidRPr="00CA4B84">
        <w:rPr>
          <w:rFonts w:eastAsia="Calibri" w:cs="Times New Roman"/>
        </w:rPr>
        <w:t>643 tis. eur a poskytnutých preddavkov na hmotný majetok o</w:t>
      </w:r>
      <w:r w:rsidR="00410F95">
        <w:rPr>
          <w:rFonts w:eastAsia="Calibri" w:cs="Times New Roman"/>
        </w:rPr>
        <w:t> </w:t>
      </w:r>
      <w:r w:rsidRPr="00CA4B84">
        <w:rPr>
          <w:rFonts w:eastAsia="Calibri" w:cs="Times New Roman"/>
        </w:rPr>
        <w:t>266</w:t>
      </w:r>
      <w:r w:rsidR="00410F95">
        <w:rPr>
          <w:rFonts w:eastAsia="Calibri" w:cs="Times New Roman"/>
        </w:rPr>
        <w:t> </w:t>
      </w:r>
      <w:r w:rsidRPr="00CA4B84">
        <w:rPr>
          <w:rFonts w:eastAsia="Calibri" w:cs="Times New Roman"/>
        </w:rPr>
        <w:t>542 tis. eur. Dlhodobý finančný majetok vzrástol o</w:t>
      </w:r>
      <w:r w:rsidR="00A81C62">
        <w:rPr>
          <w:rFonts w:eastAsia="Calibri" w:cs="Times New Roman"/>
        </w:rPr>
        <w:t> </w:t>
      </w:r>
      <w:r w:rsidRPr="00CA4B84">
        <w:rPr>
          <w:rFonts w:eastAsia="Calibri" w:cs="Times New Roman"/>
        </w:rPr>
        <w:t>420</w:t>
      </w:r>
      <w:r w:rsidR="00A81C62">
        <w:rPr>
          <w:rFonts w:eastAsia="Calibri" w:cs="Times New Roman"/>
        </w:rPr>
        <w:t> </w:t>
      </w:r>
      <w:r w:rsidRPr="00CA4B84">
        <w:rPr>
          <w:rFonts w:eastAsia="Calibri" w:cs="Times New Roman"/>
        </w:rPr>
        <w:t>797 tis. eur najmä vďaka lepšiemu hospodáreniu štátnych podnikov a ich podielov v obchodných spoločnostiach z oblasti energetiky, čím sa spoločnosti stávali hodnotnejšími. Naopak, pokles zaznamenali účty Štátnej pokladnice o 496</w:t>
      </w:r>
      <w:r w:rsidR="00410F95">
        <w:rPr>
          <w:rFonts w:eastAsia="Calibri" w:cs="Times New Roman"/>
        </w:rPr>
        <w:t> </w:t>
      </w:r>
      <w:r w:rsidRPr="00CA4B84">
        <w:rPr>
          <w:rFonts w:eastAsia="Calibri" w:cs="Times New Roman"/>
        </w:rPr>
        <w:t>721</w:t>
      </w:r>
      <w:r w:rsidR="00410F95">
        <w:rPr>
          <w:rFonts w:eastAsia="Calibri" w:cs="Times New Roman"/>
        </w:rPr>
        <w:t> </w:t>
      </w:r>
      <w:r w:rsidRPr="00CA4B84">
        <w:rPr>
          <w:rFonts w:eastAsia="Calibri" w:cs="Times New Roman"/>
        </w:rPr>
        <w:t>tis.</w:t>
      </w:r>
      <w:r w:rsidR="00410F95">
        <w:rPr>
          <w:rFonts w:eastAsia="Calibri" w:cs="Times New Roman"/>
        </w:rPr>
        <w:t> </w:t>
      </w:r>
      <w:r w:rsidRPr="00CA4B84">
        <w:rPr>
          <w:rFonts w:eastAsia="Calibri" w:cs="Times New Roman"/>
        </w:rPr>
        <w:t>eur (v rámci nich poklesli najmä účty Štátnej pokladnice zriadené v NBS z dôvodu zníženia stavu finančných prostriedkov na bežnom účte v eur). Z pasív sa vlastné imanie znížilo o 3</w:t>
      </w:r>
      <w:r w:rsidR="00410F95">
        <w:rPr>
          <w:rFonts w:eastAsia="Calibri" w:cs="Times New Roman"/>
        </w:rPr>
        <w:t> </w:t>
      </w:r>
      <w:r w:rsidRPr="00CA4B84">
        <w:rPr>
          <w:rFonts w:eastAsia="Calibri" w:cs="Times New Roman"/>
        </w:rPr>
        <w:t>985</w:t>
      </w:r>
      <w:r w:rsidR="00410F95">
        <w:rPr>
          <w:rFonts w:eastAsia="Calibri" w:cs="Times New Roman"/>
        </w:rPr>
        <w:t> </w:t>
      </w:r>
      <w:r w:rsidRPr="00CA4B84">
        <w:rPr>
          <w:rFonts w:eastAsia="Calibri" w:cs="Times New Roman"/>
        </w:rPr>
        <w:t>451 tis. eur najmä vplyvom výsledku hospodárenia, záväzky zo zúčtovania s EÚ sa znížili o 1 518</w:t>
      </w:r>
      <w:r w:rsidR="00410F95">
        <w:rPr>
          <w:rFonts w:eastAsia="Calibri" w:cs="Times New Roman"/>
        </w:rPr>
        <w:t> </w:t>
      </w:r>
      <w:r w:rsidRPr="00CA4B84">
        <w:rPr>
          <w:rFonts w:eastAsia="Calibri" w:cs="Times New Roman"/>
        </w:rPr>
        <w:t>253</w:t>
      </w:r>
      <w:r w:rsidR="00410F95">
        <w:rPr>
          <w:rFonts w:eastAsia="Calibri" w:cs="Times New Roman"/>
        </w:rPr>
        <w:t> </w:t>
      </w:r>
      <w:r w:rsidRPr="00CA4B84">
        <w:rPr>
          <w:rFonts w:eastAsia="Calibri" w:cs="Times New Roman"/>
        </w:rPr>
        <w:t>tis.</w:t>
      </w:r>
      <w:r w:rsidR="00410F95">
        <w:rPr>
          <w:rFonts w:eastAsia="Calibri" w:cs="Times New Roman"/>
        </w:rPr>
        <w:t> </w:t>
      </w:r>
      <w:r w:rsidRPr="00CA4B84">
        <w:rPr>
          <w:rFonts w:eastAsia="Calibri" w:cs="Times New Roman"/>
        </w:rPr>
        <w:t>eur, účtovné rezervy ako záväzky poklesli o</w:t>
      </w:r>
      <w:r w:rsidR="00410F95">
        <w:rPr>
          <w:rFonts w:eastAsia="Calibri" w:cs="Times New Roman"/>
        </w:rPr>
        <w:t> </w:t>
      </w:r>
      <w:r w:rsidRPr="00CA4B84">
        <w:rPr>
          <w:rFonts w:eastAsia="Calibri" w:cs="Times New Roman"/>
        </w:rPr>
        <w:t>650</w:t>
      </w:r>
      <w:r w:rsidR="00410F95">
        <w:rPr>
          <w:rFonts w:eastAsia="Calibri" w:cs="Times New Roman"/>
        </w:rPr>
        <w:t> </w:t>
      </w:r>
      <w:r w:rsidRPr="00CA4B84">
        <w:rPr>
          <w:rFonts w:eastAsia="Calibri" w:cs="Times New Roman"/>
        </w:rPr>
        <w:t>158 tis. eur a štátne dlhopisy ako dlhodobé záväzky vzrástli o 7 453</w:t>
      </w:r>
      <w:r w:rsidR="00410F95">
        <w:rPr>
          <w:rFonts w:eastAsia="Calibri" w:cs="Times New Roman"/>
        </w:rPr>
        <w:t> </w:t>
      </w:r>
      <w:r w:rsidRPr="00CA4B84">
        <w:rPr>
          <w:rFonts w:eastAsia="Calibri" w:cs="Times New Roman"/>
        </w:rPr>
        <w:t>836</w:t>
      </w:r>
      <w:r w:rsidR="00410F95">
        <w:rPr>
          <w:rFonts w:eastAsia="Calibri" w:cs="Times New Roman"/>
        </w:rPr>
        <w:t> </w:t>
      </w:r>
      <w:r w:rsidRPr="00CA4B84">
        <w:rPr>
          <w:rFonts w:eastAsia="Calibri" w:cs="Times New Roman"/>
        </w:rPr>
        <w:t>tis.</w:t>
      </w:r>
      <w:r w:rsidR="00410F95">
        <w:rPr>
          <w:rFonts w:eastAsia="Calibri" w:cs="Times New Roman"/>
        </w:rPr>
        <w:t> </w:t>
      </w:r>
      <w:r w:rsidRPr="00CA4B84">
        <w:rPr>
          <w:rFonts w:eastAsia="Calibri" w:cs="Times New Roman"/>
        </w:rPr>
        <w:t>eur.</w:t>
      </w:r>
    </w:p>
    <w:p w14:paraId="6EC33AD9" w14:textId="77777777" w:rsidR="00CA4B84" w:rsidRPr="00CA4B84" w:rsidRDefault="00CA4B84" w:rsidP="00CA4B84">
      <w:pPr>
        <w:pStyle w:val="Odsekzoznamu"/>
        <w:ind w:left="360"/>
        <w:jc w:val="both"/>
        <w:rPr>
          <w:rFonts w:eastAsia="Calibri" w:cs="Times New Roman"/>
        </w:rPr>
      </w:pPr>
    </w:p>
    <w:p w14:paraId="52B58161" w14:textId="12EC08B8" w:rsidR="00CA4B84" w:rsidRPr="00601292" w:rsidRDefault="00CA4B84" w:rsidP="00601292">
      <w:pPr>
        <w:pStyle w:val="Odsekzoznamu"/>
        <w:numPr>
          <w:ilvl w:val="0"/>
          <w:numId w:val="6"/>
        </w:numPr>
        <w:jc w:val="both"/>
        <w:rPr>
          <w:rFonts w:eastAsia="Calibri" w:cs="Times New Roman"/>
        </w:rPr>
      </w:pPr>
      <w:r w:rsidRPr="00CA4B84">
        <w:rPr>
          <w:rFonts w:eastAsia="Calibri" w:cs="Times New Roman"/>
          <w:b/>
          <w:color w:val="4F81BD" w:themeColor="accent1"/>
        </w:rPr>
        <w:t>Účtovný výsledok hospodárenia</w:t>
      </w:r>
      <w:r w:rsidRPr="00CA4B84">
        <w:rPr>
          <w:rFonts w:eastAsia="Calibri" w:cs="Times New Roman"/>
          <w:bCs/>
        </w:rPr>
        <w:t>, ako porovnanie nákladov a výnosov za rok 2024 dosiahol hodnotu</w:t>
      </w:r>
      <w:r w:rsidR="00601292">
        <w:rPr>
          <w:rFonts w:eastAsia="Calibri" w:cs="Times New Roman"/>
          <w:bCs/>
        </w:rPr>
        <w:br/>
      </w:r>
      <w:r w:rsidRPr="00601292">
        <w:rPr>
          <w:rFonts w:eastAsia="Calibri"/>
          <w:bCs/>
        </w:rPr>
        <w:t>-5</w:t>
      </w:r>
      <w:r w:rsidR="00601292" w:rsidRPr="00601292">
        <w:rPr>
          <w:rFonts w:eastAsia="Calibri"/>
          <w:bCs/>
        </w:rPr>
        <w:t> </w:t>
      </w:r>
      <w:r w:rsidRPr="00601292">
        <w:rPr>
          <w:rFonts w:eastAsia="Calibri"/>
          <w:bCs/>
        </w:rPr>
        <w:t>402</w:t>
      </w:r>
      <w:r w:rsidR="00601292" w:rsidRPr="00601292">
        <w:rPr>
          <w:rFonts w:eastAsia="Calibri"/>
          <w:bCs/>
        </w:rPr>
        <w:t> </w:t>
      </w:r>
      <w:r w:rsidRPr="00601292">
        <w:rPr>
          <w:rFonts w:eastAsia="Calibri"/>
          <w:bCs/>
        </w:rPr>
        <w:t>518</w:t>
      </w:r>
      <w:r w:rsidR="00601292" w:rsidRPr="00601292">
        <w:rPr>
          <w:rFonts w:eastAsia="Calibri"/>
          <w:bCs/>
        </w:rPr>
        <w:t> </w:t>
      </w:r>
      <w:r w:rsidRPr="00601292">
        <w:rPr>
          <w:rFonts w:eastAsia="Calibri"/>
          <w:bCs/>
        </w:rPr>
        <w:t>tis. eur. Celkové</w:t>
      </w:r>
      <w:r w:rsidRPr="00601292">
        <w:rPr>
          <w:rFonts w:eastAsia="Calibri"/>
        </w:rPr>
        <w:t xml:space="preserve"> účtovné náklady z výkazu ziskov a strát súhrnného celku dosiahli</w:t>
      </w:r>
      <w:r w:rsidR="00A81C62" w:rsidRPr="00601292">
        <w:rPr>
          <w:rFonts w:eastAsia="Calibri"/>
        </w:rPr>
        <w:t> </w:t>
      </w:r>
      <w:r w:rsidRPr="00601292">
        <w:rPr>
          <w:rFonts w:eastAsia="Calibri"/>
        </w:rPr>
        <w:t>75</w:t>
      </w:r>
      <w:r w:rsidR="00A81C62" w:rsidRPr="00601292">
        <w:rPr>
          <w:rFonts w:eastAsia="Calibri"/>
        </w:rPr>
        <w:t> </w:t>
      </w:r>
      <w:r w:rsidRPr="00601292">
        <w:rPr>
          <w:rFonts w:eastAsia="Calibri"/>
        </w:rPr>
        <w:t>470</w:t>
      </w:r>
      <w:r w:rsidR="00A81C62" w:rsidRPr="00601292">
        <w:rPr>
          <w:rFonts w:eastAsia="Calibri"/>
        </w:rPr>
        <w:t> </w:t>
      </w:r>
      <w:r w:rsidRPr="00601292">
        <w:rPr>
          <w:rFonts w:eastAsia="Calibri"/>
        </w:rPr>
        <w:t>170 tis. eur a celkové účtovné výnosy dosiahli 70</w:t>
      </w:r>
      <w:r w:rsidR="00410F95" w:rsidRPr="00601292">
        <w:rPr>
          <w:rFonts w:eastAsia="Calibri"/>
        </w:rPr>
        <w:t> </w:t>
      </w:r>
      <w:r w:rsidRPr="00601292">
        <w:rPr>
          <w:rFonts w:eastAsia="Calibri"/>
        </w:rPr>
        <w:t>069</w:t>
      </w:r>
      <w:r w:rsidR="00410F95" w:rsidRPr="00601292">
        <w:rPr>
          <w:rFonts w:eastAsia="Calibri"/>
        </w:rPr>
        <w:t> </w:t>
      </w:r>
      <w:r w:rsidRPr="00601292">
        <w:rPr>
          <w:rFonts w:eastAsia="Calibri"/>
        </w:rPr>
        <w:t>864 tis. eur.</w:t>
      </w:r>
    </w:p>
    <w:p w14:paraId="3553C2A8" w14:textId="2A12FB19" w:rsidR="00A13F85" w:rsidRPr="00174C84" w:rsidRDefault="00A13F85">
      <w:pPr>
        <w:rPr>
          <w:rFonts w:cs="Book Antiqua"/>
          <w:szCs w:val="22"/>
          <w:highlight w:val="yellow"/>
          <w:lang w:eastAsia="sk-SK"/>
        </w:rPr>
      </w:pPr>
      <w:r w:rsidRPr="00174C84">
        <w:rPr>
          <w:highlight w:val="yellow"/>
        </w:rPr>
        <w:br w:type="page"/>
      </w:r>
    </w:p>
    <w:p w14:paraId="4FAEB168" w14:textId="5F56CD3E" w:rsidR="003D050C" w:rsidRPr="009D73EA" w:rsidRDefault="003D050C" w:rsidP="003D050C">
      <w:pPr>
        <w:pStyle w:val="Nadpis1"/>
        <w:spacing w:line="336" w:lineRule="auto"/>
        <w:ind w:left="425" w:hanging="425"/>
        <w:rPr>
          <w:rFonts w:eastAsia="Times New Roman"/>
        </w:rPr>
      </w:pPr>
      <w:bookmarkStart w:id="10" w:name="_Toc212461592"/>
      <w:r w:rsidRPr="009D73EA">
        <w:rPr>
          <w:rFonts w:eastAsia="Times New Roman"/>
        </w:rPr>
        <w:lastRenderedPageBreak/>
        <w:t xml:space="preserve">Hospodárenie verejnej správy v metodike </w:t>
      </w:r>
      <w:r w:rsidR="00F40ABA" w:rsidRPr="009D73EA">
        <w:rPr>
          <w:rFonts w:eastAsia="Times New Roman"/>
        </w:rPr>
        <w:t>ESA 2010</w:t>
      </w:r>
      <w:bookmarkEnd w:id="7"/>
      <w:bookmarkEnd w:id="10"/>
    </w:p>
    <w:p w14:paraId="556D797A" w14:textId="1993C047" w:rsidR="009A116D" w:rsidRPr="009D73EA" w:rsidRDefault="009A116D" w:rsidP="00901E59">
      <w:pPr>
        <w:spacing w:after="120" w:line="240" w:lineRule="auto"/>
        <w:jc w:val="both"/>
        <w:rPr>
          <w:szCs w:val="22"/>
        </w:rPr>
      </w:pPr>
      <w:r w:rsidRPr="009D73EA">
        <w:rPr>
          <w:szCs w:val="22"/>
        </w:rPr>
        <w:t xml:space="preserve">Kapitola obsahuje údaje, ktoré boli predmetom hodnotenia zo strany Európskeho štatistického úradu (Eurostatu) v rámci októbrovej notifikácie. Okrem výsledného salda príjmov a výdavkov a hodnoty hrubého dlhu verejnej správy sa </w:t>
      </w:r>
      <w:r w:rsidR="006C1472" w:rsidRPr="009D73EA">
        <w:rPr>
          <w:szCs w:val="22"/>
        </w:rPr>
        <w:t xml:space="preserve">uvádza </w:t>
      </w:r>
      <w:r w:rsidRPr="009D73EA">
        <w:rPr>
          <w:szCs w:val="22"/>
        </w:rPr>
        <w:t xml:space="preserve">príspevok jednotlivých </w:t>
      </w:r>
      <w:r w:rsidR="00830629" w:rsidRPr="009D73EA">
        <w:rPr>
          <w:szCs w:val="22"/>
        </w:rPr>
        <w:t>zložiek</w:t>
      </w:r>
      <w:r w:rsidRPr="009D73EA">
        <w:rPr>
          <w:szCs w:val="22"/>
        </w:rPr>
        <w:t xml:space="preserve"> verejnej správy k saldu a</w:t>
      </w:r>
      <w:r w:rsidR="004D4F58" w:rsidRPr="009D73EA">
        <w:rPr>
          <w:szCs w:val="22"/>
        </w:rPr>
        <w:t> </w:t>
      </w:r>
      <w:r w:rsidRPr="009D73EA">
        <w:rPr>
          <w:szCs w:val="22"/>
        </w:rPr>
        <w:t>pri</w:t>
      </w:r>
      <w:r w:rsidR="004D4F58" w:rsidRPr="009D73EA">
        <w:rPr>
          <w:szCs w:val="22"/>
        </w:rPr>
        <w:t> </w:t>
      </w:r>
      <w:r w:rsidRPr="009D73EA">
        <w:rPr>
          <w:szCs w:val="22"/>
        </w:rPr>
        <w:t xml:space="preserve"> analýze dlhu príspevok faktorov, ktoré vysvetľujú jeho medziročnú zmenu. </w:t>
      </w:r>
      <w:r w:rsidR="00F055A9" w:rsidRPr="009D73EA">
        <w:rPr>
          <w:szCs w:val="22"/>
        </w:rPr>
        <w:t>Pre úplnosť je uvedené aj</w:t>
      </w:r>
      <w:r w:rsidRPr="009D73EA">
        <w:rPr>
          <w:szCs w:val="22"/>
        </w:rPr>
        <w:t xml:space="preserve"> </w:t>
      </w:r>
      <w:r w:rsidR="00830629" w:rsidRPr="009D73EA">
        <w:rPr>
          <w:szCs w:val="22"/>
        </w:rPr>
        <w:t xml:space="preserve">vysvetlenie </w:t>
      </w:r>
      <w:r w:rsidRPr="009D73EA">
        <w:rPr>
          <w:szCs w:val="22"/>
        </w:rPr>
        <w:t>rozdiel</w:t>
      </w:r>
      <w:r w:rsidR="00830629" w:rsidRPr="009D73EA">
        <w:rPr>
          <w:szCs w:val="22"/>
        </w:rPr>
        <w:t>ov</w:t>
      </w:r>
      <w:r w:rsidRPr="009D73EA">
        <w:rPr>
          <w:szCs w:val="22"/>
        </w:rPr>
        <w:t xml:space="preserve"> medzi jarnou a jesennou notifikáciou</w:t>
      </w:r>
      <w:r w:rsidR="00830629" w:rsidRPr="009D73EA">
        <w:rPr>
          <w:szCs w:val="22"/>
        </w:rPr>
        <w:t xml:space="preserve"> a porovnanie notifikovaných údajov o</w:t>
      </w:r>
      <w:r w:rsidR="00627A8D" w:rsidRPr="009D73EA">
        <w:rPr>
          <w:szCs w:val="22"/>
        </w:rPr>
        <w:t> </w:t>
      </w:r>
      <w:r w:rsidR="00830629" w:rsidRPr="009D73EA">
        <w:rPr>
          <w:szCs w:val="22"/>
        </w:rPr>
        <w:t>salde a dlhu verejnej správy za všetky členské krajiny Európskej únie.</w:t>
      </w:r>
      <w:r w:rsidR="004C4FBF" w:rsidRPr="009D73EA">
        <w:rPr>
          <w:szCs w:val="22"/>
        </w:rPr>
        <w:t xml:space="preserve"> </w:t>
      </w:r>
    </w:p>
    <w:p w14:paraId="551A139C" w14:textId="6A66F0D1" w:rsidR="00801893" w:rsidRPr="009D73EA" w:rsidRDefault="006C0DD0" w:rsidP="00424A0B">
      <w:pPr>
        <w:spacing w:after="0" w:line="240" w:lineRule="auto"/>
        <w:jc w:val="both"/>
        <w:rPr>
          <w:bCs/>
          <w:szCs w:val="22"/>
        </w:rPr>
      </w:pPr>
      <w:r w:rsidRPr="009D73EA">
        <w:rPr>
          <w:bCs/>
          <w:szCs w:val="22"/>
        </w:rPr>
        <w:t>Z dôvodu prehľadnosti opisu hospodárenia verejnej správy za</w:t>
      </w:r>
      <w:r w:rsidR="00D418E2" w:rsidRPr="009D73EA">
        <w:rPr>
          <w:bCs/>
          <w:szCs w:val="22"/>
        </w:rPr>
        <w:t> </w:t>
      </w:r>
      <w:r w:rsidRPr="009D73EA">
        <w:rPr>
          <w:bCs/>
          <w:szCs w:val="22"/>
        </w:rPr>
        <w:t>rok 20</w:t>
      </w:r>
      <w:r w:rsidR="00927B2F" w:rsidRPr="009D73EA">
        <w:rPr>
          <w:bCs/>
          <w:szCs w:val="22"/>
        </w:rPr>
        <w:t>2</w:t>
      </w:r>
      <w:r w:rsidR="009D73EA" w:rsidRPr="009D73EA">
        <w:rPr>
          <w:bCs/>
          <w:szCs w:val="22"/>
        </w:rPr>
        <w:t>4</w:t>
      </w:r>
      <w:r w:rsidRPr="009D73EA">
        <w:rPr>
          <w:bCs/>
          <w:szCs w:val="22"/>
        </w:rPr>
        <w:t xml:space="preserve"> ako aj z dôvodu vykonanej rutinnej revízie predchádzajúcich rokov, sú v nasledovnom texte porovnávané už len revidované </w:t>
      </w:r>
      <w:r w:rsidR="00EC369F" w:rsidRPr="009D73EA">
        <w:rPr>
          <w:bCs/>
          <w:szCs w:val="22"/>
        </w:rPr>
        <w:t>h</w:t>
      </w:r>
      <w:r w:rsidR="00AF4A8D" w:rsidRPr="009D73EA">
        <w:rPr>
          <w:bCs/>
          <w:szCs w:val="22"/>
        </w:rPr>
        <w:t>odnoty (</w:t>
      </w:r>
      <w:r w:rsidR="00D418E2" w:rsidRPr="009D73EA">
        <w:rPr>
          <w:bCs/>
          <w:szCs w:val="22"/>
        </w:rPr>
        <w:t>saldo, dlh)</w:t>
      </w:r>
      <w:r w:rsidRPr="009D73EA">
        <w:rPr>
          <w:bCs/>
          <w:szCs w:val="22"/>
        </w:rPr>
        <w:t xml:space="preserve">. </w:t>
      </w:r>
      <w:r w:rsidR="0075752A">
        <w:rPr>
          <w:bCs/>
          <w:szCs w:val="22"/>
        </w:rPr>
        <w:t>Komentár sa sústredí na</w:t>
      </w:r>
      <w:r w:rsidRPr="009D73EA">
        <w:rPr>
          <w:bCs/>
          <w:szCs w:val="22"/>
        </w:rPr>
        <w:t> porovnávanie dosiahnutej skutočnosti za</w:t>
      </w:r>
      <w:r w:rsidR="00D418E2" w:rsidRPr="009D73EA">
        <w:rPr>
          <w:bCs/>
          <w:szCs w:val="22"/>
        </w:rPr>
        <w:t> </w:t>
      </w:r>
      <w:r w:rsidRPr="009D73EA">
        <w:rPr>
          <w:bCs/>
          <w:szCs w:val="22"/>
        </w:rPr>
        <w:t>rok 20</w:t>
      </w:r>
      <w:r w:rsidR="00927B2F" w:rsidRPr="009D73EA">
        <w:rPr>
          <w:bCs/>
          <w:szCs w:val="22"/>
        </w:rPr>
        <w:t>2</w:t>
      </w:r>
      <w:r w:rsidR="009D73EA" w:rsidRPr="009D73EA">
        <w:rPr>
          <w:bCs/>
          <w:szCs w:val="22"/>
        </w:rPr>
        <w:t>4</w:t>
      </w:r>
      <w:r w:rsidR="0068249C" w:rsidRPr="009D73EA">
        <w:rPr>
          <w:bCs/>
          <w:szCs w:val="22"/>
        </w:rPr>
        <w:t xml:space="preserve"> oproti roku 20</w:t>
      </w:r>
      <w:r w:rsidR="00EC369F" w:rsidRPr="009D73EA">
        <w:rPr>
          <w:bCs/>
          <w:szCs w:val="22"/>
        </w:rPr>
        <w:t>2</w:t>
      </w:r>
      <w:r w:rsidR="009D73EA" w:rsidRPr="009D73EA">
        <w:rPr>
          <w:bCs/>
          <w:szCs w:val="22"/>
        </w:rPr>
        <w:t>3</w:t>
      </w:r>
      <w:r w:rsidR="00F867F1" w:rsidRPr="009D73EA">
        <w:rPr>
          <w:bCs/>
          <w:szCs w:val="22"/>
        </w:rPr>
        <w:t>.</w:t>
      </w:r>
    </w:p>
    <w:p w14:paraId="6ADD8E7A" w14:textId="5CE840A8" w:rsidR="008E7556" w:rsidRPr="009D73EA" w:rsidRDefault="008E7556" w:rsidP="00AA46C8">
      <w:pPr>
        <w:pStyle w:val="Nadpis2"/>
        <w:numPr>
          <w:ilvl w:val="0"/>
          <w:numId w:val="0"/>
        </w:numPr>
        <w:ind w:left="1020"/>
      </w:pPr>
      <w:bookmarkStart w:id="11" w:name="_Toc212461593"/>
      <w:r w:rsidRPr="009D73EA">
        <w:t>1.1.</w:t>
      </w:r>
      <w:r w:rsidRPr="009D73EA">
        <w:tab/>
        <w:t>Rozdiely medzi októbrovou a aprílovou notifikáciou údajov</w:t>
      </w:r>
      <w:bookmarkEnd w:id="11"/>
    </w:p>
    <w:p w14:paraId="44A94A9B" w14:textId="063056DA" w:rsidR="00DC1800" w:rsidRPr="009D73EA" w:rsidRDefault="00DC1800" w:rsidP="00901E59">
      <w:pPr>
        <w:spacing w:after="120" w:line="240" w:lineRule="auto"/>
        <w:jc w:val="both"/>
        <w:rPr>
          <w:szCs w:val="22"/>
        </w:rPr>
      </w:pPr>
      <w:r w:rsidRPr="009D73EA">
        <w:rPr>
          <w:szCs w:val="22"/>
        </w:rPr>
        <w:t xml:space="preserve">Nariadenie Rady (ES) o uplatňovaní Protokolu o postupe pri nadmernom </w:t>
      </w:r>
      <w:r w:rsidR="00826BB4">
        <w:rPr>
          <w:szCs w:val="22"/>
        </w:rPr>
        <w:t>deficite</w:t>
      </w:r>
      <w:r w:rsidR="00561441" w:rsidRPr="009D73EA">
        <w:rPr>
          <w:rStyle w:val="Odkaznapoznmkupodiarou"/>
          <w:szCs w:val="22"/>
        </w:rPr>
        <w:footnoteReference w:id="1"/>
      </w:r>
      <w:r w:rsidR="00A4125D" w:rsidRPr="009D73EA">
        <w:rPr>
          <w:szCs w:val="22"/>
        </w:rPr>
        <w:t xml:space="preserve"> </w:t>
      </w:r>
      <w:r w:rsidRPr="009D73EA">
        <w:rPr>
          <w:szCs w:val="22"/>
        </w:rPr>
        <w:t>stanovuje podrobné pravidlá pre organizovanie rýchleho a pravidelného vykazovania plánovaných a skutočných výsledkov hospodárenia s financiami verejnej správy. Podľa tohto nariadenia sa Európskej komisii (Eurostatu) predkladajú výsledky hospodárenia verejnej správy za uplynulé obdobie dvakrát ročne, prvýkrát do 1. apríla bežného roka (tzv. aprílová notifikácia</w:t>
      </w:r>
      <w:r w:rsidR="007516A5" w:rsidRPr="009D73EA">
        <w:rPr>
          <w:szCs w:val="22"/>
        </w:rPr>
        <w:t xml:space="preserve"> alebo aj prvé kolo notifikácie</w:t>
      </w:r>
      <w:r w:rsidRPr="009D73EA">
        <w:rPr>
          <w:szCs w:val="22"/>
        </w:rPr>
        <w:t>) a aktualizované údaje druhýkrát do</w:t>
      </w:r>
      <w:r w:rsidR="00410F95">
        <w:rPr>
          <w:szCs w:val="22"/>
        </w:rPr>
        <w:t> </w:t>
      </w:r>
      <w:r w:rsidRPr="009D73EA">
        <w:rPr>
          <w:szCs w:val="22"/>
        </w:rPr>
        <w:t>1. októbra bežného roka (tzv. októbrová notifikácia</w:t>
      </w:r>
      <w:r w:rsidR="007516A5" w:rsidRPr="009D73EA">
        <w:rPr>
          <w:szCs w:val="22"/>
        </w:rPr>
        <w:t xml:space="preserve"> alebo aj druhé kolo notifikácie</w:t>
      </w:r>
      <w:r w:rsidRPr="009D73EA">
        <w:rPr>
          <w:szCs w:val="22"/>
        </w:rPr>
        <w:t>).</w:t>
      </w:r>
    </w:p>
    <w:p w14:paraId="28F57A0E" w14:textId="4CC030BB" w:rsidR="006479B7" w:rsidRPr="009D73EA" w:rsidRDefault="005E1709" w:rsidP="00901E59">
      <w:pPr>
        <w:spacing w:after="120" w:line="240" w:lineRule="auto"/>
        <w:jc w:val="both"/>
        <w:rPr>
          <w:szCs w:val="22"/>
        </w:rPr>
      </w:pPr>
      <w:r w:rsidRPr="009D73EA">
        <w:rPr>
          <w:b/>
          <w:szCs w:val="22"/>
        </w:rPr>
        <w:t>Predbežný s</w:t>
      </w:r>
      <w:r w:rsidR="00DC1800" w:rsidRPr="009D73EA">
        <w:rPr>
          <w:b/>
          <w:szCs w:val="22"/>
        </w:rPr>
        <w:t>chodok hospodárenia</w:t>
      </w:r>
      <w:r w:rsidR="00591326">
        <w:rPr>
          <w:b/>
          <w:szCs w:val="22"/>
        </w:rPr>
        <w:t xml:space="preserve">, </w:t>
      </w:r>
      <w:r w:rsidR="00591326">
        <w:rPr>
          <w:bCs/>
          <w:szCs w:val="22"/>
        </w:rPr>
        <w:t>ktorý dosiahol pri jarnej notifikácii hodnotu </w:t>
      </w:r>
      <w:r w:rsidR="00591326">
        <w:rPr>
          <w:szCs w:val="22"/>
        </w:rPr>
        <w:t xml:space="preserve">6 906 738 tis. eur pri nominálnej hodnote HDP 130 985 118 tis. eur  sa </w:t>
      </w:r>
      <w:r w:rsidR="00B4518A" w:rsidRPr="009D73EA">
        <w:rPr>
          <w:szCs w:val="22"/>
        </w:rPr>
        <w:t>v rámci jesennej notifikácie</w:t>
      </w:r>
      <w:r w:rsidRPr="009D73EA">
        <w:rPr>
          <w:szCs w:val="22"/>
        </w:rPr>
        <w:t xml:space="preserve"> </w:t>
      </w:r>
      <w:r w:rsidR="00591326" w:rsidRPr="009D73EA">
        <w:rPr>
          <w:szCs w:val="22"/>
        </w:rPr>
        <w:t xml:space="preserve">zvýšil </w:t>
      </w:r>
      <w:r w:rsidR="00DC1800" w:rsidRPr="009D73EA">
        <w:rPr>
          <w:szCs w:val="22"/>
        </w:rPr>
        <w:t>o 0,</w:t>
      </w:r>
      <w:r w:rsidR="009D73EA" w:rsidRPr="009D73EA">
        <w:rPr>
          <w:szCs w:val="22"/>
        </w:rPr>
        <w:t>2</w:t>
      </w:r>
      <w:r w:rsidR="00826BB4">
        <w:rPr>
          <w:szCs w:val="22"/>
        </w:rPr>
        <w:t>3</w:t>
      </w:r>
      <w:r w:rsidR="00DC1800" w:rsidRPr="009D73EA">
        <w:rPr>
          <w:szCs w:val="22"/>
        </w:rPr>
        <w:t> p. b.</w:t>
      </w:r>
      <w:r w:rsidR="006D777A">
        <w:rPr>
          <w:szCs w:val="22"/>
        </w:rPr>
        <w:t>,</w:t>
      </w:r>
      <w:r w:rsidR="00DC1800" w:rsidRPr="009D73EA">
        <w:rPr>
          <w:szCs w:val="22"/>
        </w:rPr>
        <w:t xml:space="preserve"> </w:t>
      </w:r>
      <w:r w:rsidR="00826BB4">
        <w:rPr>
          <w:szCs w:val="22"/>
        </w:rPr>
        <w:t xml:space="preserve">nominálne </w:t>
      </w:r>
      <w:r w:rsidR="007516A5" w:rsidRPr="009D73EA">
        <w:rPr>
          <w:szCs w:val="22"/>
        </w:rPr>
        <w:t>o</w:t>
      </w:r>
      <w:r w:rsidR="006D777A">
        <w:rPr>
          <w:szCs w:val="22"/>
        </w:rPr>
        <w:t> 250 330</w:t>
      </w:r>
      <w:r w:rsidR="006479B7" w:rsidRPr="009D73EA">
        <w:rPr>
          <w:szCs w:val="22"/>
        </w:rPr>
        <w:t> tis. eur. Najvýznamnejšie dôvody tejto revízie schodku poskytuje nasledovná tabuľka.</w:t>
      </w:r>
    </w:p>
    <w:tbl>
      <w:tblPr>
        <w:tblW w:w="5000" w:type="pct"/>
        <w:jc w:val="center"/>
        <w:tblCellMar>
          <w:left w:w="70" w:type="dxa"/>
          <w:right w:w="70" w:type="dxa"/>
        </w:tblCellMar>
        <w:tblLook w:val="04A0" w:firstRow="1" w:lastRow="0" w:firstColumn="1" w:lastColumn="0" w:noHBand="0" w:noVBand="1"/>
      </w:tblPr>
      <w:tblGrid>
        <w:gridCol w:w="9185"/>
        <w:gridCol w:w="156"/>
        <w:gridCol w:w="154"/>
      </w:tblGrid>
      <w:tr w:rsidR="006479B7" w:rsidRPr="006479B7" w14:paraId="74726C6F" w14:textId="77777777" w:rsidTr="00410F95">
        <w:trPr>
          <w:trHeight w:val="495"/>
          <w:jc w:val="center"/>
        </w:trPr>
        <w:tc>
          <w:tcPr>
            <w:tcW w:w="4837" w:type="pct"/>
            <w:tcBorders>
              <w:top w:val="nil"/>
              <w:left w:val="nil"/>
              <w:bottom w:val="nil"/>
              <w:right w:val="nil"/>
            </w:tcBorders>
            <w:vAlign w:val="center"/>
          </w:tcPr>
          <w:p w14:paraId="0538E11C" w14:textId="25D0981C" w:rsidR="00B6554C" w:rsidRPr="00041EA0" w:rsidRDefault="00B6554C" w:rsidP="00D162A9">
            <w:pPr>
              <w:pStyle w:val="Popis"/>
            </w:pPr>
            <w:bookmarkStart w:id="12" w:name="_Toc212124622"/>
            <w:r w:rsidRPr="00041EA0">
              <w:t xml:space="preserve">Tabuľka </w:t>
            </w:r>
            <w:r w:rsidR="00CA4B84">
              <w:fldChar w:fldCharType="begin"/>
            </w:r>
            <w:r w:rsidR="00CA4B84">
              <w:instrText xml:space="preserve"> SEQ Tabuľka \* ARABIC </w:instrText>
            </w:r>
            <w:r w:rsidR="00CA4B84">
              <w:fldChar w:fldCharType="separate"/>
            </w:r>
            <w:r w:rsidR="00076866">
              <w:rPr>
                <w:noProof/>
              </w:rPr>
              <w:t>1</w:t>
            </w:r>
            <w:r w:rsidR="00CA4B84">
              <w:rPr>
                <w:noProof/>
              </w:rPr>
              <w:fldChar w:fldCharType="end"/>
            </w:r>
            <w:r w:rsidRPr="00041EA0">
              <w:t xml:space="preserve"> - Zmena schodku za rok 2024 pri jesennej notifikácii v metodike ESA 2010</w:t>
            </w:r>
            <w:bookmarkEnd w:id="12"/>
          </w:p>
          <w:tbl>
            <w:tblPr>
              <w:tblW w:w="8500" w:type="dxa"/>
              <w:tblCellMar>
                <w:left w:w="70" w:type="dxa"/>
                <w:right w:w="70" w:type="dxa"/>
              </w:tblCellMar>
              <w:tblLook w:val="04A0" w:firstRow="1" w:lastRow="0" w:firstColumn="1" w:lastColumn="0" w:noHBand="0" w:noVBand="1"/>
            </w:tblPr>
            <w:tblGrid>
              <w:gridCol w:w="4340"/>
              <w:gridCol w:w="1900"/>
              <w:gridCol w:w="2260"/>
            </w:tblGrid>
            <w:tr w:rsidR="00666033" w:rsidRPr="00666033" w14:paraId="5FDA528C" w14:textId="77777777" w:rsidTr="00F14067">
              <w:trPr>
                <w:trHeight w:val="495"/>
              </w:trPr>
              <w:tc>
                <w:tcPr>
                  <w:tcW w:w="4340" w:type="dxa"/>
                  <w:tcBorders>
                    <w:top w:val="single" w:sz="4" w:space="0" w:color="auto"/>
                    <w:left w:val="nil"/>
                    <w:bottom w:val="single" w:sz="4" w:space="0" w:color="auto"/>
                    <w:right w:val="nil"/>
                  </w:tcBorders>
                  <w:vAlign w:val="center"/>
                  <w:hideMark/>
                </w:tcPr>
                <w:p w14:paraId="6752E194" w14:textId="77777777" w:rsidR="00666033" w:rsidRPr="00666033" w:rsidRDefault="00666033" w:rsidP="00CA753E">
                  <w:pPr>
                    <w:spacing w:after="0" w:line="240" w:lineRule="auto"/>
                    <w:rPr>
                      <w:b/>
                      <w:bCs/>
                      <w:sz w:val="20"/>
                      <w:szCs w:val="20"/>
                      <w:lang w:eastAsia="sk-SK"/>
                    </w:rPr>
                  </w:pPr>
                  <w:r w:rsidRPr="00666033">
                    <w:rPr>
                      <w:b/>
                      <w:bCs/>
                      <w:sz w:val="20"/>
                      <w:szCs w:val="20"/>
                      <w:lang w:eastAsia="sk-SK"/>
                    </w:rPr>
                    <w:t>Upravené položky</w:t>
                  </w:r>
                </w:p>
              </w:tc>
              <w:tc>
                <w:tcPr>
                  <w:tcW w:w="1900" w:type="dxa"/>
                  <w:tcBorders>
                    <w:top w:val="single" w:sz="4" w:space="0" w:color="auto"/>
                    <w:left w:val="nil"/>
                    <w:bottom w:val="single" w:sz="4" w:space="0" w:color="auto"/>
                    <w:right w:val="nil"/>
                  </w:tcBorders>
                  <w:vAlign w:val="center"/>
                  <w:hideMark/>
                </w:tcPr>
                <w:p w14:paraId="71A4D1A4" w14:textId="77777777" w:rsidR="00666033" w:rsidRPr="00666033" w:rsidRDefault="00666033" w:rsidP="00CA753E">
                  <w:pPr>
                    <w:spacing w:after="0" w:line="240" w:lineRule="auto"/>
                    <w:jc w:val="right"/>
                    <w:rPr>
                      <w:b/>
                      <w:bCs/>
                      <w:sz w:val="20"/>
                      <w:szCs w:val="20"/>
                      <w:lang w:eastAsia="sk-SK"/>
                    </w:rPr>
                  </w:pPr>
                  <w:r w:rsidRPr="00666033">
                    <w:rPr>
                      <w:b/>
                      <w:bCs/>
                      <w:sz w:val="20"/>
                      <w:szCs w:val="20"/>
                      <w:lang w:eastAsia="sk-SK"/>
                    </w:rPr>
                    <w:t>tis. eur</w:t>
                  </w:r>
                </w:p>
              </w:tc>
              <w:tc>
                <w:tcPr>
                  <w:tcW w:w="2260" w:type="dxa"/>
                  <w:tcBorders>
                    <w:top w:val="single" w:sz="4" w:space="0" w:color="auto"/>
                    <w:left w:val="nil"/>
                    <w:bottom w:val="single" w:sz="4" w:space="0" w:color="auto"/>
                    <w:right w:val="nil"/>
                  </w:tcBorders>
                  <w:vAlign w:val="center"/>
                  <w:hideMark/>
                </w:tcPr>
                <w:p w14:paraId="5B0B697A" w14:textId="77777777" w:rsidR="00666033" w:rsidRPr="00666033" w:rsidRDefault="00666033" w:rsidP="00CA753E">
                  <w:pPr>
                    <w:spacing w:after="0" w:line="240" w:lineRule="auto"/>
                    <w:jc w:val="center"/>
                    <w:rPr>
                      <w:b/>
                      <w:bCs/>
                      <w:sz w:val="20"/>
                      <w:szCs w:val="20"/>
                      <w:lang w:eastAsia="sk-SK"/>
                    </w:rPr>
                  </w:pPr>
                  <w:r w:rsidRPr="00666033">
                    <w:rPr>
                      <w:b/>
                      <w:bCs/>
                      <w:sz w:val="20"/>
                      <w:szCs w:val="20"/>
                      <w:lang w:eastAsia="sk-SK"/>
                    </w:rPr>
                    <w:t>% HDP</w:t>
                  </w:r>
                </w:p>
              </w:tc>
            </w:tr>
            <w:tr w:rsidR="00666033" w:rsidRPr="00666033" w14:paraId="7549C641" w14:textId="77777777" w:rsidTr="00F14067">
              <w:trPr>
                <w:trHeight w:val="330"/>
              </w:trPr>
              <w:tc>
                <w:tcPr>
                  <w:tcW w:w="4340" w:type="dxa"/>
                  <w:tcBorders>
                    <w:top w:val="single" w:sz="4" w:space="0" w:color="auto"/>
                    <w:left w:val="nil"/>
                    <w:bottom w:val="single" w:sz="4" w:space="0" w:color="auto"/>
                    <w:right w:val="nil"/>
                  </w:tcBorders>
                  <w:noWrap/>
                  <w:vAlign w:val="center"/>
                  <w:hideMark/>
                </w:tcPr>
                <w:p w14:paraId="559DADE8" w14:textId="77777777" w:rsidR="00666033" w:rsidRPr="00666033" w:rsidRDefault="00666033" w:rsidP="00CA753E">
                  <w:pPr>
                    <w:spacing w:after="0" w:line="240" w:lineRule="auto"/>
                    <w:rPr>
                      <w:b/>
                      <w:bCs/>
                      <w:sz w:val="20"/>
                      <w:szCs w:val="20"/>
                      <w:lang w:eastAsia="sk-SK"/>
                    </w:rPr>
                  </w:pPr>
                  <w:r w:rsidRPr="00666033">
                    <w:rPr>
                      <w:b/>
                      <w:bCs/>
                      <w:sz w:val="20"/>
                      <w:szCs w:val="20"/>
                      <w:lang w:eastAsia="sk-SK"/>
                    </w:rPr>
                    <w:t xml:space="preserve">Schodok VS - apríl 2025 </w:t>
                  </w:r>
                  <w:r w:rsidRPr="00666033">
                    <w:rPr>
                      <w:b/>
                      <w:bCs/>
                      <w:sz w:val="20"/>
                      <w:szCs w:val="20"/>
                      <w:vertAlign w:val="superscript"/>
                      <w:lang w:eastAsia="sk-SK"/>
                    </w:rPr>
                    <w:t>1)</w:t>
                  </w:r>
                </w:p>
              </w:tc>
              <w:tc>
                <w:tcPr>
                  <w:tcW w:w="1900" w:type="dxa"/>
                  <w:tcBorders>
                    <w:top w:val="single" w:sz="4" w:space="0" w:color="auto"/>
                    <w:left w:val="nil"/>
                    <w:bottom w:val="single" w:sz="4" w:space="0" w:color="auto"/>
                    <w:right w:val="nil"/>
                  </w:tcBorders>
                  <w:noWrap/>
                  <w:vAlign w:val="center"/>
                  <w:hideMark/>
                </w:tcPr>
                <w:p w14:paraId="1D259073" w14:textId="77777777" w:rsidR="00666033" w:rsidRPr="00666033" w:rsidRDefault="00666033" w:rsidP="00CA753E">
                  <w:pPr>
                    <w:spacing w:after="0" w:line="240" w:lineRule="auto"/>
                    <w:jc w:val="right"/>
                    <w:rPr>
                      <w:b/>
                      <w:bCs/>
                      <w:sz w:val="20"/>
                      <w:szCs w:val="20"/>
                      <w:lang w:eastAsia="sk-SK"/>
                    </w:rPr>
                  </w:pPr>
                  <w:r w:rsidRPr="00666033">
                    <w:rPr>
                      <w:b/>
                      <w:bCs/>
                      <w:sz w:val="20"/>
                      <w:szCs w:val="20"/>
                      <w:lang w:eastAsia="sk-SK"/>
                    </w:rPr>
                    <w:t>-6 906 738</w:t>
                  </w:r>
                </w:p>
              </w:tc>
              <w:tc>
                <w:tcPr>
                  <w:tcW w:w="2260" w:type="dxa"/>
                  <w:tcBorders>
                    <w:top w:val="single" w:sz="4" w:space="0" w:color="auto"/>
                    <w:left w:val="nil"/>
                    <w:bottom w:val="single" w:sz="4" w:space="0" w:color="auto"/>
                    <w:right w:val="nil"/>
                  </w:tcBorders>
                  <w:noWrap/>
                  <w:vAlign w:val="center"/>
                  <w:hideMark/>
                </w:tcPr>
                <w:p w14:paraId="45234639" w14:textId="77777777" w:rsidR="00666033" w:rsidRPr="00666033" w:rsidRDefault="00666033" w:rsidP="00CA753E">
                  <w:pPr>
                    <w:tabs>
                      <w:tab w:val="right" w:pos="1407"/>
                    </w:tabs>
                    <w:spacing w:after="0" w:line="240" w:lineRule="auto"/>
                    <w:jc w:val="center"/>
                    <w:rPr>
                      <w:b/>
                      <w:bCs/>
                      <w:sz w:val="20"/>
                      <w:szCs w:val="20"/>
                      <w:lang w:eastAsia="sk-SK"/>
                    </w:rPr>
                  </w:pPr>
                  <w:r w:rsidRPr="00666033">
                    <w:rPr>
                      <w:b/>
                      <w:bCs/>
                      <w:sz w:val="20"/>
                      <w:szCs w:val="20"/>
                      <w:lang w:eastAsia="sk-SK"/>
                    </w:rPr>
                    <w:t>-5,27</w:t>
                  </w:r>
                </w:p>
              </w:tc>
            </w:tr>
            <w:tr w:rsidR="00666033" w:rsidRPr="00666033" w14:paraId="6A526242" w14:textId="77777777" w:rsidTr="00666033">
              <w:trPr>
                <w:trHeight w:val="255"/>
              </w:trPr>
              <w:tc>
                <w:tcPr>
                  <w:tcW w:w="4340" w:type="dxa"/>
                  <w:tcBorders>
                    <w:top w:val="nil"/>
                    <w:left w:val="nil"/>
                    <w:bottom w:val="nil"/>
                    <w:right w:val="nil"/>
                  </w:tcBorders>
                  <w:noWrap/>
                  <w:vAlign w:val="center"/>
                  <w:hideMark/>
                </w:tcPr>
                <w:p w14:paraId="2A47ABBE" w14:textId="77777777" w:rsidR="00666033" w:rsidRPr="00666033" w:rsidRDefault="00666033" w:rsidP="00CA753E">
                  <w:pPr>
                    <w:spacing w:after="0" w:line="240" w:lineRule="auto"/>
                    <w:rPr>
                      <w:sz w:val="20"/>
                      <w:szCs w:val="20"/>
                      <w:lang w:eastAsia="sk-SK"/>
                    </w:rPr>
                  </w:pPr>
                  <w:r w:rsidRPr="00666033">
                    <w:rPr>
                      <w:sz w:val="20"/>
                      <w:szCs w:val="20"/>
                      <w:lang w:eastAsia="sk-SK"/>
                    </w:rPr>
                    <w:t xml:space="preserve">Akruálne príjmy z daní </w:t>
                  </w:r>
                </w:p>
              </w:tc>
              <w:tc>
                <w:tcPr>
                  <w:tcW w:w="1900" w:type="dxa"/>
                  <w:tcBorders>
                    <w:top w:val="nil"/>
                    <w:left w:val="nil"/>
                    <w:bottom w:val="nil"/>
                    <w:right w:val="nil"/>
                  </w:tcBorders>
                  <w:noWrap/>
                  <w:vAlign w:val="center"/>
                  <w:hideMark/>
                </w:tcPr>
                <w:p w14:paraId="1A9462E1"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-263 547</w:t>
                  </w:r>
                </w:p>
              </w:tc>
              <w:tc>
                <w:tcPr>
                  <w:tcW w:w="2260" w:type="dxa"/>
                  <w:tcBorders>
                    <w:top w:val="nil"/>
                    <w:left w:val="nil"/>
                    <w:bottom w:val="nil"/>
                    <w:right w:val="nil"/>
                  </w:tcBorders>
                  <w:noWrap/>
                  <w:vAlign w:val="center"/>
                  <w:hideMark/>
                </w:tcPr>
                <w:p w14:paraId="49A216D2" w14:textId="247A7FC8"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w:t>
                  </w:r>
                  <w:r w:rsidR="00DF37D6">
                    <w:rPr>
                      <w:sz w:val="20"/>
                      <w:szCs w:val="20"/>
                      <w:lang w:eastAsia="sk-SK"/>
                    </w:rPr>
                    <w:t xml:space="preserve"> </w:t>
                  </w:r>
                  <w:r w:rsidRPr="00666033">
                    <w:rPr>
                      <w:sz w:val="20"/>
                      <w:szCs w:val="20"/>
                      <w:lang w:eastAsia="sk-SK"/>
                    </w:rPr>
                    <w:t>0,202</w:t>
                  </w:r>
                </w:p>
              </w:tc>
            </w:tr>
            <w:tr w:rsidR="00666033" w:rsidRPr="00666033" w14:paraId="7C7377CE" w14:textId="77777777" w:rsidTr="00666033">
              <w:trPr>
                <w:trHeight w:val="255"/>
              </w:trPr>
              <w:tc>
                <w:tcPr>
                  <w:tcW w:w="4340" w:type="dxa"/>
                  <w:tcBorders>
                    <w:top w:val="nil"/>
                    <w:left w:val="nil"/>
                    <w:bottom w:val="nil"/>
                    <w:right w:val="nil"/>
                  </w:tcBorders>
                  <w:noWrap/>
                  <w:vAlign w:val="center"/>
                  <w:hideMark/>
                </w:tcPr>
                <w:p w14:paraId="7590745C" w14:textId="77777777" w:rsidR="00666033" w:rsidRPr="00223866" w:rsidRDefault="00666033" w:rsidP="00CA753E">
                  <w:pPr>
                    <w:spacing w:after="0" w:line="240" w:lineRule="auto"/>
                    <w:rPr>
                      <w:i/>
                      <w:iCs/>
                      <w:sz w:val="20"/>
                      <w:szCs w:val="20"/>
                      <w:lang w:eastAsia="sk-SK"/>
                    </w:rPr>
                  </w:pPr>
                  <w:r w:rsidRPr="00223866">
                    <w:rPr>
                      <w:i/>
                      <w:iCs/>
                      <w:sz w:val="20"/>
                      <w:szCs w:val="20"/>
                      <w:lang w:eastAsia="sk-SK"/>
                    </w:rPr>
                    <w:t xml:space="preserve">  z toho daňové príjmy zo zelenej energie</w:t>
                  </w:r>
                </w:p>
              </w:tc>
              <w:tc>
                <w:tcPr>
                  <w:tcW w:w="1900" w:type="dxa"/>
                  <w:tcBorders>
                    <w:top w:val="nil"/>
                    <w:left w:val="nil"/>
                    <w:bottom w:val="nil"/>
                    <w:right w:val="nil"/>
                  </w:tcBorders>
                  <w:noWrap/>
                  <w:vAlign w:val="center"/>
                  <w:hideMark/>
                </w:tcPr>
                <w:p w14:paraId="41CCED53" w14:textId="77777777" w:rsidR="00666033" w:rsidRPr="00DF37D6" w:rsidRDefault="00666033" w:rsidP="00CA753E">
                  <w:pPr>
                    <w:spacing w:after="0" w:line="240" w:lineRule="auto"/>
                    <w:jc w:val="right"/>
                    <w:rPr>
                      <w:sz w:val="20"/>
                      <w:szCs w:val="20"/>
                      <w:lang w:eastAsia="sk-SK"/>
                    </w:rPr>
                  </w:pPr>
                  <w:r w:rsidRPr="00DF37D6">
                    <w:rPr>
                      <w:sz w:val="20"/>
                      <w:szCs w:val="20"/>
                      <w:lang w:eastAsia="sk-SK"/>
                    </w:rPr>
                    <w:t>-62 174</w:t>
                  </w:r>
                </w:p>
              </w:tc>
              <w:tc>
                <w:tcPr>
                  <w:tcW w:w="2260" w:type="dxa"/>
                  <w:tcBorders>
                    <w:top w:val="nil"/>
                    <w:left w:val="nil"/>
                    <w:bottom w:val="nil"/>
                    <w:right w:val="nil"/>
                  </w:tcBorders>
                  <w:noWrap/>
                  <w:vAlign w:val="center"/>
                  <w:hideMark/>
                </w:tcPr>
                <w:p w14:paraId="6DB96563" w14:textId="0A84F1D4" w:rsidR="00666033" w:rsidRPr="00DF37D6" w:rsidRDefault="00666033" w:rsidP="00CA753E">
                  <w:pPr>
                    <w:tabs>
                      <w:tab w:val="decimal" w:pos="273"/>
                    </w:tabs>
                    <w:spacing w:after="0" w:line="240" w:lineRule="auto"/>
                    <w:jc w:val="center"/>
                    <w:rPr>
                      <w:sz w:val="20"/>
                      <w:szCs w:val="20"/>
                      <w:lang w:eastAsia="sk-SK"/>
                    </w:rPr>
                  </w:pPr>
                  <w:r w:rsidRPr="00DF37D6">
                    <w:rPr>
                      <w:sz w:val="20"/>
                      <w:szCs w:val="20"/>
                      <w:lang w:eastAsia="sk-SK"/>
                    </w:rPr>
                    <w:t>-</w:t>
                  </w:r>
                  <w:r w:rsidR="00DF37D6" w:rsidRPr="00DF37D6">
                    <w:rPr>
                      <w:sz w:val="20"/>
                      <w:szCs w:val="20"/>
                      <w:lang w:eastAsia="sk-SK"/>
                    </w:rPr>
                    <w:t xml:space="preserve"> </w:t>
                  </w:r>
                  <w:r w:rsidRPr="00DF37D6">
                    <w:rPr>
                      <w:sz w:val="20"/>
                      <w:szCs w:val="20"/>
                      <w:lang w:eastAsia="sk-SK"/>
                    </w:rPr>
                    <w:t>0,048</w:t>
                  </w:r>
                </w:p>
              </w:tc>
            </w:tr>
            <w:tr w:rsidR="00666033" w:rsidRPr="00666033" w14:paraId="5EFD6953" w14:textId="77777777" w:rsidTr="00666033">
              <w:trPr>
                <w:trHeight w:val="255"/>
              </w:trPr>
              <w:tc>
                <w:tcPr>
                  <w:tcW w:w="4340" w:type="dxa"/>
                  <w:tcBorders>
                    <w:top w:val="nil"/>
                    <w:left w:val="nil"/>
                    <w:bottom w:val="nil"/>
                    <w:right w:val="nil"/>
                  </w:tcBorders>
                  <w:vAlign w:val="center"/>
                  <w:hideMark/>
                </w:tcPr>
                <w:p w14:paraId="74C808F4" w14:textId="77777777" w:rsidR="00666033" w:rsidRPr="00666033" w:rsidRDefault="00666033" w:rsidP="00CA753E">
                  <w:pPr>
                    <w:spacing w:after="0" w:line="240" w:lineRule="auto"/>
                    <w:rPr>
                      <w:sz w:val="20"/>
                      <w:szCs w:val="20"/>
                      <w:lang w:eastAsia="sk-SK"/>
                    </w:rPr>
                  </w:pPr>
                  <w:r w:rsidRPr="00666033">
                    <w:rPr>
                      <w:sz w:val="20"/>
                      <w:szCs w:val="20"/>
                      <w:lang w:eastAsia="sk-SK"/>
                    </w:rPr>
                    <w:t xml:space="preserve">Akruálne príjmy z odvodov                          </w:t>
                  </w:r>
                </w:p>
              </w:tc>
              <w:tc>
                <w:tcPr>
                  <w:tcW w:w="1900" w:type="dxa"/>
                  <w:tcBorders>
                    <w:top w:val="nil"/>
                    <w:left w:val="nil"/>
                    <w:bottom w:val="nil"/>
                    <w:right w:val="nil"/>
                  </w:tcBorders>
                  <w:noWrap/>
                  <w:vAlign w:val="center"/>
                  <w:hideMark/>
                </w:tcPr>
                <w:p w14:paraId="390C60DE"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18 219</w:t>
                  </w:r>
                </w:p>
              </w:tc>
              <w:tc>
                <w:tcPr>
                  <w:tcW w:w="2260" w:type="dxa"/>
                  <w:tcBorders>
                    <w:top w:val="nil"/>
                    <w:left w:val="nil"/>
                    <w:bottom w:val="nil"/>
                    <w:right w:val="nil"/>
                  </w:tcBorders>
                  <w:noWrap/>
                  <w:vAlign w:val="center"/>
                  <w:hideMark/>
                </w:tcPr>
                <w:p w14:paraId="2AECF19A" w14:textId="77777777"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0,014</w:t>
                  </w:r>
                </w:p>
              </w:tc>
            </w:tr>
            <w:tr w:rsidR="00666033" w:rsidRPr="00666033" w14:paraId="36E866D2" w14:textId="77777777" w:rsidTr="00666033">
              <w:trPr>
                <w:trHeight w:val="255"/>
              </w:trPr>
              <w:tc>
                <w:tcPr>
                  <w:tcW w:w="4340" w:type="dxa"/>
                  <w:tcBorders>
                    <w:top w:val="nil"/>
                    <w:left w:val="nil"/>
                    <w:bottom w:val="nil"/>
                    <w:right w:val="nil"/>
                  </w:tcBorders>
                  <w:shd w:val="clear" w:color="000000" w:fill="FFFFFF"/>
                  <w:vAlign w:val="center"/>
                  <w:hideMark/>
                </w:tcPr>
                <w:p w14:paraId="3ABE80D3" w14:textId="77777777" w:rsidR="00666033" w:rsidRPr="00666033" w:rsidRDefault="00666033" w:rsidP="00CA753E">
                  <w:pPr>
                    <w:spacing w:after="0" w:line="240" w:lineRule="auto"/>
                    <w:rPr>
                      <w:sz w:val="20"/>
                      <w:szCs w:val="20"/>
                      <w:lang w:eastAsia="sk-SK"/>
                    </w:rPr>
                  </w:pPr>
                  <w:r w:rsidRPr="00666033">
                    <w:rPr>
                      <w:sz w:val="20"/>
                      <w:szCs w:val="20"/>
                      <w:lang w:eastAsia="sk-SK"/>
                    </w:rPr>
                    <w:t>Platené daňové kredity</w:t>
                  </w:r>
                </w:p>
              </w:tc>
              <w:tc>
                <w:tcPr>
                  <w:tcW w:w="1900" w:type="dxa"/>
                  <w:tcBorders>
                    <w:top w:val="nil"/>
                    <w:left w:val="nil"/>
                    <w:bottom w:val="nil"/>
                    <w:right w:val="nil"/>
                  </w:tcBorders>
                  <w:noWrap/>
                  <w:vAlign w:val="center"/>
                  <w:hideMark/>
                </w:tcPr>
                <w:p w14:paraId="3960F92B"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1 090</w:t>
                  </w:r>
                </w:p>
              </w:tc>
              <w:tc>
                <w:tcPr>
                  <w:tcW w:w="2260" w:type="dxa"/>
                  <w:tcBorders>
                    <w:top w:val="nil"/>
                    <w:left w:val="nil"/>
                    <w:bottom w:val="nil"/>
                    <w:right w:val="nil"/>
                  </w:tcBorders>
                  <w:noWrap/>
                  <w:vAlign w:val="center"/>
                  <w:hideMark/>
                </w:tcPr>
                <w:p w14:paraId="5843AA48" w14:textId="77777777"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0,001</w:t>
                  </w:r>
                </w:p>
              </w:tc>
            </w:tr>
            <w:tr w:rsidR="00666033" w:rsidRPr="00666033" w14:paraId="65626DF0" w14:textId="77777777" w:rsidTr="00666033">
              <w:trPr>
                <w:trHeight w:val="255"/>
              </w:trPr>
              <w:tc>
                <w:tcPr>
                  <w:tcW w:w="4340" w:type="dxa"/>
                  <w:tcBorders>
                    <w:top w:val="nil"/>
                    <w:left w:val="nil"/>
                    <w:bottom w:val="nil"/>
                    <w:right w:val="nil"/>
                  </w:tcBorders>
                  <w:vAlign w:val="center"/>
                  <w:hideMark/>
                </w:tcPr>
                <w:p w14:paraId="0CBD57E4" w14:textId="77777777" w:rsidR="00666033" w:rsidRPr="00666033" w:rsidRDefault="00666033" w:rsidP="00CA753E">
                  <w:pPr>
                    <w:spacing w:after="0" w:line="240" w:lineRule="auto"/>
                    <w:rPr>
                      <w:sz w:val="20"/>
                      <w:szCs w:val="20"/>
                      <w:lang w:eastAsia="sk-SK"/>
                    </w:rPr>
                  </w:pPr>
                  <w:r w:rsidRPr="00666033">
                    <w:rPr>
                      <w:sz w:val="20"/>
                      <w:szCs w:val="20"/>
                      <w:lang w:eastAsia="sk-SK"/>
                    </w:rPr>
                    <w:t>Ostatné pohľadávky a záväzky</w:t>
                  </w:r>
                </w:p>
              </w:tc>
              <w:tc>
                <w:tcPr>
                  <w:tcW w:w="1900" w:type="dxa"/>
                  <w:tcBorders>
                    <w:top w:val="nil"/>
                    <w:left w:val="nil"/>
                    <w:bottom w:val="nil"/>
                    <w:right w:val="nil"/>
                  </w:tcBorders>
                  <w:noWrap/>
                  <w:vAlign w:val="center"/>
                  <w:hideMark/>
                </w:tcPr>
                <w:p w14:paraId="56E171E3"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40 955</w:t>
                  </w:r>
                </w:p>
              </w:tc>
              <w:tc>
                <w:tcPr>
                  <w:tcW w:w="2260" w:type="dxa"/>
                  <w:tcBorders>
                    <w:top w:val="nil"/>
                    <w:left w:val="nil"/>
                    <w:bottom w:val="nil"/>
                    <w:right w:val="nil"/>
                  </w:tcBorders>
                  <w:noWrap/>
                  <w:vAlign w:val="center"/>
                  <w:hideMark/>
                </w:tcPr>
                <w:p w14:paraId="21DAE3D0" w14:textId="77777777"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0,031</w:t>
                  </w:r>
                </w:p>
              </w:tc>
            </w:tr>
            <w:tr w:rsidR="00666033" w:rsidRPr="00666033" w14:paraId="6EE6F192" w14:textId="77777777" w:rsidTr="00666033">
              <w:trPr>
                <w:trHeight w:val="510"/>
              </w:trPr>
              <w:tc>
                <w:tcPr>
                  <w:tcW w:w="4340" w:type="dxa"/>
                  <w:tcBorders>
                    <w:top w:val="nil"/>
                    <w:left w:val="nil"/>
                    <w:bottom w:val="nil"/>
                    <w:right w:val="nil"/>
                  </w:tcBorders>
                  <w:vAlign w:val="center"/>
                  <w:hideMark/>
                </w:tcPr>
                <w:p w14:paraId="0C20860E" w14:textId="50ED0E04" w:rsidR="00666033" w:rsidRPr="00666033" w:rsidRDefault="00666033" w:rsidP="00CA753E">
                  <w:pPr>
                    <w:spacing w:after="0" w:line="240" w:lineRule="auto"/>
                    <w:rPr>
                      <w:sz w:val="20"/>
                      <w:szCs w:val="20"/>
                      <w:lang w:eastAsia="sk-SK"/>
                    </w:rPr>
                  </w:pPr>
                  <w:r w:rsidRPr="00666033">
                    <w:rPr>
                      <w:sz w:val="20"/>
                      <w:szCs w:val="20"/>
                      <w:lang w:eastAsia="sk-SK"/>
                    </w:rPr>
                    <w:t xml:space="preserve">Revízia </w:t>
                  </w:r>
                  <w:r w:rsidR="00B40F4C">
                    <w:rPr>
                      <w:sz w:val="20"/>
                      <w:szCs w:val="20"/>
                      <w:lang w:eastAsia="sk-SK"/>
                    </w:rPr>
                    <w:t xml:space="preserve">zlyhaných </w:t>
                  </w:r>
                  <w:r w:rsidRPr="00666033">
                    <w:rPr>
                      <w:sz w:val="20"/>
                      <w:szCs w:val="20"/>
                      <w:lang w:eastAsia="sk-SK"/>
                    </w:rPr>
                    <w:t>úverov a záruk SZRB a EXIMBANKY</w:t>
                  </w:r>
                </w:p>
              </w:tc>
              <w:tc>
                <w:tcPr>
                  <w:tcW w:w="1900" w:type="dxa"/>
                  <w:tcBorders>
                    <w:top w:val="nil"/>
                    <w:left w:val="nil"/>
                    <w:bottom w:val="nil"/>
                    <w:right w:val="nil"/>
                  </w:tcBorders>
                  <w:noWrap/>
                  <w:vAlign w:val="center"/>
                  <w:hideMark/>
                </w:tcPr>
                <w:p w14:paraId="56C36FD9"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-24 016</w:t>
                  </w:r>
                </w:p>
              </w:tc>
              <w:tc>
                <w:tcPr>
                  <w:tcW w:w="2260" w:type="dxa"/>
                  <w:tcBorders>
                    <w:top w:val="nil"/>
                    <w:left w:val="nil"/>
                    <w:bottom w:val="nil"/>
                    <w:right w:val="nil"/>
                  </w:tcBorders>
                  <w:noWrap/>
                  <w:vAlign w:val="center"/>
                  <w:hideMark/>
                </w:tcPr>
                <w:p w14:paraId="22A6AA7B" w14:textId="293E0126"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w:t>
                  </w:r>
                  <w:r w:rsidR="00DF37D6">
                    <w:rPr>
                      <w:sz w:val="20"/>
                      <w:szCs w:val="20"/>
                      <w:lang w:eastAsia="sk-SK"/>
                    </w:rPr>
                    <w:t xml:space="preserve"> </w:t>
                  </w:r>
                  <w:r w:rsidRPr="00666033">
                    <w:rPr>
                      <w:sz w:val="20"/>
                      <w:szCs w:val="20"/>
                      <w:lang w:eastAsia="sk-SK"/>
                    </w:rPr>
                    <w:t>0,018</w:t>
                  </w:r>
                </w:p>
              </w:tc>
            </w:tr>
            <w:tr w:rsidR="00666033" w:rsidRPr="00666033" w14:paraId="12FE141E" w14:textId="77777777" w:rsidTr="00666033">
              <w:trPr>
                <w:trHeight w:val="255"/>
              </w:trPr>
              <w:tc>
                <w:tcPr>
                  <w:tcW w:w="4340" w:type="dxa"/>
                  <w:tcBorders>
                    <w:top w:val="nil"/>
                    <w:left w:val="nil"/>
                    <w:bottom w:val="nil"/>
                    <w:right w:val="nil"/>
                  </w:tcBorders>
                  <w:vAlign w:val="center"/>
                  <w:hideMark/>
                </w:tcPr>
                <w:p w14:paraId="2CCE536B" w14:textId="6FA4FB58" w:rsidR="00666033" w:rsidRPr="00666033" w:rsidRDefault="00B40F4C" w:rsidP="00CA753E">
                  <w:pPr>
                    <w:spacing w:after="0" w:line="240" w:lineRule="auto"/>
                    <w:rPr>
                      <w:sz w:val="20"/>
                      <w:szCs w:val="20"/>
                      <w:lang w:eastAsia="sk-SK"/>
                    </w:rPr>
                  </w:pPr>
                  <w:r>
                    <w:rPr>
                      <w:sz w:val="20"/>
                      <w:szCs w:val="20"/>
                      <w:lang w:eastAsia="sk-SK"/>
                    </w:rPr>
                    <w:t>S</w:t>
                  </w:r>
                  <w:r w:rsidR="00666033" w:rsidRPr="00666033">
                    <w:rPr>
                      <w:sz w:val="20"/>
                      <w:szCs w:val="20"/>
                      <w:lang w:eastAsia="sk-SK"/>
                    </w:rPr>
                    <w:t>ubvencie na zelenú energiu</w:t>
                  </w:r>
                </w:p>
              </w:tc>
              <w:tc>
                <w:tcPr>
                  <w:tcW w:w="1900" w:type="dxa"/>
                  <w:tcBorders>
                    <w:top w:val="nil"/>
                    <w:left w:val="nil"/>
                    <w:bottom w:val="nil"/>
                    <w:right w:val="nil"/>
                  </w:tcBorders>
                  <w:noWrap/>
                  <w:vAlign w:val="center"/>
                  <w:hideMark/>
                </w:tcPr>
                <w:p w14:paraId="02630093"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-28 482</w:t>
                  </w:r>
                </w:p>
              </w:tc>
              <w:tc>
                <w:tcPr>
                  <w:tcW w:w="2260" w:type="dxa"/>
                  <w:tcBorders>
                    <w:top w:val="nil"/>
                    <w:left w:val="nil"/>
                    <w:bottom w:val="nil"/>
                    <w:right w:val="nil"/>
                  </w:tcBorders>
                  <w:noWrap/>
                  <w:vAlign w:val="center"/>
                  <w:hideMark/>
                </w:tcPr>
                <w:p w14:paraId="2B19AC92" w14:textId="4ABECBF2"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w:t>
                  </w:r>
                  <w:r w:rsidR="00DF37D6">
                    <w:rPr>
                      <w:sz w:val="20"/>
                      <w:szCs w:val="20"/>
                      <w:lang w:eastAsia="sk-SK"/>
                    </w:rPr>
                    <w:t xml:space="preserve"> </w:t>
                  </w:r>
                  <w:r w:rsidRPr="00666033">
                    <w:rPr>
                      <w:sz w:val="20"/>
                      <w:szCs w:val="20"/>
                      <w:lang w:eastAsia="sk-SK"/>
                    </w:rPr>
                    <w:t>0,022</w:t>
                  </w:r>
                </w:p>
              </w:tc>
            </w:tr>
            <w:tr w:rsidR="00666033" w:rsidRPr="00666033" w14:paraId="3F91766D" w14:textId="77777777" w:rsidTr="00666033">
              <w:trPr>
                <w:trHeight w:val="255"/>
              </w:trPr>
              <w:tc>
                <w:tcPr>
                  <w:tcW w:w="4340" w:type="dxa"/>
                  <w:tcBorders>
                    <w:top w:val="nil"/>
                    <w:left w:val="nil"/>
                    <w:bottom w:val="nil"/>
                    <w:right w:val="nil"/>
                  </w:tcBorders>
                  <w:vAlign w:val="center"/>
                  <w:hideMark/>
                </w:tcPr>
                <w:p w14:paraId="38567A6C" w14:textId="77777777" w:rsidR="00666033" w:rsidRPr="00666033" w:rsidRDefault="00666033" w:rsidP="00CA753E">
                  <w:pPr>
                    <w:spacing w:after="0" w:line="240" w:lineRule="auto"/>
                    <w:rPr>
                      <w:sz w:val="20"/>
                      <w:szCs w:val="20"/>
                      <w:lang w:eastAsia="sk-SK"/>
                    </w:rPr>
                  </w:pPr>
                  <w:r w:rsidRPr="00666033">
                    <w:rPr>
                      <w:sz w:val="20"/>
                      <w:szCs w:val="20"/>
                      <w:lang w:eastAsia="sk-SK"/>
                    </w:rPr>
                    <w:t>Superdividenda</w:t>
                  </w:r>
                </w:p>
              </w:tc>
              <w:tc>
                <w:tcPr>
                  <w:tcW w:w="1900" w:type="dxa"/>
                  <w:tcBorders>
                    <w:top w:val="nil"/>
                    <w:left w:val="nil"/>
                    <w:bottom w:val="nil"/>
                    <w:right w:val="nil"/>
                  </w:tcBorders>
                  <w:noWrap/>
                  <w:vAlign w:val="center"/>
                  <w:hideMark/>
                </w:tcPr>
                <w:p w14:paraId="68A34B90"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-30</w:t>
                  </w:r>
                </w:p>
              </w:tc>
              <w:tc>
                <w:tcPr>
                  <w:tcW w:w="2260" w:type="dxa"/>
                  <w:tcBorders>
                    <w:top w:val="nil"/>
                    <w:left w:val="nil"/>
                    <w:bottom w:val="nil"/>
                    <w:right w:val="nil"/>
                  </w:tcBorders>
                  <w:noWrap/>
                  <w:vAlign w:val="center"/>
                  <w:hideMark/>
                </w:tcPr>
                <w:p w14:paraId="5B96B458" w14:textId="77777777"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0,000</w:t>
                  </w:r>
                </w:p>
              </w:tc>
            </w:tr>
            <w:tr w:rsidR="00666033" w:rsidRPr="00666033" w14:paraId="0CDDFD22" w14:textId="77777777" w:rsidTr="00666033">
              <w:trPr>
                <w:trHeight w:val="255"/>
              </w:trPr>
              <w:tc>
                <w:tcPr>
                  <w:tcW w:w="4340" w:type="dxa"/>
                  <w:tcBorders>
                    <w:top w:val="nil"/>
                    <w:left w:val="nil"/>
                    <w:bottom w:val="nil"/>
                    <w:right w:val="nil"/>
                  </w:tcBorders>
                  <w:vAlign w:val="center"/>
                  <w:hideMark/>
                </w:tcPr>
                <w:p w14:paraId="4A790100" w14:textId="77777777" w:rsidR="00666033" w:rsidRPr="00666033" w:rsidRDefault="00666033" w:rsidP="00CA753E">
                  <w:pPr>
                    <w:spacing w:after="0" w:line="240" w:lineRule="auto"/>
                    <w:rPr>
                      <w:sz w:val="20"/>
                      <w:szCs w:val="20"/>
                      <w:lang w:eastAsia="sk-SK"/>
                    </w:rPr>
                  </w:pPr>
                  <w:r w:rsidRPr="00666033">
                    <w:rPr>
                      <w:sz w:val="20"/>
                      <w:szCs w:val="20"/>
                      <w:lang w:eastAsia="sk-SK"/>
                    </w:rPr>
                    <w:t>Akrualizácia UMTS licencie</w:t>
                  </w:r>
                </w:p>
              </w:tc>
              <w:tc>
                <w:tcPr>
                  <w:tcW w:w="1900" w:type="dxa"/>
                  <w:tcBorders>
                    <w:top w:val="nil"/>
                    <w:left w:val="nil"/>
                    <w:bottom w:val="nil"/>
                    <w:right w:val="nil"/>
                  </w:tcBorders>
                  <w:noWrap/>
                  <w:vAlign w:val="center"/>
                  <w:hideMark/>
                </w:tcPr>
                <w:p w14:paraId="1F2828D4"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4 172</w:t>
                  </w:r>
                </w:p>
              </w:tc>
              <w:tc>
                <w:tcPr>
                  <w:tcW w:w="2260" w:type="dxa"/>
                  <w:tcBorders>
                    <w:top w:val="nil"/>
                    <w:left w:val="nil"/>
                    <w:bottom w:val="nil"/>
                    <w:right w:val="nil"/>
                  </w:tcBorders>
                  <w:noWrap/>
                  <w:vAlign w:val="center"/>
                  <w:hideMark/>
                </w:tcPr>
                <w:p w14:paraId="62B31FF6" w14:textId="77777777" w:rsidR="00666033" w:rsidRPr="00666033" w:rsidRDefault="00666033" w:rsidP="00CA753E">
                  <w:pPr>
                    <w:tabs>
                      <w:tab w:val="decimal" w:pos="273"/>
                    </w:tabs>
                    <w:spacing w:after="0" w:line="240" w:lineRule="auto"/>
                    <w:jc w:val="center"/>
                    <w:rPr>
                      <w:sz w:val="20"/>
                      <w:szCs w:val="20"/>
                      <w:lang w:eastAsia="sk-SK"/>
                    </w:rPr>
                  </w:pPr>
                  <w:r w:rsidRPr="00666033">
                    <w:rPr>
                      <w:sz w:val="20"/>
                      <w:szCs w:val="20"/>
                      <w:lang w:eastAsia="sk-SK"/>
                    </w:rPr>
                    <w:t>0,003</w:t>
                  </w:r>
                </w:p>
              </w:tc>
            </w:tr>
            <w:tr w:rsidR="00666033" w:rsidRPr="00666033" w14:paraId="4CD9B65C" w14:textId="77777777" w:rsidTr="00F14067">
              <w:trPr>
                <w:trHeight w:val="255"/>
              </w:trPr>
              <w:tc>
                <w:tcPr>
                  <w:tcW w:w="4340" w:type="dxa"/>
                  <w:tcBorders>
                    <w:top w:val="nil"/>
                    <w:left w:val="nil"/>
                    <w:bottom w:val="single" w:sz="4" w:space="0" w:color="auto"/>
                    <w:right w:val="nil"/>
                  </w:tcBorders>
                  <w:vAlign w:val="center"/>
                  <w:hideMark/>
                </w:tcPr>
                <w:p w14:paraId="3B44AFE2" w14:textId="77777777" w:rsidR="00666033" w:rsidRPr="00666033" w:rsidRDefault="00666033" w:rsidP="00CA753E">
                  <w:pPr>
                    <w:spacing w:after="0" w:line="240" w:lineRule="auto"/>
                    <w:rPr>
                      <w:sz w:val="20"/>
                      <w:szCs w:val="20"/>
                      <w:lang w:eastAsia="sk-SK"/>
                    </w:rPr>
                  </w:pPr>
                  <w:r w:rsidRPr="00666033">
                    <w:rPr>
                      <w:sz w:val="20"/>
                      <w:szCs w:val="20"/>
                      <w:lang w:eastAsia="sk-SK"/>
                    </w:rPr>
                    <w:t>Ostatné úpravy</w:t>
                  </w:r>
                </w:p>
              </w:tc>
              <w:tc>
                <w:tcPr>
                  <w:tcW w:w="1900" w:type="dxa"/>
                  <w:tcBorders>
                    <w:top w:val="nil"/>
                    <w:left w:val="nil"/>
                    <w:bottom w:val="single" w:sz="4" w:space="0" w:color="auto"/>
                    <w:right w:val="nil"/>
                  </w:tcBorders>
                  <w:noWrap/>
                  <w:vAlign w:val="center"/>
                  <w:hideMark/>
                </w:tcPr>
                <w:p w14:paraId="551C4339" w14:textId="77777777" w:rsidR="00666033" w:rsidRPr="00666033" w:rsidRDefault="00666033" w:rsidP="00CA753E">
                  <w:pPr>
                    <w:spacing w:after="0" w:line="240" w:lineRule="auto"/>
                    <w:jc w:val="right"/>
                    <w:rPr>
                      <w:sz w:val="20"/>
                      <w:szCs w:val="20"/>
                      <w:lang w:eastAsia="sk-SK"/>
                    </w:rPr>
                  </w:pPr>
                  <w:r w:rsidRPr="00666033">
                    <w:rPr>
                      <w:sz w:val="20"/>
                      <w:szCs w:val="20"/>
                      <w:lang w:eastAsia="sk-SK"/>
                    </w:rPr>
                    <w:t>1 309</w:t>
                  </w:r>
                </w:p>
              </w:tc>
              <w:tc>
                <w:tcPr>
                  <w:tcW w:w="2260" w:type="dxa"/>
                  <w:tcBorders>
                    <w:top w:val="nil"/>
                    <w:left w:val="nil"/>
                    <w:bottom w:val="single" w:sz="4" w:space="0" w:color="auto"/>
                    <w:right w:val="nil"/>
                  </w:tcBorders>
                  <w:noWrap/>
                  <w:vAlign w:val="center"/>
                  <w:hideMark/>
                </w:tcPr>
                <w:p w14:paraId="384BBE8B" w14:textId="424AF5DA" w:rsidR="00666033" w:rsidRPr="00666033" w:rsidRDefault="00EE5AC6" w:rsidP="00CA753E">
                  <w:pPr>
                    <w:tabs>
                      <w:tab w:val="decimal" w:pos="273"/>
                    </w:tabs>
                    <w:spacing w:after="0" w:line="240" w:lineRule="auto"/>
                    <w:jc w:val="center"/>
                    <w:rPr>
                      <w:sz w:val="20"/>
                      <w:szCs w:val="20"/>
                      <w:lang w:eastAsia="sk-SK"/>
                    </w:rPr>
                  </w:pPr>
                  <w:r>
                    <w:rPr>
                      <w:sz w:val="20"/>
                      <w:szCs w:val="20"/>
                      <w:lang w:eastAsia="sk-SK"/>
                    </w:rPr>
                    <w:t xml:space="preserve">    </w:t>
                  </w:r>
                  <w:r w:rsidR="00666033" w:rsidRPr="00666033">
                    <w:rPr>
                      <w:sz w:val="20"/>
                      <w:szCs w:val="20"/>
                      <w:lang w:eastAsia="sk-SK"/>
                    </w:rPr>
                    <w:t>0,001</w:t>
                  </w:r>
                </w:p>
              </w:tc>
            </w:tr>
            <w:tr w:rsidR="00B40F4C" w:rsidRPr="00666033" w14:paraId="6E55D9DF" w14:textId="77777777" w:rsidTr="00F14067">
              <w:trPr>
                <w:trHeight w:val="355"/>
              </w:trPr>
              <w:tc>
                <w:tcPr>
                  <w:tcW w:w="4340" w:type="dxa"/>
                  <w:tcBorders>
                    <w:top w:val="single" w:sz="4" w:space="0" w:color="auto"/>
                    <w:left w:val="nil"/>
                    <w:bottom w:val="single" w:sz="4" w:space="0" w:color="auto"/>
                    <w:right w:val="nil"/>
                  </w:tcBorders>
                  <w:noWrap/>
                  <w:vAlign w:val="center"/>
                  <w:hideMark/>
                </w:tcPr>
                <w:p w14:paraId="5735B56C" w14:textId="468F2603" w:rsidR="00B40F4C" w:rsidRPr="00666033" w:rsidRDefault="00B40F4C" w:rsidP="00CA753E">
                  <w:pPr>
                    <w:spacing w:after="0" w:line="240" w:lineRule="auto"/>
                    <w:rPr>
                      <w:b/>
                      <w:bCs/>
                      <w:sz w:val="20"/>
                      <w:szCs w:val="20"/>
                      <w:lang w:eastAsia="sk-SK"/>
                    </w:rPr>
                  </w:pPr>
                  <w:r w:rsidRPr="00666033">
                    <w:rPr>
                      <w:b/>
                      <w:bCs/>
                      <w:sz w:val="20"/>
                      <w:szCs w:val="20"/>
                      <w:lang w:eastAsia="sk-SK"/>
                    </w:rPr>
                    <w:t>Zmena celkom</w:t>
                  </w:r>
                </w:p>
              </w:tc>
              <w:tc>
                <w:tcPr>
                  <w:tcW w:w="1900" w:type="dxa"/>
                  <w:tcBorders>
                    <w:top w:val="single" w:sz="4" w:space="0" w:color="auto"/>
                    <w:left w:val="nil"/>
                    <w:bottom w:val="single" w:sz="4" w:space="0" w:color="auto"/>
                    <w:right w:val="nil"/>
                  </w:tcBorders>
                  <w:noWrap/>
                  <w:vAlign w:val="center"/>
                  <w:hideMark/>
                </w:tcPr>
                <w:p w14:paraId="427DCD72" w14:textId="59DC55D1" w:rsidR="00B40F4C" w:rsidRPr="00666033" w:rsidRDefault="00B40F4C" w:rsidP="00CA753E">
                  <w:pPr>
                    <w:spacing w:after="0" w:line="240" w:lineRule="auto"/>
                    <w:jc w:val="right"/>
                    <w:rPr>
                      <w:b/>
                      <w:bCs/>
                      <w:sz w:val="20"/>
                      <w:szCs w:val="20"/>
                      <w:lang w:eastAsia="sk-SK"/>
                    </w:rPr>
                  </w:pPr>
                  <w:r w:rsidRPr="00666033">
                    <w:rPr>
                      <w:b/>
                      <w:bCs/>
                      <w:sz w:val="20"/>
                      <w:szCs w:val="20"/>
                      <w:lang w:eastAsia="sk-SK"/>
                    </w:rPr>
                    <w:t>-250 330</w:t>
                  </w:r>
                </w:p>
              </w:tc>
              <w:tc>
                <w:tcPr>
                  <w:tcW w:w="2260" w:type="dxa"/>
                  <w:tcBorders>
                    <w:top w:val="single" w:sz="4" w:space="0" w:color="auto"/>
                    <w:left w:val="nil"/>
                    <w:bottom w:val="single" w:sz="4" w:space="0" w:color="auto"/>
                    <w:right w:val="nil"/>
                  </w:tcBorders>
                  <w:noWrap/>
                  <w:vAlign w:val="center"/>
                  <w:hideMark/>
                </w:tcPr>
                <w:p w14:paraId="6F3F66C1" w14:textId="31546E81" w:rsidR="00B40F4C" w:rsidRPr="00666033" w:rsidRDefault="00B40F4C" w:rsidP="00CA753E">
                  <w:pPr>
                    <w:spacing w:after="0" w:line="240" w:lineRule="auto"/>
                    <w:jc w:val="center"/>
                    <w:rPr>
                      <w:b/>
                      <w:bCs/>
                      <w:sz w:val="20"/>
                      <w:szCs w:val="20"/>
                      <w:lang w:eastAsia="sk-SK"/>
                    </w:rPr>
                  </w:pPr>
                </w:p>
              </w:tc>
            </w:tr>
            <w:tr w:rsidR="00666033" w:rsidRPr="00666033" w14:paraId="15B1E539" w14:textId="77777777" w:rsidTr="00F14067">
              <w:trPr>
                <w:trHeight w:val="407"/>
              </w:trPr>
              <w:tc>
                <w:tcPr>
                  <w:tcW w:w="4340" w:type="dxa"/>
                  <w:tcBorders>
                    <w:top w:val="single" w:sz="4" w:space="0" w:color="auto"/>
                    <w:left w:val="nil"/>
                    <w:bottom w:val="single" w:sz="4" w:space="0" w:color="auto"/>
                    <w:right w:val="nil"/>
                  </w:tcBorders>
                  <w:vAlign w:val="center"/>
                  <w:hideMark/>
                </w:tcPr>
                <w:p w14:paraId="6E941F3E" w14:textId="77777777" w:rsidR="00666033" w:rsidRPr="00666033" w:rsidRDefault="00666033" w:rsidP="00CA753E">
                  <w:pPr>
                    <w:spacing w:after="0" w:line="240" w:lineRule="auto"/>
                    <w:rPr>
                      <w:b/>
                      <w:bCs/>
                      <w:color w:val="000000"/>
                      <w:sz w:val="20"/>
                      <w:szCs w:val="20"/>
                      <w:lang w:eastAsia="sk-SK"/>
                    </w:rPr>
                  </w:pPr>
                  <w:r w:rsidRPr="00666033">
                    <w:rPr>
                      <w:b/>
                      <w:bCs/>
                      <w:color w:val="000000"/>
                      <w:sz w:val="20"/>
                      <w:szCs w:val="20"/>
                      <w:lang w:eastAsia="sk-SK"/>
                    </w:rPr>
                    <w:t>Schodok VS - október 2025</w:t>
                  </w:r>
                </w:p>
              </w:tc>
              <w:tc>
                <w:tcPr>
                  <w:tcW w:w="1900" w:type="dxa"/>
                  <w:tcBorders>
                    <w:top w:val="single" w:sz="4" w:space="0" w:color="auto"/>
                    <w:left w:val="nil"/>
                    <w:bottom w:val="single" w:sz="4" w:space="0" w:color="auto"/>
                    <w:right w:val="nil"/>
                  </w:tcBorders>
                  <w:vAlign w:val="center"/>
                  <w:hideMark/>
                </w:tcPr>
                <w:p w14:paraId="437F88A1" w14:textId="77777777" w:rsidR="00666033" w:rsidRPr="00666033" w:rsidRDefault="00666033" w:rsidP="00CA753E">
                  <w:pPr>
                    <w:spacing w:after="0" w:line="240" w:lineRule="auto"/>
                    <w:jc w:val="right"/>
                    <w:rPr>
                      <w:b/>
                      <w:bCs/>
                      <w:color w:val="000000"/>
                      <w:sz w:val="20"/>
                      <w:szCs w:val="20"/>
                      <w:lang w:eastAsia="sk-SK"/>
                    </w:rPr>
                  </w:pPr>
                  <w:r w:rsidRPr="00666033">
                    <w:rPr>
                      <w:b/>
                      <w:bCs/>
                      <w:color w:val="000000"/>
                      <w:sz w:val="20"/>
                      <w:szCs w:val="20"/>
                      <w:lang w:eastAsia="sk-SK"/>
                    </w:rPr>
                    <w:t>-7 157 068</w:t>
                  </w:r>
                </w:p>
              </w:tc>
              <w:tc>
                <w:tcPr>
                  <w:tcW w:w="2260" w:type="dxa"/>
                  <w:tcBorders>
                    <w:top w:val="single" w:sz="4" w:space="0" w:color="auto"/>
                    <w:left w:val="nil"/>
                    <w:bottom w:val="single" w:sz="4" w:space="0" w:color="auto"/>
                    <w:right w:val="nil"/>
                  </w:tcBorders>
                  <w:vAlign w:val="center"/>
                  <w:hideMark/>
                </w:tcPr>
                <w:p w14:paraId="0EA9731D" w14:textId="77777777" w:rsidR="00666033" w:rsidRPr="00666033" w:rsidRDefault="00666033" w:rsidP="00CA753E">
                  <w:pPr>
                    <w:spacing w:after="0" w:line="240" w:lineRule="auto"/>
                    <w:jc w:val="center"/>
                    <w:rPr>
                      <w:b/>
                      <w:bCs/>
                      <w:color w:val="000000"/>
                      <w:sz w:val="20"/>
                      <w:szCs w:val="20"/>
                      <w:lang w:eastAsia="sk-SK"/>
                    </w:rPr>
                  </w:pPr>
                  <w:r w:rsidRPr="00666033">
                    <w:rPr>
                      <w:b/>
                      <w:bCs/>
                      <w:color w:val="000000"/>
                      <w:sz w:val="20"/>
                      <w:szCs w:val="20"/>
                      <w:lang w:eastAsia="sk-SK"/>
                    </w:rPr>
                    <w:t>-5,50</w:t>
                  </w:r>
                </w:p>
              </w:tc>
            </w:tr>
            <w:tr w:rsidR="00666033" w:rsidRPr="00666033" w14:paraId="6069D3EE" w14:textId="77777777" w:rsidTr="00F14067">
              <w:trPr>
                <w:trHeight w:val="825"/>
              </w:trPr>
              <w:tc>
                <w:tcPr>
                  <w:tcW w:w="6240" w:type="dxa"/>
                  <w:gridSpan w:val="2"/>
                  <w:tcBorders>
                    <w:top w:val="single" w:sz="4" w:space="0" w:color="auto"/>
                    <w:left w:val="nil"/>
                    <w:bottom w:val="nil"/>
                    <w:right w:val="nil"/>
                  </w:tcBorders>
                  <w:hideMark/>
                </w:tcPr>
                <w:p w14:paraId="64B36C55" w14:textId="41D0B029" w:rsidR="00666033" w:rsidRPr="00666033" w:rsidRDefault="00666033" w:rsidP="00CA753E">
                  <w:pPr>
                    <w:spacing w:before="120" w:after="0" w:line="240" w:lineRule="auto"/>
                    <w:rPr>
                      <w:sz w:val="16"/>
                      <w:szCs w:val="16"/>
                      <w:lang w:eastAsia="sk-SK"/>
                    </w:rPr>
                  </w:pPr>
                  <w:r w:rsidRPr="00666033">
                    <w:rPr>
                      <w:sz w:val="16"/>
                      <w:szCs w:val="16"/>
                      <w:vertAlign w:val="superscript"/>
                      <w:lang w:eastAsia="sk-SK"/>
                    </w:rPr>
                    <w:t>1)</w:t>
                  </w:r>
                  <w:r w:rsidRPr="00666033">
                    <w:rPr>
                      <w:sz w:val="16"/>
                      <w:szCs w:val="16"/>
                      <w:lang w:eastAsia="sk-SK"/>
                    </w:rPr>
                    <w:t xml:space="preserve"> Percento schodku z aprílovej notifikácie je vyčíslené v pomere k HDP notifikovanom v apríli 2025. Ostatné percentá sa vyčíslujú v pomere k HDP notifikovanom v októbri 2025.                   </w:t>
                  </w:r>
                </w:p>
              </w:tc>
              <w:tc>
                <w:tcPr>
                  <w:tcW w:w="2260" w:type="dxa"/>
                  <w:tcBorders>
                    <w:top w:val="single" w:sz="4" w:space="0" w:color="auto"/>
                    <w:left w:val="nil"/>
                    <w:bottom w:val="nil"/>
                    <w:right w:val="nil"/>
                  </w:tcBorders>
                  <w:hideMark/>
                </w:tcPr>
                <w:p w14:paraId="524FF4A9" w14:textId="1DD1C3AC" w:rsidR="00666033" w:rsidRPr="00041EA0" w:rsidRDefault="00666033" w:rsidP="00041EA0">
                  <w:pPr>
                    <w:pStyle w:val="zdrojpodtabukou"/>
                  </w:pPr>
                  <w:r w:rsidRPr="00041EA0">
                    <w:t>Zdroj: M</w:t>
                  </w:r>
                  <w:r w:rsidR="00A92A5D" w:rsidRPr="00041EA0">
                    <w:t>F</w:t>
                  </w:r>
                  <w:r w:rsidRPr="00041EA0">
                    <w:t xml:space="preserve"> SR</w:t>
                  </w:r>
                </w:p>
              </w:tc>
            </w:tr>
          </w:tbl>
          <w:p w14:paraId="34BCFF07" w14:textId="578AF85E" w:rsidR="006479B7" w:rsidRPr="006479B7" w:rsidRDefault="006479B7" w:rsidP="00CA753E">
            <w:pPr>
              <w:spacing w:after="0" w:line="240" w:lineRule="auto"/>
              <w:rPr>
                <w:b/>
                <w:bCs/>
                <w:sz w:val="20"/>
                <w:szCs w:val="20"/>
                <w:lang w:eastAsia="sk-SK"/>
              </w:rPr>
            </w:pPr>
          </w:p>
        </w:tc>
        <w:tc>
          <w:tcPr>
            <w:tcW w:w="82" w:type="pct"/>
            <w:tcBorders>
              <w:top w:val="nil"/>
              <w:left w:val="nil"/>
              <w:bottom w:val="nil"/>
              <w:right w:val="nil"/>
            </w:tcBorders>
            <w:vAlign w:val="center"/>
          </w:tcPr>
          <w:p w14:paraId="51907932" w14:textId="29E693F7" w:rsidR="006479B7" w:rsidRPr="006479B7" w:rsidRDefault="006479B7" w:rsidP="00CA753E">
            <w:pPr>
              <w:spacing w:after="0" w:line="240" w:lineRule="auto"/>
              <w:jc w:val="right"/>
              <w:rPr>
                <w:b/>
                <w:bCs/>
                <w:sz w:val="20"/>
                <w:szCs w:val="20"/>
                <w:lang w:eastAsia="sk-SK"/>
              </w:rPr>
            </w:pPr>
          </w:p>
        </w:tc>
        <w:tc>
          <w:tcPr>
            <w:tcW w:w="82" w:type="pct"/>
            <w:tcBorders>
              <w:top w:val="nil"/>
              <w:left w:val="nil"/>
              <w:bottom w:val="nil"/>
              <w:right w:val="nil"/>
            </w:tcBorders>
            <w:vAlign w:val="center"/>
          </w:tcPr>
          <w:p w14:paraId="2E866236" w14:textId="6CD7B278" w:rsidR="006479B7" w:rsidRPr="006479B7" w:rsidRDefault="006479B7" w:rsidP="00CA753E">
            <w:pPr>
              <w:spacing w:after="0" w:line="240" w:lineRule="auto"/>
              <w:jc w:val="center"/>
              <w:rPr>
                <w:b/>
                <w:bCs/>
                <w:sz w:val="20"/>
                <w:szCs w:val="20"/>
                <w:lang w:eastAsia="sk-SK"/>
              </w:rPr>
            </w:pPr>
          </w:p>
        </w:tc>
      </w:tr>
    </w:tbl>
    <w:p w14:paraId="4CB97B8F" w14:textId="6D989BFB" w:rsidR="00431F6E" w:rsidRPr="009D73EA" w:rsidRDefault="00114C4D" w:rsidP="00402C8E">
      <w:pPr>
        <w:spacing w:line="240" w:lineRule="auto"/>
        <w:jc w:val="both"/>
      </w:pPr>
      <w:r>
        <w:br w:type="page"/>
      </w:r>
      <w:r w:rsidR="00DC1800" w:rsidRPr="009D73EA">
        <w:lastRenderedPageBreak/>
        <w:t>Úprava hodnoty schodku verejnej správy vyčísleného v ap</w:t>
      </w:r>
      <w:r w:rsidR="00A476CC" w:rsidRPr="009D73EA">
        <w:t>ríli v Štátnom záverečnom účte bola</w:t>
      </w:r>
      <w:r w:rsidR="00DC1800" w:rsidRPr="009D73EA">
        <w:t xml:space="preserve"> pri jesennej notifikácii ovplyvnená aktualizáciami a metodickými zmenami</w:t>
      </w:r>
      <w:r w:rsidR="008A54C1" w:rsidRPr="009D73EA">
        <w:rPr>
          <w:rStyle w:val="Odkaznapoznmkupodiarou"/>
        </w:rPr>
        <w:footnoteReference w:id="2"/>
      </w:r>
      <w:r w:rsidR="00DC1800" w:rsidRPr="009D73EA">
        <w:t>. Aktualizácie sú každoročne sa opakujúce spresnenia zdrojových dát (napríklad príjem z daní a</w:t>
      </w:r>
      <w:r w:rsidR="006D777A">
        <w:t> </w:t>
      </w:r>
      <w:r w:rsidR="00DC1800" w:rsidRPr="009D73EA">
        <w:t>odvodov</w:t>
      </w:r>
      <w:r w:rsidR="006D777A">
        <w:t xml:space="preserve"> na základe daňových priznaní</w:t>
      </w:r>
      <w:r w:rsidR="00DC1800" w:rsidRPr="009D73EA">
        <w:t xml:space="preserve">) alebo jednorazovo sa vyskytujúce úpravy v danom roku na základe zistenia nových skutočností. </w:t>
      </w:r>
      <w:r w:rsidR="00431F6E" w:rsidRPr="009D73EA">
        <w:t xml:space="preserve">Metodickými zmenami </w:t>
      </w:r>
      <w:r w:rsidR="00B85CBF" w:rsidRPr="009D73EA">
        <w:t xml:space="preserve">sa </w:t>
      </w:r>
      <w:r w:rsidR="00431F6E" w:rsidRPr="009D73EA">
        <w:t>rozum</w:t>
      </w:r>
      <w:r w:rsidR="00B85CBF" w:rsidRPr="009D73EA">
        <w:t>ejú</w:t>
      </w:r>
      <w:r w:rsidR="00431F6E" w:rsidRPr="009D73EA">
        <w:t xml:space="preserve"> úpravy napríklad na základe rozhodnutia Eurostatu o posúdení zaznamenania predmetnej transakcie alebo na</w:t>
      </w:r>
      <w:r w:rsidR="00627A8D" w:rsidRPr="009D73EA">
        <w:t> </w:t>
      </w:r>
      <w:r w:rsidR="00431F6E" w:rsidRPr="009D73EA">
        <w:t>základe záverov dialógovej misie Eurostatu.</w:t>
      </w:r>
    </w:p>
    <w:p w14:paraId="26B137A8" w14:textId="19C50A78" w:rsidR="00492576" w:rsidRPr="00A66376" w:rsidRDefault="00492576" w:rsidP="00492576">
      <w:pPr>
        <w:spacing w:after="120" w:line="240" w:lineRule="auto"/>
        <w:jc w:val="both"/>
        <w:rPr>
          <w:b/>
          <w:color w:val="548DD4" w:themeColor="text2" w:themeTint="99"/>
          <w:sz w:val="24"/>
          <w:szCs w:val="24"/>
        </w:rPr>
      </w:pPr>
      <w:r w:rsidRPr="00A66376">
        <w:rPr>
          <w:b/>
          <w:color w:val="548DD4" w:themeColor="text2" w:themeTint="99"/>
          <w:sz w:val="24"/>
          <w:szCs w:val="24"/>
        </w:rPr>
        <w:t>Najvýznamnejšie aktualizácie schodku verejnej správy pri jesennej notifikácii</w:t>
      </w:r>
    </w:p>
    <w:p w14:paraId="374ABD4D" w14:textId="6AB6F349" w:rsidR="000851CB" w:rsidRPr="000851CB" w:rsidRDefault="0095661A" w:rsidP="00C108D8">
      <w:pPr>
        <w:pStyle w:val="Odsekzoznamu"/>
        <w:numPr>
          <w:ilvl w:val="0"/>
          <w:numId w:val="8"/>
        </w:numPr>
        <w:spacing w:after="120"/>
        <w:ind w:left="567" w:hanging="283"/>
        <w:contextualSpacing w:val="0"/>
        <w:jc w:val="both"/>
      </w:pPr>
      <w:r w:rsidRPr="00582C09">
        <w:rPr>
          <w:rFonts w:cs="Times New Roman"/>
          <w:b/>
        </w:rPr>
        <w:t>Aktualizácia údajov o výške akruálnych daní</w:t>
      </w:r>
      <w:r w:rsidRPr="00582C09">
        <w:rPr>
          <w:rFonts w:cs="Times New Roman"/>
        </w:rPr>
        <w:t xml:space="preserve"> na základe daňových priznaní za rok 2024. Celkový vplyv aktualizácie príjmov z daní bol negatívny v hodnote 2</w:t>
      </w:r>
      <w:r w:rsidR="00D87163">
        <w:rPr>
          <w:rFonts w:cs="Times New Roman"/>
        </w:rPr>
        <w:t>63</w:t>
      </w:r>
      <w:r>
        <w:rPr>
          <w:rFonts w:cs="Times New Roman"/>
        </w:rPr>
        <w:t> </w:t>
      </w:r>
      <w:r w:rsidR="00D87163">
        <w:rPr>
          <w:rFonts w:cs="Times New Roman"/>
        </w:rPr>
        <w:t>547</w:t>
      </w:r>
      <w:r>
        <w:rPr>
          <w:rFonts w:cs="Times New Roman"/>
        </w:rPr>
        <w:t> </w:t>
      </w:r>
      <w:r w:rsidRPr="00582C09">
        <w:rPr>
          <w:rFonts w:cs="Times New Roman"/>
        </w:rPr>
        <w:t>tis. </w:t>
      </w:r>
      <w:r w:rsidRPr="003A497F">
        <w:rPr>
          <w:rFonts w:cs="Times New Roman"/>
        </w:rPr>
        <w:t xml:space="preserve">eur, z toho najväčší vplyv mal </w:t>
      </w:r>
      <w:r>
        <w:rPr>
          <w:rFonts w:cs="Times New Roman"/>
        </w:rPr>
        <w:t>výpadok s</w:t>
      </w:r>
      <w:r w:rsidRPr="003A497F">
        <w:rPr>
          <w:rFonts w:cs="Times New Roman"/>
        </w:rPr>
        <w:t>olidárn</w:t>
      </w:r>
      <w:r>
        <w:rPr>
          <w:rFonts w:cs="Times New Roman"/>
        </w:rPr>
        <w:t>eho</w:t>
      </w:r>
      <w:r w:rsidRPr="003A497F">
        <w:rPr>
          <w:rFonts w:cs="Times New Roman"/>
        </w:rPr>
        <w:t xml:space="preserve"> príspevk</w:t>
      </w:r>
      <w:r>
        <w:rPr>
          <w:rFonts w:cs="Times New Roman"/>
        </w:rPr>
        <w:t>u</w:t>
      </w:r>
      <w:r w:rsidRPr="003A497F">
        <w:rPr>
          <w:rStyle w:val="Odkaznapoznmkupodiarou"/>
        </w:rPr>
        <w:footnoteReference w:id="3"/>
      </w:r>
      <w:r w:rsidRPr="003A497F">
        <w:rPr>
          <w:rFonts w:cs="Times New Roman"/>
        </w:rPr>
        <w:t xml:space="preserve"> (pokles o</w:t>
      </w:r>
      <w:r>
        <w:rPr>
          <w:rFonts w:cs="Times New Roman"/>
        </w:rPr>
        <w:t> </w:t>
      </w:r>
      <w:r w:rsidRPr="003A497F">
        <w:rPr>
          <w:rFonts w:cs="Times New Roman"/>
        </w:rPr>
        <w:t>155</w:t>
      </w:r>
      <w:r>
        <w:rPr>
          <w:rFonts w:cs="Times New Roman"/>
        </w:rPr>
        <w:t> </w:t>
      </w:r>
      <w:r w:rsidRPr="003A497F">
        <w:rPr>
          <w:rFonts w:cs="Times New Roman"/>
        </w:rPr>
        <w:t xml:space="preserve">750 tis. eur). Jediná spoločnosť, ktorá mala byť predmetom tejto dane, ju nezaplatila, pretože nespĺňala </w:t>
      </w:r>
      <w:r>
        <w:rPr>
          <w:rFonts w:cs="Times New Roman"/>
        </w:rPr>
        <w:t xml:space="preserve">podľa nej zákonom stanovené </w:t>
      </w:r>
      <w:r w:rsidRPr="003A497F">
        <w:rPr>
          <w:rFonts w:cs="Times New Roman"/>
        </w:rPr>
        <w:t xml:space="preserve">kritériá. </w:t>
      </w:r>
      <w:r w:rsidR="00D87163">
        <w:rPr>
          <w:rFonts w:cs="Times New Roman"/>
        </w:rPr>
        <w:t>Na</w:t>
      </w:r>
      <w:r w:rsidR="00410F95">
        <w:rPr>
          <w:rFonts w:cs="Times New Roman"/>
        </w:rPr>
        <w:t> </w:t>
      </w:r>
      <w:r w:rsidR="00D87163">
        <w:rPr>
          <w:rFonts w:cs="Times New Roman"/>
        </w:rPr>
        <w:t>schodok n</w:t>
      </w:r>
      <w:r w:rsidRPr="003A497F">
        <w:rPr>
          <w:rFonts w:cs="Times New Roman"/>
        </w:rPr>
        <w:t xml:space="preserve">egatívne vplývali </w:t>
      </w:r>
      <w:r w:rsidR="00D87163">
        <w:rPr>
          <w:rFonts w:cs="Times New Roman"/>
        </w:rPr>
        <w:t xml:space="preserve">aj </w:t>
      </w:r>
      <w:r w:rsidRPr="003A497F">
        <w:rPr>
          <w:rFonts w:cs="Times New Roman"/>
        </w:rPr>
        <w:t>príjmy z DPPO (pokles o</w:t>
      </w:r>
      <w:r>
        <w:rPr>
          <w:rFonts w:cs="Times New Roman"/>
        </w:rPr>
        <w:t> </w:t>
      </w:r>
      <w:r w:rsidRPr="003A497F">
        <w:rPr>
          <w:rFonts w:cs="Times New Roman"/>
        </w:rPr>
        <w:t>44</w:t>
      </w:r>
      <w:r>
        <w:rPr>
          <w:rFonts w:cs="Times New Roman"/>
        </w:rPr>
        <w:t> </w:t>
      </w:r>
      <w:r w:rsidRPr="003A497F">
        <w:rPr>
          <w:rFonts w:cs="Times New Roman"/>
        </w:rPr>
        <w:t xml:space="preserve">936 tis. eur) a DPFO (pokles </w:t>
      </w:r>
      <w:r w:rsidRPr="003A497F">
        <w:t>o</w:t>
      </w:r>
      <w:r>
        <w:t> </w:t>
      </w:r>
      <w:r w:rsidRPr="003A497F">
        <w:t>21</w:t>
      </w:r>
      <w:r>
        <w:t> </w:t>
      </w:r>
      <w:r w:rsidRPr="003A497F">
        <w:t>510 </w:t>
      </w:r>
      <w:r w:rsidRPr="003A497F">
        <w:rPr>
          <w:rFonts w:cs="Times New Roman"/>
        </w:rPr>
        <w:t>tis. eur), ktoré sa aktualizovali na základe podaných daňových priznaní</w:t>
      </w:r>
      <w:r>
        <w:rPr>
          <w:rFonts w:cs="Times New Roman"/>
        </w:rPr>
        <w:t>, informácií o uplatnenom daňovom bonuse a</w:t>
      </w:r>
      <w:r w:rsidR="00D87163">
        <w:rPr>
          <w:rFonts w:cs="Times New Roman"/>
        </w:rPr>
        <w:t> podobne. Zároveň poklesli daňové príjmy zo zelenej energie (o 62 174 tis. eur) na základe aktualizovaných údajov z URSO</w:t>
      </w:r>
      <w:r w:rsidRPr="003A497F">
        <w:rPr>
          <w:rFonts w:cs="Times New Roman"/>
        </w:rPr>
        <w:t>. Tieto poklesy boli čiastočne kompenzované zvýšením príjmov z DPH o 10</w:t>
      </w:r>
      <w:r>
        <w:rPr>
          <w:rFonts w:cs="Times New Roman"/>
        </w:rPr>
        <w:t> </w:t>
      </w:r>
      <w:r w:rsidRPr="003A497F">
        <w:rPr>
          <w:rFonts w:cs="Times New Roman"/>
        </w:rPr>
        <w:t>274</w:t>
      </w:r>
      <w:r>
        <w:rPr>
          <w:rFonts w:cs="Times New Roman"/>
        </w:rPr>
        <w:t> </w:t>
      </w:r>
      <w:r w:rsidRPr="003A497F">
        <w:rPr>
          <w:rFonts w:cs="Times New Roman"/>
        </w:rPr>
        <w:t>tis.</w:t>
      </w:r>
      <w:r>
        <w:rPr>
          <w:rFonts w:cs="Times New Roman"/>
        </w:rPr>
        <w:t> </w:t>
      </w:r>
      <w:r w:rsidRPr="003A497F">
        <w:rPr>
          <w:rFonts w:cs="Times New Roman"/>
        </w:rPr>
        <w:t>eur</w:t>
      </w:r>
      <w:r w:rsidR="00D87163">
        <w:rPr>
          <w:rFonts w:cs="Times New Roman"/>
        </w:rPr>
        <w:t xml:space="preserve"> </w:t>
      </w:r>
      <w:r w:rsidRPr="003A497F">
        <w:rPr>
          <w:rFonts w:cs="Times New Roman"/>
        </w:rPr>
        <w:t xml:space="preserve">a zvýšením príjmov z osobitného odvodu z podnikania v reg. </w:t>
      </w:r>
      <w:r>
        <w:rPr>
          <w:rFonts w:cs="Times New Roman"/>
        </w:rPr>
        <w:t>o</w:t>
      </w:r>
      <w:r w:rsidRPr="003A497F">
        <w:rPr>
          <w:rFonts w:cs="Times New Roman"/>
        </w:rPr>
        <w:t>dvetviach</w:t>
      </w:r>
      <w:r>
        <w:rPr>
          <w:rFonts w:cs="Times New Roman"/>
        </w:rPr>
        <w:t xml:space="preserve"> </w:t>
      </w:r>
      <w:r w:rsidRPr="003A64E8">
        <w:rPr>
          <w:rFonts w:cs="Times New Roman"/>
        </w:rPr>
        <w:t>o 7</w:t>
      </w:r>
      <w:r>
        <w:rPr>
          <w:rFonts w:cs="Times New Roman"/>
        </w:rPr>
        <w:t> </w:t>
      </w:r>
      <w:r w:rsidRPr="003A64E8">
        <w:rPr>
          <w:rFonts w:cs="Times New Roman"/>
        </w:rPr>
        <w:t>387</w:t>
      </w:r>
      <w:r>
        <w:rPr>
          <w:rFonts w:cs="Times New Roman"/>
        </w:rPr>
        <w:t> </w:t>
      </w:r>
      <w:r w:rsidRPr="003A64E8">
        <w:rPr>
          <w:rFonts w:cs="Times New Roman"/>
        </w:rPr>
        <w:t>tis.</w:t>
      </w:r>
      <w:r>
        <w:rPr>
          <w:rFonts w:cs="Times New Roman"/>
        </w:rPr>
        <w:t> </w:t>
      </w:r>
      <w:r w:rsidRPr="003A64E8">
        <w:rPr>
          <w:rFonts w:cs="Times New Roman"/>
        </w:rPr>
        <w:t>eur</w:t>
      </w:r>
      <w:r w:rsidR="000851CB">
        <w:rPr>
          <w:rFonts w:cs="Times New Roman"/>
        </w:rPr>
        <w:t>.</w:t>
      </w:r>
    </w:p>
    <w:p w14:paraId="190B5922" w14:textId="5C6C06B9" w:rsidR="003F3F98" w:rsidRPr="003F3F98" w:rsidRDefault="003F3F98" w:rsidP="006B114A">
      <w:pPr>
        <w:pStyle w:val="Odsekzoznamu"/>
        <w:numPr>
          <w:ilvl w:val="0"/>
          <w:numId w:val="8"/>
        </w:numPr>
        <w:spacing w:after="120"/>
        <w:ind w:left="567" w:hanging="283"/>
        <w:contextualSpacing w:val="0"/>
        <w:jc w:val="both"/>
      </w:pPr>
      <w:r w:rsidRPr="00D87163">
        <w:rPr>
          <w:rFonts w:cs="Times New Roman"/>
          <w:bCs/>
        </w:rPr>
        <w:t>Pozitívny vplyv malo</w:t>
      </w:r>
      <w:r>
        <w:rPr>
          <w:rFonts w:cs="Times New Roman"/>
          <w:b/>
        </w:rPr>
        <w:t xml:space="preserve"> </w:t>
      </w:r>
      <w:r w:rsidRPr="00B03F59">
        <w:rPr>
          <w:rFonts w:cs="Times New Roman"/>
          <w:b/>
        </w:rPr>
        <w:t xml:space="preserve">zvýšenie </w:t>
      </w:r>
      <w:r w:rsidRPr="004D2017">
        <w:rPr>
          <w:b/>
        </w:rPr>
        <w:t>akruálnych sociálnych odvodov</w:t>
      </w:r>
      <w:r w:rsidRPr="003F3F98">
        <w:t xml:space="preserve"> v Sociálnej poisťovni za EAO vyššie o</w:t>
      </w:r>
      <w:r w:rsidR="009D73A9">
        <w:t> </w:t>
      </w:r>
      <w:r w:rsidRPr="003F3F98">
        <w:t>18</w:t>
      </w:r>
      <w:r w:rsidR="009D73A9">
        <w:t> 218 tis</w:t>
      </w:r>
      <w:r w:rsidRPr="003F3F98">
        <w:t>.</w:t>
      </w:r>
      <w:r w:rsidR="009D73A9">
        <w:t> </w:t>
      </w:r>
      <w:r w:rsidRPr="003F3F98">
        <w:t>eur,</w:t>
      </w:r>
      <w:r w:rsidR="0095661A">
        <w:t xml:space="preserve"> čo bolo spôsobené najmä aktuálnymi údajmi za II. pilier.</w:t>
      </w:r>
    </w:p>
    <w:p w14:paraId="6B2806DA" w14:textId="128C7146" w:rsidR="00116941" w:rsidRDefault="00116941" w:rsidP="004D2017">
      <w:pPr>
        <w:pStyle w:val="Odsekzoznamu"/>
        <w:numPr>
          <w:ilvl w:val="0"/>
          <w:numId w:val="8"/>
        </w:numPr>
        <w:spacing w:after="120"/>
        <w:ind w:left="567" w:hanging="283"/>
        <w:contextualSpacing w:val="0"/>
        <w:jc w:val="both"/>
      </w:pPr>
      <w:r w:rsidRPr="001804AE">
        <w:rPr>
          <w:b/>
        </w:rPr>
        <w:t>Aktualizácia pohľadávok a záväzkov subjektov verejnej správy</w:t>
      </w:r>
      <w:r w:rsidR="00402C8E">
        <w:rPr>
          <w:b/>
        </w:rPr>
        <w:t xml:space="preserve"> </w:t>
      </w:r>
      <w:r w:rsidR="00402C8E" w:rsidRPr="001804AE">
        <w:t>na základe predložených účtovných závierok po termíne</w:t>
      </w:r>
      <w:r w:rsidR="00402C8E">
        <w:t xml:space="preserve"> spracovania</w:t>
      </w:r>
      <w:r w:rsidR="00402C8E" w:rsidRPr="001804AE">
        <w:t xml:space="preserve"> jarnej notifikácie</w:t>
      </w:r>
      <w:r w:rsidR="00402C8E">
        <w:t>,</w:t>
      </w:r>
      <w:r w:rsidRPr="001804AE">
        <w:rPr>
          <w:b/>
        </w:rPr>
        <w:t xml:space="preserve"> </w:t>
      </w:r>
      <w:r w:rsidR="00223866">
        <w:rPr>
          <w:bCs/>
        </w:rPr>
        <w:t>negatívne ovplyvnila</w:t>
      </w:r>
      <w:r w:rsidRPr="00116941">
        <w:rPr>
          <w:bCs/>
        </w:rPr>
        <w:t xml:space="preserve"> deficit</w:t>
      </w:r>
      <w:r>
        <w:rPr>
          <w:b/>
        </w:rPr>
        <w:t xml:space="preserve"> </w:t>
      </w:r>
      <w:r w:rsidR="00223866">
        <w:rPr>
          <w:bCs/>
        </w:rPr>
        <w:t>úhrnom</w:t>
      </w:r>
      <w:r w:rsidR="00223866" w:rsidRPr="00223866">
        <w:rPr>
          <w:bCs/>
        </w:rPr>
        <w:t xml:space="preserve"> </w:t>
      </w:r>
      <w:r w:rsidRPr="0075288B">
        <w:t>o </w:t>
      </w:r>
      <w:r w:rsidR="0075288B" w:rsidRPr="0075288B">
        <w:t>40</w:t>
      </w:r>
      <w:r w:rsidR="00B83D80">
        <w:t> </w:t>
      </w:r>
      <w:r w:rsidR="0075288B" w:rsidRPr="0075288B">
        <w:t>955</w:t>
      </w:r>
      <w:r w:rsidR="00B83D80">
        <w:t> </w:t>
      </w:r>
      <w:r w:rsidRPr="0075288B">
        <w:t>tis. eur</w:t>
      </w:r>
      <w:r w:rsidRPr="001804AE">
        <w:t>.</w:t>
      </w:r>
      <w:r>
        <w:t xml:space="preserve"> Išlo predovšetkým o </w:t>
      </w:r>
    </w:p>
    <w:p w14:paraId="6662151A" w14:textId="59E08109" w:rsidR="00C417AA" w:rsidRDefault="00C417AA" w:rsidP="00901E59">
      <w:pPr>
        <w:pStyle w:val="Odsekzoznamu"/>
        <w:numPr>
          <w:ilvl w:val="0"/>
          <w:numId w:val="23"/>
        </w:numPr>
        <w:spacing w:after="120"/>
        <w:ind w:left="924" w:hanging="357"/>
        <w:contextualSpacing w:val="0"/>
        <w:jc w:val="both"/>
      </w:pPr>
      <w:r w:rsidRPr="004D2017">
        <w:rPr>
          <w:bCs/>
        </w:rPr>
        <w:t>Aktualizáci</w:t>
      </w:r>
      <w:r w:rsidR="003E1E76" w:rsidRPr="004D2017">
        <w:rPr>
          <w:bCs/>
        </w:rPr>
        <w:t>u</w:t>
      </w:r>
      <w:r w:rsidRPr="004D2017">
        <w:rPr>
          <w:bCs/>
        </w:rPr>
        <w:t xml:space="preserve"> ostatných pohľadávok ŠR</w:t>
      </w:r>
      <w:r w:rsidRPr="00FD5DD0">
        <w:t xml:space="preserve"> o</w:t>
      </w:r>
      <w:r>
        <w:t> 70</w:t>
      </w:r>
      <w:r w:rsidR="00B83D80">
        <w:t> </w:t>
      </w:r>
      <w:r>
        <w:t>442</w:t>
      </w:r>
      <w:r w:rsidR="00B83D80">
        <w:t> </w:t>
      </w:r>
      <w:r>
        <w:t>tis.</w:t>
      </w:r>
      <w:r w:rsidR="00B83D80">
        <w:t> </w:t>
      </w:r>
      <w:r>
        <w:t>eur, z toho mala najväčší vplyv revízia o</w:t>
      </w:r>
      <w:r w:rsidR="00041EA0">
        <w:t> </w:t>
      </w:r>
      <w:r w:rsidRPr="00FD5DD0">
        <w:t>70</w:t>
      </w:r>
      <w:r>
        <w:t> </w:t>
      </w:r>
      <w:r w:rsidRPr="00FD5DD0">
        <w:t xml:space="preserve">649 tis. eur v dôsledku zaznamenania ESA </w:t>
      </w:r>
      <w:r w:rsidRPr="004D2017">
        <w:rPr>
          <w:u w:val="single"/>
        </w:rPr>
        <w:t>príjmov z vratiek energopomoci</w:t>
      </w:r>
      <w:r w:rsidRPr="00FD5DD0">
        <w:t xml:space="preserve"> patriacich do roku 2024, </w:t>
      </w:r>
      <w:r w:rsidR="0095661A">
        <w:t xml:space="preserve">sčasti inkasované </w:t>
      </w:r>
      <w:r w:rsidRPr="00FD5DD0">
        <w:t>hotovostne</w:t>
      </w:r>
      <w:r w:rsidR="0095661A">
        <w:t xml:space="preserve"> (23</w:t>
      </w:r>
      <w:r w:rsidR="00410F95">
        <w:t> </w:t>
      </w:r>
      <w:r w:rsidR="0095661A">
        <w:t>598</w:t>
      </w:r>
      <w:r w:rsidR="00410F95">
        <w:t> </w:t>
      </w:r>
      <w:r w:rsidR="0095661A">
        <w:t>tis.</w:t>
      </w:r>
      <w:r w:rsidR="00410F95">
        <w:t> </w:t>
      </w:r>
      <w:r w:rsidR="0095661A">
        <w:t xml:space="preserve">eur) </w:t>
      </w:r>
      <w:r w:rsidRPr="00FD5DD0">
        <w:t>a</w:t>
      </w:r>
      <w:r w:rsidR="0095661A">
        <w:t xml:space="preserve"> sčasti </w:t>
      </w:r>
      <w:r w:rsidRPr="00FD5DD0">
        <w:t xml:space="preserve"> započítan</w:t>
      </w:r>
      <w:r w:rsidR="0095661A">
        <w:t>é s nárokmi na</w:t>
      </w:r>
      <w:r w:rsidR="00410F95">
        <w:t> </w:t>
      </w:r>
      <w:r w:rsidR="0095661A">
        <w:t>úhrady v roku 2025</w:t>
      </w:r>
      <w:r w:rsidRPr="00FD5DD0">
        <w:t xml:space="preserve"> </w:t>
      </w:r>
      <w:r w:rsidR="0095661A">
        <w:t>(</w:t>
      </w:r>
      <w:r w:rsidRPr="00FD5DD0">
        <w:t>47</w:t>
      </w:r>
      <w:r>
        <w:t> </w:t>
      </w:r>
      <w:r w:rsidRPr="00FD5DD0">
        <w:t>051</w:t>
      </w:r>
      <w:r>
        <w:t> </w:t>
      </w:r>
      <w:r w:rsidRPr="00FD5DD0">
        <w:t>tis.</w:t>
      </w:r>
      <w:r>
        <w:t> </w:t>
      </w:r>
      <w:r w:rsidRPr="00FD5DD0">
        <w:t>eur</w:t>
      </w:r>
      <w:r w:rsidR="0095661A">
        <w:t>).</w:t>
      </w:r>
    </w:p>
    <w:p w14:paraId="2F6A34F6" w14:textId="041DE394" w:rsidR="00C417AA" w:rsidRDefault="009B4386" w:rsidP="00901E59">
      <w:pPr>
        <w:pStyle w:val="Odsekzoznamu"/>
        <w:numPr>
          <w:ilvl w:val="0"/>
          <w:numId w:val="23"/>
        </w:numPr>
        <w:spacing w:after="120"/>
        <w:ind w:left="924" w:hanging="357"/>
        <w:contextualSpacing w:val="0"/>
        <w:jc w:val="both"/>
      </w:pPr>
      <w:r>
        <w:t>R</w:t>
      </w:r>
      <w:r w:rsidR="00C417AA" w:rsidRPr="009B4386">
        <w:t xml:space="preserve">evíziu </w:t>
      </w:r>
      <w:r w:rsidR="00C417AA" w:rsidRPr="004D2017">
        <w:rPr>
          <w:u w:val="single"/>
        </w:rPr>
        <w:t>pohľadávok a záväzkov</w:t>
      </w:r>
      <w:r w:rsidR="00C417AA" w:rsidRPr="004D2017">
        <w:rPr>
          <w:b/>
          <w:bCs/>
          <w:u w:val="single"/>
        </w:rPr>
        <w:t xml:space="preserve"> </w:t>
      </w:r>
      <w:r w:rsidR="00F37D22" w:rsidRPr="004D2017">
        <w:rPr>
          <w:u w:val="single"/>
        </w:rPr>
        <w:t>zdravotných poisťovní</w:t>
      </w:r>
      <w:r w:rsidR="00F37D22">
        <w:rPr>
          <w:b/>
          <w:bCs/>
        </w:rPr>
        <w:t xml:space="preserve"> </w:t>
      </w:r>
      <w:r w:rsidRPr="009B4386">
        <w:t>s negatívnym vplyvom o 40</w:t>
      </w:r>
      <w:r w:rsidR="00F37D22">
        <w:t> </w:t>
      </w:r>
      <w:r w:rsidRPr="009B4386">
        <w:t>909</w:t>
      </w:r>
      <w:r w:rsidR="00F37D22">
        <w:t> </w:t>
      </w:r>
      <w:r w:rsidRPr="009B4386">
        <w:t>tis.</w:t>
      </w:r>
      <w:r w:rsidR="00F37D22">
        <w:t> </w:t>
      </w:r>
      <w:r w:rsidRPr="009B4386">
        <w:t xml:space="preserve">eur, išlo </w:t>
      </w:r>
      <w:r w:rsidRPr="00F37D22">
        <w:t xml:space="preserve">najmä o revíziu záväzkov </w:t>
      </w:r>
      <w:r w:rsidR="00C417AA" w:rsidRPr="00F37D22">
        <w:t>z prerozdeľovania poistného</w:t>
      </w:r>
      <w:r w:rsidR="00C417AA">
        <w:t xml:space="preserve"> medzi zdravotnými poisťovňami</w:t>
      </w:r>
      <w:r w:rsidR="009D7A3C">
        <w:t xml:space="preserve"> o </w:t>
      </w:r>
      <w:r w:rsidR="009D7A3C" w:rsidRPr="002E3C57">
        <w:t>39 911 tis.</w:t>
      </w:r>
      <w:r w:rsidR="00B83D80">
        <w:t> </w:t>
      </w:r>
      <w:r w:rsidR="009D7A3C" w:rsidRPr="002E3C57">
        <w:t>eur</w:t>
      </w:r>
      <w:r w:rsidR="00C417AA" w:rsidRPr="002E3C57">
        <w:t>. Ide</w:t>
      </w:r>
      <w:r w:rsidR="00C417AA">
        <w:t xml:space="preserve"> o metodickú zmenu, pri ktorej došlo k prehodnoteniu pozitívneho vplyvu zaznamenaného v</w:t>
      </w:r>
      <w:r w:rsidR="002E3C57">
        <w:t> </w:t>
      </w:r>
      <w:r w:rsidR="00C417AA">
        <w:t xml:space="preserve">jarnej notifikácii na základe riadnych účtovných závierok zdravotných poisťovní. </w:t>
      </w:r>
    </w:p>
    <w:p w14:paraId="7733FA68" w14:textId="22E63669" w:rsidR="00116941" w:rsidRDefault="009B4386" w:rsidP="00901E59">
      <w:pPr>
        <w:pStyle w:val="Odsekzoznamu"/>
        <w:numPr>
          <w:ilvl w:val="0"/>
          <w:numId w:val="23"/>
        </w:numPr>
        <w:spacing w:after="120"/>
        <w:ind w:left="924" w:hanging="357"/>
        <w:contextualSpacing w:val="0"/>
        <w:jc w:val="both"/>
      </w:pPr>
      <w:r w:rsidRPr="004D2017">
        <w:rPr>
          <w:u w:val="single"/>
        </w:rPr>
        <w:t>V</w:t>
      </w:r>
      <w:r w:rsidR="00116941" w:rsidRPr="004D2017">
        <w:rPr>
          <w:u w:val="single"/>
        </w:rPr>
        <w:t xml:space="preserve">yššie záväzky </w:t>
      </w:r>
      <w:r w:rsidR="0095661A" w:rsidRPr="004D2017">
        <w:rPr>
          <w:u w:val="single"/>
        </w:rPr>
        <w:t>NDS</w:t>
      </w:r>
      <w:r w:rsidR="0095661A">
        <w:rPr>
          <w:b/>
          <w:bCs/>
        </w:rPr>
        <w:t xml:space="preserve"> </w:t>
      </w:r>
      <w:r w:rsidR="00116941" w:rsidRPr="00D50837">
        <w:t>o 28</w:t>
      </w:r>
      <w:r w:rsidR="00D50837" w:rsidRPr="00D50837">
        <w:t> </w:t>
      </w:r>
      <w:r w:rsidR="00275684" w:rsidRPr="00D50837">
        <w:t>38</w:t>
      </w:r>
      <w:r w:rsidR="00D50837" w:rsidRPr="00D50837">
        <w:t>7 </w:t>
      </w:r>
      <w:r w:rsidR="00275684" w:rsidRPr="00D50837">
        <w:t>tis</w:t>
      </w:r>
      <w:r w:rsidR="00116941" w:rsidRPr="00D50837">
        <w:t>.</w:t>
      </w:r>
      <w:r w:rsidR="00D50837" w:rsidRPr="00D50837">
        <w:t> </w:t>
      </w:r>
      <w:r w:rsidR="00116941" w:rsidRPr="00D50837">
        <w:t>eur</w:t>
      </w:r>
      <w:r w:rsidR="00275684" w:rsidRPr="00D50837">
        <w:t xml:space="preserve">, </w:t>
      </w:r>
      <w:r w:rsidR="00D50837" w:rsidRPr="00D50837">
        <w:t xml:space="preserve">išlo prioritne </w:t>
      </w:r>
      <w:r w:rsidR="00275684" w:rsidRPr="00D50837">
        <w:t>o nárast odloženého daňového záväzku z dôvodu zmeny sadzby z</w:t>
      </w:r>
      <w:r w:rsidR="009A0CA4">
        <w:t> </w:t>
      </w:r>
      <w:r w:rsidR="00275684" w:rsidRPr="00D50837">
        <w:t>21</w:t>
      </w:r>
      <w:r w:rsidR="009A0CA4">
        <w:t> </w:t>
      </w:r>
      <w:r w:rsidR="00275684" w:rsidRPr="00D50837">
        <w:t>% na</w:t>
      </w:r>
      <w:r w:rsidR="009A0CA4">
        <w:t> </w:t>
      </w:r>
      <w:r w:rsidR="00275684" w:rsidRPr="00D50837">
        <w:t>24</w:t>
      </w:r>
      <w:r w:rsidR="009A0CA4">
        <w:t> </w:t>
      </w:r>
      <w:r w:rsidR="00275684" w:rsidRPr="00D50837">
        <w:t>%</w:t>
      </w:r>
      <w:r w:rsidR="00D50837" w:rsidRPr="00D50837">
        <w:t>.</w:t>
      </w:r>
    </w:p>
    <w:p w14:paraId="3108553A" w14:textId="2339D0CC" w:rsidR="00116941" w:rsidRDefault="009B4386" w:rsidP="00901E59">
      <w:pPr>
        <w:pStyle w:val="Odsekzoznamu"/>
        <w:numPr>
          <w:ilvl w:val="0"/>
          <w:numId w:val="23"/>
        </w:numPr>
        <w:spacing w:after="120"/>
        <w:ind w:left="924" w:hanging="357"/>
        <w:contextualSpacing w:val="0"/>
        <w:jc w:val="both"/>
      </w:pPr>
      <w:r w:rsidRPr="004D2017">
        <w:rPr>
          <w:u w:val="single"/>
        </w:rPr>
        <w:t>V</w:t>
      </w:r>
      <w:r w:rsidR="00116941" w:rsidRPr="004D2017">
        <w:rPr>
          <w:u w:val="single"/>
        </w:rPr>
        <w:t xml:space="preserve">yššie záväzky </w:t>
      </w:r>
      <w:r w:rsidR="0095661A" w:rsidRPr="004D2017">
        <w:rPr>
          <w:u w:val="single"/>
        </w:rPr>
        <w:t>Slovenského vodohospodárskeho podniku</w:t>
      </w:r>
      <w:r w:rsidR="0095661A">
        <w:rPr>
          <w:b/>
          <w:bCs/>
        </w:rPr>
        <w:t xml:space="preserve"> </w:t>
      </w:r>
      <w:r w:rsidR="00116941">
        <w:t>o</w:t>
      </w:r>
      <w:r w:rsidR="00F259BE">
        <w:t> </w:t>
      </w:r>
      <w:r w:rsidR="00116941" w:rsidRPr="00F259BE">
        <w:t>2</w:t>
      </w:r>
      <w:r w:rsidR="00F259BE" w:rsidRPr="00F259BE">
        <w:t>0 374 tis</w:t>
      </w:r>
      <w:r w:rsidR="00116941" w:rsidRPr="00F259BE">
        <w:t>.</w:t>
      </w:r>
      <w:r w:rsidR="00F259BE" w:rsidRPr="00F259BE">
        <w:t> </w:t>
      </w:r>
      <w:r w:rsidR="00116941" w:rsidRPr="00F259BE">
        <w:t>eur</w:t>
      </w:r>
      <w:r w:rsidR="00F259BE">
        <w:t xml:space="preserve">, </w:t>
      </w:r>
      <w:r w:rsidR="0095661A">
        <w:t xml:space="preserve">najmä </w:t>
      </w:r>
      <w:r w:rsidR="00116941">
        <w:t>z dôvodu vykázania odloženého daňového záväzku v</w:t>
      </w:r>
      <w:r w:rsidR="002E3C57">
        <w:t> </w:t>
      </w:r>
      <w:r w:rsidR="00116941">
        <w:t>riadnej účtovnej závierke.</w:t>
      </w:r>
    </w:p>
    <w:p w14:paraId="14AACAD5" w14:textId="27773A92" w:rsidR="00116941" w:rsidRDefault="00D50D38" w:rsidP="00901E59">
      <w:pPr>
        <w:pStyle w:val="Odsekzoznamu"/>
        <w:numPr>
          <w:ilvl w:val="0"/>
          <w:numId w:val="23"/>
        </w:numPr>
        <w:spacing w:after="120"/>
        <w:ind w:left="924" w:hanging="357"/>
        <w:jc w:val="both"/>
      </w:pPr>
      <w:r w:rsidRPr="004D2017">
        <w:rPr>
          <w:u w:val="single"/>
        </w:rPr>
        <w:t>Z</w:t>
      </w:r>
      <w:r w:rsidR="003E1E76" w:rsidRPr="004D2017">
        <w:rPr>
          <w:u w:val="single"/>
        </w:rPr>
        <w:t>lepšenie</w:t>
      </w:r>
      <w:r w:rsidR="003E325A" w:rsidRPr="004D2017">
        <w:rPr>
          <w:u w:val="single"/>
        </w:rPr>
        <w:t xml:space="preserve"> hospodáreni</w:t>
      </w:r>
      <w:r w:rsidR="003E1E76" w:rsidRPr="004D2017">
        <w:rPr>
          <w:u w:val="single"/>
        </w:rPr>
        <w:t>a spoločnosti</w:t>
      </w:r>
      <w:r w:rsidR="003E325A" w:rsidRPr="004D2017">
        <w:rPr>
          <w:u w:val="single"/>
        </w:rPr>
        <w:t xml:space="preserve"> Valaliky</w:t>
      </w:r>
      <w:r w:rsidR="0095661A" w:rsidRPr="004D2017">
        <w:rPr>
          <w:u w:val="single"/>
        </w:rPr>
        <w:t xml:space="preserve"> Industrial Park</w:t>
      </w:r>
      <w:r w:rsidR="003E325A" w:rsidRPr="003E325A">
        <w:t xml:space="preserve"> </w:t>
      </w:r>
      <w:r w:rsidR="003E325A" w:rsidRPr="00F259BE">
        <w:t>o</w:t>
      </w:r>
      <w:r w:rsidR="00F259BE" w:rsidRPr="00F259BE">
        <w:t> </w:t>
      </w:r>
      <w:r w:rsidR="003E325A" w:rsidRPr="00F259BE">
        <w:t>48</w:t>
      </w:r>
      <w:r w:rsidR="00F259BE" w:rsidRPr="00F259BE">
        <w:t> 090 tis</w:t>
      </w:r>
      <w:r w:rsidR="003E325A" w:rsidRPr="00F259BE">
        <w:t>.</w:t>
      </w:r>
      <w:r w:rsidR="00F259BE" w:rsidRPr="00F259BE">
        <w:t> </w:t>
      </w:r>
      <w:r w:rsidR="003E325A" w:rsidRPr="00F259BE">
        <w:t>eur</w:t>
      </w:r>
      <w:r>
        <w:t xml:space="preserve">, </w:t>
      </w:r>
      <w:r w:rsidR="003E325A" w:rsidRPr="00F259BE">
        <w:t xml:space="preserve">bolo ovplyvnené </w:t>
      </w:r>
      <w:r w:rsidR="00FA7306">
        <w:t xml:space="preserve">aktualizáciou pohľadávok a záväzkov </w:t>
      </w:r>
      <w:r w:rsidR="00F259BE" w:rsidRPr="00F259BE">
        <w:t>najmä</w:t>
      </w:r>
      <w:r w:rsidR="00FA7306">
        <w:t xml:space="preserve"> v súvislosti s</w:t>
      </w:r>
      <w:r w:rsidR="00F259BE" w:rsidRPr="00F259BE">
        <w:t xml:space="preserve"> </w:t>
      </w:r>
      <w:r w:rsidR="003E325A" w:rsidRPr="00F259BE">
        <w:t>pokračovaním prípravy priemyselného parku</w:t>
      </w:r>
      <w:r w:rsidR="0074187E">
        <w:t>.</w:t>
      </w:r>
    </w:p>
    <w:p w14:paraId="0A89A378" w14:textId="77777777" w:rsidR="0095661A" w:rsidRDefault="0095661A" w:rsidP="0095661A">
      <w:pPr>
        <w:jc w:val="both"/>
      </w:pPr>
    </w:p>
    <w:p w14:paraId="4FF12397" w14:textId="3F07E884" w:rsidR="0095661A" w:rsidRPr="00497889" w:rsidRDefault="00492576" w:rsidP="006B114A">
      <w:pPr>
        <w:pStyle w:val="Odsekzoznamu"/>
        <w:numPr>
          <w:ilvl w:val="0"/>
          <w:numId w:val="8"/>
        </w:numPr>
        <w:spacing w:before="120" w:after="120"/>
        <w:ind w:left="567" w:hanging="425"/>
        <w:contextualSpacing w:val="0"/>
        <w:jc w:val="both"/>
      </w:pPr>
      <w:r w:rsidRPr="00151F65">
        <w:rPr>
          <w:b/>
        </w:rPr>
        <w:lastRenderedPageBreak/>
        <w:t>Revízi</w:t>
      </w:r>
      <w:r w:rsidR="0030093E">
        <w:rPr>
          <w:b/>
        </w:rPr>
        <w:t>a</w:t>
      </w:r>
      <w:r w:rsidRPr="00151F65">
        <w:rPr>
          <w:b/>
        </w:rPr>
        <w:t xml:space="preserve"> zaznamenania dotácií na zelenú energiu</w:t>
      </w:r>
      <w:r w:rsidR="00151F65">
        <w:t xml:space="preserve">. </w:t>
      </w:r>
      <w:r w:rsidR="0095661A">
        <w:t>N</w:t>
      </w:r>
      <w:r w:rsidR="0095661A" w:rsidRPr="00497889">
        <w:t xml:space="preserve">a základe finálnych informácií od OKTE a URSO a na základe identifikácie presných položiek vstupujúcich do výpočtu podpory zelenej energie </w:t>
      </w:r>
      <w:r w:rsidR="0095661A">
        <w:t>bolo z</w:t>
      </w:r>
      <w:r w:rsidR="0095661A" w:rsidRPr="00497889">
        <w:t>aznamenanie príjmov a výdavkov súvisiacich so zelenou energiou aktualizované s</w:t>
      </w:r>
      <w:r w:rsidR="00530048">
        <w:t> </w:t>
      </w:r>
      <w:r w:rsidR="0095661A">
        <w:t>výsledným</w:t>
      </w:r>
      <w:r w:rsidR="0095661A" w:rsidRPr="00497889">
        <w:t xml:space="preserve"> negatívnym vplyvom v celkovej výške 90 65</w:t>
      </w:r>
      <w:r w:rsidR="00743FE1">
        <w:t>5</w:t>
      </w:r>
      <w:r w:rsidR="0095661A" w:rsidRPr="00497889">
        <w:t> tis. eur</w:t>
      </w:r>
      <w:r w:rsidR="0095661A">
        <w:t xml:space="preserve">. Jarná notifikácia prezentovala predbežný výsledok </w:t>
      </w:r>
      <w:r w:rsidR="00151F65">
        <w:t xml:space="preserve">– schodok </w:t>
      </w:r>
      <w:r w:rsidR="0095661A">
        <w:t>na úrovni 37</w:t>
      </w:r>
      <w:r w:rsidR="003A439B">
        <w:t> </w:t>
      </w:r>
      <w:r w:rsidR="0095661A">
        <w:t>022</w:t>
      </w:r>
      <w:r w:rsidR="003A439B">
        <w:t> </w:t>
      </w:r>
      <w:r w:rsidR="0095661A">
        <w:t>tis.</w:t>
      </w:r>
      <w:r w:rsidR="003A439B">
        <w:t> </w:t>
      </w:r>
      <w:r w:rsidR="0095661A">
        <w:t>eur.</w:t>
      </w:r>
      <w:r w:rsidR="0095661A" w:rsidRPr="00497889">
        <w:t xml:space="preserve"> </w:t>
      </w:r>
      <w:r w:rsidR="0095661A">
        <w:t xml:space="preserve">Na celkový výsledok mali negatívny vplyv nižšie </w:t>
      </w:r>
      <w:r w:rsidR="0095661A" w:rsidRPr="00497889">
        <w:t>daňové príjmy zo zelenej energie o 62</w:t>
      </w:r>
      <w:r w:rsidR="0095661A">
        <w:t> </w:t>
      </w:r>
      <w:r w:rsidR="0095661A" w:rsidRPr="00497889">
        <w:t>174</w:t>
      </w:r>
      <w:r w:rsidR="0095661A">
        <w:t> </w:t>
      </w:r>
      <w:r w:rsidR="0095661A" w:rsidRPr="00497889">
        <w:t>tis.</w:t>
      </w:r>
      <w:r w:rsidR="0095661A">
        <w:t> </w:t>
      </w:r>
      <w:r w:rsidR="0095661A" w:rsidRPr="00497889">
        <w:t>eur a</w:t>
      </w:r>
      <w:r w:rsidR="0095661A">
        <w:t xml:space="preserve"> vyššie </w:t>
      </w:r>
      <w:r w:rsidR="0095661A" w:rsidRPr="00497889">
        <w:t>výdavky na subvencie na</w:t>
      </w:r>
      <w:r w:rsidR="0095661A">
        <w:t> </w:t>
      </w:r>
      <w:r w:rsidR="0095661A" w:rsidRPr="00497889">
        <w:t>zelenú energiu o 28</w:t>
      </w:r>
      <w:r w:rsidR="0095661A">
        <w:t> </w:t>
      </w:r>
      <w:r w:rsidR="0095661A" w:rsidRPr="00497889">
        <w:t>482</w:t>
      </w:r>
      <w:r w:rsidR="0095661A">
        <w:t> </w:t>
      </w:r>
      <w:r w:rsidR="0095661A" w:rsidRPr="00497889">
        <w:t>tis.</w:t>
      </w:r>
      <w:r w:rsidR="0095661A">
        <w:t> </w:t>
      </w:r>
      <w:r w:rsidR="0095661A" w:rsidRPr="00497889">
        <w:t>eur.</w:t>
      </w:r>
    </w:p>
    <w:p w14:paraId="29682D57" w14:textId="018B6428" w:rsidR="00B23303" w:rsidRDefault="00E75947" w:rsidP="00EC0753">
      <w:pPr>
        <w:pStyle w:val="Odsekzoznamu"/>
        <w:numPr>
          <w:ilvl w:val="0"/>
          <w:numId w:val="8"/>
        </w:numPr>
        <w:spacing w:before="120" w:after="120"/>
        <w:ind w:left="567" w:hanging="357"/>
        <w:contextualSpacing w:val="0"/>
        <w:jc w:val="both"/>
      </w:pPr>
      <w:r>
        <w:rPr>
          <w:b/>
          <w:bCs/>
        </w:rPr>
        <w:t>K</w:t>
      </w:r>
      <w:r w:rsidR="00E0135B" w:rsidRPr="00497889">
        <w:rPr>
          <w:b/>
          <w:bCs/>
        </w:rPr>
        <w:t>apitálové výdavky z dôvodu zlyhaných</w:t>
      </w:r>
      <w:r w:rsidR="008E31DC" w:rsidRPr="00497889">
        <w:rPr>
          <w:b/>
          <w:bCs/>
        </w:rPr>
        <w:t xml:space="preserve"> úverov a</w:t>
      </w:r>
      <w:r w:rsidR="00E0135B" w:rsidRPr="00497889">
        <w:rPr>
          <w:b/>
          <w:bCs/>
        </w:rPr>
        <w:t xml:space="preserve"> záruk </w:t>
      </w:r>
      <w:r w:rsidR="00497889" w:rsidRPr="00497889">
        <w:t>spolu vo výške 2</w:t>
      </w:r>
      <w:r w:rsidR="00147679">
        <w:t>4</w:t>
      </w:r>
      <w:r w:rsidR="00B83D80">
        <w:t> </w:t>
      </w:r>
      <w:r w:rsidR="00147679">
        <w:t>016</w:t>
      </w:r>
      <w:r w:rsidR="00B83D80">
        <w:t> </w:t>
      </w:r>
      <w:r w:rsidR="00497889" w:rsidRPr="00497889">
        <w:t>tis.</w:t>
      </w:r>
      <w:r w:rsidR="00B83D80">
        <w:t> </w:t>
      </w:r>
      <w:r w:rsidR="00497889" w:rsidRPr="00497889">
        <w:t>eur, z</w:t>
      </w:r>
      <w:r w:rsidR="00B23303">
        <w:t> </w:t>
      </w:r>
      <w:r w:rsidR="00497889" w:rsidRPr="00497889">
        <w:t>toho</w:t>
      </w:r>
      <w:r w:rsidR="00B23303">
        <w:t>:</w:t>
      </w:r>
    </w:p>
    <w:p w14:paraId="6632BDF5" w14:textId="263C6F19" w:rsidR="00B23303" w:rsidRDefault="00497889" w:rsidP="00193ACE">
      <w:pPr>
        <w:pStyle w:val="Odsekzoznamu"/>
        <w:numPr>
          <w:ilvl w:val="0"/>
          <w:numId w:val="24"/>
        </w:numPr>
        <w:ind w:left="992" w:hanging="357"/>
        <w:contextualSpacing w:val="0"/>
        <w:jc w:val="both"/>
      </w:pPr>
      <w:r w:rsidRPr="00497889">
        <w:t xml:space="preserve">u </w:t>
      </w:r>
      <w:r w:rsidRPr="00497889">
        <w:rPr>
          <w:b/>
          <w:bCs/>
        </w:rPr>
        <w:t>SZRB</w:t>
      </w:r>
      <w:r w:rsidRPr="00497889">
        <w:t xml:space="preserve"> </w:t>
      </w:r>
      <w:r w:rsidR="00D300A7">
        <w:t>bola</w:t>
      </w:r>
      <w:r w:rsidRPr="00497889">
        <w:t xml:space="preserve"> výška </w:t>
      </w:r>
      <w:r w:rsidR="00D50837" w:rsidRPr="00497889">
        <w:t>zlyhan</w:t>
      </w:r>
      <w:r w:rsidRPr="00497889">
        <w:t>ého</w:t>
      </w:r>
      <w:r w:rsidR="00D50837" w:rsidRPr="00497889">
        <w:t xml:space="preserve"> úver</w:t>
      </w:r>
      <w:r w:rsidRPr="00497889">
        <w:t>u</w:t>
      </w:r>
      <w:r w:rsidR="00D50837" w:rsidRPr="00497889">
        <w:t xml:space="preserve"> voči spoločnosti Bukóza Invest s.r.o.</w:t>
      </w:r>
      <w:r w:rsidR="00E0135B" w:rsidRPr="00497889">
        <w:t xml:space="preserve"> </w:t>
      </w:r>
      <w:r w:rsidRPr="00497889">
        <w:t>10</w:t>
      </w:r>
      <w:r w:rsidR="00B83D80">
        <w:t> </w:t>
      </w:r>
      <w:r w:rsidRPr="00497889">
        <w:t>493</w:t>
      </w:r>
      <w:r w:rsidR="00B83D80">
        <w:t> </w:t>
      </w:r>
      <w:r w:rsidRPr="00497889">
        <w:t>tis.</w:t>
      </w:r>
      <w:r w:rsidR="00B83D80">
        <w:t> </w:t>
      </w:r>
      <w:r w:rsidRPr="00A9470A">
        <w:t>eur</w:t>
      </w:r>
      <w:r w:rsidR="00D300A7" w:rsidRPr="00A9470A">
        <w:t xml:space="preserve"> </w:t>
      </w:r>
      <w:r w:rsidR="00A9470A" w:rsidRPr="00A9470A">
        <w:t>a</w:t>
      </w:r>
      <w:r w:rsidR="00530048">
        <w:t> </w:t>
      </w:r>
      <w:r w:rsidR="00147679">
        <w:t>vplyv rizikových záruk</w:t>
      </w:r>
      <w:r w:rsidR="00D300A7">
        <w:t xml:space="preserve"> 709 tis. eur</w:t>
      </w:r>
      <w:r w:rsidR="00B23303">
        <w:t xml:space="preserve">, </w:t>
      </w:r>
      <w:r w:rsidR="00E0135B" w:rsidRPr="00497889">
        <w:t xml:space="preserve"> </w:t>
      </w:r>
    </w:p>
    <w:p w14:paraId="70CF18E2" w14:textId="0E5B2F5C" w:rsidR="00E0135B" w:rsidRPr="00497889" w:rsidRDefault="00E0135B" w:rsidP="00901E59">
      <w:pPr>
        <w:pStyle w:val="Odsekzoznamu"/>
        <w:numPr>
          <w:ilvl w:val="0"/>
          <w:numId w:val="24"/>
        </w:numPr>
        <w:spacing w:after="120"/>
        <w:ind w:left="992" w:hanging="357"/>
        <w:contextualSpacing w:val="0"/>
        <w:jc w:val="both"/>
      </w:pPr>
      <w:r w:rsidRPr="00497889">
        <w:t xml:space="preserve">u </w:t>
      </w:r>
      <w:r w:rsidRPr="00497889">
        <w:rPr>
          <w:b/>
          <w:bCs/>
        </w:rPr>
        <w:t>Eximbanky</w:t>
      </w:r>
      <w:r w:rsidRPr="00497889">
        <w:t xml:space="preserve"> </w:t>
      </w:r>
      <w:r w:rsidR="008E31DC" w:rsidRPr="00497889">
        <w:t>z titulu plnenia záruk voči subjektom mimo sektor VS</w:t>
      </w:r>
      <w:r w:rsidR="00497889" w:rsidRPr="00497889">
        <w:t xml:space="preserve"> v sume 12 814 tis.</w:t>
      </w:r>
      <w:r w:rsidR="00B83D80">
        <w:t> </w:t>
      </w:r>
      <w:r w:rsidR="00497889" w:rsidRPr="00497889">
        <w:t>eur</w:t>
      </w:r>
      <w:r w:rsidR="00DC7AA6" w:rsidRPr="00497889">
        <w:t>.</w:t>
      </w:r>
    </w:p>
    <w:p w14:paraId="008E6ED6" w14:textId="3A012FF8" w:rsidR="00FC747C" w:rsidRDefault="00DC1800" w:rsidP="00FC747C">
      <w:pPr>
        <w:spacing w:after="0" w:line="240" w:lineRule="auto"/>
        <w:jc w:val="both"/>
      </w:pPr>
      <w:r w:rsidRPr="004F5BAD">
        <w:rPr>
          <w:b/>
          <w:color w:val="548DD4" w:themeColor="text2" w:themeTint="99"/>
        </w:rPr>
        <w:t>Dlh verejnej správy</w:t>
      </w:r>
      <w:r w:rsidR="008920F2" w:rsidRPr="004F5BAD">
        <w:rPr>
          <w:color w:val="548DD4" w:themeColor="text2" w:themeTint="99"/>
        </w:rPr>
        <w:t xml:space="preserve"> </w:t>
      </w:r>
      <w:r w:rsidR="008920F2" w:rsidRPr="004F5BAD">
        <w:t>vykázaný v</w:t>
      </w:r>
      <w:r w:rsidR="00D300A7">
        <w:t xml:space="preserve"> apríli tohto roku na úrovni </w:t>
      </w:r>
      <w:r w:rsidR="008920F2" w:rsidRPr="004F5BAD">
        <w:t>5</w:t>
      </w:r>
      <w:r w:rsidR="00226D8B" w:rsidRPr="004F5BAD">
        <w:t>9,3</w:t>
      </w:r>
      <w:r w:rsidR="008920F2" w:rsidRPr="004F5BAD">
        <w:t> % HDP</w:t>
      </w:r>
      <w:r w:rsidR="005105A5">
        <w:t>, bol</w:t>
      </w:r>
      <w:r w:rsidR="008920F2" w:rsidRPr="004F5BAD">
        <w:t xml:space="preserve"> pri jesennej notifikácii</w:t>
      </w:r>
      <w:r w:rsidR="00193ACE">
        <w:t xml:space="preserve"> revidovaný smerom nahor</w:t>
      </w:r>
      <w:r w:rsidR="008920F2" w:rsidRPr="004F5BAD">
        <w:t xml:space="preserve"> o</w:t>
      </w:r>
      <w:r w:rsidR="00226D8B" w:rsidRPr="004F5BAD">
        <w:t> 86 326</w:t>
      </w:r>
      <w:r w:rsidR="008920F2" w:rsidRPr="004F5BAD">
        <w:t xml:space="preserve"> tis. eur </w:t>
      </w:r>
      <w:r w:rsidR="005A7708">
        <w:t>a v pomere k revidovanému HD</w:t>
      </w:r>
      <w:r w:rsidR="006D7269">
        <w:t>P</w:t>
      </w:r>
      <w:r w:rsidR="005A7708">
        <w:t xml:space="preserve"> dosiahol</w:t>
      </w:r>
      <w:r w:rsidR="008920F2" w:rsidRPr="004F5BAD">
        <w:t> </w:t>
      </w:r>
      <w:r w:rsidR="00226D8B" w:rsidRPr="004F5BAD">
        <w:t>59,7</w:t>
      </w:r>
      <w:r w:rsidR="00677331">
        <w:t> </w:t>
      </w:r>
      <w:r w:rsidR="008920F2" w:rsidRPr="004F5BAD">
        <w:t>%.</w:t>
      </w:r>
      <w:r w:rsidR="005A7708">
        <w:br/>
      </w:r>
      <w:r w:rsidR="008920F2" w:rsidRPr="004F5BAD">
        <w:t>Jednotlivé revízie</w:t>
      </w:r>
      <w:r w:rsidR="009F4F64" w:rsidRPr="004F5BAD">
        <w:t xml:space="preserve"> vysvetľuje</w:t>
      </w:r>
      <w:r w:rsidR="008920F2" w:rsidRPr="004F5BAD">
        <w:t xml:space="preserve"> nasledovná tabuľka.</w:t>
      </w:r>
    </w:p>
    <w:p w14:paraId="0BD315B9" w14:textId="13CE990B" w:rsidR="00B6554C" w:rsidRPr="004F5BAD" w:rsidRDefault="00B6554C" w:rsidP="00D162A9">
      <w:pPr>
        <w:pStyle w:val="Popis"/>
      </w:pPr>
      <w:bookmarkStart w:id="13" w:name="_Toc212124623"/>
      <w:r w:rsidRPr="004F5BAD">
        <w:t xml:space="preserve">Tabuľka </w:t>
      </w:r>
      <w:r w:rsidR="00CA4B84">
        <w:fldChar w:fldCharType="begin"/>
      </w:r>
      <w:r w:rsidR="00CA4B84">
        <w:instrText xml:space="preserve"> SEQ Tabuľka \* ARABIC </w:instrText>
      </w:r>
      <w:r w:rsidR="00CA4B84">
        <w:fldChar w:fldCharType="separate"/>
      </w:r>
      <w:r w:rsidR="00076866">
        <w:rPr>
          <w:noProof/>
        </w:rPr>
        <w:t>2</w:t>
      </w:r>
      <w:r w:rsidR="00CA4B84">
        <w:rPr>
          <w:noProof/>
        </w:rPr>
        <w:fldChar w:fldCharType="end"/>
      </w:r>
      <w:r w:rsidRPr="004F5BAD">
        <w:t xml:space="preserve"> - Úpravy maastrichtského dlhu za rok 2024 pri jesennej notifikácii </w:t>
      </w:r>
      <w:r>
        <w:t>z pohľadu jednotiek VS</w:t>
      </w:r>
      <w:bookmarkEnd w:id="13"/>
    </w:p>
    <w:tbl>
      <w:tblPr>
        <w:tblW w:w="5000" w:type="pct"/>
        <w:tblCellMar>
          <w:left w:w="70" w:type="dxa"/>
          <w:right w:w="70" w:type="dxa"/>
        </w:tblCellMar>
        <w:tblLook w:val="04A0" w:firstRow="1" w:lastRow="0" w:firstColumn="1" w:lastColumn="0" w:noHBand="0" w:noVBand="1"/>
      </w:tblPr>
      <w:tblGrid>
        <w:gridCol w:w="5426"/>
        <w:gridCol w:w="2271"/>
        <w:gridCol w:w="1798"/>
      </w:tblGrid>
      <w:tr w:rsidR="004F5BAD" w:rsidRPr="00E57C74" w14:paraId="0DE84949" w14:textId="77777777" w:rsidTr="00E57C74">
        <w:trPr>
          <w:trHeight w:val="411"/>
        </w:trPr>
        <w:tc>
          <w:tcPr>
            <w:tcW w:w="2857" w:type="pct"/>
            <w:tcBorders>
              <w:top w:val="single" w:sz="4" w:space="0" w:color="auto"/>
              <w:left w:val="nil"/>
              <w:bottom w:val="single" w:sz="4" w:space="0" w:color="auto"/>
              <w:right w:val="nil"/>
            </w:tcBorders>
            <w:vAlign w:val="center"/>
            <w:hideMark/>
          </w:tcPr>
          <w:p w14:paraId="020F9036" w14:textId="16049DD6" w:rsidR="004F5BAD" w:rsidRPr="00E57C74" w:rsidRDefault="004F5BAD" w:rsidP="004F5BAD">
            <w:pPr>
              <w:spacing w:after="0" w:line="240" w:lineRule="auto"/>
              <w:rPr>
                <w:b/>
                <w:bCs/>
                <w:sz w:val="20"/>
                <w:szCs w:val="20"/>
                <w:lang w:eastAsia="sk-SK"/>
              </w:rPr>
            </w:pPr>
            <w:r w:rsidRPr="004F5BAD">
              <w:rPr>
                <w:b/>
                <w:bCs/>
                <w:sz w:val="20"/>
                <w:szCs w:val="20"/>
              </w:rPr>
              <w:t>Upravené položky</w:t>
            </w:r>
          </w:p>
        </w:tc>
        <w:tc>
          <w:tcPr>
            <w:tcW w:w="1196" w:type="pct"/>
            <w:tcBorders>
              <w:top w:val="single" w:sz="4" w:space="0" w:color="auto"/>
              <w:left w:val="nil"/>
              <w:bottom w:val="single" w:sz="4" w:space="0" w:color="auto"/>
              <w:right w:val="nil"/>
            </w:tcBorders>
            <w:vAlign w:val="center"/>
            <w:hideMark/>
          </w:tcPr>
          <w:p w14:paraId="2A1C1B65" w14:textId="77777777" w:rsidR="004F5BAD" w:rsidRPr="00E57C74" w:rsidRDefault="004F5BAD" w:rsidP="004F5BAD">
            <w:pPr>
              <w:spacing w:after="0" w:line="240" w:lineRule="auto"/>
              <w:jc w:val="center"/>
              <w:rPr>
                <w:b/>
                <w:bCs/>
                <w:sz w:val="20"/>
                <w:szCs w:val="20"/>
                <w:lang w:eastAsia="sk-SK"/>
              </w:rPr>
            </w:pPr>
            <w:r w:rsidRPr="00E57C74">
              <w:rPr>
                <w:b/>
                <w:bCs/>
                <w:sz w:val="20"/>
                <w:szCs w:val="20"/>
                <w:lang w:eastAsia="sk-SK"/>
              </w:rPr>
              <w:t xml:space="preserve">               tis. eur</w:t>
            </w:r>
          </w:p>
        </w:tc>
        <w:tc>
          <w:tcPr>
            <w:tcW w:w="947" w:type="pct"/>
            <w:tcBorders>
              <w:top w:val="single" w:sz="4" w:space="0" w:color="auto"/>
              <w:left w:val="nil"/>
              <w:bottom w:val="single" w:sz="4" w:space="0" w:color="auto"/>
              <w:right w:val="nil"/>
            </w:tcBorders>
            <w:vAlign w:val="center"/>
            <w:hideMark/>
          </w:tcPr>
          <w:p w14:paraId="1353B8E1" w14:textId="77777777" w:rsidR="004F5BAD" w:rsidRPr="00E57C74" w:rsidRDefault="004F5BAD" w:rsidP="004F5BAD">
            <w:pPr>
              <w:spacing w:after="0" w:line="240" w:lineRule="auto"/>
              <w:jc w:val="center"/>
              <w:rPr>
                <w:b/>
                <w:bCs/>
                <w:sz w:val="20"/>
                <w:szCs w:val="20"/>
                <w:lang w:eastAsia="sk-SK"/>
              </w:rPr>
            </w:pPr>
            <w:r w:rsidRPr="00E57C74">
              <w:rPr>
                <w:b/>
                <w:bCs/>
                <w:sz w:val="20"/>
                <w:szCs w:val="20"/>
                <w:lang w:eastAsia="sk-SK"/>
              </w:rPr>
              <w:t>% HDP</w:t>
            </w:r>
          </w:p>
        </w:tc>
      </w:tr>
      <w:tr w:rsidR="004F5BAD" w:rsidRPr="00E57C74" w14:paraId="3142747D" w14:textId="77777777" w:rsidTr="003F5BDC">
        <w:trPr>
          <w:trHeight w:val="417"/>
        </w:trPr>
        <w:tc>
          <w:tcPr>
            <w:tcW w:w="2857" w:type="pct"/>
            <w:tcBorders>
              <w:top w:val="single" w:sz="4" w:space="0" w:color="auto"/>
              <w:left w:val="nil"/>
              <w:bottom w:val="single" w:sz="4" w:space="0" w:color="auto"/>
              <w:right w:val="nil"/>
            </w:tcBorders>
            <w:noWrap/>
            <w:vAlign w:val="center"/>
            <w:hideMark/>
          </w:tcPr>
          <w:p w14:paraId="23503C2E" w14:textId="72E5BA1C" w:rsidR="004F5BAD" w:rsidRPr="00E57C74" w:rsidRDefault="004F5BAD" w:rsidP="004F5BAD">
            <w:pPr>
              <w:spacing w:after="0" w:line="240" w:lineRule="auto"/>
              <w:rPr>
                <w:b/>
                <w:bCs/>
                <w:sz w:val="20"/>
                <w:szCs w:val="20"/>
                <w:lang w:eastAsia="sk-SK"/>
              </w:rPr>
            </w:pPr>
            <w:r w:rsidRPr="004F5BAD">
              <w:rPr>
                <w:b/>
                <w:bCs/>
                <w:sz w:val="20"/>
                <w:szCs w:val="20"/>
              </w:rPr>
              <w:t>Maastrichtský dlh VS - apríl 2025</w:t>
            </w:r>
            <w:r w:rsidRPr="004F5BAD">
              <w:rPr>
                <w:b/>
                <w:bCs/>
                <w:sz w:val="20"/>
                <w:szCs w:val="20"/>
                <w:vertAlign w:val="superscript"/>
              </w:rPr>
              <w:t>1)</w:t>
            </w:r>
          </w:p>
        </w:tc>
        <w:tc>
          <w:tcPr>
            <w:tcW w:w="1196" w:type="pct"/>
            <w:tcBorders>
              <w:top w:val="single" w:sz="4" w:space="0" w:color="auto"/>
              <w:left w:val="nil"/>
              <w:bottom w:val="single" w:sz="4" w:space="0" w:color="auto"/>
              <w:right w:val="nil"/>
            </w:tcBorders>
            <w:noWrap/>
            <w:vAlign w:val="center"/>
            <w:hideMark/>
          </w:tcPr>
          <w:p w14:paraId="58216F33" w14:textId="77777777" w:rsidR="004F5BAD" w:rsidRPr="00E57C74" w:rsidRDefault="004F5BAD" w:rsidP="004F5BAD">
            <w:pPr>
              <w:spacing w:after="0" w:line="240" w:lineRule="auto"/>
              <w:jc w:val="right"/>
              <w:rPr>
                <w:b/>
                <w:bCs/>
                <w:sz w:val="20"/>
                <w:szCs w:val="20"/>
                <w:lang w:eastAsia="sk-SK"/>
              </w:rPr>
            </w:pPr>
            <w:r w:rsidRPr="00E57C74">
              <w:rPr>
                <w:b/>
                <w:bCs/>
                <w:sz w:val="20"/>
                <w:szCs w:val="20"/>
                <w:lang w:eastAsia="sk-SK"/>
              </w:rPr>
              <w:t>77 648 309</w:t>
            </w:r>
          </w:p>
        </w:tc>
        <w:tc>
          <w:tcPr>
            <w:tcW w:w="947" w:type="pct"/>
            <w:tcBorders>
              <w:top w:val="single" w:sz="4" w:space="0" w:color="auto"/>
              <w:left w:val="nil"/>
              <w:bottom w:val="single" w:sz="4" w:space="0" w:color="auto"/>
              <w:right w:val="nil"/>
            </w:tcBorders>
            <w:noWrap/>
            <w:vAlign w:val="center"/>
            <w:hideMark/>
          </w:tcPr>
          <w:p w14:paraId="15B3E41A" w14:textId="77777777" w:rsidR="004F5BAD" w:rsidRPr="00E57C74" w:rsidRDefault="004F5BAD" w:rsidP="004F5BAD">
            <w:pPr>
              <w:spacing w:after="0" w:line="240" w:lineRule="auto"/>
              <w:jc w:val="center"/>
              <w:rPr>
                <w:b/>
                <w:bCs/>
                <w:sz w:val="20"/>
                <w:szCs w:val="20"/>
                <w:lang w:eastAsia="sk-SK"/>
              </w:rPr>
            </w:pPr>
            <w:r w:rsidRPr="00E57C74">
              <w:rPr>
                <w:b/>
                <w:bCs/>
                <w:sz w:val="20"/>
                <w:szCs w:val="20"/>
                <w:lang w:eastAsia="sk-SK"/>
              </w:rPr>
              <w:t>59,3</w:t>
            </w:r>
          </w:p>
        </w:tc>
      </w:tr>
      <w:tr w:rsidR="004F5BAD" w:rsidRPr="00E57C74" w14:paraId="625727B6" w14:textId="77777777" w:rsidTr="00E57C74">
        <w:trPr>
          <w:trHeight w:val="260"/>
        </w:trPr>
        <w:tc>
          <w:tcPr>
            <w:tcW w:w="2857" w:type="pct"/>
            <w:tcBorders>
              <w:top w:val="nil"/>
              <w:left w:val="nil"/>
              <w:bottom w:val="nil"/>
              <w:right w:val="nil"/>
            </w:tcBorders>
            <w:noWrap/>
            <w:vAlign w:val="center"/>
            <w:hideMark/>
          </w:tcPr>
          <w:p w14:paraId="5D7BBE58" w14:textId="12B9DC98" w:rsidR="004F5BAD" w:rsidRPr="00E57C74" w:rsidRDefault="004F5BAD" w:rsidP="004F5BAD">
            <w:pPr>
              <w:spacing w:after="0" w:line="240" w:lineRule="auto"/>
              <w:rPr>
                <w:sz w:val="20"/>
                <w:szCs w:val="20"/>
                <w:lang w:eastAsia="sk-SK"/>
              </w:rPr>
            </w:pPr>
            <w:r w:rsidRPr="004F5BAD">
              <w:rPr>
                <w:sz w:val="20"/>
                <w:szCs w:val="20"/>
              </w:rPr>
              <w:t>štátny dlh</w:t>
            </w:r>
          </w:p>
        </w:tc>
        <w:tc>
          <w:tcPr>
            <w:tcW w:w="1196" w:type="pct"/>
            <w:tcBorders>
              <w:top w:val="nil"/>
              <w:left w:val="nil"/>
              <w:bottom w:val="nil"/>
              <w:right w:val="nil"/>
            </w:tcBorders>
            <w:noWrap/>
            <w:vAlign w:val="center"/>
            <w:hideMark/>
          </w:tcPr>
          <w:p w14:paraId="6F421520" w14:textId="77777777" w:rsidR="004F5BAD" w:rsidRPr="00E57C74" w:rsidRDefault="004F5BAD" w:rsidP="004F5BAD">
            <w:pPr>
              <w:spacing w:after="0" w:line="240" w:lineRule="auto"/>
              <w:jc w:val="right"/>
              <w:rPr>
                <w:sz w:val="20"/>
                <w:szCs w:val="20"/>
                <w:lang w:eastAsia="sk-SK"/>
              </w:rPr>
            </w:pPr>
            <w:r w:rsidRPr="00E57C74">
              <w:rPr>
                <w:sz w:val="20"/>
                <w:szCs w:val="20"/>
                <w:lang w:eastAsia="sk-SK"/>
              </w:rPr>
              <w:t>90 655</w:t>
            </w:r>
          </w:p>
        </w:tc>
        <w:tc>
          <w:tcPr>
            <w:tcW w:w="947" w:type="pct"/>
            <w:tcBorders>
              <w:top w:val="nil"/>
              <w:left w:val="nil"/>
              <w:bottom w:val="nil"/>
              <w:right w:val="nil"/>
            </w:tcBorders>
            <w:noWrap/>
            <w:vAlign w:val="center"/>
            <w:hideMark/>
          </w:tcPr>
          <w:p w14:paraId="553160B0" w14:textId="6F36BC26" w:rsidR="004F5BAD" w:rsidRPr="00E57C74" w:rsidRDefault="004F5BAD" w:rsidP="004F5BAD">
            <w:pPr>
              <w:spacing w:after="0" w:line="240" w:lineRule="auto"/>
              <w:jc w:val="center"/>
              <w:rPr>
                <w:sz w:val="20"/>
                <w:szCs w:val="20"/>
                <w:lang w:eastAsia="sk-SK"/>
              </w:rPr>
            </w:pPr>
            <w:r w:rsidRPr="004F5BAD">
              <w:rPr>
                <w:sz w:val="20"/>
                <w:szCs w:val="20"/>
                <w:lang w:eastAsia="sk-SK"/>
              </w:rPr>
              <w:t xml:space="preserve"> </w:t>
            </w:r>
            <w:r w:rsidRPr="00E57C74">
              <w:rPr>
                <w:sz w:val="20"/>
                <w:szCs w:val="20"/>
                <w:lang w:eastAsia="sk-SK"/>
              </w:rPr>
              <w:t>0,070</w:t>
            </w:r>
          </w:p>
        </w:tc>
      </w:tr>
      <w:tr w:rsidR="008A3808" w:rsidRPr="00E57C74" w14:paraId="0A0BE5CD" w14:textId="77777777" w:rsidTr="00E57C74">
        <w:trPr>
          <w:trHeight w:val="260"/>
        </w:trPr>
        <w:tc>
          <w:tcPr>
            <w:tcW w:w="2857" w:type="pct"/>
            <w:tcBorders>
              <w:top w:val="nil"/>
              <w:left w:val="nil"/>
              <w:bottom w:val="nil"/>
              <w:right w:val="nil"/>
            </w:tcBorders>
            <w:noWrap/>
            <w:vAlign w:val="center"/>
            <w:hideMark/>
          </w:tcPr>
          <w:p w14:paraId="449B60E9" w14:textId="5C667F71" w:rsidR="008A3808" w:rsidRPr="00E57C74" w:rsidRDefault="008A3808" w:rsidP="008A3808">
            <w:pPr>
              <w:spacing w:after="0" w:line="240" w:lineRule="auto"/>
              <w:rPr>
                <w:sz w:val="20"/>
                <w:szCs w:val="20"/>
                <w:lang w:eastAsia="sk-SK"/>
              </w:rPr>
            </w:pPr>
            <w:r>
              <w:rPr>
                <w:sz w:val="20"/>
                <w:szCs w:val="20"/>
              </w:rPr>
              <w:t>Slovenská záručná a rozvojová banka, a. s.</w:t>
            </w:r>
          </w:p>
        </w:tc>
        <w:tc>
          <w:tcPr>
            <w:tcW w:w="1196" w:type="pct"/>
            <w:tcBorders>
              <w:top w:val="nil"/>
              <w:left w:val="nil"/>
              <w:bottom w:val="nil"/>
              <w:right w:val="nil"/>
            </w:tcBorders>
            <w:noWrap/>
            <w:vAlign w:val="center"/>
            <w:hideMark/>
          </w:tcPr>
          <w:p w14:paraId="17E1A4C9" w14:textId="3D08B68E" w:rsidR="008A3808" w:rsidRPr="00E57C74" w:rsidRDefault="008A3808" w:rsidP="008A3808">
            <w:pPr>
              <w:spacing w:after="0" w:line="240" w:lineRule="auto"/>
              <w:jc w:val="right"/>
              <w:rPr>
                <w:sz w:val="20"/>
                <w:szCs w:val="20"/>
                <w:lang w:eastAsia="sk-SK"/>
              </w:rPr>
            </w:pPr>
            <w:r>
              <w:rPr>
                <w:sz w:val="20"/>
                <w:szCs w:val="20"/>
              </w:rPr>
              <w:t>-15 760</w:t>
            </w:r>
          </w:p>
        </w:tc>
        <w:tc>
          <w:tcPr>
            <w:tcW w:w="947" w:type="pct"/>
            <w:tcBorders>
              <w:top w:val="nil"/>
              <w:left w:val="nil"/>
              <w:bottom w:val="nil"/>
              <w:right w:val="nil"/>
            </w:tcBorders>
            <w:noWrap/>
            <w:vAlign w:val="center"/>
            <w:hideMark/>
          </w:tcPr>
          <w:p w14:paraId="467B7A34" w14:textId="2856B009" w:rsidR="008A3808" w:rsidRPr="00E57C74" w:rsidRDefault="008A3808" w:rsidP="008A3808">
            <w:pPr>
              <w:spacing w:after="0" w:line="240" w:lineRule="auto"/>
              <w:jc w:val="center"/>
              <w:rPr>
                <w:sz w:val="20"/>
                <w:szCs w:val="20"/>
                <w:lang w:eastAsia="sk-SK"/>
              </w:rPr>
            </w:pPr>
            <w:r>
              <w:rPr>
                <w:sz w:val="20"/>
                <w:szCs w:val="20"/>
              </w:rPr>
              <w:t>-0,012</w:t>
            </w:r>
          </w:p>
        </w:tc>
      </w:tr>
      <w:tr w:rsidR="008A3808" w:rsidRPr="00E57C74" w14:paraId="073FD920" w14:textId="77777777" w:rsidTr="00E57C74">
        <w:trPr>
          <w:trHeight w:val="260"/>
        </w:trPr>
        <w:tc>
          <w:tcPr>
            <w:tcW w:w="2857" w:type="pct"/>
            <w:tcBorders>
              <w:top w:val="nil"/>
              <w:left w:val="nil"/>
              <w:bottom w:val="nil"/>
              <w:right w:val="nil"/>
            </w:tcBorders>
            <w:noWrap/>
            <w:vAlign w:val="center"/>
            <w:hideMark/>
          </w:tcPr>
          <w:p w14:paraId="057B92D6" w14:textId="03172586" w:rsidR="008A3808" w:rsidRPr="00E57C74" w:rsidRDefault="008A3808" w:rsidP="008A3808">
            <w:pPr>
              <w:spacing w:after="0" w:line="240" w:lineRule="auto"/>
              <w:rPr>
                <w:sz w:val="20"/>
                <w:szCs w:val="20"/>
                <w:lang w:eastAsia="sk-SK"/>
              </w:rPr>
            </w:pPr>
            <w:r>
              <w:rPr>
                <w:sz w:val="20"/>
                <w:szCs w:val="20"/>
              </w:rPr>
              <w:t>preradené jednotky</w:t>
            </w:r>
          </w:p>
        </w:tc>
        <w:tc>
          <w:tcPr>
            <w:tcW w:w="1196" w:type="pct"/>
            <w:tcBorders>
              <w:top w:val="nil"/>
              <w:left w:val="nil"/>
              <w:bottom w:val="nil"/>
              <w:right w:val="nil"/>
            </w:tcBorders>
            <w:noWrap/>
            <w:vAlign w:val="center"/>
            <w:hideMark/>
          </w:tcPr>
          <w:p w14:paraId="70BCD968" w14:textId="74AC683C" w:rsidR="008A3808" w:rsidRPr="00E57C74" w:rsidRDefault="008A3808" w:rsidP="008A3808">
            <w:pPr>
              <w:spacing w:after="0" w:line="240" w:lineRule="auto"/>
              <w:jc w:val="right"/>
              <w:rPr>
                <w:sz w:val="20"/>
                <w:szCs w:val="20"/>
                <w:lang w:eastAsia="sk-SK"/>
              </w:rPr>
            </w:pPr>
            <w:r>
              <w:rPr>
                <w:sz w:val="20"/>
                <w:szCs w:val="20"/>
              </w:rPr>
              <w:t>8 775</w:t>
            </w:r>
          </w:p>
        </w:tc>
        <w:tc>
          <w:tcPr>
            <w:tcW w:w="947" w:type="pct"/>
            <w:tcBorders>
              <w:top w:val="nil"/>
              <w:left w:val="nil"/>
              <w:bottom w:val="nil"/>
              <w:right w:val="nil"/>
            </w:tcBorders>
            <w:noWrap/>
            <w:vAlign w:val="center"/>
            <w:hideMark/>
          </w:tcPr>
          <w:p w14:paraId="17ED576E" w14:textId="5DE75F77" w:rsidR="008A3808" w:rsidRPr="00E57C74" w:rsidRDefault="00154330" w:rsidP="008A3808">
            <w:pPr>
              <w:spacing w:after="0" w:line="240" w:lineRule="auto"/>
              <w:jc w:val="center"/>
              <w:rPr>
                <w:sz w:val="20"/>
                <w:szCs w:val="20"/>
                <w:lang w:eastAsia="sk-SK"/>
              </w:rPr>
            </w:pPr>
            <w:r>
              <w:rPr>
                <w:sz w:val="20"/>
                <w:szCs w:val="20"/>
              </w:rPr>
              <w:t xml:space="preserve"> </w:t>
            </w:r>
            <w:r w:rsidR="008A3808">
              <w:rPr>
                <w:sz w:val="20"/>
                <w:szCs w:val="20"/>
              </w:rPr>
              <w:t>0,007</w:t>
            </w:r>
          </w:p>
        </w:tc>
      </w:tr>
      <w:tr w:rsidR="004F5BAD" w:rsidRPr="00E57C74" w14:paraId="4F008875" w14:textId="77777777" w:rsidTr="00E57C74">
        <w:trPr>
          <w:trHeight w:val="260"/>
        </w:trPr>
        <w:tc>
          <w:tcPr>
            <w:tcW w:w="2857" w:type="pct"/>
            <w:tcBorders>
              <w:top w:val="nil"/>
              <w:left w:val="nil"/>
              <w:bottom w:val="nil"/>
              <w:right w:val="nil"/>
            </w:tcBorders>
            <w:noWrap/>
            <w:vAlign w:val="center"/>
            <w:hideMark/>
          </w:tcPr>
          <w:p w14:paraId="37796303" w14:textId="0ED01984" w:rsidR="004F5BAD" w:rsidRPr="00E57C74" w:rsidRDefault="004F5BAD" w:rsidP="004F5BAD">
            <w:pPr>
              <w:spacing w:after="0" w:line="240" w:lineRule="auto"/>
              <w:rPr>
                <w:sz w:val="20"/>
                <w:szCs w:val="20"/>
                <w:lang w:eastAsia="sk-SK"/>
              </w:rPr>
            </w:pPr>
            <w:r w:rsidRPr="004F5BAD">
              <w:rPr>
                <w:sz w:val="20"/>
                <w:szCs w:val="20"/>
              </w:rPr>
              <w:t>ostatné malé jednotky miestne</w:t>
            </w:r>
          </w:p>
        </w:tc>
        <w:tc>
          <w:tcPr>
            <w:tcW w:w="1196" w:type="pct"/>
            <w:tcBorders>
              <w:top w:val="nil"/>
              <w:left w:val="nil"/>
              <w:bottom w:val="nil"/>
              <w:right w:val="nil"/>
            </w:tcBorders>
            <w:noWrap/>
            <w:vAlign w:val="center"/>
            <w:hideMark/>
          </w:tcPr>
          <w:p w14:paraId="46D84162" w14:textId="77777777" w:rsidR="004F5BAD" w:rsidRPr="00E57C74" w:rsidRDefault="004F5BAD" w:rsidP="004F5BAD">
            <w:pPr>
              <w:spacing w:after="0" w:line="240" w:lineRule="auto"/>
              <w:jc w:val="right"/>
              <w:rPr>
                <w:sz w:val="20"/>
                <w:szCs w:val="20"/>
                <w:lang w:eastAsia="sk-SK"/>
              </w:rPr>
            </w:pPr>
            <w:r w:rsidRPr="00E57C74">
              <w:rPr>
                <w:sz w:val="20"/>
                <w:szCs w:val="20"/>
                <w:lang w:eastAsia="sk-SK"/>
              </w:rPr>
              <w:t>3 816</w:t>
            </w:r>
          </w:p>
        </w:tc>
        <w:tc>
          <w:tcPr>
            <w:tcW w:w="947" w:type="pct"/>
            <w:tcBorders>
              <w:top w:val="nil"/>
              <w:left w:val="nil"/>
              <w:bottom w:val="nil"/>
              <w:right w:val="nil"/>
            </w:tcBorders>
            <w:noWrap/>
            <w:vAlign w:val="center"/>
            <w:hideMark/>
          </w:tcPr>
          <w:p w14:paraId="71511787" w14:textId="35CFE710" w:rsidR="004F5BAD" w:rsidRPr="00E57C74" w:rsidRDefault="004F5BAD" w:rsidP="004F5BAD">
            <w:pPr>
              <w:spacing w:after="0" w:line="240" w:lineRule="auto"/>
              <w:jc w:val="center"/>
              <w:rPr>
                <w:sz w:val="20"/>
                <w:szCs w:val="20"/>
                <w:lang w:eastAsia="sk-SK"/>
              </w:rPr>
            </w:pPr>
            <w:r w:rsidRPr="004F5BAD">
              <w:rPr>
                <w:sz w:val="20"/>
                <w:szCs w:val="20"/>
                <w:lang w:eastAsia="sk-SK"/>
              </w:rPr>
              <w:t xml:space="preserve"> </w:t>
            </w:r>
            <w:r w:rsidRPr="00E57C74">
              <w:rPr>
                <w:sz w:val="20"/>
                <w:szCs w:val="20"/>
                <w:lang w:eastAsia="sk-SK"/>
              </w:rPr>
              <w:t>0,003</w:t>
            </w:r>
          </w:p>
        </w:tc>
      </w:tr>
      <w:tr w:rsidR="004F5BAD" w:rsidRPr="00E57C74" w14:paraId="6B53D570" w14:textId="77777777" w:rsidTr="00E57C74">
        <w:trPr>
          <w:trHeight w:val="260"/>
        </w:trPr>
        <w:tc>
          <w:tcPr>
            <w:tcW w:w="2857" w:type="pct"/>
            <w:tcBorders>
              <w:top w:val="nil"/>
              <w:left w:val="nil"/>
              <w:bottom w:val="nil"/>
              <w:right w:val="nil"/>
            </w:tcBorders>
            <w:vAlign w:val="center"/>
            <w:hideMark/>
          </w:tcPr>
          <w:p w14:paraId="627FD86D" w14:textId="331B9C99" w:rsidR="004F5BAD" w:rsidRPr="00E57C74" w:rsidRDefault="004F5BAD" w:rsidP="004F5BAD">
            <w:pPr>
              <w:spacing w:after="0" w:line="240" w:lineRule="auto"/>
              <w:rPr>
                <w:sz w:val="20"/>
                <w:szCs w:val="20"/>
                <w:lang w:eastAsia="sk-SK"/>
              </w:rPr>
            </w:pPr>
            <w:r w:rsidRPr="004F5BAD">
              <w:rPr>
                <w:sz w:val="20"/>
                <w:szCs w:val="20"/>
              </w:rPr>
              <w:t>dopravné podniky</w:t>
            </w:r>
          </w:p>
        </w:tc>
        <w:tc>
          <w:tcPr>
            <w:tcW w:w="1196" w:type="pct"/>
            <w:tcBorders>
              <w:top w:val="nil"/>
              <w:left w:val="nil"/>
              <w:bottom w:val="nil"/>
              <w:right w:val="nil"/>
            </w:tcBorders>
            <w:noWrap/>
            <w:vAlign w:val="center"/>
            <w:hideMark/>
          </w:tcPr>
          <w:p w14:paraId="5D9ECB53" w14:textId="77777777" w:rsidR="004F5BAD" w:rsidRPr="00E57C74" w:rsidRDefault="004F5BAD" w:rsidP="004F5BAD">
            <w:pPr>
              <w:spacing w:after="0" w:line="240" w:lineRule="auto"/>
              <w:jc w:val="right"/>
              <w:rPr>
                <w:sz w:val="20"/>
                <w:szCs w:val="20"/>
                <w:lang w:eastAsia="sk-SK"/>
              </w:rPr>
            </w:pPr>
            <w:r w:rsidRPr="00E57C74">
              <w:rPr>
                <w:sz w:val="20"/>
                <w:szCs w:val="20"/>
                <w:lang w:eastAsia="sk-SK"/>
              </w:rPr>
              <w:t>-1 298</w:t>
            </w:r>
          </w:p>
        </w:tc>
        <w:tc>
          <w:tcPr>
            <w:tcW w:w="947" w:type="pct"/>
            <w:tcBorders>
              <w:top w:val="nil"/>
              <w:left w:val="nil"/>
              <w:bottom w:val="nil"/>
              <w:right w:val="nil"/>
            </w:tcBorders>
            <w:noWrap/>
            <w:vAlign w:val="center"/>
            <w:hideMark/>
          </w:tcPr>
          <w:p w14:paraId="2FEB276A" w14:textId="77777777" w:rsidR="004F5BAD" w:rsidRPr="00E57C74" w:rsidRDefault="004F5BAD" w:rsidP="004F5BAD">
            <w:pPr>
              <w:spacing w:after="0" w:line="240" w:lineRule="auto"/>
              <w:jc w:val="center"/>
              <w:rPr>
                <w:sz w:val="20"/>
                <w:szCs w:val="20"/>
                <w:lang w:eastAsia="sk-SK"/>
              </w:rPr>
            </w:pPr>
            <w:r w:rsidRPr="00E57C74">
              <w:rPr>
                <w:sz w:val="20"/>
                <w:szCs w:val="20"/>
                <w:lang w:eastAsia="sk-SK"/>
              </w:rPr>
              <w:t>-0,001</w:t>
            </w:r>
          </w:p>
        </w:tc>
      </w:tr>
      <w:tr w:rsidR="004F5BAD" w:rsidRPr="00E57C74" w14:paraId="2FA65636" w14:textId="77777777" w:rsidTr="00E57C74">
        <w:trPr>
          <w:trHeight w:val="260"/>
        </w:trPr>
        <w:tc>
          <w:tcPr>
            <w:tcW w:w="2857" w:type="pct"/>
            <w:tcBorders>
              <w:top w:val="nil"/>
              <w:left w:val="nil"/>
              <w:bottom w:val="nil"/>
              <w:right w:val="nil"/>
            </w:tcBorders>
            <w:vAlign w:val="center"/>
            <w:hideMark/>
          </w:tcPr>
          <w:p w14:paraId="0A3011EB" w14:textId="2E3D7F5F" w:rsidR="004F5BAD" w:rsidRPr="00E57C74" w:rsidRDefault="004F5BAD" w:rsidP="004F5BAD">
            <w:pPr>
              <w:spacing w:after="0" w:line="240" w:lineRule="auto"/>
              <w:rPr>
                <w:sz w:val="20"/>
                <w:szCs w:val="20"/>
                <w:lang w:eastAsia="sk-SK"/>
              </w:rPr>
            </w:pPr>
            <w:r w:rsidRPr="004F5BAD">
              <w:rPr>
                <w:sz w:val="20"/>
                <w:szCs w:val="20"/>
              </w:rPr>
              <w:t>vyššie územné celky a ich RO</w:t>
            </w:r>
          </w:p>
        </w:tc>
        <w:tc>
          <w:tcPr>
            <w:tcW w:w="1196" w:type="pct"/>
            <w:tcBorders>
              <w:top w:val="nil"/>
              <w:left w:val="nil"/>
              <w:bottom w:val="nil"/>
              <w:right w:val="nil"/>
            </w:tcBorders>
            <w:noWrap/>
            <w:vAlign w:val="center"/>
            <w:hideMark/>
          </w:tcPr>
          <w:p w14:paraId="712C0AF5" w14:textId="77777777" w:rsidR="004F5BAD" w:rsidRPr="00E57C74" w:rsidRDefault="004F5BAD" w:rsidP="004F5BAD">
            <w:pPr>
              <w:spacing w:after="0" w:line="240" w:lineRule="auto"/>
              <w:jc w:val="right"/>
              <w:rPr>
                <w:sz w:val="20"/>
                <w:szCs w:val="20"/>
                <w:lang w:eastAsia="sk-SK"/>
              </w:rPr>
            </w:pPr>
            <w:r w:rsidRPr="00E57C74">
              <w:rPr>
                <w:sz w:val="20"/>
                <w:szCs w:val="20"/>
                <w:lang w:eastAsia="sk-SK"/>
              </w:rPr>
              <w:t>138</w:t>
            </w:r>
          </w:p>
        </w:tc>
        <w:tc>
          <w:tcPr>
            <w:tcW w:w="947" w:type="pct"/>
            <w:tcBorders>
              <w:top w:val="nil"/>
              <w:left w:val="nil"/>
              <w:bottom w:val="nil"/>
              <w:right w:val="nil"/>
            </w:tcBorders>
            <w:noWrap/>
            <w:vAlign w:val="center"/>
            <w:hideMark/>
          </w:tcPr>
          <w:p w14:paraId="41AD47C0" w14:textId="03E01081" w:rsidR="004F5BAD" w:rsidRPr="00E57C74" w:rsidRDefault="004F5BAD" w:rsidP="004F5BAD">
            <w:pPr>
              <w:spacing w:after="0" w:line="240" w:lineRule="auto"/>
              <w:jc w:val="center"/>
              <w:rPr>
                <w:sz w:val="20"/>
                <w:szCs w:val="20"/>
                <w:lang w:eastAsia="sk-SK"/>
              </w:rPr>
            </w:pPr>
            <w:r w:rsidRPr="004F5BAD">
              <w:rPr>
                <w:sz w:val="20"/>
                <w:szCs w:val="20"/>
                <w:lang w:eastAsia="sk-SK"/>
              </w:rPr>
              <w:t xml:space="preserve"> </w:t>
            </w:r>
            <w:r w:rsidRPr="00E57C74">
              <w:rPr>
                <w:sz w:val="20"/>
                <w:szCs w:val="20"/>
                <w:lang w:eastAsia="sk-SK"/>
              </w:rPr>
              <w:t>0,000</w:t>
            </w:r>
          </w:p>
        </w:tc>
      </w:tr>
      <w:tr w:rsidR="004F5BAD" w:rsidRPr="00E57C74" w14:paraId="378F409C" w14:textId="77777777" w:rsidTr="0025341E">
        <w:trPr>
          <w:trHeight w:val="373"/>
        </w:trPr>
        <w:tc>
          <w:tcPr>
            <w:tcW w:w="2857" w:type="pct"/>
            <w:tcBorders>
              <w:top w:val="single" w:sz="4" w:space="0" w:color="auto"/>
              <w:left w:val="nil"/>
              <w:bottom w:val="nil"/>
              <w:right w:val="nil"/>
            </w:tcBorders>
            <w:noWrap/>
            <w:vAlign w:val="center"/>
            <w:hideMark/>
          </w:tcPr>
          <w:p w14:paraId="1B4617B5" w14:textId="6EAB8A17" w:rsidR="004F5BAD" w:rsidRPr="00E57C74" w:rsidRDefault="004F5BAD" w:rsidP="004F5BAD">
            <w:pPr>
              <w:spacing w:after="0" w:line="240" w:lineRule="auto"/>
              <w:rPr>
                <w:b/>
                <w:bCs/>
                <w:color w:val="000000"/>
                <w:sz w:val="20"/>
                <w:szCs w:val="20"/>
                <w:lang w:eastAsia="sk-SK"/>
              </w:rPr>
            </w:pPr>
            <w:r w:rsidRPr="004F5BAD">
              <w:rPr>
                <w:b/>
                <w:bCs/>
                <w:color w:val="000000"/>
                <w:sz w:val="20"/>
                <w:szCs w:val="20"/>
              </w:rPr>
              <w:t>Zmena celkom</w:t>
            </w:r>
          </w:p>
        </w:tc>
        <w:tc>
          <w:tcPr>
            <w:tcW w:w="1196" w:type="pct"/>
            <w:tcBorders>
              <w:top w:val="single" w:sz="4" w:space="0" w:color="auto"/>
              <w:left w:val="nil"/>
              <w:bottom w:val="single" w:sz="4" w:space="0" w:color="auto"/>
              <w:right w:val="nil"/>
            </w:tcBorders>
            <w:noWrap/>
            <w:vAlign w:val="center"/>
            <w:hideMark/>
          </w:tcPr>
          <w:p w14:paraId="6B08362B" w14:textId="77777777" w:rsidR="004F5BAD" w:rsidRPr="00E57C74" w:rsidRDefault="004F5BAD" w:rsidP="004F5BAD">
            <w:pPr>
              <w:spacing w:after="0" w:line="240" w:lineRule="auto"/>
              <w:jc w:val="right"/>
              <w:rPr>
                <w:b/>
                <w:bCs/>
                <w:sz w:val="20"/>
                <w:szCs w:val="20"/>
                <w:lang w:eastAsia="sk-SK"/>
              </w:rPr>
            </w:pPr>
            <w:r w:rsidRPr="00E57C74">
              <w:rPr>
                <w:b/>
                <w:bCs/>
                <w:sz w:val="20"/>
                <w:szCs w:val="20"/>
                <w:lang w:eastAsia="sk-SK"/>
              </w:rPr>
              <w:t>86 326</w:t>
            </w:r>
          </w:p>
        </w:tc>
        <w:tc>
          <w:tcPr>
            <w:tcW w:w="947" w:type="pct"/>
            <w:tcBorders>
              <w:top w:val="single" w:sz="4" w:space="0" w:color="auto"/>
              <w:left w:val="nil"/>
              <w:bottom w:val="single" w:sz="4" w:space="0" w:color="auto"/>
              <w:right w:val="nil"/>
            </w:tcBorders>
            <w:noWrap/>
            <w:vAlign w:val="center"/>
            <w:hideMark/>
          </w:tcPr>
          <w:p w14:paraId="35131166" w14:textId="1FEDF928" w:rsidR="004F5BAD" w:rsidRPr="00E57C74" w:rsidRDefault="004F5BAD" w:rsidP="004F5BAD">
            <w:pPr>
              <w:spacing w:after="0" w:line="240" w:lineRule="auto"/>
              <w:jc w:val="center"/>
              <w:rPr>
                <w:b/>
                <w:bCs/>
                <w:sz w:val="20"/>
                <w:szCs w:val="20"/>
                <w:lang w:eastAsia="sk-SK"/>
              </w:rPr>
            </w:pPr>
            <w:r w:rsidRPr="004F5BAD">
              <w:rPr>
                <w:b/>
                <w:bCs/>
                <w:sz w:val="20"/>
                <w:szCs w:val="20"/>
                <w:lang w:eastAsia="sk-SK"/>
              </w:rPr>
              <w:t xml:space="preserve"> </w:t>
            </w:r>
          </w:p>
        </w:tc>
      </w:tr>
      <w:tr w:rsidR="004F5BAD" w:rsidRPr="00E57C74" w14:paraId="446E0C61" w14:textId="77777777" w:rsidTr="00E57C74">
        <w:trPr>
          <w:trHeight w:val="391"/>
        </w:trPr>
        <w:tc>
          <w:tcPr>
            <w:tcW w:w="2857" w:type="pct"/>
            <w:tcBorders>
              <w:top w:val="single" w:sz="4" w:space="0" w:color="auto"/>
              <w:left w:val="nil"/>
              <w:bottom w:val="single" w:sz="4" w:space="0" w:color="auto"/>
              <w:right w:val="nil"/>
            </w:tcBorders>
            <w:vAlign w:val="center"/>
            <w:hideMark/>
          </w:tcPr>
          <w:p w14:paraId="0DAE7040" w14:textId="5E265FE3" w:rsidR="004F5BAD" w:rsidRPr="00E57C74" w:rsidRDefault="004F5BAD" w:rsidP="004F5BAD">
            <w:pPr>
              <w:spacing w:after="0" w:line="240" w:lineRule="auto"/>
              <w:rPr>
                <w:b/>
                <w:bCs/>
                <w:sz w:val="20"/>
                <w:szCs w:val="20"/>
                <w:lang w:eastAsia="sk-SK"/>
              </w:rPr>
            </w:pPr>
            <w:r w:rsidRPr="004F5BAD">
              <w:rPr>
                <w:b/>
                <w:bCs/>
                <w:sz w:val="20"/>
                <w:szCs w:val="20"/>
              </w:rPr>
              <w:t>Maastrichtský dlh  VS - október 2025</w:t>
            </w:r>
          </w:p>
        </w:tc>
        <w:tc>
          <w:tcPr>
            <w:tcW w:w="1196" w:type="pct"/>
            <w:tcBorders>
              <w:top w:val="nil"/>
              <w:left w:val="nil"/>
              <w:bottom w:val="single" w:sz="4" w:space="0" w:color="auto"/>
              <w:right w:val="nil"/>
            </w:tcBorders>
            <w:noWrap/>
            <w:vAlign w:val="center"/>
            <w:hideMark/>
          </w:tcPr>
          <w:p w14:paraId="7814F6FA" w14:textId="77777777" w:rsidR="004F5BAD" w:rsidRPr="00E57C74" w:rsidRDefault="004F5BAD" w:rsidP="004F5BAD">
            <w:pPr>
              <w:spacing w:after="0" w:line="240" w:lineRule="auto"/>
              <w:jc w:val="right"/>
              <w:rPr>
                <w:b/>
                <w:bCs/>
                <w:sz w:val="20"/>
                <w:szCs w:val="20"/>
                <w:lang w:eastAsia="sk-SK"/>
              </w:rPr>
            </w:pPr>
            <w:r w:rsidRPr="00E57C74">
              <w:rPr>
                <w:b/>
                <w:bCs/>
                <w:sz w:val="20"/>
                <w:szCs w:val="20"/>
                <w:lang w:eastAsia="sk-SK"/>
              </w:rPr>
              <w:t>77 734 635</w:t>
            </w:r>
          </w:p>
        </w:tc>
        <w:tc>
          <w:tcPr>
            <w:tcW w:w="947" w:type="pct"/>
            <w:tcBorders>
              <w:top w:val="nil"/>
              <w:left w:val="nil"/>
              <w:bottom w:val="single" w:sz="4" w:space="0" w:color="auto"/>
              <w:right w:val="nil"/>
            </w:tcBorders>
            <w:vAlign w:val="center"/>
            <w:hideMark/>
          </w:tcPr>
          <w:p w14:paraId="5753C9B5" w14:textId="77777777" w:rsidR="004F5BAD" w:rsidRPr="00E57C74" w:rsidRDefault="004F5BAD" w:rsidP="004F5BAD">
            <w:pPr>
              <w:spacing w:after="0" w:line="240" w:lineRule="auto"/>
              <w:jc w:val="center"/>
              <w:rPr>
                <w:b/>
                <w:bCs/>
                <w:sz w:val="20"/>
                <w:szCs w:val="20"/>
                <w:lang w:eastAsia="sk-SK"/>
              </w:rPr>
            </w:pPr>
            <w:r w:rsidRPr="00E57C74">
              <w:rPr>
                <w:b/>
                <w:bCs/>
                <w:sz w:val="20"/>
                <w:szCs w:val="20"/>
                <w:lang w:eastAsia="sk-SK"/>
              </w:rPr>
              <w:t>59,7</w:t>
            </w:r>
          </w:p>
        </w:tc>
      </w:tr>
    </w:tbl>
    <w:p w14:paraId="2CF2050E" w14:textId="14B7F815" w:rsidR="00DC0F15" w:rsidRPr="004F5BAD" w:rsidRDefault="00DC0F15" w:rsidP="00DC0F15">
      <w:pPr>
        <w:widowControl w:val="0"/>
        <w:spacing w:after="0" w:line="240" w:lineRule="auto"/>
        <w:jc w:val="both"/>
        <w:rPr>
          <w:sz w:val="16"/>
          <w:szCs w:val="16"/>
          <w:lang w:eastAsia="sk-SK"/>
        </w:rPr>
      </w:pPr>
      <w:r w:rsidRPr="004F5BAD">
        <w:fldChar w:fldCharType="begin"/>
      </w:r>
      <w:r w:rsidRPr="004F5BAD">
        <w:instrText xml:space="preserve"> LINK Excel.Sheet.8 "\\\\mf.mfsr.sk\\DfsRoot\\ADRESARE\\OISS_313\\STATVERFIN\\SZU\\2021\\SVS\\SVS 2021_Tab schodku_19.9.2022.xls" "Úpravy schodku 2020 !R14C2" \a \f 4 \h  \* MERGEFORMAT </w:instrText>
      </w:r>
      <w:r w:rsidRPr="004F5BAD">
        <w:fldChar w:fldCharType="separate"/>
      </w:r>
      <w:r w:rsidR="00532F9F" w:rsidRPr="004F5BAD">
        <w:rPr>
          <w:sz w:val="16"/>
          <w:szCs w:val="16"/>
          <w:vertAlign w:val="superscript"/>
          <w:lang w:eastAsia="sk-SK"/>
        </w:rPr>
        <w:t>1)</w:t>
      </w:r>
      <w:r w:rsidR="00532F9F" w:rsidRPr="004F5BAD">
        <w:rPr>
          <w:sz w:val="16"/>
          <w:szCs w:val="16"/>
          <w:lang w:eastAsia="sk-SK"/>
        </w:rPr>
        <w:t> Percento dlhu</w:t>
      </w:r>
      <w:r w:rsidRPr="004F5BAD">
        <w:rPr>
          <w:sz w:val="16"/>
          <w:szCs w:val="16"/>
          <w:lang w:eastAsia="sk-SK"/>
        </w:rPr>
        <w:t xml:space="preserve"> z aprílovej notifikácie je vyčíslené v pomere k</w:t>
      </w:r>
      <w:r w:rsidR="002D1E17" w:rsidRPr="004F5BAD">
        <w:rPr>
          <w:sz w:val="16"/>
          <w:szCs w:val="16"/>
          <w:lang w:eastAsia="sk-SK"/>
        </w:rPr>
        <w:t> HDP notifikovanom v apríli 202</w:t>
      </w:r>
      <w:r w:rsidR="004F5BAD" w:rsidRPr="004F5BAD">
        <w:rPr>
          <w:sz w:val="16"/>
          <w:szCs w:val="16"/>
          <w:lang w:eastAsia="sk-SK"/>
        </w:rPr>
        <w:t>5</w:t>
      </w:r>
      <w:r w:rsidRPr="004F5BAD">
        <w:rPr>
          <w:sz w:val="16"/>
          <w:szCs w:val="16"/>
          <w:lang w:eastAsia="sk-SK"/>
        </w:rPr>
        <w:t xml:space="preserve">. </w:t>
      </w:r>
      <w:r w:rsidRPr="004F5BAD">
        <w:rPr>
          <w:sz w:val="16"/>
          <w:szCs w:val="16"/>
          <w:lang w:eastAsia="sk-SK"/>
        </w:rPr>
        <w:tab/>
      </w:r>
      <w:r w:rsidRPr="004F5BAD">
        <w:rPr>
          <w:sz w:val="16"/>
          <w:szCs w:val="16"/>
          <w:lang w:eastAsia="sk-SK"/>
        </w:rPr>
        <w:tab/>
        <w:t xml:space="preserve">      </w:t>
      </w:r>
      <w:r w:rsidR="003009A6" w:rsidRPr="004F5BAD">
        <w:rPr>
          <w:sz w:val="16"/>
          <w:szCs w:val="16"/>
          <w:lang w:eastAsia="sk-SK"/>
        </w:rPr>
        <w:t xml:space="preserve">                  </w:t>
      </w:r>
      <w:r w:rsidRPr="004F5BAD">
        <w:rPr>
          <w:sz w:val="16"/>
          <w:szCs w:val="16"/>
          <w:lang w:eastAsia="sk-SK"/>
        </w:rPr>
        <w:t xml:space="preserve">         Zdroj: MF SR</w:t>
      </w:r>
    </w:p>
    <w:p w14:paraId="5BB8A414" w14:textId="6C556AA8" w:rsidR="00DC0F15" w:rsidRPr="004F5BAD" w:rsidRDefault="00DC0F15" w:rsidP="00EB54C1">
      <w:pPr>
        <w:widowControl w:val="0"/>
        <w:spacing w:after="120" w:line="240" w:lineRule="auto"/>
        <w:jc w:val="both"/>
        <w:rPr>
          <w:rFonts w:ascii="Arial Narrow" w:hAnsi="Arial Narrow" w:cs="Arial Narrow"/>
          <w:szCs w:val="22"/>
        </w:rPr>
      </w:pPr>
      <w:r w:rsidRPr="004F5BAD">
        <w:rPr>
          <w:sz w:val="16"/>
          <w:szCs w:val="16"/>
          <w:lang w:eastAsia="sk-SK"/>
        </w:rPr>
        <w:t xml:space="preserve">    Ostatné percentá sa vyčíslujú v pomere k </w:t>
      </w:r>
      <w:r w:rsidR="002D1E17" w:rsidRPr="004F5BAD">
        <w:rPr>
          <w:sz w:val="16"/>
          <w:szCs w:val="16"/>
          <w:lang w:eastAsia="sk-SK"/>
        </w:rPr>
        <w:t>HDP notifikovanom v októbri 202</w:t>
      </w:r>
      <w:r w:rsidR="004F5BAD" w:rsidRPr="004F5BAD">
        <w:rPr>
          <w:sz w:val="16"/>
          <w:szCs w:val="16"/>
          <w:lang w:eastAsia="sk-SK"/>
        </w:rPr>
        <w:t>5</w:t>
      </w:r>
      <w:r w:rsidR="00544797" w:rsidRPr="004F5BAD">
        <w:rPr>
          <w:sz w:val="16"/>
          <w:szCs w:val="16"/>
          <w:lang w:eastAsia="sk-SK"/>
        </w:rPr>
        <w:t>.</w:t>
      </w:r>
    </w:p>
    <w:p w14:paraId="5F8A4D22" w14:textId="1002F213" w:rsidR="007018F7" w:rsidRDefault="00DC0F15" w:rsidP="007018F7">
      <w:pPr>
        <w:pStyle w:val="Obyajntext"/>
        <w:spacing w:after="120"/>
        <w:jc w:val="both"/>
        <w:rPr>
          <w:b/>
          <w:color w:val="548DD4" w:themeColor="text2" w:themeTint="99"/>
          <w:sz w:val="24"/>
          <w:szCs w:val="24"/>
        </w:rPr>
      </w:pPr>
      <w:r w:rsidRPr="004F5BAD">
        <w:fldChar w:fldCharType="end"/>
      </w:r>
      <w:r w:rsidR="00D300A7">
        <w:rPr>
          <w:b/>
          <w:color w:val="548DD4" w:themeColor="text2" w:themeTint="99"/>
          <w:sz w:val="24"/>
          <w:szCs w:val="24"/>
        </w:rPr>
        <w:t xml:space="preserve">Najvýznamnejšie aktualizácie </w:t>
      </w:r>
      <w:r w:rsidR="007018F7" w:rsidRPr="00E75FB8">
        <w:rPr>
          <w:b/>
          <w:color w:val="548DD4" w:themeColor="text2" w:themeTint="99"/>
          <w:sz w:val="24"/>
          <w:szCs w:val="24"/>
        </w:rPr>
        <w:t>dlhu verejnej správy pri jesennej notifikácii</w:t>
      </w:r>
    </w:p>
    <w:p w14:paraId="29C1755C" w14:textId="5B3E4973" w:rsidR="00D300A7" w:rsidRPr="00E75FB8" w:rsidRDefault="00D300A7" w:rsidP="00901E59">
      <w:pPr>
        <w:pStyle w:val="Odsekzoznamu"/>
        <w:numPr>
          <w:ilvl w:val="0"/>
          <w:numId w:val="8"/>
        </w:numPr>
        <w:spacing w:after="120"/>
        <w:ind w:left="709" w:hanging="425"/>
        <w:contextualSpacing w:val="0"/>
        <w:jc w:val="both"/>
        <w:rPr>
          <w:rFonts w:cs="Times New Roman"/>
          <w:bCs/>
        </w:rPr>
      </w:pPr>
      <w:r w:rsidRPr="008A3808">
        <w:rPr>
          <w:rFonts w:cs="Times New Roman"/>
          <w:b/>
        </w:rPr>
        <w:t>Aktualizácia výšky záväzkov z tzv. zelenej energie</w:t>
      </w:r>
      <w:r>
        <w:rPr>
          <w:rFonts w:cs="Times New Roman"/>
          <w:bCs/>
        </w:rPr>
        <w:t xml:space="preserve"> </w:t>
      </w:r>
      <w:r w:rsidR="002E7FDE">
        <w:rPr>
          <w:rFonts w:cs="Times New Roman"/>
          <w:bCs/>
        </w:rPr>
        <w:t xml:space="preserve">vykázaná v rámci štátneho dlhu </w:t>
      </w:r>
      <w:r>
        <w:rPr>
          <w:rFonts w:cs="Times New Roman"/>
          <w:bCs/>
        </w:rPr>
        <w:t>mala za následok nárast dlhu verejnej správy o 90 655 tis. eur.</w:t>
      </w:r>
    </w:p>
    <w:p w14:paraId="7DC018B8" w14:textId="7AD08A20" w:rsidR="00D300A7" w:rsidRPr="00E75FB8" w:rsidRDefault="00D300A7" w:rsidP="00901E59">
      <w:pPr>
        <w:pStyle w:val="Odsekzoznamu"/>
        <w:numPr>
          <w:ilvl w:val="0"/>
          <w:numId w:val="8"/>
        </w:numPr>
        <w:spacing w:after="120"/>
        <w:ind w:left="709" w:hanging="425"/>
        <w:contextualSpacing w:val="0"/>
        <w:jc w:val="both"/>
        <w:rPr>
          <w:rFonts w:cs="Times New Roman"/>
          <w:bCs/>
        </w:rPr>
      </w:pPr>
      <w:r w:rsidRPr="00E75FB8">
        <w:rPr>
          <w:b/>
        </w:rPr>
        <w:t xml:space="preserve">Aktualizácia údajov za SZRB a, s. </w:t>
      </w:r>
      <w:r w:rsidRPr="00E75FB8">
        <w:rPr>
          <w:bCs/>
        </w:rPr>
        <w:t xml:space="preserve">Na základe dodatočných informácií bola aktualizovaná suma štátnych dlhopisov v držbe SZRB, a. s., čo spôsobilo zníženie dlhu verejnej správy o 15 760 tis. eur z dôvodu </w:t>
      </w:r>
      <w:r>
        <w:rPr>
          <w:bCs/>
        </w:rPr>
        <w:t xml:space="preserve">vzájomnej </w:t>
      </w:r>
      <w:r w:rsidRPr="00E75FB8">
        <w:rPr>
          <w:bCs/>
        </w:rPr>
        <w:t>konsolidácie</w:t>
      </w:r>
      <w:r w:rsidR="0066256B">
        <w:rPr>
          <w:bCs/>
        </w:rPr>
        <w:t xml:space="preserve"> v rámci verejnej správy</w:t>
      </w:r>
      <w:r w:rsidRPr="00E75FB8">
        <w:rPr>
          <w:bCs/>
        </w:rPr>
        <w:t xml:space="preserve">. </w:t>
      </w:r>
    </w:p>
    <w:p w14:paraId="2CDD5E00" w14:textId="5C0D6BBD" w:rsidR="007018F7" w:rsidRPr="009A1243" w:rsidRDefault="0066256B" w:rsidP="00901E59">
      <w:pPr>
        <w:pStyle w:val="Odsekzoznamu"/>
        <w:numPr>
          <w:ilvl w:val="0"/>
          <w:numId w:val="8"/>
        </w:numPr>
        <w:spacing w:after="120"/>
        <w:ind w:left="709" w:hanging="425"/>
        <w:contextualSpacing w:val="0"/>
        <w:jc w:val="both"/>
      </w:pPr>
      <w:r>
        <w:rPr>
          <w:b/>
        </w:rPr>
        <w:t>P</w:t>
      </w:r>
      <w:r w:rsidR="009A1243" w:rsidRPr="009A1243">
        <w:rPr>
          <w:b/>
        </w:rPr>
        <w:t xml:space="preserve">reradenie </w:t>
      </w:r>
      <w:r>
        <w:rPr>
          <w:b/>
        </w:rPr>
        <w:t xml:space="preserve">niektorých </w:t>
      </w:r>
      <w:r w:rsidR="009A1243" w:rsidRPr="009A1243">
        <w:rPr>
          <w:b/>
        </w:rPr>
        <w:t xml:space="preserve">subjektov do sektora verejnej správy </w:t>
      </w:r>
      <w:r w:rsidR="009A1243" w:rsidRPr="009A1243">
        <w:rPr>
          <w:bCs/>
        </w:rPr>
        <w:t>spôsobilo nárast dlhu verejnej správy o 8 775 tis. eur.</w:t>
      </w:r>
      <w:r>
        <w:rPr>
          <w:bCs/>
        </w:rPr>
        <w:t xml:space="preserve"> Išlo napríklad o niektoré vodárenské spoločnosti vo vlastníctve územnej samosprávy.</w:t>
      </w:r>
    </w:p>
    <w:p w14:paraId="5B862D97" w14:textId="09EB0B47" w:rsidR="007018F7" w:rsidRPr="00B57533" w:rsidRDefault="007018F7" w:rsidP="00901E59">
      <w:pPr>
        <w:pStyle w:val="Odsekzoznamu"/>
        <w:numPr>
          <w:ilvl w:val="0"/>
          <w:numId w:val="8"/>
        </w:numPr>
        <w:spacing w:after="120"/>
        <w:ind w:left="709" w:hanging="425"/>
        <w:contextualSpacing w:val="0"/>
        <w:jc w:val="both"/>
        <w:rPr>
          <w:rFonts w:cs="Times New Roman"/>
        </w:rPr>
      </w:pPr>
      <w:r w:rsidRPr="00B57533">
        <w:rPr>
          <w:b/>
        </w:rPr>
        <w:t>Aktualizácia dlhu za ostatné jednotky miestne</w:t>
      </w:r>
      <w:r w:rsidRPr="00B57533">
        <w:t xml:space="preserve"> na základe </w:t>
      </w:r>
      <w:r w:rsidR="00D300A7">
        <w:t xml:space="preserve">finálnych </w:t>
      </w:r>
      <w:r w:rsidRPr="00B57533">
        <w:t xml:space="preserve">účtovných závierok </w:t>
      </w:r>
      <w:r w:rsidR="00D300A7">
        <w:t xml:space="preserve">zostavených </w:t>
      </w:r>
      <w:r w:rsidRPr="00B57533">
        <w:t>k 31.12.202</w:t>
      </w:r>
      <w:r w:rsidR="00B57533" w:rsidRPr="00B57533">
        <w:t>4</w:t>
      </w:r>
      <w:r w:rsidRPr="00B57533">
        <w:t>.</w:t>
      </w:r>
    </w:p>
    <w:p w14:paraId="1EEF2231" w14:textId="2EB82C9F" w:rsidR="00E75FB8" w:rsidRDefault="00E75FB8" w:rsidP="00901E59">
      <w:pPr>
        <w:pStyle w:val="Obyajntext"/>
        <w:numPr>
          <w:ilvl w:val="0"/>
          <w:numId w:val="8"/>
        </w:numPr>
        <w:spacing w:after="120"/>
        <w:ind w:left="709" w:hanging="425"/>
        <w:jc w:val="both"/>
      </w:pPr>
      <w:r w:rsidRPr="00B57533">
        <w:rPr>
          <w:b/>
        </w:rPr>
        <w:t xml:space="preserve">Aktualizácia výšky dlhu na základe </w:t>
      </w:r>
      <w:r w:rsidR="0010784E">
        <w:rPr>
          <w:b/>
        </w:rPr>
        <w:t xml:space="preserve">finančných </w:t>
      </w:r>
      <w:r w:rsidRPr="00B57533">
        <w:rPr>
          <w:b/>
        </w:rPr>
        <w:t xml:space="preserve">výkazov </w:t>
      </w:r>
      <w:r w:rsidRPr="004D2017">
        <w:rPr>
          <w:bCs/>
        </w:rPr>
        <w:t>z tzv. 5. zberu</w:t>
      </w:r>
      <w:r w:rsidRPr="00B57533">
        <w:rPr>
          <w:b/>
        </w:rPr>
        <w:t xml:space="preserve">. </w:t>
      </w:r>
      <w:r w:rsidRPr="00B57533">
        <w:t>Dlh spoločnosti Dopravný podnik Bratislava, a. s. sa znížil o 1 298 tis. eur z dôvodu revízie výšky záväzkov z obchodného styku.</w:t>
      </w:r>
    </w:p>
    <w:p w14:paraId="7BE4687E" w14:textId="1BE359E8" w:rsidR="003606CA" w:rsidRPr="00B57533" w:rsidRDefault="003606CA" w:rsidP="00901E59">
      <w:pPr>
        <w:pStyle w:val="Obyajntext"/>
        <w:numPr>
          <w:ilvl w:val="0"/>
          <w:numId w:val="8"/>
        </w:numPr>
        <w:spacing w:after="120"/>
        <w:ind w:left="709" w:hanging="425"/>
        <w:jc w:val="both"/>
      </w:pPr>
      <w:r>
        <w:rPr>
          <w:b/>
        </w:rPr>
        <w:t xml:space="preserve">Aktualizácia výšky dlhu vyšších územných celkov. </w:t>
      </w:r>
      <w:r>
        <w:rPr>
          <w:bCs/>
        </w:rPr>
        <w:t xml:space="preserve">Na základe dodatočných informácií bola zvýšená </w:t>
      </w:r>
      <w:r w:rsidR="00743FE1">
        <w:rPr>
          <w:bCs/>
        </w:rPr>
        <w:t>hodnota</w:t>
      </w:r>
      <w:r>
        <w:rPr>
          <w:bCs/>
        </w:rPr>
        <w:t xml:space="preserve"> zábezpek Trnavského samosprávneho kraja o 138 tis. eur.</w:t>
      </w:r>
    </w:p>
    <w:p w14:paraId="66D873DA" w14:textId="77777777" w:rsidR="00190B48" w:rsidRDefault="00190B48">
      <w:pPr>
        <w:rPr>
          <w:b/>
          <w:bCs/>
          <w:sz w:val="24"/>
          <w:szCs w:val="24"/>
        </w:rPr>
      </w:pPr>
      <w:r>
        <w:br w:type="page"/>
      </w:r>
    </w:p>
    <w:p w14:paraId="1E8D5572" w14:textId="06B19CC9" w:rsidR="003D050C" w:rsidRPr="00741CC7" w:rsidRDefault="00B051D3" w:rsidP="00AA46C8">
      <w:pPr>
        <w:pStyle w:val="Nadpis2"/>
        <w:numPr>
          <w:ilvl w:val="0"/>
          <w:numId w:val="0"/>
        </w:numPr>
        <w:ind w:left="896"/>
      </w:pPr>
      <w:bookmarkStart w:id="14" w:name="_Toc212461594"/>
      <w:r w:rsidRPr="00741CC7">
        <w:lastRenderedPageBreak/>
        <w:t>1.</w:t>
      </w:r>
      <w:r w:rsidR="008E7556" w:rsidRPr="00741CC7">
        <w:t>2</w:t>
      </w:r>
      <w:r w:rsidRPr="00741CC7">
        <w:t xml:space="preserve">. </w:t>
      </w:r>
      <w:bookmarkStart w:id="15" w:name="_Toc496786974"/>
      <w:r w:rsidR="00C102B8" w:rsidRPr="00741CC7">
        <w:tab/>
      </w:r>
      <w:r w:rsidR="003D050C" w:rsidRPr="00741CC7">
        <w:t>Saldo verejnej správy</w:t>
      </w:r>
      <w:bookmarkEnd w:id="15"/>
      <w:bookmarkEnd w:id="14"/>
    </w:p>
    <w:p w14:paraId="5B5FCD99" w14:textId="195B847F" w:rsidR="00DF51DE" w:rsidRPr="008B0F9A" w:rsidRDefault="00992DD8" w:rsidP="00156DDE">
      <w:pPr>
        <w:spacing w:after="0" w:line="240" w:lineRule="auto"/>
        <w:jc w:val="both"/>
        <w:rPr>
          <w:szCs w:val="22"/>
        </w:rPr>
      </w:pPr>
      <w:r w:rsidRPr="000C0801">
        <w:rPr>
          <w:b/>
          <w:szCs w:val="22"/>
        </w:rPr>
        <w:t>Verejná správa SR na základe výsledkov jesennej notifikácie hospodárila v roku 202</w:t>
      </w:r>
      <w:r w:rsidR="00787CB2" w:rsidRPr="000C0801">
        <w:rPr>
          <w:b/>
          <w:szCs w:val="22"/>
        </w:rPr>
        <w:t>4</w:t>
      </w:r>
      <w:r w:rsidR="00D418E2" w:rsidRPr="000C0801">
        <w:rPr>
          <w:b/>
          <w:szCs w:val="22"/>
        </w:rPr>
        <w:t xml:space="preserve"> so </w:t>
      </w:r>
      <w:r w:rsidRPr="000C0801">
        <w:rPr>
          <w:b/>
          <w:szCs w:val="22"/>
        </w:rPr>
        <w:t xml:space="preserve">schodkom </w:t>
      </w:r>
      <w:r w:rsidR="00787CB2" w:rsidRPr="000C0801">
        <w:rPr>
          <w:b/>
          <w:szCs w:val="22"/>
        </w:rPr>
        <w:t>7</w:t>
      </w:r>
      <w:r w:rsidRPr="000C0801">
        <w:rPr>
          <w:b/>
          <w:szCs w:val="22"/>
        </w:rPr>
        <w:t> </w:t>
      </w:r>
      <w:r w:rsidR="00787CB2" w:rsidRPr="000C0801">
        <w:rPr>
          <w:b/>
          <w:szCs w:val="22"/>
        </w:rPr>
        <w:t>157</w:t>
      </w:r>
      <w:r w:rsidRPr="000C0801">
        <w:rPr>
          <w:b/>
          <w:szCs w:val="22"/>
        </w:rPr>
        <w:t> </w:t>
      </w:r>
      <w:r w:rsidR="00787CB2" w:rsidRPr="000C0801">
        <w:rPr>
          <w:b/>
          <w:szCs w:val="22"/>
        </w:rPr>
        <w:t>068</w:t>
      </w:r>
      <w:r w:rsidRPr="000C0801">
        <w:rPr>
          <w:b/>
          <w:szCs w:val="22"/>
        </w:rPr>
        <w:t> tis. eur (5,</w:t>
      </w:r>
      <w:r w:rsidR="00253B0D" w:rsidRPr="000C0801">
        <w:rPr>
          <w:b/>
          <w:szCs w:val="22"/>
        </w:rPr>
        <w:t>5</w:t>
      </w:r>
      <w:r w:rsidRPr="000C0801">
        <w:rPr>
          <w:b/>
          <w:szCs w:val="22"/>
        </w:rPr>
        <w:t> % HDP).</w:t>
      </w:r>
      <w:r w:rsidRPr="000C0801">
        <w:rPr>
          <w:szCs w:val="22"/>
        </w:rPr>
        <w:t xml:space="preserve"> Schodok</w:t>
      </w:r>
      <w:r w:rsidR="00D418E2" w:rsidRPr="000C0801">
        <w:rPr>
          <w:szCs w:val="22"/>
        </w:rPr>
        <w:t xml:space="preserve"> v pomere k HDP za </w:t>
      </w:r>
      <w:r w:rsidRPr="000C0801">
        <w:rPr>
          <w:szCs w:val="22"/>
        </w:rPr>
        <w:t>rok 202</w:t>
      </w:r>
      <w:r w:rsidR="00253B0D" w:rsidRPr="000C0801">
        <w:rPr>
          <w:szCs w:val="22"/>
        </w:rPr>
        <w:t>4</w:t>
      </w:r>
      <w:r w:rsidRPr="000C0801">
        <w:rPr>
          <w:szCs w:val="22"/>
        </w:rPr>
        <w:t xml:space="preserve"> vzrást</w:t>
      </w:r>
      <w:r w:rsidR="00544797" w:rsidRPr="000C0801">
        <w:rPr>
          <w:szCs w:val="22"/>
        </w:rPr>
        <w:t>ol oproti roku 20</w:t>
      </w:r>
      <w:r w:rsidR="00253B0D" w:rsidRPr="000C0801">
        <w:rPr>
          <w:szCs w:val="22"/>
        </w:rPr>
        <w:t>23</w:t>
      </w:r>
      <w:r w:rsidR="00544797" w:rsidRPr="000C0801">
        <w:rPr>
          <w:szCs w:val="22"/>
        </w:rPr>
        <w:t xml:space="preserve"> </w:t>
      </w:r>
      <w:r w:rsidR="00544797" w:rsidRPr="008B0F9A">
        <w:rPr>
          <w:szCs w:val="22"/>
        </w:rPr>
        <w:t>o</w:t>
      </w:r>
      <w:r w:rsidR="00374675">
        <w:rPr>
          <w:szCs w:val="22"/>
        </w:rPr>
        <w:t> 0,2</w:t>
      </w:r>
      <w:r w:rsidR="004D2017">
        <w:rPr>
          <w:szCs w:val="22"/>
        </w:rPr>
        <w:t> </w:t>
      </w:r>
      <w:r w:rsidR="00544797" w:rsidRPr="008B0F9A">
        <w:rPr>
          <w:szCs w:val="22"/>
        </w:rPr>
        <w:t>p. b.</w:t>
      </w:r>
    </w:p>
    <w:p w14:paraId="6F02E798" w14:textId="2BBE8F23" w:rsidR="00057D50" w:rsidRDefault="00057D50" w:rsidP="00D162A9">
      <w:pPr>
        <w:pStyle w:val="Popis"/>
      </w:pPr>
      <w:bookmarkStart w:id="16" w:name="_Toc212124624"/>
      <w:r>
        <w:t xml:space="preserve">Tabuľka </w:t>
      </w:r>
      <w:r w:rsidR="00CA4B84">
        <w:fldChar w:fldCharType="begin"/>
      </w:r>
      <w:r w:rsidR="00CA4B84">
        <w:instrText xml:space="preserve"> SEQ Tabuľka \* ARABIC </w:instrText>
      </w:r>
      <w:r w:rsidR="00CA4B84">
        <w:fldChar w:fldCharType="separate"/>
      </w:r>
      <w:r w:rsidR="00076866">
        <w:rPr>
          <w:noProof/>
        </w:rPr>
        <w:t>3</w:t>
      </w:r>
      <w:r w:rsidR="00CA4B84">
        <w:rPr>
          <w:noProof/>
        </w:rPr>
        <w:fldChar w:fldCharType="end"/>
      </w:r>
      <w:r>
        <w:t xml:space="preserve"> - </w:t>
      </w:r>
      <w:r w:rsidRPr="003070F5">
        <w:t xml:space="preserve">Saldo verejnej správy podľa </w:t>
      </w:r>
      <w:r w:rsidRPr="0065693F">
        <w:t>subsektorov</w:t>
      </w:r>
      <w:r w:rsidRPr="003070F5">
        <w:t xml:space="preserve"> (ESA 2010)</w:t>
      </w:r>
      <w:bookmarkEnd w:id="16"/>
    </w:p>
    <w:tbl>
      <w:tblPr>
        <w:tblW w:w="5000" w:type="pct"/>
        <w:tblCellMar>
          <w:left w:w="70" w:type="dxa"/>
          <w:right w:w="70" w:type="dxa"/>
        </w:tblCellMar>
        <w:tblLook w:val="04A0" w:firstRow="1" w:lastRow="0" w:firstColumn="1" w:lastColumn="0" w:noHBand="0" w:noVBand="1"/>
      </w:tblPr>
      <w:tblGrid>
        <w:gridCol w:w="2997"/>
        <w:gridCol w:w="989"/>
        <w:gridCol w:w="1468"/>
        <w:gridCol w:w="1468"/>
        <w:gridCol w:w="1303"/>
        <w:gridCol w:w="1270"/>
      </w:tblGrid>
      <w:tr w:rsidR="00992DD8" w:rsidRPr="008B0F9A" w14:paraId="48EB2BB2" w14:textId="77777777" w:rsidTr="00B61920">
        <w:trPr>
          <w:trHeight w:val="269"/>
          <w:tblHeader/>
        </w:trPr>
        <w:tc>
          <w:tcPr>
            <w:tcW w:w="1578" w:type="pct"/>
            <w:tcBorders>
              <w:top w:val="single" w:sz="4" w:space="0" w:color="auto"/>
              <w:left w:val="nil"/>
              <w:right w:val="nil"/>
            </w:tcBorders>
            <w:hideMark/>
          </w:tcPr>
          <w:p w14:paraId="0DD390E5" w14:textId="77777777" w:rsidR="00992DD8" w:rsidRPr="008B0F9A" w:rsidRDefault="00992DD8" w:rsidP="0019064B">
            <w:pPr>
              <w:spacing w:after="0" w:line="240" w:lineRule="auto"/>
              <w:rPr>
                <w:sz w:val="24"/>
                <w:szCs w:val="20"/>
                <w:lang w:eastAsia="sk-SK"/>
              </w:rPr>
            </w:pPr>
          </w:p>
        </w:tc>
        <w:tc>
          <w:tcPr>
            <w:tcW w:w="521" w:type="pct"/>
            <w:vMerge w:val="restart"/>
            <w:tcBorders>
              <w:top w:val="single" w:sz="4" w:space="0" w:color="auto"/>
              <w:left w:val="nil"/>
              <w:right w:val="nil"/>
            </w:tcBorders>
            <w:hideMark/>
          </w:tcPr>
          <w:p w14:paraId="086A6AB3" w14:textId="77777777" w:rsidR="00992DD8" w:rsidRPr="008B0F9A" w:rsidRDefault="00992DD8" w:rsidP="0019064B">
            <w:pPr>
              <w:spacing w:after="0" w:line="240" w:lineRule="auto"/>
              <w:jc w:val="center"/>
              <w:rPr>
                <w:b/>
                <w:bCs/>
                <w:sz w:val="20"/>
                <w:szCs w:val="20"/>
                <w:lang w:eastAsia="sk-SK"/>
              </w:rPr>
            </w:pPr>
            <w:r w:rsidRPr="008B0F9A">
              <w:rPr>
                <w:b/>
                <w:bCs/>
                <w:sz w:val="20"/>
                <w:szCs w:val="20"/>
                <w:lang w:eastAsia="sk-SK"/>
              </w:rPr>
              <w:t>ESA kód</w:t>
            </w:r>
          </w:p>
        </w:tc>
        <w:tc>
          <w:tcPr>
            <w:tcW w:w="773" w:type="pct"/>
            <w:tcBorders>
              <w:top w:val="single" w:sz="4" w:space="0" w:color="auto"/>
              <w:left w:val="nil"/>
              <w:right w:val="nil"/>
            </w:tcBorders>
            <w:noWrap/>
            <w:hideMark/>
          </w:tcPr>
          <w:p w14:paraId="758C0FC5" w14:textId="77777777" w:rsidR="00992DD8" w:rsidRPr="008B0F9A" w:rsidRDefault="00992DD8" w:rsidP="0019064B">
            <w:pPr>
              <w:spacing w:after="0" w:line="240" w:lineRule="auto"/>
              <w:jc w:val="center"/>
              <w:rPr>
                <w:b/>
                <w:bCs/>
                <w:sz w:val="20"/>
                <w:szCs w:val="20"/>
                <w:lang w:eastAsia="sk-SK"/>
              </w:rPr>
            </w:pPr>
            <w:r w:rsidRPr="008B0F9A">
              <w:rPr>
                <w:b/>
                <w:bCs/>
                <w:sz w:val="20"/>
                <w:szCs w:val="20"/>
              </w:rPr>
              <w:t>% HDP</w:t>
            </w:r>
          </w:p>
        </w:tc>
        <w:tc>
          <w:tcPr>
            <w:tcW w:w="773" w:type="pct"/>
            <w:tcBorders>
              <w:top w:val="single" w:sz="4" w:space="0" w:color="auto"/>
              <w:left w:val="nil"/>
              <w:right w:val="nil"/>
            </w:tcBorders>
            <w:noWrap/>
            <w:hideMark/>
          </w:tcPr>
          <w:p w14:paraId="1945E1FE" w14:textId="77777777" w:rsidR="00992DD8" w:rsidRPr="008B0F9A" w:rsidRDefault="00992DD8" w:rsidP="0019064B">
            <w:pPr>
              <w:spacing w:after="0" w:line="240" w:lineRule="auto"/>
              <w:jc w:val="center"/>
              <w:rPr>
                <w:b/>
                <w:bCs/>
                <w:sz w:val="20"/>
                <w:szCs w:val="20"/>
                <w:lang w:eastAsia="sk-SK"/>
              </w:rPr>
            </w:pPr>
            <w:r w:rsidRPr="008B0F9A">
              <w:rPr>
                <w:b/>
                <w:bCs/>
                <w:sz w:val="20"/>
                <w:szCs w:val="20"/>
              </w:rPr>
              <w:t>% HDP</w:t>
            </w:r>
          </w:p>
        </w:tc>
        <w:tc>
          <w:tcPr>
            <w:tcW w:w="686" w:type="pct"/>
            <w:tcBorders>
              <w:top w:val="single" w:sz="4" w:space="0" w:color="auto"/>
              <w:left w:val="nil"/>
              <w:right w:val="nil"/>
            </w:tcBorders>
            <w:noWrap/>
            <w:hideMark/>
          </w:tcPr>
          <w:p w14:paraId="28FB96A1" w14:textId="77777777" w:rsidR="00992DD8" w:rsidRPr="008B0F9A" w:rsidRDefault="00992DD8" w:rsidP="0019064B">
            <w:pPr>
              <w:spacing w:after="0" w:line="240" w:lineRule="auto"/>
              <w:jc w:val="center"/>
              <w:rPr>
                <w:b/>
                <w:bCs/>
                <w:sz w:val="20"/>
                <w:szCs w:val="20"/>
                <w:lang w:eastAsia="sk-SK"/>
              </w:rPr>
            </w:pPr>
            <w:r w:rsidRPr="008B0F9A">
              <w:rPr>
                <w:b/>
                <w:bCs/>
                <w:sz w:val="20"/>
                <w:szCs w:val="20"/>
              </w:rPr>
              <w:t>% HDP</w:t>
            </w:r>
          </w:p>
        </w:tc>
        <w:tc>
          <w:tcPr>
            <w:tcW w:w="669" w:type="pct"/>
            <w:tcBorders>
              <w:top w:val="single" w:sz="4" w:space="0" w:color="auto"/>
              <w:left w:val="nil"/>
              <w:right w:val="nil"/>
            </w:tcBorders>
            <w:hideMark/>
          </w:tcPr>
          <w:p w14:paraId="56CE71A8" w14:textId="77777777" w:rsidR="00992DD8" w:rsidRPr="008B0F9A" w:rsidRDefault="00992DD8" w:rsidP="0019064B">
            <w:pPr>
              <w:spacing w:after="0" w:line="240" w:lineRule="auto"/>
              <w:jc w:val="center"/>
              <w:rPr>
                <w:b/>
                <w:bCs/>
                <w:sz w:val="20"/>
                <w:szCs w:val="20"/>
                <w:lang w:eastAsia="sk-SK"/>
              </w:rPr>
            </w:pPr>
            <w:r w:rsidRPr="008B0F9A">
              <w:rPr>
                <w:b/>
                <w:bCs/>
                <w:sz w:val="20"/>
                <w:szCs w:val="20"/>
              </w:rPr>
              <w:t>tis. eur</w:t>
            </w:r>
          </w:p>
        </w:tc>
      </w:tr>
      <w:tr w:rsidR="00992DD8" w:rsidRPr="008B0F9A" w14:paraId="3CEF5C45" w14:textId="77777777" w:rsidTr="00B61920">
        <w:trPr>
          <w:trHeight w:val="269"/>
          <w:tblHeader/>
        </w:trPr>
        <w:tc>
          <w:tcPr>
            <w:tcW w:w="1578" w:type="pct"/>
            <w:tcBorders>
              <w:left w:val="nil"/>
              <w:bottom w:val="single" w:sz="4" w:space="0" w:color="auto"/>
              <w:right w:val="nil"/>
            </w:tcBorders>
            <w:hideMark/>
          </w:tcPr>
          <w:p w14:paraId="00F83A90" w14:textId="77777777" w:rsidR="00992DD8" w:rsidRPr="008B0F9A" w:rsidRDefault="00992DD8" w:rsidP="0019064B">
            <w:pPr>
              <w:spacing w:after="0" w:line="240" w:lineRule="auto"/>
              <w:rPr>
                <w:sz w:val="20"/>
                <w:szCs w:val="20"/>
                <w:lang w:eastAsia="sk-SK"/>
              </w:rPr>
            </w:pPr>
            <w:r w:rsidRPr="008B0F9A">
              <w:rPr>
                <w:sz w:val="20"/>
                <w:szCs w:val="20"/>
                <w:lang w:eastAsia="sk-SK"/>
              </w:rPr>
              <w:t> </w:t>
            </w:r>
          </w:p>
        </w:tc>
        <w:tc>
          <w:tcPr>
            <w:tcW w:w="521" w:type="pct"/>
            <w:vMerge/>
            <w:tcBorders>
              <w:left w:val="nil"/>
              <w:bottom w:val="single" w:sz="4" w:space="0" w:color="auto"/>
              <w:right w:val="nil"/>
            </w:tcBorders>
            <w:vAlign w:val="center"/>
            <w:hideMark/>
          </w:tcPr>
          <w:p w14:paraId="4DEB5332" w14:textId="77777777" w:rsidR="00992DD8" w:rsidRPr="008B0F9A" w:rsidRDefault="00992DD8" w:rsidP="0019064B">
            <w:pPr>
              <w:spacing w:after="0" w:line="240" w:lineRule="auto"/>
              <w:rPr>
                <w:b/>
                <w:bCs/>
                <w:sz w:val="20"/>
                <w:szCs w:val="20"/>
                <w:lang w:eastAsia="sk-SK"/>
              </w:rPr>
            </w:pPr>
          </w:p>
        </w:tc>
        <w:tc>
          <w:tcPr>
            <w:tcW w:w="773" w:type="pct"/>
            <w:tcBorders>
              <w:left w:val="nil"/>
              <w:bottom w:val="single" w:sz="4" w:space="0" w:color="auto"/>
              <w:right w:val="nil"/>
            </w:tcBorders>
            <w:hideMark/>
          </w:tcPr>
          <w:p w14:paraId="57E3776F" w14:textId="77272B60" w:rsidR="00992DD8" w:rsidRPr="008B0F9A" w:rsidRDefault="00992DD8" w:rsidP="0019064B">
            <w:pPr>
              <w:spacing w:after="0" w:line="240" w:lineRule="auto"/>
              <w:jc w:val="center"/>
              <w:rPr>
                <w:b/>
                <w:bCs/>
                <w:sz w:val="20"/>
                <w:szCs w:val="20"/>
                <w:lang w:eastAsia="sk-SK"/>
              </w:rPr>
            </w:pPr>
            <w:r w:rsidRPr="008B0F9A">
              <w:rPr>
                <w:b/>
                <w:bCs/>
                <w:sz w:val="20"/>
                <w:szCs w:val="20"/>
              </w:rPr>
              <w:t>20</w:t>
            </w:r>
            <w:r w:rsidR="004D2FF7" w:rsidRPr="008B0F9A">
              <w:rPr>
                <w:b/>
                <w:bCs/>
                <w:sz w:val="20"/>
                <w:szCs w:val="20"/>
              </w:rPr>
              <w:t>22</w:t>
            </w:r>
            <w:r w:rsidRPr="008B0F9A">
              <w:rPr>
                <w:b/>
                <w:bCs/>
                <w:sz w:val="20"/>
                <w:szCs w:val="20"/>
              </w:rPr>
              <w:t xml:space="preserve"> S</w:t>
            </w:r>
          </w:p>
        </w:tc>
        <w:tc>
          <w:tcPr>
            <w:tcW w:w="773" w:type="pct"/>
            <w:tcBorders>
              <w:left w:val="nil"/>
              <w:bottom w:val="single" w:sz="4" w:space="0" w:color="auto"/>
              <w:right w:val="nil"/>
            </w:tcBorders>
            <w:hideMark/>
          </w:tcPr>
          <w:p w14:paraId="4C69D390" w14:textId="704637DC" w:rsidR="00992DD8" w:rsidRPr="008B0F9A" w:rsidRDefault="00992DD8" w:rsidP="0019064B">
            <w:pPr>
              <w:spacing w:after="0" w:line="240" w:lineRule="auto"/>
              <w:jc w:val="center"/>
              <w:rPr>
                <w:b/>
                <w:bCs/>
                <w:sz w:val="20"/>
                <w:szCs w:val="20"/>
                <w:lang w:eastAsia="sk-SK"/>
              </w:rPr>
            </w:pPr>
            <w:r w:rsidRPr="008B0F9A">
              <w:rPr>
                <w:b/>
                <w:bCs/>
                <w:sz w:val="20"/>
                <w:szCs w:val="20"/>
              </w:rPr>
              <w:t>202</w:t>
            </w:r>
            <w:r w:rsidR="008B0F9A" w:rsidRPr="008B0F9A">
              <w:rPr>
                <w:b/>
                <w:bCs/>
                <w:sz w:val="20"/>
                <w:szCs w:val="20"/>
              </w:rPr>
              <w:t>3</w:t>
            </w:r>
            <w:r w:rsidRPr="008B0F9A">
              <w:rPr>
                <w:b/>
                <w:bCs/>
                <w:sz w:val="20"/>
                <w:szCs w:val="20"/>
              </w:rPr>
              <w:t xml:space="preserve"> S</w:t>
            </w:r>
          </w:p>
        </w:tc>
        <w:tc>
          <w:tcPr>
            <w:tcW w:w="686" w:type="pct"/>
            <w:tcBorders>
              <w:left w:val="nil"/>
              <w:bottom w:val="single" w:sz="4" w:space="0" w:color="auto"/>
              <w:right w:val="nil"/>
            </w:tcBorders>
            <w:hideMark/>
          </w:tcPr>
          <w:p w14:paraId="12E606EB" w14:textId="536DCE83" w:rsidR="00992DD8" w:rsidRPr="008B0F9A" w:rsidRDefault="00992DD8" w:rsidP="0019064B">
            <w:pPr>
              <w:spacing w:after="0" w:line="240" w:lineRule="auto"/>
              <w:jc w:val="center"/>
              <w:rPr>
                <w:b/>
                <w:bCs/>
                <w:sz w:val="20"/>
                <w:szCs w:val="20"/>
                <w:lang w:eastAsia="sk-SK"/>
              </w:rPr>
            </w:pPr>
            <w:r w:rsidRPr="008B0F9A">
              <w:rPr>
                <w:b/>
                <w:bCs/>
                <w:sz w:val="20"/>
                <w:szCs w:val="20"/>
              </w:rPr>
              <w:t>202</w:t>
            </w:r>
            <w:r w:rsidR="008B0F9A" w:rsidRPr="008B0F9A">
              <w:rPr>
                <w:b/>
                <w:bCs/>
                <w:sz w:val="20"/>
                <w:szCs w:val="20"/>
              </w:rPr>
              <w:t>4</w:t>
            </w:r>
            <w:r w:rsidRPr="008B0F9A">
              <w:rPr>
                <w:b/>
                <w:bCs/>
                <w:sz w:val="20"/>
                <w:szCs w:val="20"/>
              </w:rPr>
              <w:t xml:space="preserve"> S</w:t>
            </w:r>
          </w:p>
        </w:tc>
        <w:tc>
          <w:tcPr>
            <w:tcW w:w="669" w:type="pct"/>
            <w:tcBorders>
              <w:left w:val="nil"/>
              <w:bottom w:val="single" w:sz="4" w:space="0" w:color="auto"/>
              <w:right w:val="nil"/>
            </w:tcBorders>
            <w:hideMark/>
          </w:tcPr>
          <w:p w14:paraId="1DA4236A" w14:textId="0F333B36" w:rsidR="00992DD8" w:rsidRPr="008B0F9A" w:rsidRDefault="00992DD8" w:rsidP="0019064B">
            <w:pPr>
              <w:spacing w:after="0" w:line="240" w:lineRule="auto"/>
              <w:jc w:val="center"/>
              <w:rPr>
                <w:b/>
                <w:bCs/>
                <w:sz w:val="20"/>
                <w:szCs w:val="20"/>
                <w:lang w:eastAsia="sk-SK"/>
              </w:rPr>
            </w:pPr>
            <w:r w:rsidRPr="008B0F9A">
              <w:rPr>
                <w:b/>
                <w:bCs/>
                <w:sz w:val="20"/>
                <w:szCs w:val="20"/>
              </w:rPr>
              <w:t>202</w:t>
            </w:r>
            <w:r w:rsidR="008B0F9A" w:rsidRPr="008B0F9A">
              <w:rPr>
                <w:b/>
                <w:bCs/>
                <w:sz w:val="20"/>
                <w:szCs w:val="20"/>
              </w:rPr>
              <w:t>4</w:t>
            </w:r>
            <w:r w:rsidRPr="008B0F9A">
              <w:rPr>
                <w:b/>
                <w:bCs/>
                <w:sz w:val="20"/>
                <w:szCs w:val="20"/>
              </w:rPr>
              <w:t xml:space="preserve"> S</w:t>
            </w:r>
          </w:p>
        </w:tc>
      </w:tr>
      <w:tr w:rsidR="008B0F9A" w:rsidRPr="008B0F9A" w14:paraId="5CD10E64" w14:textId="77777777" w:rsidTr="00B61920">
        <w:trPr>
          <w:trHeight w:val="348"/>
        </w:trPr>
        <w:tc>
          <w:tcPr>
            <w:tcW w:w="1578" w:type="pct"/>
            <w:tcBorders>
              <w:top w:val="single" w:sz="4" w:space="0" w:color="auto"/>
              <w:left w:val="nil"/>
              <w:bottom w:val="nil"/>
              <w:right w:val="nil"/>
            </w:tcBorders>
            <w:vAlign w:val="center"/>
            <w:hideMark/>
          </w:tcPr>
          <w:p w14:paraId="45B396D6" w14:textId="77777777" w:rsidR="008B0F9A" w:rsidRPr="008B0F9A" w:rsidRDefault="008B0F9A" w:rsidP="008B0F9A">
            <w:pPr>
              <w:spacing w:after="0" w:line="240" w:lineRule="auto"/>
              <w:rPr>
                <w:sz w:val="20"/>
                <w:szCs w:val="20"/>
                <w:lang w:eastAsia="sk-SK"/>
              </w:rPr>
            </w:pPr>
            <w:r w:rsidRPr="008B0F9A">
              <w:rPr>
                <w:sz w:val="20"/>
                <w:szCs w:val="20"/>
                <w:lang w:eastAsia="sk-SK"/>
              </w:rPr>
              <w:t>1. Verejná správa</w:t>
            </w:r>
          </w:p>
        </w:tc>
        <w:tc>
          <w:tcPr>
            <w:tcW w:w="521" w:type="pct"/>
            <w:tcBorders>
              <w:top w:val="single" w:sz="4" w:space="0" w:color="auto"/>
              <w:left w:val="nil"/>
              <w:bottom w:val="nil"/>
              <w:right w:val="nil"/>
            </w:tcBorders>
            <w:vAlign w:val="center"/>
            <w:hideMark/>
          </w:tcPr>
          <w:p w14:paraId="15AE6C6E" w14:textId="77777777" w:rsidR="008B0F9A" w:rsidRPr="008B0F9A" w:rsidRDefault="008B0F9A" w:rsidP="008B0F9A">
            <w:pPr>
              <w:spacing w:after="0" w:line="240" w:lineRule="auto"/>
              <w:jc w:val="center"/>
              <w:rPr>
                <w:sz w:val="20"/>
                <w:szCs w:val="20"/>
                <w:lang w:eastAsia="sk-SK"/>
              </w:rPr>
            </w:pPr>
            <w:r w:rsidRPr="008B0F9A">
              <w:rPr>
                <w:sz w:val="20"/>
                <w:szCs w:val="20"/>
                <w:lang w:eastAsia="sk-SK"/>
              </w:rPr>
              <w:t>S.13</w:t>
            </w:r>
          </w:p>
        </w:tc>
        <w:tc>
          <w:tcPr>
            <w:tcW w:w="773" w:type="pct"/>
            <w:tcBorders>
              <w:top w:val="single" w:sz="4" w:space="0" w:color="auto"/>
              <w:left w:val="nil"/>
              <w:bottom w:val="nil"/>
              <w:right w:val="nil"/>
            </w:tcBorders>
            <w:vAlign w:val="center"/>
            <w:hideMark/>
          </w:tcPr>
          <w:p w14:paraId="5F8285E2" w14:textId="357D2B8F" w:rsidR="008B0F9A" w:rsidRPr="008B0F9A" w:rsidRDefault="008B0F9A" w:rsidP="008B0F9A">
            <w:pPr>
              <w:spacing w:after="0" w:line="240" w:lineRule="auto"/>
              <w:jc w:val="center"/>
              <w:rPr>
                <w:sz w:val="20"/>
                <w:szCs w:val="20"/>
                <w:lang w:eastAsia="sk-SK"/>
              </w:rPr>
            </w:pPr>
            <w:r w:rsidRPr="008B0F9A">
              <w:rPr>
                <w:sz w:val="20"/>
                <w:szCs w:val="20"/>
              </w:rPr>
              <w:t>-1,6</w:t>
            </w:r>
          </w:p>
        </w:tc>
        <w:tc>
          <w:tcPr>
            <w:tcW w:w="773" w:type="pct"/>
            <w:tcBorders>
              <w:top w:val="single" w:sz="4" w:space="0" w:color="auto"/>
              <w:left w:val="nil"/>
              <w:bottom w:val="nil"/>
              <w:right w:val="nil"/>
            </w:tcBorders>
            <w:vAlign w:val="center"/>
            <w:hideMark/>
          </w:tcPr>
          <w:p w14:paraId="2D572BB5" w14:textId="08A4D6C7" w:rsidR="008B0F9A" w:rsidRPr="008B0F9A" w:rsidRDefault="008B0F9A" w:rsidP="008B0F9A">
            <w:pPr>
              <w:spacing w:after="0" w:line="240" w:lineRule="auto"/>
              <w:jc w:val="center"/>
              <w:rPr>
                <w:sz w:val="20"/>
                <w:szCs w:val="20"/>
                <w:lang w:eastAsia="sk-SK"/>
              </w:rPr>
            </w:pPr>
            <w:r w:rsidRPr="008B0F9A">
              <w:rPr>
                <w:sz w:val="20"/>
                <w:szCs w:val="20"/>
              </w:rPr>
              <w:t>-5,3</w:t>
            </w:r>
          </w:p>
        </w:tc>
        <w:tc>
          <w:tcPr>
            <w:tcW w:w="686" w:type="pct"/>
            <w:tcBorders>
              <w:top w:val="single" w:sz="4" w:space="0" w:color="auto"/>
              <w:left w:val="nil"/>
              <w:bottom w:val="nil"/>
              <w:right w:val="nil"/>
            </w:tcBorders>
            <w:vAlign w:val="center"/>
            <w:hideMark/>
          </w:tcPr>
          <w:p w14:paraId="04349B38" w14:textId="6D12A1C4" w:rsidR="008B0F9A" w:rsidRPr="008B0F9A" w:rsidRDefault="008B0F9A" w:rsidP="008B0F9A">
            <w:pPr>
              <w:spacing w:after="0" w:line="240" w:lineRule="auto"/>
              <w:jc w:val="center"/>
              <w:rPr>
                <w:sz w:val="20"/>
                <w:szCs w:val="20"/>
                <w:lang w:eastAsia="sk-SK"/>
              </w:rPr>
            </w:pPr>
            <w:r w:rsidRPr="008B0F9A">
              <w:rPr>
                <w:sz w:val="20"/>
                <w:szCs w:val="20"/>
              </w:rPr>
              <w:t>-5,5</w:t>
            </w:r>
          </w:p>
        </w:tc>
        <w:tc>
          <w:tcPr>
            <w:tcW w:w="669" w:type="pct"/>
            <w:tcBorders>
              <w:top w:val="single" w:sz="4" w:space="0" w:color="auto"/>
              <w:left w:val="nil"/>
              <w:bottom w:val="nil"/>
              <w:right w:val="nil"/>
            </w:tcBorders>
            <w:vAlign w:val="center"/>
            <w:hideMark/>
          </w:tcPr>
          <w:p w14:paraId="71336C5D" w14:textId="428C27FB" w:rsidR="008B0F9A" w:rsidRPr="008B0F9A" w:rsidRDefault="008B0F9A" w:rsidP="008B0F9A">
            <w:pPr>
              <w:spacing w:after="0" w:line="240" w:lineRule="auto"/>
              <w:jc w:val="right"/>
              <w:rPr>
                <w:sz w:val="20"/>
                <w:szCs w:val="20"/>
                <w:lang w:eastAsia="sk-SK"/>
              </w:rPr>
            </w:pPr>
            <w:r w:rsidRPr="008B0F9A">
              <w:rPr>
                <w:sz w:val="20"/>
                <w:szCs w:val="20"/>
              </w:rPr>
              <w:t>-7 157 068</w:t>
            </w:r>
          </w:p>
        </w:tc>
      </w:tr>
      <w:tr w:rsidR="008B0F9A" w:rsidRPr="008B0F9A" w14:paraId="35FC0B89" w14:textId="77777777" w:rsidTr="00B61920">
        <w:trPr>
          <w:trHeight w:val="348"/>
        </w:trPr>
        <w:tc>
          <w:tcPr>
            <w:tcW w:w="1578" w:type="pct"/>
            <w:tcBorders>
              <w:top w:val="nil"/>
              <w:left w:val="nil"/>
              <w:bottom w:val="nil"/>
              <w:right w:val="nil"/>
            </w:tcBorders>
            <w:vAlign w:val="center"/>
            <w:hideMark/>
          </w:tcPr>
          <w:p w14:paraId="5B21EDAA" w14:textId="77777777" w:rsidR="008B0F9A" w:rsidRPr="008B0F9A" w:rsidRDefault="008B0F9A" w:rsidP="008B0F9A">
            <w:pPr>
              <w:spacing w:after="0" w:line="240" w:lineRule="auto"/>
              <w:rPr>
                <w:sz w:val="20"/>
                <w:szCs w:val="20"/>
                <w:lang w:eastAsia="sk-SK"/>
              </w:rPr>
            </w:pPr>
            <w:r w:rsidRPr="008B0F9A">
              <w:rPr>
                <w:sz w:val="20"/>
                <w:szCs w:val="20"/>
                <w:lang w:eastAsia="sk-SK"/>
              </w:rPr>
              <w:t>2. Ústredná štátna správa</w:t>
            </w:r>
          </w:p>
        </w:tc>
        <w:tc>
          <w:tcPr>
            <w:tcW w:w="521" w:type="pct"/>
            <w:tcBorders>
              <w:top w:val="nil"/>
              <w:left w:val="nil"/>
              <w:bottom w:val="nil"/>
              <w:right w:val="nil"/>
            </w:tcBorders>
            <w:vAlign w:val="center"/>
            <w:hideMark/>
          </w:tcPr>
          <w:p w14:paraId="3FA77CB5" w14:textId="77777777" w:rsidR="008B0F9A" w:rsidRPr="008B0F9A" w:rsidRDefault="008B0F9A" w:rsidP="008B0F9A">
            <w:pPr>
              <w:spacing w:after="0" w:line="240" w:lineRule="auto"/>
              <w:jc w:val="center"/>
              <w:rPr>
                <w:sz w:val="20"/>
                <w:szCs w:val="20"/>
                <w:lang w:eastAsia="sk-SK"/>
              </w:rPr>
            </w:pPr>
            <w:r w:rsidRPr="008B0F9A">
              <w:rPr>
                <w:sz w:val="20"/>
                <w:szCs w:val="20"/>
                <w:lang w:eastAsia="sk-SK"/>
              </w:rPr>
              <w:t>S.1311</w:t>
            </w:r>
          </w:p>
        </w:tc>
        <w:tc>
          <w:tcPr>
            <w:tcW w:w="773" w:type="pct"/>
            <w:tcBorders>
              <w:top w:val="nil"/>
              <w:left w:val="nil"/>
              <w:bottom w:val="nil"/>
              <w:right w:val="nil"/>
            </w:tcBorders>
            <w:vAlign w:val="center"/>
            <w:hideMark/>
          </w:tcPr>
          <w:p w14:paraId="1767FF74" w14:textId="4B139B2A" w:rsidR="008B0F9A" w:rsidRPr="008B0F9A" w:rsidRDefault="008B0F9A" w:rsidP="008B0F9A">
            <w:pPr>
              <w:spacing w:after="0" w:line="240" w:lineRule="auto"/>
              <w:jc w:val="center"/>
              <w:rPr>
                <w:sz w:val="20"/>
                <w:szCs w:val="20"/>
                <w:lang w:eastAsia="sk-SK"/>
              </w:rPr>
            </w:pPr>
            <w:r w:rsidRPr="008B0F9A">
              <w:rPr>
                <w:sz w:val="20"/>
                <w:szCs w:val="20"/>
              </w:rPr>
              <w:t>-1,4</w:t>
            </w:r>
          </w:p>
        </w:tc>
        <w:tc>
          <w:tcPr>
            <w:tcW w:w="773" w:type="pct"/>
            <w:tcBorders>
              <w:top w:val="nil"/>
              <w:left w:val="nil"/>
              <w:bottom w:val="nil"/>
              <w:right w:val="nil"/>
            </w:tcBorders>
            <w:vAlign w:val="center"/>
            <w:hideMark/>
          </w:tcPr>
          <w:p w14:paraId="0BBFB480" w14:textId="57BE871E" w:rsidR="008B0F9A" w:rsidRPr="008B0F9A" w:rsidRDefault="008B0F9A" w:rsidP="008B0F9A">
            <w:pPr>
              <w:spacing w:after="0" w:line="240" w:lineRule="auto"/>
              <w:jc w:val="center"/>
              <w:rPr>
                <w:sz w:val="20"/>
                <w:szCs w:val="20"/>
                <w:lang w:eastAsia="sk-SK"/>
              </w:rPr>
            </w:pPr>
            <w:r w:rsidRPr="008B0F9A">
              <w:rPr>
                <w:sz w:val="20"/>
                <w:szCs w:val="20"/>
              </w:rPr>
              <w:t>-5,6</w:t>
            </w:r>
          </w:p>
        </w:tc>
        <w:tc>
          <w:tcPr>
            <w:tcW w:w="686" w:type="pct"/>
            <w:tcBorders>
              <w:top w:val="nil"/>
              <w:left w:val="nil"/>
              <w:bottom w:val="nil"/>
              <w:right w:val="nil"/>
            </w:tcBorders>
            <w:vAlign w:val="center"/>
            <w:hideMark/>
          </w:tcPr>
          <w:p w14:paraId="547C3E2F" w14:textId="4C2D8B4C" w:rsidR="008B0F9A" w:rsidRPr="008B0F9A" w:rsidRDefault="008B0F9A" w:rsidP="008B0F9A">
            <w:pPr>
              <w:spacing w:after="0" w:line="240" w:lineRule="auto"/>
              <w:jc w:val="center"/>
              <w:rPr>
                <w:sz w:val="20"/>
                <w:szCs w:val="20"/>
                <w:lang w:eastAsia="sk-SK"/>
              </w:rPr>
            </w:pPr>
            <w:r w:rsidRPr="008B0F9A">
              <w:rPr>
                <w:sz w:val="20"/>
                <w:szCs w:val="20"/>
              </w:rPr>
              <w:t>-5,7</w:t>
            </w:r>
          </w:p>
        </w:tc>
        <w:tc>
          <w:tcPr>
            <w:tcW w:w="669" w:type="pct"/>
            <w:tcBorders>
              <w:top w:val="nil"/>
              <w:left w:val="nil"/>
              <w:bottom w:val="nil"/>
              <w:right w:val="nil"/>
            </w:tcBorders>
            <w:vAlign w:val="center"/>
            <w:hideMark/>
          </w:tcPr>
          <w:p w14:paraId="3D6A66F1" w14:textId="2E72AF70" w:rsidR="008B0F9A" w:rsidRPr="008B0F9A" w:rsidRDefault="008B0F9A" w:rsidP="008B0F9A">
            <w:pPr>
              <w:spacing w:after="0" w:line="240" w:lineRule="auto"/>
              <w:jc w:val="right"/>
              <w:rPr>
                <w:sz w:val="20"/>
                <w:szCs w:val="20"/>
                <w:lang w:eastAsia="sk-SK"/>
              </w:rPr>
            </w:pPr>
            <w:r w:rsidRPr="008B0F9A">
              <w:rPr>
                <w:sz w:val="20"/>
                <w:szCs w:val="20"/>
              </w:rPr>
              <w:t>-7 402 852</w:t>
            </w:r>
          </w:p>
        </w:tc>
      </w:tr>
      <w:tr w:rsidR="008B0F9A" w:rsidRPr="008B0F9A" w14:paraId="3C952811" w14:textId="77777777" w:rsidTr="00B61920">
        <w:trPr>
          <w:trHeight w:val="348"/>
        </w:trPr>
        <w:tc>
          <w:tcPr>
            <w:tcW w:w="1578" w:type="pct"/>
            <w:tcBorders>
              <w:top w:val="nil"/>
              <w:left w:val="nil"/>
              <w:bottom w:val="nil"/>
              <w:right w:val="nil"/>
            </w:tcBorders>
            <w:vAlign w:val="center"/>
            <w:hideMark/>
          </w:tcPr>
          <w:p w14:paraId="21535466" w14:textId="77777777" w:rsidR="008B0F9A" w:rsidRPr="008B0F9A" w:rsidRDefault="008B0F9A" w:rsidP="008B0F9A">
            <w:pPr>
              <w:spacing w:after="0" w:line="240" w:lineRule="auto"/>
              <w:rPr>
                <w:sz w:val="20"/>
                <w:szCs w:val="20"/>
                <w:lang w:eastAsia="sk-SK"/>
              </w:rPr>
            </w:pPr>
            <w:r w:rsidRPr="008B0F9A">
              <w:rPr>
                <w:sz w:val="20"/>
                <w:szCs w:val="20"/>
                <w:lang w:eastAsia="sk-SK"/>
              </w:rPr>
              <w:t>3. Miestna samospráva</w:t>
            </w:r>
          </w:p>
        </w:tc>
        <w:tc>
          <w:tcPr>
            <w:tcW w:w="521" w:type="pct"/>
            <w:tcBorders>
              <w:top w:val="nil"/>
              <w:left w:val="nil"/>
              <w:bottom w:val="nil"/>
              <w:right w:val="nil"/>
            </w:tcBorders>
            <w:vAlign w:val="center"/>
            <w:hideMark/>
          </w:tcPr>
          <w:p w14:paraId="14D9876D" w14:textId="77777777" w:rsidR="008B0F9A" w:rsidRPr="008B0F9A" w:rsidRDefault="008B0F9A" w:rsidP="008B0F9A">
            <w:pPr>
              <w:spacing w:after="0" w:line="240" w:lineRule="auto"/>
              <w:jc w:val="center"/>
              <w:rPr>
                <w:sz w:val="20"/>
                <w:szCs w:val="20"/>
                <w:lang w:eastAsia="sk-SK"/>
              </w:rPr>
            </w:pPr>
            <w:r w:rsidRPr="008B0F9A">
              <w:rPr>
                <w:sz w:val="20"/>
                <w:szCs w:val="20"/>
                <w:lang w:eastAsia="sk-SK"/>
              </w:rPr>
              <w:t>S.1313</w:t>
            </w:r>
          </w:p>
        </w:tc>
        <w:tc>
          <w:tcPr>
            <w:tcW w:w="773" w:type="pct"/>
            <w:tcBorders>
              <w:top w:val="nil"/>
              <w:left w:val="nil"/>
              <w:bottom w:val="nil"/>
              <w:right w:val="nil"/>
            </w:tcBorders>
            <w:vAlign w:val="center"/>
            <w:hideMark/>
          </w:tcPr>
          <w:p w14:paraId="782D272D" w14:textId="0ADF7F61" w:rsidR="008B0F9A" w:rsidRPr="008B0F9A" w:rsidRDefault="008B0F9A" w:rsidP="008B0F9A">
            <w:pPr>
              <w:spacing w:after="0" w:line="240" w:lineRule="auto"/>
              <w:jc w:val="center"/>
              <w:rPr>
                <w:sz w:val="20"/>
                <w:szCs w:val="20"/>
                <w:lang w:eastAsia="sk-SK"/>
              </w:rPr>
            </w:pPr>
            <w:r w:rsidRPr="008B0F9A">
              <w:rPr>
                <w:sz w:val="20"/>
                <w:szCs w:val="20"/>
              </w:rPr>
              <w:t>-0,4</w:t>
            </w:r>
          </w:p>
        </w:tc>
        <w:tc>
          <w:tcPr>
            <w:tcW w:w="773" w:type="pct"/>
            <w:tcBorders>
              <w:top w:val="nil"/>
              <w:left w:val="nil"/>
              <w:bottom w:val="nil"/>
              <w:right w:val="nil"/>
            </w:tcBorders>
            <w:vAlign w:val="center"/>
            <w:hideMark/>
          </w:tcPr>
          <w:p w14:paraId="7744ED98" w14:textId="4B917CE0" w:rsidR="008B0F9A" w:rsidRPr="008B0F9A" w:rsidRDefault="008B0F9A" w:rsidP="008B0F9A">
            <w:pPr>
              <w:spacing w:after="0" w:line="240" w:lineRule="auto"/>
              <w:jc w:val="center"/>
              <w:rPr>
                <w:sz w:val="20"/>
                <w:szCs w:val="20"/>
                <w:lang w:eastAsia="sk-SK"/>
              </w:rPr>
            </w:pPr>
            <w:r w:rsidRPr="008B0F9A">
              <w:rPr>
                <w:sz w:val="20"/>
                <w:szCs w:val="20"/>
              </w:rPr>
              <w:t>0,1</w:t>
            </w:r>
          </w:p>
        </w:tc>
        <w:tc>
          <w:tcPr>
            <w:tcW w:w="686" w:type="pct"/>
            <w:tcBorders>
              <w:top w:val="nil"/>
              <w:left w:val="nil"/>
              <w:bottom w:val="nil"/>
              <w:right w:val="nil"/>
            </w:tcBorders>
            <w:vAlign w:val="center"/>
            <w:hideMark/>
          </w:tcPr>
          <w:p w14:paraId="2A5BD0FD" w14:textId="221E5932" w:rsidR="008B0F9A" w:rsidRPr="008B0F9A" w:rsidRDefault="008B0F9A" w:rsidP="008B0F9A">
            <w:pPr>
              <w:spacing w:after="0" w:line="240" w:lineRule="auto"/>
              <w:jc w:val="center"/>
              <w:rPr>
                <w:sz w:val="20"/>
                <w:szCs w:val="20"/>
                <w:lang w:eastAsia="sk-SK"/>
              </w:rPr>
            </w:pPr>
            <w:r w:rsidRPr="008B0F9A">
              <w:rPr>
                <w:sz w:val="20"/>
                <w:szCs w:val="20"/>
              </w:rPr>
              <w:t>-0,1</w:t>
            </w:r>
          </w:p>
        </w:tc>
        <w:tc>
          <w:tcPr>
            <w:tcW w:w="669" w:type="pct"/>
            <w:tcBorders>
              <w:top w:val="nil"/>
              <w:left w:val="nil"/>
              <w:bottom w:val="nil"/>
              <w:right w:val="nil"/>
            </w:tcBorders>
            <w:vAlign w:val="center"/>
            <w:hideMark/>
          </w:tcPr>
          <w:p w14:paraId="1F6D3BA0" w14:textId="0C15D30D" w:rsidR="008B0F9A" w:rsidRPr="008B0F9A" w:rsidRDefault="008B0F9A" w:rsidP="008B0F9A">
            <w:pPr>
              <w:spacing w:after="0" w:line="240" w:lineRule="auto"/>
              <w:jc w:val="right"/>
              <w:rPr>
                <w:sz w:val="20"/>
                <w:szCs w:val="20"/>
                <w:lang w:eastAsia="sk-SK"/>
              </w:rPr>
            </w:pPr>
            <w:r w:rsidRPr="008B0F9A">
              <w:rPr>
                <w:sz w:val="20"/>
                <w:szCs w:val="20"/>
              </w:rPr>
              <w:t>-101 873</w:t>
            </w:r>
          </w:p>
        </w:tc>
      </w:tr>
      <w:tr w:rsidR="008B0F9A" w:rsidRPr="008B0F9A" w14:paraId="295D6546" w14:textId="77777777" w:rsidTr="00B61920">
        <w:trPr>
          <w:trHeight w:val="348"/>
        </w:trPr>
        <w:tc>
          <w:tcPr>
            <w:tcW w:w="1578" w:type="pct"/>
            <w:tcBorders>
              <w:top w:val="nil"/>
              <w:left w:val="nil"/>
              <w:bottom w:val="single" w:sz="4" w:space="0" w:color="auto"/>
              <w:right w:val="nil"/>
            </w:tcBorders>
            <w:vAlign w:val="center"/>
            <w:hideMark/>
          </w:tcPr>
          <w:p w14:paraId="412EDDD5" w14:textId="77777777" w:rsidR="008B0F9A" w:rsidRPr="008B0F9A" w:rsidRDefault="008B0F9A" w:rsidP="008B0F9A">
            <w:pPr>
              <w:spacing w:after="0" w:line="240" w:lineRule="auto"/>
              <w:rPr>
                <w:sz w:val="20"/>
                <w:szCs w:val="20"/>
                <w:lang w:eastAsia="sk-SK"/>
              </w:rPr>
            </w:pPr>
            <w:r w:rsidRPr="008B0F9A">
              <w:rPr>
                <w:sz w:val="20"/>
                <w:szCs w:val="20"/>
                <w:lang w:eastAsia="sk-SK"/>
              </w:rPr>
              <w:t>4. Fondy sociálneho zabezpečenia</w:t>
            </w:r>
          </w:p>
        </w:tc>
        <w:tc>
          <w:tcPr>
            <w:tcW w:w="521" w:type="pct"/>
            <w:tcBorders>
              <w:top w:val="nil"/>
              <w:left w:val="nil"/>
              <w:bottom w:val="single" w:sz="4" w:space="0" w:color="auto"/>
              <w:right w:val="nil"/>
            </w:tcBorders>
            <w:vAlign w:val="center"/>
            <w:hideMark/>
          </w:tcPr>
          <w:p w14:paraId="3E00FD0F" w14:textId="77777777" w:rsidR="008B0F9A" w:rsidRPr="008B0F9A" w:rsidRDefault="008B0F9A" w:rsidP="008B0F9A">
            <w:pPr>
              <w:spacing w:after="0" w:line="240" w:lineRule="auto"/>
              <w:jc w:val="center"/>
              <w:rPr>
                <w:sz w:val="20"/>
                <w:szCs w:val="20"/>
                <w:lang w:eastAsia="sk-SK"/>
              </w:rPr>
            </w:pPr>
            <w:r w:rsidRPr="008B0F9A">
              <w:rPr>
                <w:sz w:val="20"/>
                <w:szCs w:val="20"/>
                <w:lang w:eastAsia="sk-SK"/>
              </w:rPr>
              <w:t>S.1314</w:t>
            </w:r>
          </w:p>
        </w:tc>
        <w:tc>
          <w:tcPr>
            <w:tcW w:w="773" w:type="pct"/>
            <w:tcBorders>
              <w:top w:val="nil"/>
              <w:left w:val="nil"/>
              <w:bottom w:val="single" w:sz="4" w:space="0" w:color="auto"/>
              <w:right w:val="nil"/>
            </w:tcBorders>
            <w:vAlign w:val="center"/>
            <w:hideMark/>
          </w:tcPr>
          <w:p w14:paraId="46F909A2" w14:textId="24560ACC" w:rsidR="008B0F9A" w:rsidRPr="008B0F9A" w:rsidRDefault="008B0F9A" w:rsidP="008B0F9A">
            <w:pPr>
              <w:spacing w:after="0" w:line="240" w:lineRule="auto"/>
              <w:jc w:val="center"/>
              <w:rPr>
                <w:sz w:val="20"/>
                <w:szCs w:val="20"/>
                <w:lang w:eastAsia="sk-SK"/>
              </w:rPr>
            </w:pPr>
            <w:r w:rsidRPr="008B0F9A">
              <w:rPr>
                <w:sz w:val="20"/>
                <w:szCs w:val="20"/>
              </w:rPr>
              <w:t>0,2</w:t>
            </w:r>
          </w:p>
        </w:tc>
        <w:tc>
          <w:tcPr>
            <w:tcW w:w="773" w:type="pct"/>
            <w:tcBorders>
              <w:top w:val="nil"/>
              <w:left w:val="nil"/>
              <w:bottom w:val="single" w:sz="4" w:space="0" w:color="auto"/>
              <w:right w:val="nil"/>
            </w:tcBorders>
            <w:vAlign w:val="center"/>
            <w:hideMark/>
          </w:tcPr>
          <w:p w14:paraId="5AF355E1" w14:textId="69F20CB0" w:rsidR="008B0F9A" w:rsidRPr="008B0F9A" w:rsidRDefault="008B0F9A" w:rsidP="008B0F9A">
            <w:pPr>
              <w:spacing w:after="0" w:line="240" w:lineRule="auto"/>
              <w:jc w:val="center"/>
              <w:rPr>
                <w:sz w:val="20"/>
                <w:szCs w:val="20"/>
                <w:lang w:eastAsia="sk-SK"/>
              </w:rPr>
            </w:pPr>
            <w:r w:rsidRPr="008B0F9A">
              <w:rPr>
                <w:sz w:val="20"/>
                <w:szCs w:val="20"/>
              </w:rPr>
              <w:t>0,2</w:t>
            </w:r>
          </w:p>
        </w:tc>
        <w:tc>
          <w:tcPr>
            <w:tcW w:w="686" w:type="pct"/>
            <w:tcBorders>
              <w:top w:val="nil"/>
              <w:left w:val="nil"/>
              <w:bottom w:val="single" w:sz="4" w:space="0" w:color="auto"/>
              <w:right w:val="nil"/>
            </w:tcBorders>
            <w:vAlign w:val="center"/>
            <w:hideMark/>
          </w:tcPr>
          <w:p w14:paraId="44328443" w14:textId="226E51F5" w:rsidR="008B0F9A" w:rsidRPr="008B0F9A" w:rsidRDefault="008B0F9A" w:rsidP="008B0F9A">
            <w:pPr>
              <w:spacing w:after="0" w:line="240" w:lineRule="auto"/>
              <w:jc w:val="center"/>
              <w:rPr>
                <w:sz w:val="20"/>
                <w:szCs w:val="20"/>
                <w:lang w:eastAsia="sk-SK"/>
              </w:rPr>
            </w:pPr>
            <w:r w:rsidRPr="008B0F9A">
              <w:rPr>
                <w:sz w:val="20"/>
                <w:szCs w:val="20"/>
              </w:rPr>
              <w:t>0,3</w:t>
            </w:r>
          </w:p>
        </w:tc>
        <w:tc>
          <w:tcPr>
            <w:tcW w:w="669" w:type="pct"/>
            <w:tcBorders>
              <w:top w:val="nil"/>
              <w:left w:val="nil"/>
              <w:bottom w:val="single" w:sz="4" w:space="0" w:color="auto"/>
              <w:right w:val="nil"/>
            </w:tcBorders>
            <w:vAlign w:val="center"/>
            <w:hideMark/>
          </w:tcPr>
          <w:p w14:paraId="6108CAEA" w14:textId="3C5BAE4B" w:rsidR="008B0F9A" w:rsidRPr="008B0F9A" w:rsidRDefault="008B0F9A" w:rsidP="008B0F9A">
            <w:pPr>
              <w:spacing w:after="0" w:line="240" w:lineRule="auto"/>
              <w:jc w:val="right"/>
              <w:rPr>
                <w:sz w:val="20"/>
                <w:szCs w:val="20"/>
                <w:lang w:eastAsia="sk-SK"/>
              </w:rPr>
            </w:pPr>
            <w:r w:rsidRPr="008B0F9A">
              <w:rPr>
                <w:sz w:val="20"/>
                <w:szCs w:val="20"/>
              </w:rPr>
              <w:t>347 657</w:t>
            </w:r>
          </w:p>
        </w:tc>
      </w:tr>
    </w:tbl>
    <w:p w14:paraId="7F030857" w14:textId="52D4FB4B" w:rsidR="00992DD8" w:rsidRPr="008B0F9A" w:rsidRDefault="00992DD8" w:rsidP="00992DD8">
      <w:pPr>
        <w:spacing w:after="0" w:line="240" w:lineRule="auto"/>
        <w:ind w:right="-143"/>
        <w:rPr>
          <w:iCs/>
          <w:sz w:val="16"/>
          <w:szCs w:val="16"/>
          <w:lang w:eastAsia="sk-SK"/>
        </w:rPr>
      </w:pPr>
      <w:r w:rsidRPr="008B0F9A">
        <w:rPr>
          <w:iCs/>
          <w:sz w:val="16"/>
          <w:szCs w:val="16"/>
          <w:lang w:eastAsia="sk-SK"/>
        </w:rPr>
        <w:t>Hodnoty v tabuľke sú zaokrúhlené na jedno desatinné miesto.</w:t>
      </w:r>
      <w:r w:rsidRPr="008B0F9A">
        <w:rPr>
          <w:iCs/>
          <w:sz w:val="16"/>
          <w:szCs w:val="16"/>
          <w:lang w:eastAsia="sk-SK"/>
        </w:rPr>
        <w:tab/>
      </w:r>
      <w:r w:rsidRPr="008B0F9A">
        <w:rPr>
          <w:iCs/>
          <w:sz w:val="16"/>
          <w:szCs w:val="16"/>
          <w:lang w:eastAsia="sk-SK"/>
        </w:rPr>
        <w:tab/>
      </w:r>
      <w:r w:rsidRPr="008B0F9A">
        <w:rPr>
          <w:iCs/>
          <w:sz w:val="16"/>
          <w:szCs w:val="16"/>
          <w:lang w:eastAsia="sk-SK"/>
        </w:rPr>
        <w:tab/>
      </w:r>
      <w:r w:rsidRPr="008B0F9A">
        <w:rPr>
          <w:iCs/>
          <w:sz w:val="16"/>
          <w:szCs w:val="16"/>
          <w:lang w:eastAsia="sk-SK"/>
        </w:rPr>
        <w:tab/>
      </w:r>
      <w:r w:rsidRPr="008B0F9A">
        <w:rPr>
          <w:iCs/>
          <w:sz w:val="16"/>
          <w:szCs w:val="16"/>
          <w:lang w:eastAsia="sk-SK"/>
        </w:rPr>
        <w:tab/>
        <w:t xml:space="preserve">                   Zdroj: Eurostat, ŠÚ</w:t>
      </w:r>
      <w:r w:rsidR="004D2FF7" w:rsidRPr="008B0F9A">
        <w:rPr>
          <w:iCs/>
          <w:sz w:val="16"/>
          <w:szCs w:val="16"/>
          <w:lang w:eastAsia="sk-SK"/>
        </w:rPr>
        <w:t xml:space="preserve"> </w:t>
      </w:r>
      <w:r w:rsidRPr="008B0F9A">
        <w:rPr>
          <w:iCs/>
          <w:sz w:val="16"/>
          <w:szCs w:val="16"/>
          <w:lang w:eastAsia="sk-SK"/>
        </w:rPr>
        <w:t>SR</w:t>
      </w:r>
    </w:p>
    <w:p w14:paraId="3263F09C" w14:textId="77777777" w:rsidR="00992DD8" w:rsidRPr="008B0F9A" w:rsidRDefault="00992DD8" w:rsidP="00992DD8">
      <w:pPr>
        <w:spacing w:after="0" w:line="240" w:lineRule="auto"/>
        <w:rPr>
          <w:iCs/>
          <w:sz w:val="16"/>
          <w:szCs w:val="16"/>
          <w:lang w:eastAsia="sk-SK"/>
        </w:rPr>
      </w:pPr>
      <w:r w:rsidRPr="008B0F9A">
        <w:rPr>
          <w:iCs/>
          <w:sz w:val="16"/>
          <w:szCs w:val="16"/>
          <w:lang w:eastAsia="sk-SK"/>
        </w:rPr>
        <w:t xml:space="preserve">Miestna samospráva je totožná v národnej legislatíve s pojmom územná samospráva. </w:t>
      </w:r>
    </w:p>
    <w:p w14:paraId="3F126604" w14:textId="77777777" w:rsidR="00992DD8" w:rsidRPr="00174C84" w:rsidRDefault="00992DD8" w:rsidP="00992DD8">
      <w:pPr>
        <w:spacing w:after="0" w:line="240" w:lineRule="auto"/>
        <w:jc w:val="both"/>
        <w:rPr>
          <w:szCs w:val="22"/>
          <w:highlight w:val="yellow"/>
        </w:rPr>
      </w:pPr>
    </w:p>
    <w:p w14:paraId="3FE07D06" w14:textId="06D1D07C" w:rsidR="00992DD8" w:rsidRPr="00174C84" w:rsidRDefault="00992DD8" w:rsidP="00901E59">
      <w:pPr>
        <w:spacing w:after="120" w:line="240" w:lineRule="auto"/>
        <w:jc w:val="both"/>
        <w:rPr>
          <w:szCs w:val="22"/>
          <w:highlight w:val="yellow"/>
        </w:rPr>
      </w:pPr>
      <w:r w:rsidRPr="00D300A7">
        <w:rPr>
          <w:szCs w:val="22"/>
          <w:u w:val="single"/>
        </w:rPr>
        <w:t>Z pohľadu sektorového členenia sa na schodku</w:t>
      </w:r>
      <w:r w:rsidRPr="00DB0340">
        <w:rPr>
          <w:szCs w:val="22"/>
        </w:rPr>
        <w:t xml:space="preserve"> </w:t>
      </w:r>
      <w:r w:rsidR="003A21DC" w:rsidRPr="00DB0340">
        <w:rPr>
          <w:szCs w:val="22"/>
          <w:u w:val="single"/>
        </w:rPr>
        <w:t>na nekonsolidovanej báze</w:t>
      </w:r>
      <w:r w:rsidR="003A21DC" w:rsidRPr="00DB0340">
        <w:rPr>
          <w:szCs w:val="22"/>
        </w:rPr>
        <w:t xml:space="preserve"> </w:t>
      </w:r>
      <w:r w:rsidRPr="00DB0340">
        <w:rPr>
          <w:szCs w:val="22"/>
        </w:rPr>
        <w:t xml:space="preserve">najviac podieľala ústredná správa a v rámci nej štátny rozpočet so schodkom </w:t>
      </w:r>
      <w:r w:rsidR="00DE3E88" w:rsidRPr="00DB0340">
        <w:rPr>
          <w:szCs w:val="22"/>
          <w:lang w:val="en-US"/>
        </w:rPr>
        <w:t>8</w:t>
      </w:r>
      <w:r w:rsidR="00D418E2" w:rsidRPr="00DB0340">
        <w:rPr>
          <w:szCs w:val="22"/>
          <w:lang w:val="en-US"/>
        </w:rPr>
        <w:t> </w:t>
      </w:r>
      <w:r w:rsidR="00DE3E88" w:rsidRPr="00DB0340">
        <w:rPr>
          <w:szCs w:val="22"/>
          <w:lang w:val="en-US"/>
        </w:rPr>
        <w:t>085</w:t>
      </w:r>
      <w:r w:rsidR="00D418E2" w:rsidRPr="00DB0340">
        <w:rPr>
          <w:szCs w:val="22"/>
          <w:lang w:val="en-US"/>
        </w:rPr>
        <w:t> </w:t>
      </w:r>
      <w:r w:rsidR="00DE3E88" w:rsidRPr="00DB0340">
        <w:rPr>
          <w:szCs w:val="22"/>
          <w:lang w:val="en-US"/>
        </w:rPr>
        <w:t>244</w:t>
      </w:r>
      <w:r w:rsidRPr="00DB0340">
        <w:rPr>
          <w:szCs w:val="22"/>
        </w:rPr>
        <w:t> tis. eur, čo predstavuje opr</w:t>
      </w:r>
      <w:r w:rsidR="00D418E2" w:rsidRPr="00DB0340">
        <w:rPr>
          <w:szCs w:val="22"/>
        </w:rPr>
        <w:t>oti roku 202</w:t>
      </w:r>
      <w:r w:rsidR="00DE3E88" w:rsidRPr="00DB0340">
        <w:rPr>
          <w:szCs w:val="22"/>
        </w:rPr>
        <w:t>3</w:t>
      </w:r>
      <w:r w:rsidR="00D418E2" w:rsidRPr="00DB0340">
        <w:rPr>
          <w:szCs w:val="22"/>
        </w:rPr>
        <w:t xml:space="preserve"> zhoršenie o </w:t>
      </w:r>
      <w:r w:rsidR="00DE3E88" w:rsidRPr="00DB0340">
        <w:rPr>
          <w:szCs w:val="22"/>
        </w:rPr>
        <w:t>957</w:t>
      </w:r>
      <w:r w:rsidR="00D418E2" w:rsidRPr="00DB0340">
        <w:rPr>
          <w:szCs w:val="22"/>
        </w:rPr>
        <w:t> </w:t>
      </w:r>
      <w:r w:rsidR="00DE3E88" w:rsidRPr="00DB0340">
        <w:rPr>
          <w:szCs w:val="22"/>
        </w:rPr>
        <w:t>09</w:t>
      </w:r>
      <w:r w:rsidR="001F5B6E">
        <w:rPr>
          <w:szCs w:val="22"/>
        </w:rPr>
        <w:t>2</w:t>
      </w:r>
      <w:r w:rsidRPr="00DB0340">
        <w:rPr>
          <w:szCs w:val="22"/>
        </w:rPr>
        <w:t> tis. eur</w:t>
      </w:r>
      <w:r w:rsidR="00DB0340" w:rsidRPr="00DB0340">
        <w:rPr>
          <w:szCs w:val="22"/>
        </w:rPr>
        <w:t>.</w:t>
      </w:r>
    </w:p>
    <w:p w14:paraId="2229134B" w14:textId="64218F5F" w:rsidR="00992DD8" w:rsidRPr="00DB0340" w:rsidRDefault="00992DD8" w:rsidP="00901E59">
      <w:pPr>
        <w:spacing w:after="120" w:line="240" w:lineRule="auto"/>
        <w:jc w:val="both"/>
        <w:rPr>
          <w:szCs w:val="22"/>
        </w:rPr>
      </w:pPr>
      <w:r w:rsidRPr="00DB0340">
        <w:rPr>
          <w:szCs w:val="22"/>
        </w:rPr>
        <w:t xml:space="preserve">So schodkom hospodárili aj ďalšie subjekty verejnej správy napríklad </w:t>
      </w:r>
      <w:r w:rsidR="00DB0340" w:rsidRPr="00DB0340">
        <w:rPr>
          <w:szCs w:val="22"/>
        </w:rPr>
        <w:t>Národná diaľničná spoločnosť</w:t>
      </w:r>
      <w:r w:rsidR="007B4CA0" w:rsidRPr="00DB0340">
        <w:rPr>
          <w:szCs w:val="22"/>
        </w:rPr>
        <w:t xml:space="preserve"> </w:t>
      </w:r>
      <w:r w:rsidRPr="00DB0340">
        <w:rPr>
          <w:szCs w:val="22"/>
        </w:rPr>
        <w:t>vo</w:t>
      </w:r>
      <w:r w:rsidR="00A17BD9">
        <w:rPr>
          <w:szCs w:val="22"/>
        </w:rPr>
        <w:t> </w:t>
      </w:r>
      <w:r w:rsidRPr="00DB0340">
        <w:rPr>
          <w:szCs w:val="22"/>
        </w:rPr>
        <w:t xml:space="preserve">výške </w:t>
      </w:r>
      <w:r w:rsidR="00DB0340" w:rsidRPr="00DB0340">
        <w:rPr>
          <w:szCs w:val="22"/>
        </w:rPr>
        <w:t>57</w:t>
      </w:r>
      <w:r w:rsidRPr="00DB0340">
        <w:rPr>
          <w:szCs w:val="22"/>
        </w:rPr>
        <w:t> </w:t>
      </w:r>
      <w:r w:rsidR="00DB0340" w:rsidRPr="00DB0340">
        <w:rPr>
          <w:szCs w:val="22"/>
        </w:rPr>
        <w:t>402</w:t>
      </w:r>
      <w:r w:rsidRPr="00DB0340">
        <w:rPr>
          <w:szCs w:val="22"/>
        </w:rPr>
        <w:t> tis. eur, vyššie územné celky</w:t>
      </w:r>
      <w:r w:rsidR="000177FD" w:rsidRPr="00DB0340">
        <w:rPr>
          <w:szCs w:val="22"/>
        </w:rPr>
        <w:t xml:space="preserve"> a ich rozpočtové organizácie (VÚC a ich RO)</w:t>
      </w:r>
      <w:r w:rsidRPr="00DB0340">
        <w:rPr>
          <w:szCs w:val="22"/>
        </w:rPr>
        <w:t xml:space="preserve"> vo</w:t>
      </w:r>
      <w:r w:rsidR="00627A8D" w:rsidRPr="00DB0340">
        <w:rPr>
          <w:szCs w:val="22"/>
        </w:rPr>
        <w:t> </w:t>
      </w:r>
      <w:r w:rsidRPr="00DB0340">
        <w:rPr>
          <w:szCs w:val="22"/>
        </w:rPr>
        <w:t>výške </w:t>
      </w:r>
      <w:r w:rsidR="00DB0340" w:rsidRPr="00DB0340">
        <w:rPr>
          <w:szCs w:val="22"/>
        </w:rPr>
        <w:t>33</w:t>
      </w:r>
      <w:r w:rsidRPr="00DB0340">
        <w:rPr>
          <w:szCs w:val="22"/>
        </w:rPr>
        <w:t> </w:t>
      </w:r>
      <w:r w:rsidR="00DB0340" w:rsidRPr="00DB0340">
        <w:rPr>
          <w:szCs w:val="22"/>
        </w:rPr>
        <w:t>649</w:t>
      </w:r>
      <w:r w:rsidRPr="00DB0340">
        <w:rPr>
          <w:szCs w:val="22"/>
        </w:rPr>
        <w:t> tis. eur, Železnice Slovenskej republiky</w:t>
      </w:r>
      <w:r w:rsidR="00B6008D" w:rsidRPr="00DB0340">
        <w:rPr>
          <w:szCs w:val="22"/>
        </w:rPr>
        <w:t xml:space="preserve"> (ŽSR)</w:t>
      </w:r>
      <w:r w:rsidR="00C765EA" w:rsidRPr="00DB0340">
        <w:rPr>
          <w:szCs w:val="22"/>
        </w:rPr>
        <w:t xml:space="preserve"> vo </w:t>
      </w:r>
      <w:r w:rsidRPr="00DB0340">
        <w:rPr>
          <w:szCs w:val="22"/>
        </w:rPr>
        <w:t xml:space="preserve">výške </w:t>
      </w:r>
      <w:r w:rsidR="00DB0340" w:rsidRPr="00DB0340">
        <w:rPr>
          <w:szCs w:val="22"/>
        </w:rPr>
        <w:t>2</w:t>
      </w:r>
      <w:r w:rsidRPr="00DB0340">
        <w:rPr>
          <w:szCs w:val="22"/>
        </w:rPr>
        <w:t>2 </w:t>
      </w:r>
      <w:r w:rsidR="00DB0340" w:rsidRPr="00DB0340">
        <w:rPr>
          <w:szCs w:val="22"/>
        </w:rPr>
        <w:t>918</w:t>
      </w:r>
      <w:r w:rsidRPr="00DB0340">
        <w:rPr>
          <w:szCs w:val="22"/>
        </w:rPr>
        <w:t> tis.</w:t>
      </w:r>
      <w:r w:rsidR="00D418E2" w:rsidRPr="00DB0340">
        <w:rPr>
          <w:szCs w:val="22"/>
        </w:rPr>
        <w:t> </w:t>
      </w:r>
      <w:r w:rsidRPr="00DB0340">
        <w:rPr>
          <w:szCs w:val="22"/>
        </w:rPr>
        <w:t>eur</w:t>
      </w:r>
      <w:r w:rsidR="00DB0340" w:rsidRPr="00DB0340">
        <w:rPr>
          <w:szCs w:val="22"/>
        </w:rPr>
        <w:t xml:space="preserve">, Dopravné podniky vo  výške 72 640 tis. eur </w:t>
      </w:r>
      <w:r w:rsidRPr="00DB0340">
        <w:rPr>
          <w:szCs w:val="22"/>
        </w:rPr>
        <w:t xml:space="preserve">a ostatné subjekty územnej </w:t>
      </w:r>
      <w:r w:rsidR="00D418E2" w:rsidRPr="00DB0340">
        <w:rPr>
          <w:szCs w:val="22"/>
        </w:rPr>
        <w:t>samosprávy vo výške 2</w:t>
      </w:r>
      <w:r w:rsidR="00DB0340" w:rsidRPr="00DB0340">
        <w:rPr>
          <w:szCs w:val="22"/>
        </w:rPr>
        <w:t>3</w:t>
      </w:r>
      <w:r w:rsidR="00D418E2" w:rsidRPr="00DB0340">
        <w:rPr>
          <w:szCs w:val="22"/>
        </w:rPr>
        <w:t> </w:t>
      </w:r>
      <w:r w:rsidR="00DB0340" w:rsidRPr="00DB0340">
        <w:rPr>
          <w:szCs w:val="22"/>
        </w:rPr>
        <w:t>978</w:t>
      </w:r>
      <w:r w:rsidR="00D418E2" w:rsidRPr="00DB0340">
        <w:rPr>
          <w:szCs w:val="22"/>
        </w:rPr>
        <w:t> tis. </w:t>
      </w:r>
      <w:r w:rsidRPr="00DB0340">
        <w:rPr>
          <w:szCs w:val="22"/>
        </w:rPr>
        <w:t>eur.</w:t>
      </w:r>
    </w:p>
    <w:p w14:paraId="049394CC" w14:textId="5A99FD15" w:rsidR="004C2429" w:rsidRPr="00390915" w:rsidRDefault="00D97413" w:rsidP="00156DDE">
      <w:pPr>
        <w:spacing w:after="0" w:line="240" w:lineRule="auto"/>
        <w:jc w:val="both"/>
        <w:rPr>
          <w:szCs w:val="22"/>
        </w:rPr>
      </w:pPr>
      <w:bookmarkStart w:id="17" w:name="_Hlk211317692"/>
      <w:r>
        <w:rPr>
          <w:szCs w:val="22"/>
        </w:rPr>
        <w:t>Kladné hospodárenie</w:t>
      </w:r>
      <w:r w:rsidR="00992DD8" w:rsidRPr="00390915">
        <w:rPr>
          <w:szCs w:val="22"/>
        </w:rPr>
        <w:t xml:space="preserve"> v roku 202</w:t>
      </w:r>
      <w:r w:rsidR="00DB0340" w:rsidRPr="00390915">
        <w:rPr>
          <w:szCs w:val="22"/>
        </w:rPr>
        <w:t>4</w:t>
      </w:r>
      <w:r w:rsidR="00992DD8" w:rsidRPr="00390915">
        <w:rPr>
          <w:szCs w:val="22"/>
        </w:rPr>
        <w:t xml:space="preserve"> dosiahli</w:t>
      </w:r>
      <w:r w:rsidR="00390915" w:rsidRPr="00390915">
        <w:rPr>
          <w:szCs w:val="22"/>
        </w:rPr>
        <w:t xml:space="preserve"> predovšetkým </w:t>
      </w:r>
      <w:r w:rsidR="00992DD8" w:rsidRPr="00390915">
        <w:rPr>
          <w:szCs w:val="22"/>
        </w:rPr>
        <w:t>fondy sociá</w:t>
      </w:r>
      <w:r w:rsidR="00D418E2" w:rsidRPr="00390915">
        <w:rPr>
          <w:szCs w:val="22"/>
        </w:rPr>
        <w:t xml:space="preserve">lneho zabezpečenia </w:t>
      </w:r>
      <w:r w:rsidR="00DB0340" w:rsidRPr="00390915">
        <w:rPr>
          <w:szCs w:val="22"/>
        </w:rPr>
        <w:t>347</w:t>
      </w:r>
      <w:r w:rsidR="00D418E2" w:rsidRPr="00390915">
        <w:rPr>
          <w:szCs w:val="22"/>
        </w:rPr>
        <w:t> </w:t>
      </w:r>
      <w:r w:rsidR="00DB0340" w:rsidRPr="00390915">
        <w:rPr>
          <w:szCs w:val="22"/>
        </w:rPr>
        <w:t>657</w:t>
      </w:r>
      <w:r w:rsidR="00D418E2" w:rsidRPr="00390915">
        <w:rPr>
          <w:szCs w:val="22"/>
        </w:rPr>
        <w:t> tis. </w:t>
      </w:r>
      <w:r w:rsidR="00992DD8" w:rsidRPr="00390915">
        <w:rPr>
          <w:szCs w:val="22"/>
        </w:rPr>
        <w:t>eur (z</w:t>
      </w:r>
      <w:r w:rsidR="006331DD">
        <w:rPr>
          <w:szCs w:val="22"/>
        </w:rPr>
        <w:t> </w:t>
      </w:r>
      <w:r w:rsidR="00992DD8" w:rsidRPr="00390915">
        <w:rPr>
          <w:szCs w:val="22"/>
        </w:rPr>
        <w:t xml:space="preserve">toho verejné zdravotné poistenie </w:t>
      </w:r>
      <w:r w:rsidR="00DB0340" w:rsidRPr="00390915">
        <w:rPr>
          <w:szCs w:val="22"/>
        </w:rPr>
        <w:t>12</w:t>
      </w:r>
      <w:r w:rsidR="00D418E2" w:rsidRPr="00390915">
        <w:rPr>
          <w:szCs w:val="22"/>
        </w:rPr>
        <w:t> </w:t>
      </w:r>
      <w:r w:rsidR="00DB0340" w:rsidRPr="00390915">
        <w:rPr>
          <w:szCs w:val="22"/>
        </w:rPr>
        <w:t>194</w:t>
      </w:r>
      <w:r w:rsidR="00D418E2" w:rsidRPr="00390915">
        <w:rPr>
          <w:szCs w:val="22"/>
        </w:rPr>
        <w:t> tis. </w:t>
      </w:r>
      <w:r w:rsidR="00992DD8" w:rsidRPr="00390915">
        <w:rPr>
          <w:szCs w:val="22"/>
        </w:rPr>
        <w:t>eur), štátne fondy vo</w:t>
      </w:r>
      <w:r w:rsidR="00A17BD9">
        <w:rPr>
          <w:szCs w:val="22"/>
        </w:rPr>
        <w:t> </w:t>
      </w:r>
      <w:r w:rsidR="00992DD8" w:rsidRPr="00390915">
        <w:rPr>
          <w:szCs w:val="22"/>
        </w:rPr>
        <w:t>výške 2</w:t>
      </w:r>
      <w:r w:rsidR="00965E8C" w:rsidRPr="00390915">
        <w:rPr>
          <w:szCs w:val="22"/>
        </w:rPr>
        <w:t>55</w:t>
      </w:r>
      <w:r w:rsidR="00992DD8" w:rsidRPr="00390915">
        <w:rPr>
          <w:szCs w:val="22"/>
        </w:rPr>
        <w:t> </w:t>
      </w:r>
      <w:r w:rsidR="00965E8C" w:rsidRPr="00390915">
        <w:rPr>
          <w:szCs w:val="22"/>
        </w:rPr>
        <w:t>244</w:t>
      </w:r>
      <w:r w:rsidR="00992DD8" w:rsidRPr="00390915">
        <w:rPr>
          <w:szCs w:val="22"/>
        </w:rPr>
        <w:t> tis. eur,</w:t>
      </w:r>
      <w:r w:rsidR="00965E8C" w:rsidRPr="00390915">
        <w:rPr>
          <w:szCs w:val="22"/>
        </w:rPr>
        <w:t xml:space="preserve"> Exportno-importná banka vo výške 193 153 tis. eur,</w:t>
      </w:r>
      <w:r w:rsidR="00992DD8" w:rsidRPr="00390915">
        <w:rPr>
          <w:szCs w:val="22"/>
        </w:rPr>
        <w:t xml:space="preserve"> </w:t>
      </w:r>
      <w:r w:rsidR="001F5B6E">
        <w:rPr>
          <w:szCs w:val="22"/>
        </w:rPr>
        <w:t xml:space="preserve">Verejné vysoké školy (VVŠ) </w:t>
      </w:r>
      <w:r w:rsidR="00D418E2" w:rsidRPr="00390915">
        <w:rPr>
          <w:szCs w:val="22"/>
        </w:rPr>
        <w:t xml:space="preserve">vo výške </w:t>
      </w:r>
      <w:r w:rsidR="001F5B6E">
        <w:rPr>
          <w:szCs w:val="22"/>
        </w:rPr>
        <w:t>89</w:t>
      </w:r>
      <w:r w:rsidR="00D418E2" w:rsidRPr="00390915">
        <w:rPr>
          <w:szCs w:val="22"/>
        </w:rPr>
        <w:t> </w:t>
      </w:r>
      <w:r w:rsidR="001F5B6E">
        <w:rPr>
          <w:szCs w:val="22"/>
        </w:rPr>
        <w:t>717</w:t>
      </w:r>
      <w:r w:rsidR="00D418E2" w:rsidRPr="00390915">
        <w:rPr>
          <w:szCs w:val="22"/>
        </w:rPr>
        <w:t> tis. </w:t>
      </w:r>
      <w:r w:rsidR="00992DD8" w:rsidRPr="00390915">
        <w:rPr>
          <w:szCs w:val="22"/>
        </w:rPr>
        <w:t xml:space="preserve">eur, ostatné subjekty </w:t>
      </w:r>
      <w:r w:rsidR="00992DD8" w:rsidRPr="00A9470A">
        <w:rPr>
          <w:szCs w:val="22"/>
        </w:rPr>
        <w:t>ústrednej správy vo výške 1</w:t>
      </w:r>
      <w:r w:rsidR="00965E8C" w:rsidRPr="00A9470A">
        <w:rPr>
          <w:szCs w:val="22"/>
        </w:rPr>
        <w:t>20</w:t>
      </w:r>
      <w:r w:rsidR="00992DD8" w:rsidRPr="00A9470A">
        <w:rPr>
          <w:szCs w:val="22"/>
        </w:rPr>
        <w:t> </w:t>
      </w:r>
      <w:r w:rsidR="00965E8C" w:rsidRPr="00A9470A">
        <w:rPr>
          <w:szCs w:val="22"/>
        </w:rPr>
        <w:t>009</w:t>
      </w:r>
      <w:r w:rsidR="00992DD8" w:rsidRPr="00A9470A">
        <w:rPr>
          <w:szCs w:val="22"/>
        </w:rPr>
        <w:t> tis. eur</w:t>
      </w:r>
      <w:r w:rsidR="00A17BD9" w:rsidRPr="00A9470A">
        <w:rPr>
          <w:szCs w:val="22"/>
        </w:rPr>
        <w:t>.</w:t>
      </w:r>
    </w:p>
    <w:p w14:paraId="636EC79C" w14:textId="0B243CC9" w:rsidR="00DA437B" w:rsidRDefault="00DA437B" w:rsidP="00D162A9">
      <w:pPr>
        <w:pStyle w:val="Popis"/>
      </w:pPr>
      <w:bookmarkStart w:id="18" w:name="_Toc212124625"/>
      <w:bookmarkEnd w:id="17"/>
      <w:r>
        <w:t xml:space="preserve">Tabuľka </w:t>
      </w:r>
      <w:r w:rsidR="00CA4B84">
        <w:fldChar w:fldCharType="begin"/>
      </w:r>
      <w:r w:rsidR="00CA4B84">
        <w:instrText xml:space="preserve"> SEQ Tabuľka \* ARABIC </w:instrText>
      </w:r>
      <w:r w:rsidR="00CA4B84">
        <w:fldChar w:fldCharType="separate"/>
      </w:r>
      <w:r w:rsidR="00076866">
        <w:rPr>
          <w:noProof/>
        </w:rPr>
        <w:t>4</w:t>
      </w:r>
      <w:r w:rsidR="00CA4B84">
        <w:rPr>
          <w:noProof/>
        </w:rPr>
        <w:fldChar w:fldCharType="end"/>
      </w:r>
      <w:r>
        <w:t xml:space="preserve"> - </w:t>
      </w:r>
      <w:r w:rsidRPr="006F2E87">
        <w:t xml:space="preserve">Schodok verejnej správy podľa jednotlivých subjektov/ zložiek </w:t>
      </w:r>
      <w:r w:rsidRPr="00383A25">
        <w:t>(v tis. eur)</w:t>
      </w:r>
      <w:bookmarkEnd w:id="18"/>
    </w:p>
    <w:tbl>
      <w:tblPr>
        <w:tblW w:w="4995" w:type="pct"/>
        <w:tblCellMar>
          <w:left w:w="70" w:type="dxa"/>
          <w:right w:w="70" w:type="dxa"/>
        </w:tblCellMar>
        <w:tblLook w:val="04A0" w:firstRow="1" w:lastRow="0" w:firstColumn="1" w:lastColumn="0" w:noHBand="0" w:noVBand="1"/>
      </w:tblPr>
      <w:tblGrid>
        <w:gridCol w:w="190"/>
        <w:gridCol w:w="224"/>
        <w:gridCol w:w="3273"/>
        <w:gridCol w:w="112"/>
        <w:gridCol w:w="78"/>
        <w:gridCol w:w="785"/>
        <w:gridCol w:w="82"/>
        <w:gridCol w:w="68"/>
        <w:gridCol w:w="694"/>
        <w:gridCol w:w="171"/>
        <w:gridCol w:w="68"/>
        <w:gridCol w:w="78"/>
        <w:gridCol w:w="732"/>
        <w:gridCol w:w="57"/>
        <w:gridCol w:w="68"/>
        <w:gridCol w:w="76"/>
        <w:gridCol w:w="791"/>
        <w:gridCol w:w="49"/>
        <w:gridCol w:w="190"/>
        <w:gridCol w:w="768"/>
        <w:gridCol w:w="80"/>
        <w:gridCol w:w="799"/>
        <w:gridCol w:w="53"/>
      </w:tblGrid>
      <w:tr w:rsidR="007970C8" w:rsidRPr="00C16361" w14:paraId="04FCA11B" w14:textId="77777777" w:rsidTr="007970C8">
        <w:trPr>
          <w:trHeight w:val="257"/>
          <w:tblHeader/>
        </w:trPr>
        <w:tc>
          <w:tcPr>
            <w:tcW w:w="100" w:type="pct"/>
            <w:tcBorders>
              <w:top w:val="single" w:sz="4" w:space="0" w:color="auto"/>
              <w:left w:val="nil"/>
              <w:bottom w:val="nil"/>
              <w:right w:val="nil"/>
            </w:tcBorders>
            <w:noWrap/>
            <w:vAlign w:val="center"/>
            <w:hideMark/>
          </w:tcPr>
          <w:p w14:paraId="68FE8740" w14:textId="4D38D5DA" w:rsidR="00992DD8" w:rsidRPr="00C16361" w:rsidRDefault="00992DD8" w:rsidP="0019064B">
            <w:pPr>
              <w:spacing w:after="0" w:line="240" w:lineRule="auto"/>
              <w:jc w:val="center"/>
              <w:rPr>
                <w:b/>
                <w:bCs/>
                <w:sz w:val="18"/>
                <w:szCs w:val="18"/>
                <w:lang w:eastAsia="sk-SK"/>
              </w:rPr>
            </w:pPr>
            <w:r w:rsidRPr="00C16361">
              <w:rPr>
                <w:b/>
                <w:bCs/>
                <w:sz w:val="18"/>
                <w:szCs w:val="18"/>
                <w:lang w:eastAsia="sk-SK"/>
              </w:rPr>
              <w:t> </w:t>
            </w:r>
          </w:p>
        </w:tc>
        <w:tc>
          <w:tcPr>
            <w:tcW w:w="1843" w:type="pct"/>
            <w:gridSpan w:val="2"/>
            <w:tcBorders>
              <w:top w:val="single" w:sz="4" w:space="0" w:color="auto"/>
              <w:left w:val="nil"/>
              <w:bottom w:val="nil"/>
              <w:right w:val="nil"/>
            </w:tcBorders>
            <w:noWrap/>
            <w:vAlign w:val="center"/>
            <w:hideMark/>
          </w:tcPr>
          <w:p w14:paraId="0797926C" w14:textId="6ACB7B74" w:rsidR="00992DD8" w:rsidRPr="00C16361" w:rsidRDefault="00992DD8" w:rsidP="0019064B">
            <w:pPr>
              <w:spacing w:after="0" w:line="240" w:lineRule="auto"/>
              <w:jc w:val="center"/>
              <w:rPr>
                <w:b/>
                <w:bCs/>
                <w:sz w:val="18"/>
                <w:szCs w:val="18"/>
                <w:lang w:eastAsia="sk-SK"/>
              </w:rPr>
            </w:pPr>
            <w:r w:rsidRPr="00C16361">
              <w:rPr>
                <w:b/>
                <w:bCs/>
                <w:sz w:val="18"/>
                <w:szCs w:val="18"/>
                <w:lang w:eastAsia="sk-SK"/>
              </w:rPr>
              <w:t> </w:t>
            </w:r>
          </w:p>
        </w:tc>
        <w:tc>
          <w:tcPr>
            <w:tcW w:w="100" w:type="pct"/>
            <w:gridSpan w:val="2"/>
            <w:tcBorders>
              <w:top w:val="single" w:sz="4" w:space="0" w:color="auto"/>
              <w:left w:val="nil"/>
              <w:bottom w:val="nil"/>
              <w:right w:val="nil"/>
            </w:tcBorders>
            <w:noWrap/>
            <w:vAlign w:val="center"/>
            <w:hideMark/>
          </w:tcPr>
          <w:p w14:paraId="5CD8E97D" w14:textId="77777777" w:rsidR="00992DD8" w:rsidRPr="00C16361" w:rsidRDefault="00992DD8" w:rsidP="0019064B">
            <w:pPr>
              <w:spacing w:after="0" w:line="240" w:lineRule="auto"/>
              <w:jc w:val="center"/>
              <w:rPr>
                <w:b/>
                <w:bCs/>
                <w:sz w:val="18"/>
                <w:szCs w:val="18"/>
                <w:lang w:eastAsia="sk-SK"/>
              </w:rPr>
            </w:pPr>
            <w:r w:rsidRPr="00C16361">
              <w:rPr>
                <w:b/>
                <w:bCs/>
                <w:sz w:val="18"/>
                <w:szCs w:val="18"/>
                <w:lang w:eastAsia="sk-SK"/>
              </w:rPr>
              <w:t> </w:t>
            </w:r>
          </w:p>
        </w:tc>
        <w:tc>
          <w:tcPr>
            <w:tcW w:w="493" w:type="pct"/>
            <w:gridSpan w:val="3"/>
            <w:tcBorders>
              <w:top w:val="single" w:sz="4" w:space="0" w:color="auto"/>
              <w:left w:val="nil"/>
              <w:bottom w:val="nil"/>
              <w:right w:val="nil"/>
            </w:tcBorders>
            <w:noWrap/>
            <w:vAlign w:val="center"/>
            <w:hideMark/>
          </w:tcPr>
          <w:p w14:paraId="0882395B" w14:textId="41EF5EE1" w:rsidR="00992DD8" w:rsidRPr="00C16361" w:rsidRDefault="00992DD8" w:rsidP="0019064B">
            <w:pPr>
              <w:spacing w:after="0" w:line="240" w:lineRule="auto"/>
              <w:jc w:val="center"/>
              <w:rPr>
                <w:b/>
                <w:bCs/>
                <w:sz w:val="18"/>
                <w:szCs w:val="18"/>
                <w:lang w:eastAsia="sk-SK"/>
              </w:rPr>
            </w:pPr>
            <w:r w:rsidRPr="00C16361">
              <w:rPr>
                <w:b/>
                <w:bCs/>
                <w:sz w:val="18"/>
                <w:szCs w:val="18"/>
              </w:rPr>
              <w:t>202</w:t>
            </w:r>
            <w:r w:rsidR="00A12FDD" w:rsidRPr="00C16361">
              <w:rPr>
                <w:b/>
                <w:bCs/>
                <w:sz w:val="18"/>
                <w:szCs w:val="18"/>
              </w:rPr>
              <w:t>2</w:t>
            </w:r>
            <w:r w:rsidRPr="00C16361">
              <w:rPr>
                <w:b/>
                <w:bCs/>
                <w:sz w:val="18"/>
                <w:szCs w:val="18"/>
              </w:rPr>
              <w:t xml:space="preserve"> S</w:t>
            </w:r>
          </w:p>
        </w:tc>
        <w:tc>
          <w:tcPr>
            <w:tcW w:w="492" w:type="pct"/>
            <w:gridSpan w:val="3"/>
            <w:tcBorders>
              <w:top w:val="single" w:sz="4" w:space="0" w:color="auto"/>
              <w:left w:val="nil"/>
              <w:bottom w:val="nil"/>
              <w:right w:val="nil"/>
            </w:tcBorders>
            <w:noWrap/>
            <w:vAlign w:val="center"/>
            <w:hideMark/>
          </w:tcPr>
          <w:p w14:paraId="06DEFC7A" w14:textId="01D9923D" w:rsidR="00992DD8" w:rsidRPr="00C16361" w:rsidRDefault="00992DD8" w:rsidP="0019064B">
            <w:pPr>
              <w:spacing w:after="0" w:line="240" w:lineRule="auto"/>
              <w:jc w:val="center"/>
              <w:rPr>
                <w:b/>
                <w:bCs/>
                <w:sz w:val="18"/>
                <w:szCs w:val="18"/>
                <w:lang w:eastAsia="sk-SK"/>
              </w:rPr>
            </w:pPr>
            <w:r w:rsidRPr="00C16361">
              <w:rPr>
                <w:b/>
                <w:bCs/>
                <w:sz w:val="18"/>
                <w:szCs w:val="18"/>
              </w:rPr>
              <w:t>202</w:t>
            </w:r>
            <w:r w:rsidR="00A12FDD" w:rsidRPr="00C16361">
              <w:rPr>
                <w:b/>
                <w:bCs/>
                <w:sz w:val="18"/>
                <w:szCs w:val="18"/>
              </w:rPr>
              <w:t>3</w:t>
            </w:r>
            <w:r w:rsidRPr="00C16361">
              <w:rPr>
                <w:b/>
                <w:bCs/>
                <w:sz w:val="18"/>
                <w:szCs w:val="18"/>
              </w:rPr>
              <w:t xml:space="preserve"> S</w:t>
            </w:r>
          </w:p>
        </w:tc>
        <w:tc>
          <w:tcPr>
            <w:tcW w:w="493" w:type="pct"/>
            <w:gridSpan w:val="4"/>
            <w:tcBorders>
              <w:top w:val="single" w:sz="4" w:space="0" w:color="auto"/>
              <w:left w:val="nil"/>
              <w:bottom w:val="nil"/>
              <w:right w:val="nil"/>
            </w:tcBorders>
            <w:noWrap/>
            <w:vAlign w:val="center"/>
            <w:hideMark/>
          </w:tcPr>
          <w:p w14:paraId="33889270" w14:textId="3131CC2F" w:rsidR="00992DD8" w:rsidRPr="00C16361" w:rsidRDefault="00992DD8" w:rsidP="0019064B">
            <w:pPr>
              <w:spacing w:after="0" w:line="240" w:lineRule="auto"/>
              <w:jc w:val="center"/>
              <w:rPr>
                <w:b/>
                <w:bCs/>
                <w:sz w:val="18"/>
                <w:szCs w:val="18"/>
                <w:lang w:eastAsia="sk-SK"/>
              </w:rPr>
            </w:pPr>
            <w:r w:rsidRPr="00C16361">
              <w:rPr>
                <w:b/>
                <w:bCs/>
                <w:sz w:val="18"/>
                <w:szCs w:val="18"/>
              </w:rPr>
              <w:t>202</w:t>
            </w:r>
            <w:r w:rsidR="00A12FDD" w:rsidRPr="00C16361">
              <w:rPr>
                <w:b/>
                <w:bCs/>
                <w:sz w:val="18"/>
                <w:szCs w:val="18"/>
              </w:rPr>
              <w:t>4</w:t>
            </w:r>
            <w:r w:rsidRPr="00C16361">
              <w:rPr>
                <w:b/>
                <w:bCs/>
                <w:sz w:val="18"/>
                <w:szCs w:val="18"/>
              </w:rPr>
              <w:t xml:space="preserve"> S</w:t>
            </w:r>
          </w:p>
        </w:tc>
        <w:tc>
          <w:tcPr>
            <w:tcW w:w="483" w:type="pct"/>
            <w:gridSpan w:val="3"/>
            <w:tcBorders>
              <w:top w:val="single" w:sz="4" w:space="0" w:color="auto"/>
              <w:left w:val="nil"/>
              <w:bottom w:val="nil"/>
              <w:right w:val="nil"/>
            </w:tcBorders>
            <w:noWrap/>
            <w:vAlign w:val="center"/>
            <w:hideMark/>
          </w:tcPr>
          <w:p w14:paraId="19669C6B" w14:textId="7DABFA87" w:rsidR="00992DD8" w:rsidRPr="00C16361" w:rsidRDefault="00992DD8" w:rsidP="0019064B">
            <w:pPr>
              <w:spacing w:after="0" w:line="240" w:lineRule="auto"/>
              <w:jc w:val="center"/>
              <w:rPr>
                <w:b/>
                <w:bCs/>
                <w:sz w:val="18"/>
                <w:szCs w:val="18"/>
                <w:lang w:eastAsia="sk-SK"/>
              </w:rPr>
            </w:pPr>
            <w:r w:rsidRPr="00C16361">
              <w:rPr>
                <w:b/>
                <w:bCs/>
                <w:sz w:val="18"/>
                <w:szCs w:val="18"/>
              </w:rPr>
              <w:t>202</w:t>
            </w:r>
            <w:r w:rsidR="00A12FDD" w:rsidRPr="00C16361">
              <w:rPr>
                <w:b/>
                <w:bCs/>
                <w:sz w:val="18"/>
                <w:szCs w:val="18"/>
              </w:rPr>
              <w:t>4</w:t>
            </w:r>
            <w:r w:rsidRPr="00C16361">
              <w:rPr>
                <w:b/>
                <w:bCs/>
                <w:sz w:val="18"/>
                <w:szCs w:val="18"/>
              </w:rPr>
              <w:t xml:space="preserve"> R</w:t>
            </w:r>
          </w:p>
        </w:tc>
        <w:tc>
          <w:tcPr>
            <w:tcW w:w="547" w:type="pct"/>
            <w:gridSpan w:val="3"/>
            <w:tcBorders>
              <w:top w:val="single" w:sz="4" w:space="0" w:color="auto"/>
              <w:left w:val="nil"/>
              <w:bottom w:val="nil"/>
              <w:right w:val="nil"/>
            </w:tcBorders>
            <w:noWrap/>
            <w:vAlign w:val="center"/>
            <w:hideMark/>
          </w:tcPr>
          <w:p w14:paraId="108B8486" w14:textId="77777777" w:rsidR="00992DD8" w:rsidRPr="00C16361" w:rsidRDefault="00992DD8" w:rsidP="0019064B">
            <w:pPr>
              <w:spacing w:after="0" w:line="240" w:lineRule="auto"/>
              <w:jc w:val="center"/>
              <w:rPr>
                <w:b/>
                <w:bCs/>
                <w:sz w:val="17"/>
                <w:szCs w:val="17"/>
              </w:rPr>
            </w:pPr>
            <w:r w:rsidRPr="00C16361">
              <w:rPr>
                <w:b/>
                <w:bCs/>
                <w:sz w:val="17"/>
                <w:szCs w:val="17"/>
              </w:rPr>
              <w:t>Medziročný</w:t>
            </w:r>
          </w:p>
          <w:p w14:paraId="5367BF60" w14:textId="77777777" w:rsidR="00992DD8" w:rsidRPr="00C16361" w:rsidRDefault="00992DD8" w:rsidP="0019064B">
            <w:pPr>
              <w:spacing w:after="0" w:line="240" w:lineRule="auto"/>
              <w:jc w:val="center"/>
              <w:rPr>
                <w:b/>
                <w:bCs/>
                <w:sz w:val="17"/>
                <w:szCs w:val="17"/>
                <w:lang w:eastAsia="sk-SK"/>
              </w:rPr>
            </w:pPr>
            <w:r w:rsidRPr="00C16361">
              <w:rPr>
                <w:b/>
                <w:bCs/>
                <w:sz w:val="17"/>
                <w:szCs w:val="17"/>
              </w:rPr>
              <w:t xml:space="preserve">rozdiel </w:t>
            </w:r>
          </w:p>
        </w:tc>
        <w:tc>
          <w:tcPr>
            <w:tcW w:w="449" w:type="pct"/>
            <w:gridSpan w:val="2"/>
            <w:tcBorders>
              <w:top w:val="single" w:sz="4" w:space="0" w:color="auto"/>
              <w:left w:val="nil"/>
              <w:bottom w:val="nil"/>
              <w:right w:val="nil"/>
            </w:tcBorders>
            <w:noWrap/>
            <w:vAlign w:val="center"/>
            <w:hideMark/>
          </w:tcPr>
          <w:p w14:paraId="4E25B6A4" w14:textId="77777777" w:rsidR="00992DD8" w:rsidRPr="00C16361" w:rsidRDefault="00992DD8" w:rsidP="0019064B">
            <w:pPr>
              <w:spacing w:after="0" w:line="240" w:lineRule="auto"/>
              <w:jc w:val="center"/>
              <w:rPr>
                <w:b/>
                <w:bCs/>
                <w:sz w:val="18"/>
                <w:szCs w:val="18"/>
              </w:rPr>
            </w:pPr>
            <w:r w:rsidRPr="00C16361">
              <w:rPr>
                <w:b/>
                <w:bCs/>
                <w:sz w:val="18"/>
                <w:szCs w:val="18"/>
              </w:rPr>
              <w:t xml:space="preserve">Rozdiel </w:t>
            </w:r>
          </w:p>
          <w:p w14:paraId="17DC9995" w14:textId="77777777" w:rsidR="00992DD8" w:rsidRPr="00C16361" w:rsidRDefault="00992DD8" w:rsidP="0019064B">
            <w:pPr>
              <w:spacing w:after="0" w:line="240" w:lineRule="auto"/>
              <w:jc w:val="center"/>
              <w:rPr>
                <w:b/>
                <w:bCs/>
                <w:sz w:val="18"/>
                <w:szCs w:val="18"/>
                <w:lang w:eastAsia="sk-SK"/>
              </w:rPr>
            </w:pPr>
            <w:r w:rsidRPr="00C16361">
              <w:rPr>
                <w:b/>
                <w:bCs/>
                <w:sz w:val="18"/>
                <w:szCs w:val="18"/>
              </w:rPr>
              <w:t>S-R</w:t>
            </w:r>
          </w:p>
        </w:tc>
      </w:tr>
      <w:tr w:rsidR="007970C8" w:rsidRPr="00C16361" w14:paraId="29FA63A7" w14:textId="77777777" w:rsidTr="007970C8">
        <w:trPr>
          <w:trHeight w:val="257"/>
          <w:tblHeader/>
        </w:trPr>
        <w:tc>
          <w:tcPr>
            <w:tcW w:w="100" w:type="pct"/>
            <w:tcBorders>
              <w:top w:val="nil"/>
              <w:left w:val="nil"/>
              <w:bottom w:val="single" w:sz="4" w:space="0" w:color="auto"/>
              <w:right w:val="nil"/>
            </w:tcBorders>
            <w:noWrap/>
            <w:vAlign w:val="center"/>
            <w:hideMark/>
          </w:tcPr>
          <w:p w14:paraId="6ABD3038" w14:textId="77777777" w:rsidR="00992DD8" w:rsidRPr="00C16361" w:rsidRDefault="00992DD8" w:rsidP="0019064B">
            <w:pPr>
              <w:spacing w:after="0" w:line="240" w:lineRule="auto"/>
              <w:jc w:val="center"/>
              <w:rPr>
                <w:b/>
                <w:bCs/>
                <w:sz w:val="18"/>
                <w:szCs w:val="18"/>
                <w:lang w:eastAsia="sk-SK"/>
              </w:rPr>
            </w:pPr>
            <w:r w:rsidRPr="00C16361">
              <w:rPr>
                <w:b/>
                <w:bCs/>
                <w:sz w:val="18"/>
                <w:szCs w:val="18"/>
                <w:lang w:eastAsia="sk-SK"/>
              </w:rPr>
              <w:t> </w:t>
            </w:r>
          </w:p>
        </w:tc>
        <w:tc>
          <w:tcPr>
            <w:tcW w:w="1843" w:type="pct"/>
            <w:gridSpan w:val="2"/>
            <w:tcBorders>
              <w:top w:val="nil"/>
              <w:left w:val="nil"/>
              <w:bottom w:val="single" w:sz="4" w:space="0" w:color="auto"/>
              <w:right w:val="nil"/>
            </w:tcBorders>
            <w:noWrap/>
            <w:vAlign w:val="center"/>
            <w:hideMark/>
          </w:tcPr>
          <w:p w14:paraId="76EFC303" w14:textId="77777777" w:rsidR="00992DD8" w:rsidRPr="00C16361" w:rsidRDefault="00992DD8" w:rsidP="0019064B">
            <w:pPr>
              <w:spacing w:after="0" w:line="240" w:lineRule="auto"/>
              <w:jc w:val="center"/>
              <w:rPr>
                <w:b/>
                <w:bCs/>
                <w:sz w:val="18"/>
                <w:szCs w:val="18"/>
                <w:lang w:eastAsia="sk-SK"/>
              </w:rPr>
            </w:pPr>
            <w:r w:rsidRPr="00C16361">
              <w:rPr>
                <w:b/>
                <w:bCs/>
                <w:sz w:val="18"/>
                <w:szCs w:val="18"/>
                <w:lang w:eastAsia="sk-SK"/>
              </w:rPr>
              <w:t> </w:t>
            </w:r>
          </w:p>
        </w:tc>
        <w:tc>
          <w:tcPr>
            <w:tcW w:w="100" w:type="pct"/>
            <w:gridSpan w:val="2"/>
            <w:tcBorders>
              <w:top w:val="nil"/>
              <w:left w:val="nil"/>
              <w:bottom w:val="single" w:sz="4" w:space="0" w:color="auto"/>
              <w:right w:val="nil"/>
            </w:tcBorders>
            <w:noWrap/>
            <w:vAlign w:val="center"/>
            <w:hideMark/>
          </w:tcPr>
          <w:p w14:paraId="67192ECB" w14:textId="77777777" w:rsidR="00992DD8" w:rsidRPr="00C16361" w:rsidRDefault="00992DD8" w:rsidP="0019064B">
            <w:pPr>
              <w:spacing w:after="0" w:line="240" w:lineRule="auto"/>
              <w:jc w:val="center"/>
              <w:rPr>
                <w:b/>
                <w:bCs/>
                <w:sz w:val="18"/>
                <w:szCs w:val="18"/>
                <w:lang w:eastAsia="sk-SK"/>
              </w:rPr>
            </w:pPr>
            <w:r w:rsidRPr="00C16361">
              <w:rPr>
                <w:b/>
                <w:bCs/>
                <w:sz w:val="18"/>
                <w:szCs w:val="18"/>
                <w:lang w:eastAsia="sk-SK"/>
              </w:rPr>
              <w:t> </w:t>
            </w:r>
          </w:p>
        </w:tc>
        <w:tc>
          <w:tcPr>
            <w:tcW w:w="493" w:type="pct"/>
            <w:gridSpan w:val="3"/>
            <w:tcBorders>
              <w:top w:val="nil"/>
              <w:left w:val="nil"/>
              <w:bottom w:val="single" w:sz="4" w:space="0" w:color="auto"/>
              <w:right w:val="nil"/>
            </w:tcBorders>
            <w:noWrap/>
            <w:vAlign w:val="center"/>
            <w:hideMark/>
          </w:tcPr>
          <w:p w14:paraId="4C250061" w14:textId="77777777" w:rsidR="00992DD8" w:rsidRPr="00C16361" w:rsidRDefault="00992DD8" w:rsidP="0019064B">
            <w:pPr>
              <w:spacing w:after="0" w:line="240" w:lineRule="auto"/>
              <w:jc w:val="center"/>
              <w:rPr>
                <w:b/>
                <w:bCs/>
                <w:sz w:val="18"/>
                <w:szCs w:val="18"/>
                <w:lang w:eastAsia="sk-SK"/>
              </w:rPr>
            </w:pPr>
            <w:r w:rsidRPr="00C16361">
              <w:rPr>
                <w:b/>
                <w:bCs/>
                <w:sz w:val="18"/>
                <w:szCs w:val="18"/>
              </w:rPr>
              <w:t>1</w:t>
            </w:r>
          </w:p>
        </w:tc>
        <w:tc>
          <w:tcPr>
            <w:tcW w:w="492" w:type="pct"/>
            <w:gridSpan w:val="3"/>
            <w:tcBorders>
              <w:top w:val="nil"/>
              <w:left w:val="nil"/>
              <w:bottom w:val="single" w:sz="4" w:space="0" w:color="auto"/>
              <w:right w:val="nil"/>
            </w:tcBorders>
            <w:noWrap/>
            <w:vAlign w:val="center"/>
            <w:hideMark/>
          </w:tcPr>
          <w:p w14:paraId="428C72E3" w14:textId="77777777" w:rsidR="00992DD8" w:rsidRPr="00C16361" w:rsidRDefault="00992DD8" w:rsidP="0019064B">
            <w:pPr>
              <w:spacing w:after="0" w:line="240" w:lineRule="auto"/>
              <w:jc w:val="center"/>
              <w:rPr>
                <w:b/>
                <w:bCs/>
                <w:sz w:val="18"/>
                <w:szCs w:val="18"/>
                <w:lang w:eastAsia="sk-SK"/>
              </w:rPr>
            </w:pPr>
            <w:r w:rsidRPr="00C16361">
              <w:rPr>
                <w:b/>
                <w:bCs/>
                <w:sz w:val="18"/>
                <w:szCs w:val="18"/>
              </w:rPr>
              <w:t>2</w:t>
            </w:r>
          </w:p>
        </w:tc>
        <w:tc>
          <w:tcPr>
            <w:tcW w:w="493" w:type="pct"/>
            <w:gridSpan w:val="4"/>
            <w:tcBorders>
              <w:top w:val="nil"/>
              <w:left w:val="nil"/>
              <w:bottom w:val="single" w:sz="4" w:space="0" w:color="auto"/>
              <w:right w:val="nil"/>
            </w:tcBorders>
            <w:noWrap/>
            <w:vAlign w:val="center"/>
            <w:hideMark/>
          </w:tcPr>
          <w:p w14:paraId="21204CA7" w14:textId="77777777" w:rsidR="00992DD8" w:rsidRPr="00C16361" w:rsidRDefault="00992DD8" w:rsidP="0019064B">
            <w:pPr>
              <w:spacing w:after="0" w:line="240" w:lineRule="auto"/>
              <w:jc w:val="center"/>
              <w:rPr>
                <w:b/>
                <w:bCs/>
                <w:sz w:val="18"/>
                <w:szCs w:val="18"/>
                <w:lang w:eastAsia="sk-SK"/>
              </w:rPr>
            </w:pPr>
            <w:r w:rsidRPr="00C16361">
              <w:rPr>
                <w:b/>
                <w:bCs/>
                <w:sz w:val="18"/>
                <w:szCs w:val="18"/>
              </w:rPr>
              <w:t>3</w:t>
            </w:r>
          </w:p>
        </w:tc>
        <w:tc>
          <w:tcPr>
            <w:tcW w:w="483" w:type="pct"/>
            <w:gridSpan w:val="3"/>
            <w:tcBorders>
              <w:top w:val="nil"/>
              <w:left w:val="nil"/>
              <w:bottom w:val="single" w:sz="4" w:space="0" w:color="auto"/>
              <w:right w:val="nil"/>
            </w:tcBorders>
            <w:noWrap/>
            <w:vAlign w:val="center"/>
            <w:hideMark/>
          </w:tcPr>
          <w:p w14:paraId="6F296281" w14:textId="77777777" w:rsidR="00992DD8" w:rsidRPr="00C16361" w:rsidRDefault="00992DD8" w:rsidP="0019064B">
            <w:pPr>
              <w:spacing w:after="0" w:line="240" w:lineRule="auto"/>
              <w:jc w:val="center"/>
              <w:rPr>
                <w:b/>
                <w:bCs/>
                <w:sz w:val="18"/>
                <w:szCs w:val="18"/>
                <w:lang w:eastAsia="sk-SK"/>
              </w:rPr>
            </w:pPr>
            <w:r w:rsidRPr="00C16361">
              <w:rPr>
                <w:b/>
                <w:bCs/>
                <w:sz w:val="18"/>
                <w:szCs w:val="18"/>
              </w:rPr>
              <w:t>4</w:t>
            </w:r>
          </w:p>
        </w:tc>
        <w:tc>
          <w:tcPr>
            <w:tcW w:w="547" w:type="pct"/>
            <w:gridSpan w:val="3"/>
            <w:tcBorders>
              <w:top w:val="nil"/>
              <w:left w:val="nil"/>
              <w:bottom w:val="single" w:sz="4" w:space="0" w:color="auto"/>
              <w:right w:val="nil"/>
            </w:tcBorders>
            <w:noWrap/>
            <w:vAlign w:val="center"/>
            <w:hideMark/>
          </w:tcPr>
          <w:p w14:paraId="21B4E5C7" w14:textId="77777777" w:rsidR="00992DD8" w:rsidRPr="00C16361" w:rsidRDefault="00992DD8" w:rsidP="0019064B">
            <w:pPr>
              <w:spacing w:after="0" w:line="240" w:lineRule="auto"/>
              <w:jc w:val="center"/>
              <w:rPr>
                <w:b/>
                <w:bCs/>
                <w:sz w:val="18"/>
                <w:szCs w:val="18"/>
                <w:lang w:eastAsia="sk-SK"/>
              </w:rPr>
            </w:pPr>
            <w:r w:rsidRPr="00C16361">
              <w:rPr>
                <w:b/>
                <w:bCs/>
                <w:sz w:val="18"/>
                <w:szCs w:val="18"/>
              </w:rPr>
              <w:t>5=3-2</w:t>
            </w:r>
          </w:p>
        </w:tc>
        <w:tc>
          <w:tcPr>
            <w:tcW w:w="449" w:type="pct"/>
            <w:gridSpan w:val="2"/>
            <w:tcBorders>
              <w:top w:val="nil"/>
              <w:left w:val="nil"/>
              <w:bottom w:val="single" w:sz="4" w:space="0" w:color="auto"/>
              <w:right w:val="nil"/>
            </w:tcBorders>
            <w:noWrap/>
            <w:vAlign w:val="center"/>
            <w:hideMark/>
          </w:tcPr>
          <w:p w14:paraId="33DFC0F6" w14:textId="77777777" w:rsidR="00992DD8" w:rsidRPr="00C16361" w:rsidRDefault="00992DD8" w:rsidP="0019064B">
            <w:pPr>
              <w:spacing w:after="0" w:line="240" w:lineRule="auto"/>
              <w:jc w:val="center"/>
              <w:rPr>
                <w:b/>
                <w:bCs/>
                <w:sz w:val="18"/>
                <w:szCs w:val="18"/>
                <w:lang w:eastAsia="sk-SK"/>
              </w:rPr>
            </w:pPr>
            <w:r w:rsidRPr="00C16361">
              <w:rPr>
                <w:b/>
                <w:bCs/>
                <w:sz w:val="18"/>
                <w:szCs w:val="18"/>
              </w:rPr>
              <w:t>6=3-4</w:t>
            </w:r>
          </w:p>
        </w:tc>
      </w:tr>
      <w:tr w:rsidR="00197095" w:rsidRPr="00C16361" w14:paraId="2EDB2B99" w14:textId="77777777" w:rsidTr="00A17BD9">
        <w:trPr>
          <w:gridAfter w:val="1"/>
          <w:wAfter w:w="28" w:type="pct"/>
          <w:trHeight w:val="257"/>
        </w:trPr>
        <w:tc>
          <w:tcPr>
            <w:tcW w:w="2001" w:type="pct"/>
            <w:gridSpan w:val="4"/>
            <w:tcBorders>
              <w:top w:val="nil"/>
              <w:left w:val="nil"/>
              <w:bottom w:val="nil"/>
              <w:right w:val="nil"/>
            </w:tcBorders>
            <w:shd w:val="clear" w:color="000000" w:fill="FFFFFF"/>
            <w:noWrap/>
            <w:vAlign w:val="center"/>
            <w:hideMark/>
          </w:tcPr>
          <w:p w14:paraId="05CDBFAF" w14:textId="77777777" w:rsidR="00197095" w:rsidRPr="00C16361" w:rsidRDefault="00197095" w:rsidP="00197095">
            <w:pPr>
              <w:spacing w:after="0" w:line="240" w:lineRule="auto"/>
              <w:rPr>
                <w:b/>
                <w:bCs/>
                <w:color w:val="000000"/>
                <w:sz w:val="18"/>
                <w:szCs w:val="18"/>
                <w:lang w:eastAsia="sk-SK"/>
              </w:rPr>
            </w:pPr>
            <w:r w:rsidRPr="00C16361">
              <w:rPr>
                <w:b/>
                <w:bCs/>
                <w:color w:val="000000"/>
                <w:sz w:val="18"/>
                <w:szCs w:val="18"/>
                <w:lang w:eastAsia="sk-SK"/>
              </w:rPr>
              <w:t>Ústredná správa, z toho</w:t>
            </w:r>
          </w:p>
        </w:tc>
        <w:tc>
          <w:tcPr>
            <w:tcW w:w="498" w:type="pct"/>
            <w:gridSpan w:val="3"/>
            <w:tcBorders>
              <w:top w:val="nil"/>
              <w:left w:val="nil"/>
              <w:bottom w:val="nil"/>
              <w:right w:val="nil"/>
            </w:tcBorders>
            <w:shd w:val="clear" w:color="000000" w:fill="FFFFFF"/>
            <w:noWrap/>
            <w:vAlign w:val="center"/>
            <w:hideMark/>
          </w:tcPr>
          <w:p w14:paraId="413F5106" w14:textId="07E8760B" w:rsidR="00197095" w:rsidRPr="00C16361" w:rsidRDefault="00197095" w:rsidP="00197095">
            <w:pPr>
              <w:spacing w:after="0" w:line="240" w:lineRule="auto"/>
              <w:jc w:val="right"/>
              <w:rPr>
                <w:b/>
                <w:bCs/>
                <w:sz w:val="18"/>
                <w:szCs w:val="18"/>
                <w:lang w:eastAsia="sk-SK"/>
              </w:rPr>
            </w:pPr>
            <w:r>
              <w:rPr>
                <w:b/>
                <w:bCs/>
                <w:sz w:val="18"/>
                <w:szCs w:val="18"/>
              </w:rPr>
              <w:t>-1 502 07</w:t>
            </w:r>
            <w:r w:rsidR="007E182D">
              <w:rPr>
                <w:b/>
                <w:bCs/>
                <w:sz w:val="18"/>
                <w:szCs w:val="18"/>
              </w:rPr>
              <w:t>6</w:t>
            </w:r>
          </w:p>
        </w:tc>
        <w:tc>
          <w:tcPr>
            <w:tcW w:w="492" w:type="pct"/>
            <w:gridSpan w:val="3"/>
            <w:tcBorders>
              <w:top w:val="nil"/>
              <w:left w:val="nil"/>
              <w:bottom w:val="nil"/>
              <w:right w:val="nil"/>
            </w:tcBorders>
            <w:shd w:val="clear" w:color="000000" w:fill="FFFFFF"/>
            <w:noWrap/>
            <w:vAlign w:val="center"/>
            <w:hideMark/>
          </w:tcPr>
          <w:p w14:paraId="351432B7" w14:textId="48FC4D30" w:rsidR="00197095" w:rsidRPr="00C16361" w:rsidRDefault="00197095" w:rsidP="00197095">
            <w:pPr>
              <w:spacing w:after="0" w:line="240" w:lineRule="auto"/>
              <w:jc w:val="right"/>
              <w:rPr>
                <w:b/>
                <w:bCs/>
                <w:sz w:val="18"/>
                <w:szCs w:val="18"/>
                <w:lang w:eastAsia="sk-SK"/>
              </w:rPr>
            </w:pPr>
            <w:r>
              <w:rPr>
                <w:b/>
                <w:bCs/>
                <w:sz w:val="18"/>
                <w:szCs w:val="18"/>
              </w:rPr>
              <w:t>-6 899 3</w:t>
            </w:r>
            <w:r w:rsidR="003F612E">
              <w:rPr>
                <w:b/>
                <w:bCs/>
                <w:sz w:val="18"/>
                <w:szCs w:val="18"/>
              </w:rPr>
              <w:t>10</w:t>
            </w:r>
          </w:p>
        </w:tc>
        <w:tc>
          <w:tcPr>
            <w:tcW w:w="493" w:type="pct"/>
            <w:gridSpan w:val="4"/>
            <w:tcBorders>
              <w:top w:val="nil"/>
              <w:left w:val="nil"/>
              <w:bottom w:val="nil"/>
              <w:right w:val="nil"/>
            </w:tcBorders>
            <w:shd w:val="clear" w:color="000000" w:fill="FFFFFF"/>
            <w:noWrap/>
            <w:vAlign w:val="center"/>
            <w:hideMark/>
          </w:tcPr>
          <w:p w14:paraId="62EA60A8" w14:textId="68A08EC6" w:rsidR="00197095" w:rsidRPr="00C16361" w:rsidRDefault="00197095" w:rsidP="00197095">
            <w:pPr>
              <w:spacing w:after="0" w:line="240" w:lineRule="auto"/>
              <w:jc w:val="right"/>
              <w:rPr>
                <w:b/>
                <w:bCs/>
                <w:sz w:val="18"/>
                <w:szCs w:val="18"/>
                <w:lang w:eastAsia="sk-SK"/>
              </w:rPr>
            </w:pPr>
            <w:r>
              <w:rPr>
                <w:b/>
                <w:bCs/>
                <w:sz w:val="18"/>
                <w:szCs w:val="18"/>
              </w:rPr>
              <w:t>-7 402 852</w:t>
            </w:r>
          </w:p>
        </w:tc>
        <w:tc>
          <w:tcPr>
            <w:tcW w:w="493" w:type="pct"/>
            <w:gridSpan w:val="3"/>
            <w:tcBorders>
              <w:top w:val="nil"/>
              <w:left w:val="nil"/>
              <w:bottom w:val="nil"/>
              <w:right w:val="nil"/>
            </w:tcBorders>
            <w:shd w:val="clear" w:color="000000" w:fill="FFFFFF"/>
            <w:noWrap/>
            <w:vAlign w:val="center"/>
            <w:hideMark/>
          </w:tcPr>
          <w:p w14:paraId="548B067D" w14:textId="6EE630B2" w:rsidR="00197095" w:rsidRPr="00C16361" w:rsidRDefault="00197095" w:rsidP="00197095">
            <w:pPr>
              <w:spacing w:after="0" w:line="240" w:lineRule="auto"/>
              <w:jc w:val="right"/>
              <w:rPr>
                <w:b/>
                <w:bCs/>
                <w:sz w:val="18"/>
                <w:szCs w:val="18"/>
                <w:lang w:eastAsia="sk-SK"/>
              </w:rPr>
            </w:pPr>
            <w:r>
              <w:rPr>
                <w:b/>
                <w:bCs/>
                <w:sz w:val="18"/>
                <w:szCs w:val="18"/>
              </w:rPr>
              <w:t>-7 745 297</w:t>
            </w:r>
          </w:p>
        </w:tc>
        <w:tc>
          <w:tcPr>
            <w:tcW w:w="531" w:type="pct"/>
            <w:gridSpan w:val="3"/>
            <w:tcBorders>
              <w:top w:val="nil"/>
              <w:left w:val="nil"/>
              <w:bottom w:val="nil"/>
              <w:right w:val="nil"/>
            </w:tcBorders>
            <w:shd w:val="clear" w:color="000000" w:fill="FFFFFF"/>
            <w:noWrap/>
            <w:vAlign w:val="center"/>
            <w:hideMark/>
          </w:tcPr>
          <w:p w14:paraId="7484D41B" w14:textId="6F7A5A67" w:rsidR="00197095" w:rsidRPr="00C16361" w:rsidRDefault="00197095" w:rsidP="00197095">
            <w:pPr>
              <w:spacing w:after="0" w:line="240" w:lineRule="auto"/>
              <w:jc w:val="right"/>
              <w:rPr>
                <w:b/>
                <w:bCs/>
                <w:sz w:val="18"/>
                <w:szCs w:val="18"/>
                <w:lang w:eastAsia="sk-SK"/>
              </w:rPr>
            </w:pPr>
            <w:r>
              <w:rPr>
                <w:b/>
                <w:bCs/>
                <w:sz w:val="18"/>
                <w:szCs w:val="18"/>
              </w:rPr>
              <w:t>-503 54</w:t>
            </w:r>
            <w:r w:rsidR="003F612E">
              <w:rPr>
                <w:b/>
                <w:bCs/>
                <w:sz w:val="18"/>
                <w:szCs w:val="18"/>
              </w:rPr>
              <w:t>2</w:t>
            </w:r>
          </w:p>
        </w:tc>
        <w:tc>
          <w:tcPr>
            <w:tcW w:w="463" w:type="pct"/>
            <w:gridSpan w:val="2"/>
            <w:tcBorders>
              <w:top w:val="nil"/>
              <w:left w:val="nil"/>
              <w:bottom w:val="nil"/>
              <w:right w:val="nil"/>
            </w:tcBorders>
            <w:shd w:val="clear" w:color="000000" w:fill="FFFFFF"/>
            <w:noWrap/>
            <w:vAlign w:val="center"/>
            <w:hideMark/>
          </w:tcPr>
          <w:p w14:paraId="26CA02D3" w14:textId="2390F38B" w:rsidR="00197095" w:rsidRPr="00C16361" w:rsidRDefault="00197095" w:rsidP="00CC6C7B">
            <w:pPr>
              <w:tabs>
                <w:tab w:val="left" w:pos="555"/>
              </w:tabs>
              <w:spacing w:after="0" w:line="240" w:lineRule="auto"/>
              <w:jc w:val="right"/>
              <w:rPr>
                <w:b/>
                <w:bCs/>
                <w:sz w:val="18"/>
                <w:szCs w:val="18"/>
                <w:lang w:eastAsia="sk-SK"/>
              </w:rPr>
            </w:pPr>
            <w:r>
              <w:rPr>
                <w:b/>
                <w:bCs/>
                <w:sz w:val="18"/>
                <w:szCs w:val="18"/>
              </w:rPr>
              <w:t>342 445</w:t>
            </w:r>
          </w:p>
        </w:tc>
      </w:tr>
      <w:tr w:rsidR="00FF2F00" w:rsidRPr="00C16361" w14:paraId="6D7FC8C2" w14:textId="77777777" w:rsidTr="00A14578">
        <w:trPr>
          <w:gridAfter w:val="1"/>
          <w:wAfter w:w="28" w:type="pct"/>
          <w:trHeight w:val="273"/>
        </w:trPr>
        <w:tc>
          <w:tcPr>
            <w:tcW w:w="100" w:type="pct"/>
            <w:tcBorders>
              <w:top w:val="nil"/>
              <w:left w:val="nil"/>
              <w:bottom w:val="nil"/>
              <w:right w:val="nil"/>
            </w:tcBorders>
            <w:shd w:val="clear" w:color="000000" w:fill="FFFFFF"/>
            <w:noWrap/>
            <w:vAlign w:val="center"/>
            <w:hideMark/>
          </w:tcPr>
          <w:p w14:paraId="29246958" w14:textId="77777777" w:rsidR="00197095" w:rsidRPr="00C16361" w:rsidRDefault="00197095" w:rsidP="00197095">
            <w:pPr>
              <w:spacing w:after="0" w:line="240" w:lineRule="auto"/>
              <w:jc w:val="right"/>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74EA29DC" w14:textId="77777777" w:rsidR="00197095" w:rsidRPr="00C16361" w:rsidRDefault="00197095" w:rsidP="00197095">
            <w:pPr>
              <w:spacing w:after="0" w:line="240" w:lineRule="auto"/>
              <w:rPr>
                <w:sz w:val="18"/>
                <w:szCs w:val="18"/>
                <w:lang w:eastAsia="sk-SK"/>
              </w:rPr>
            </w:pPr>
            <w:r w:rsidRPr="00C16361">
              <w:rPr>
                <w:sz w:val="18"/>
                <w:szCs w:val="18"/>
                <w:lang w:eastAsia="sk-SK"/>
              </w:rPr>
              <w:t>Štátny rozpočet</w:t>
            </w:r>
            <w:r w:rsidRPr="00C16361">
              <w:rPr>
                <w:sz w:val="18"/>
                <w:szCs w:val="18"/>
                <w:vertAlign w:val="superscript"/>
                <w:lang w:eastAsia="sk-SK"/>
              </w:rPr>
              <w:t>1)</w:t>
            </w:r>
          </w:p>
        </w:tc>
        <w:tc>
          <w:tcPr>
            <w:tcW w:w="498" w:type="pct"/>
            <w:gridSpan w:val="3"/>
            <w:tcBorders>
              <w:top w:val="nil"/>
              <w:left w:val="nil"/>
              <w:bottom w:val="nil"/>
              <w:right w:val="nil"/>
            </w:tcBorders>
            <w:shd w:val="clear" w:color="000000" w:fill="FFFFFF"/>
            <w:noWrap/>
            <w:vAlign w:val="center"/>
            <w:hideMark/>
          </w:tcPr>
          <w:p w14:paraId="5654D568" w14:textId="6E4AD8D8" w:rsidR="00197095" w:rsidRPr="00C16361" w:rsidRDefault="00197095" w:rsidP="00197095">
            <w:pPr>
              <w:spacing w:after="0" w:line="240" w:lineRule="auto"/>
              <w:jc w:val="right"/>
              <w:rPr>
                <w:sz w:val="18"/>
                <w:szCs w:val="18"/>
                <w:lang w:eastAsia="sk-SK"/>
              </w:rPr>
            </w:pPr>
            <w:r>
              <w:rPr>
                <w:sz w:val="18"/>
                <w:szCs w:val="18"/>
              </w:rPr>
              <w:t>-2 305 31</w:t>
            </w:r>
            <w:r w:rsidR="007E182D">
              <w:rPr>
                <w:sz w:val="18"/>
                <w:szCs w:val="18"/>
              </w:rPr>
              <w:t>6</w:t>
            </w:r>
          </w:p>
        </w:tc>
        <w:tc>
          <w:tcPr>
            <w:tcW w:w="492" w:type="pct"/>
            <w:gridSpan w:val="3"/>
            <w:tcBorders>
              <w:top w:val="nil"/>
              <w:left w:val="nil"/>
              <w:bottom w:val="nil"/>
              <w:right w:val="nil"/>
            </w:tcBorders>
            <w:shd w:val="clear" w:color="000000" w:fill="FFFFFF"/>
            <w:noWrap/>
            <w:vAlign w:val="center"/>
            <w:hideMark/>
          </w:tcPr>
          <w:p w14:paraId="0F8BD39F" w14:textId="14671036" w:rsidR="00197095" w:rsidRPr="00C16361" w:rsidRDefault="00197095" w:rsidP="00197095">
            <w:pPr>
              <w:spacing w:after="0" w:line="240" w:lineRule="auto"/>
              <w:jc w:val="right"/>
              <w:rPr>
                <w:sz w:val="18"/>
                <w:szCs w:val="18"/>
                <w:lang w:eastAsia="sk-SK"/>
              </w:rPr>
            </w:pPr>
            <w:r>
              <w:rPr>
                <w:sz w:val="18"/>
                <w:szCs w:val="18"/>
              </w:rPr>
              <w:t>-7 128 15</w:t>
            </w:r>
            <w:r w:rsidR="003F612E">
              <w:rPr>
                <w:sz w:val="18"/>
                <w:szCs w:val="18"/>
              </w:rPr>
              <w:t>2</w:t>
            </w:r>
          </w:p>
        </w:tc>
        <w:tc>
          <w:tcPr>
            <w:tcW w:w="493" w:type="pct"/>
            <w:gridSpan w:val="4"/>
            <w:tcBorders>
              <w:top w:val="nil"/>
              <w:left w:val="nil"/>
              <w:bottom w:val="nil"/>
              <w:right w:val="nil"/>
            </w:tcBorders>
            <w:shd w:val="clear" w:color="000000" w:fill="FFFFFF"/>
            <w:noWrap/>
            <w:vAlign w:val="center"/>
            <w:hideMark/>
          </w:tcPr>
          <w:p w14:paraId="02423044" w14:textId="518CD19D" w:rsidR="00197095" w:rsidRPr="00C16361" w:rsidRDefault="00197095" w:rsidP="00197095">
            <w:pPr>
              <w:spacing w:after="0" w:line="240" w:lineRule="auto"/>
              <w:jc w:val="right"/>
              <w:rPr>
                <w:sz w:val="18"/>
                <w:szCs w:val="18"/>
                <w:lang w:eastAsia="sk-SK"/>
              </w:rPr>
            </w:pPr>
            <w:r>
              <w:rPr>
                <w:sz w:val="18"/>
                <w:szCs w:val="18"/>
              </w:rPr>
              <w:t>-8 085 244</w:t>
            </w:r>
          </w:p>
        </w:tc>
        <w:tc>
          <w:tcPr>
            <w:tcW w:w="493" w:type="pct"/>
            <w:gridSpan w:val="3"/>
            <w:tcBorders>
              <w:top w:val="nil"/>
              <w:left w:val="nil"/>
              <w:bottom w:val="nil"/>
              <w:right w:val="nil"/>
            </w:tcBorders>
            <w:shd w:val="clear" w:color="000000" w:fill="FFFFFF"/>
            <w:noWrap/>
            <w:vAlign w:val="center"/>
            <w:hideMark/>
          </w:tcPr>
          <w:p w14:paraId="40424857" w14:textId="4D2E7D44" w:rsidR="00197095" w:rsidRPr="00C16361" w:rsidRDefault="00197095" w:rsidP="00197095">
            <w:pPr>
              <w:spacing w:after="0" w:line="240" w:lineRule="auto"/>
              <w:jc w:val="right"/>
              <w:rPr>
                <w:sz w:val="18"/>
                <w:szCs w:val="18"/>
                <w:lang w:eastAsia="sk-SK"/>
              </w:rPr>
            </w:pPr>
            <w:r>
              <w:rPr>
                <w:sz w:val="18"/>
                <w:szCs w:val="18"/>
              </w:rPr>
              <w:t>-7 749 488</w:t>
            </w:r>
          </w:p>
        </w:tc>
        <w:tc>
          <w:tcPr>
            <w:tcW w:w="531" w:type="pct"/>
            <w:gridSpan w:val="3"/>
            <w:tcBorders>
              <w:top w:val="nil"/>
              <w:left w:val="nil"/>
              <w:bottom w:val="nil"/>
              <w:right w:val="nil"/>
            </w:tcBorders>
            <w:shd w:val="clear" w:color="000000" w:fill="FFFFFF"/>
            <w:noWrap/>
            <w:vAlign w:val="center"/>
            <w:hideMark/>
          </w:tcPr>
          <w:p w14:paraId="49DE0ED1" w14:textId="2ECEBE93" w:rsidR="00197095" w:rsidRPr="00C16361" w:rsidRDefault="00197095" w:rsidP="00197095">
            <w:pPr>
              <w:spacing w:after="0" w:line="240" w:lineRule="auto"/>
              <w:jc w:val="right"/>
              <w:rPr>
                <w:sz w:val="18"/>
                <w:szCs w:val="18"/>
                <w:lang w:eastAsia="sk-SK"/>
              </w:rPr>
            </w:pPr>
            <w:r>
              <w:rPr>
                <w:sz w:val="18"/>
                <w:szCs w:val="18"/>
              </w:rPr>
              <w:t>-957 09</w:t>
            </w:r>
            <w:r w:rsidR="003F612E">
              <w:rPr>
                <w:sz w:val="18"/>
                <w:szCs w:val="18"/>
              </w:rPr>
              <w:t>2</w:t>
            </w:r>
          </w:p>
        </w:tc>
        <w:tc>
          <w:tcPr>
            <w:tcW w:w="463" w:type="pct"/>
            <w:gridSpan w:val="2"/>
            <w:tcBorders>
              <w:top w:val="nil"/>
              <w:left w:val="nil"/>
              <w:bottom w:val="nil"/>
              <w:right w:val="nil"/>
            </w:tcBorders>
            <w:shd w:val="clear" w:color="000000" w:fill="FFFFFF"/>
            <w:noWrap/>
            <w:vAlign w:val="center"/>
            <w:hideMark/>
          </w:tcPr>
          <w:p w14:paraId="66EB5744" w14:textId="3210C11D" w:rsidR="00197095" w:rsidRPr="00C16361" w:rsidRDefault="00197095" w:rsidP="00CC6C7B">
            <w:pPr>
              <w:tabs>
                <w:tab w:val="left" w:pos="555"/>
              </w:tabs>
              <w:spacing w:after="0" w:line="240" w:lineRule="auto"/>
              <w:jc w:val="right"/>
              <w:rPr>
                <w:sz w:val="18"/>
                <w:szCs w:val="18"/>
                <w:lang w:eastAsia="sk-SK"/>
              </w:rPr>
            </w:pPr>
            <w:r>
              <w:rPr>
                <w:sz w:val="18"/>
                <w:szCs w:val="18"/>
              </w:rPr>
              <w:t>-335 756</w:t>
            </w:r>
          </w:p>
        </w:tc>
      </w:tr>
      <w:tr w:rsidR="00FF2F00" w:rsidRPr="00C16361" w14:paraId="7D7F18FD"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5A459A62" w14:textId="77777777" w:rsidR="00197095" w:rsidRPr="00C16361" w:rsidRDefault="00197095" w:rsidP="00197095">
            <w:pPr>
              <w:spacing w:after="0" w:line="240" w:lineRule="auto"/>
              <w:jc w:val="right"/>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3B408E9F" w14:textId="77777777" w:rsidR="00197095" w:rsidRPr="00C16361" w:rsidRDefault="00197095" w:rsidP="00197095">
            <w:pPr>
              <w:spacing w:after="0" w:line="240" w:lineRule="auto"/>
              <w:rPr>
                <w:sz w:val="18"/>
                <w:szCs w:val="18"/>
                <w:lang w:eastAsia="sk-SK"/>
              </w:rPr>
            </w:pPr>
            <w:r w:rsidRPr="00C16361">
              <w:rPr>
                <w:sz w:val="18"/>
                <w:szCs w:val="18"/>
                <w:lang w:eastAsia="sk-SK"/>
              </w:rPr>
              <w:t>Príspevkové organizácie ústrednej správy</w:t>
            </w:r>
          </w:p>
        </w:tc>
        <w:tc>
          <w:tcPr>
            <w:tcW w:w="498" w:type="pct"/>
            <w:gridSpan w:val="3"/>
            <w:tcBorders>
              <w:top w:val="nil"/>
              <w:left w:val="nil"/>
              <w:bottom w:val="nil"/>
              <w:right w:val="nil"/>
            </w:tcBorders>
            <w:shd w:val="clear" w:color="000000" w:fill="FFFFFF"/>
            <w:noWrap/>
            <w:vAlign w:val="center"/>
            <w:hideMark/>
          </w:tcPr>
          <w:p w14:paraId="36AC4E9E" w14:textId="07C48FE5" w:rsidR="00197095" w:rsidRPr="00C16361" w:rsidRDefault="00197095" w:rsidP="00197095">
            <w:pPr>
              <w:spacing w:after="0" w:line="240" w:lineRule="auto"/>
              <w:jc w:val="right"/>
              <w:rPr>
                <w:sz w:val="18"/>
                <w:szCs w:val="18"/>
                <w:lang w:eastAsia="sk-SK"/>
              </w:rPr>
            </w:pPr>
            <w:r>
              <w:rPr>
                <w:sz w:val="18"/>
                <w:szCs w:val="18"/>
              </w:rPr>
              <w:t>44 011</w:t>
            </w:r>
          </w:p>
        </w:tc>
        <w:tc>
          <w:tcPr>
            <w:tcW w:w="492" w:type="pct"/>
            <w:gridSpan w:val="3"/>
            <w:tcBorders>
              <w:top w:val="nil"/>
              <w:left w:val="nil"/>
              <w:bottom w:val="nil"/>
              <w:right w:val="nil"/>
            </w:tcBorders>
            <w:shd w:val="clear" w:color="000000" w:fill="FFFFFF"/>
            <w:noWrap/>
            <w:vAlign w:val="center"/>
            <w:hideMark/>
          </w:tcPr>
          <w:p w14:paraId="0B50C99C" w14:textId="5E248802" w:rsidR="00197095" w:rsidRPr="00C16361" w:rsidRDefault="00197095" w:rsidP="00197095">
            <w:pPr>
              <w:spacing w:after="0" w:line="240" w:lineRule="auto"/>
              <w:jc w:val="right"/>
              <w:rPr>
                <w:sz w:val="18"/>
                <w:szCs w:val="18"/>
                <w:lang w:eastAsia="sk-SK"/>
              </w:rPr>
            </w:pPr>
            <w:r>
              <w:rPr>
                <w:sz w:val="18"/>
                <w:szCs w:val="18"/>
              </w:rPr>
              <w:t>-2 013</w:t>
            </w:r>
          </w:p>
        </w:tc>
        <w:tc>
          <w:tcPr>
            <w:tcW w:w="493" w:type="pct"/>
            <w:gridSpan w:val="4"/>
            <w:tcBorders>
              <w:top w:val="nil"/>
              <w:left w:val="nil"/>
              <w:bottom w:val="nil"/>
              <w:right w:val="nil"/>
            </w:tcBorders>
            <w:shd w:val="clear" w:color="000000" w:fill="FFFFFF"/>
            <w:noWrap/>
            <w:vAlign w:val="center"/>
            <w:hideMark/>
          </w:tcPr>
          <w:p w14:paraId="355320B7" w14:textId="3DB84171" w:rsidR="00197095" w:rsidRPr="00C16361" w:rsidRDefault="00197095" w:rsidP="00197095">
            <w:pPr>
              <w:spacing w:after="0" w:line="240" w:lineRule="auto"/>
              <w:jc w:val="right"/>
              <w:rPr>
                <w:sz w:val="18"/>
                <w:szCs w:val="18"/>
                <w:lang w:eastAsia="sk-SK"/>
              </w:rPr>
            </w:pPr>
            <w:r>
              <w:rPr>
                <w:sz w:val="18"/>
                <w:szCs w:val="18"/>
              </w:rPr>
              <w:t>18 018</w:t>
            </w:r>
          </w:p>
        </w:tc>
        <w:tc>
          <w:tcPr>
            <w:tcW w:w="493" w:type="pct"/>
            <w:gridSpan w:val="3"/>
            <w:tcBorders>
              <w:top w:val="nil"/>
              <w:left w:val="nil"/>
              <w:bottom w:val="nil"/>
              <w:right w:val="nil"/>
            </w:tcBorders>
            <w:shd w:val="clear" w:color="000000" w:fill="FFFFFF"/>
            <w:noWrap/>
            <w:vAlign w:val="center"/>
            <w:hideMark/>
          </w:tcPr>
          <w:p w14:paraId="511AEB6A" w14:textId="5EB47DDA" w:rsidR="00197095" w:rsidRPr="00C16361" w:rsidRDefault="00197095" w:rsidP="00197095">
            <w:pPr>
              <w:spacing w:after="0" w:line="240" w:lineRule="auto"/>
              <w:jc w:val="right"/>
              <w:rPr>
                <w:sz w:val="18"/>
                <w:szCs w:val="18"/>
                <w:lang w:eastAsia="sk-SK"/>
              </w:rPr>
            </w:pPr>
            <w:r>
              <w:rPr>
                <w:sz w:val="18"/>
                <w:szCs w:val="18"/>
              </w:rPr>
              <w:t>-4 567</w:t>
            </w:r>
          </w:p>
        </w:tc>
        <w:tc>
          <w:tcPr>
            <w:tcW w:w="531" w:type="pct"/>
            <w:gridSpan w:val="3"/>
            <w:tcBorders>
              <w:top w:val="nil"/>
              <w:left w:val="nil"/>
              <w:bottom w:val="nil"/>
              <w:right w:val="nil"/>
            </w:tcBorders>
            <w:shd w:val="clear" w:color="000000" w:fill="FFFFFF"/>
            <w:noWrap/>
            <w:vAlign w:val="center"/>
            <w:hideMark/>
          </w:tcPr>
          <w:p w14:paraId="10C620AC" w14:textId="1B464197" w:rsidR="00197095" w:rsidRPr="00C16361" w:rsidRDefault="00197095" w:rsidP="00197095">
            <w:pPr>
              <w:spacing w:after="0" w:line="240" w:lineRule="auto"/>
              <w:jc w:val="right"/>
              <w:rPr>
                <w:sz w:val="18"/>
                <w:szCs w:val="18"/>
                <w:lang w:eastAsia="sk-SK"/>
              </w:rPr>
            </w:pPr>
            <w:r>
              <w:rPr>
                <w:sz w:val="18"/>
                <w:szCs w:val="18"/>
              </w:rPr>
              <w:t>20 031</w:t>
            </w:r>
          </w:p>
        </w:tc>
        <w:tc>
          <w:tcPr>
            <w:tcW w:w="463" w:type="pct"/>
            <w:gridSpan w:val="2"/>
            <w:tcBorders>
              <w:top w:val="nil"/>
              <w:left w:val="nil"/>
              <w:bottom w:val="nil"/>
              <w:right w:val="nil"/>
            </w:tcBorders>
            <w:shd w:val="clear" w:color="000000" w:fill="FFFFFF"/>
            <w:noWrap/>
            <w:vAlign w:val="center"/>
            <w:hideMark/>
          </w:tcPr>
          <w:p w14:paraId="1BE00DD3" w14:textId="7F9258C2" w:rsidR="00197095" w:rsidRPr="00C16361" w:rsidRDefault="00197095" w:rsidP="00CC6C7B">
            <w:pPr>
              <w:tabs>
                <w:tab w:val="left" w:pos="555"/>
              </w:tabs>
              <w:spacing w:after="0" w:line="240" w:lineRule="auto"/>
              <w:jc w:val="right"/>
              <w:rPr>
                <w:sz w:val="18"/>
                <w:szCs w:val="18"/>
                <w:lang w:eastAsia="sk-SK"/>
              </w:rPr>
            </w:pPr>
            <w:r>
              <w:rPr>
                <w:sz w:val="18"/>
                <w:szCs w:val="18"/>
              </w:rPr>
              <w:t>22 585</w:t>
            </w:r>
          </w:p>
        </w:tc>
      </w:tr>
      <w:tr w:rsidR="00FF2F00" w:rsidRPr="00C16361" w14:paraId="44D3CCAA"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0FEE8ABD" w14:textId="77777777" w:rsidR="00197095" w:rsidRPr="00C16361" w:rsidRDefault="00197095" w:rsidP="00197095">
            <w:pPr>
              <w:spacing w:after="0" w:line="240" w:lineRule="auto"/>
              <w:jc w:val="right"/>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4D4D2CA2" w14:textId="77777777" w:rsidR="00197095" w:rsidRPr="00C16361" w:rsidRDefault="00197095" w:rsidP="00197095">
            <w:pPr>
              <w:spacing w:after="0" w:line="240" w:lineRule="auto"/>
              <w:rPr>
                <w:sz w:val="18"/>
                <w:szCs w:val="18"/>
                <w:lang w:eastAsia="sk-SK"/>
              </w:rPr>
            </w:pPr>
            <w:r w:rsidRPr="00C16361">
              <w:rPr>
                <w:sz w:val="18"/>
                <w:szCs w:val="18"/>
                <w:lang w:eastAsia="sk-SK"/>
              </w:rPr>
              <w:t>Štátne fondy</w:t>
            </w:r>
          </w:p>
        </w:tc>
        <w:tc>
          <w:tcPr>
            <w:tcW w:w="498" w:type="pct"/>
            <w:gridSpan w:val="3"/>
            <w:tcBorders>
              <w:top w:val="nil"/>
              <w:left w:val="nil"/>
              <w:bottom w:val="nil"/>
              <w:right w:val="nil"/>
            </w:tcBorders>
            <w:shd w:val="clear" w:color="000000" w:fill="FFFFFF"/>
            <w:noWrap/>
            <w:vAlign w:val="center"/>
            <w:hideMark/>
          </w:tcPr>
          <w:p w14:paraId="24B610A1" w14:textId="158480C1" w:rsidR="00197095" w:rsidRPr="00C16361" w:rsidRDefault="00197095" w:rsidP="00197095">
            <w:pPr>
              <w:spacing w:after="0" w:line="240" w:lineRule="auto"/>
              <w:jc w:val="right"/>
              <w:rPr>
                <w:sz w:val="18"/>
                <w:szCs w:val="18"/>
                <w:lang w:eastAsia="sk-SK"/>
              </w:rPr>
            </w:pPr>
            <w:r>
              <w:rPr>
                <w:sz w:val="18"/>
                <w:szCs w:val="18"/>
              </w:rPr>
              <w:t>239 386</w:t>
            </w:r>
          </w:p>
        </w:tc>
        <w:tc>
          <w:tcPr>
            <w:tcW w:w="492" w:type="pct"/>
            <w:gridSpan w:val="3"/>
            <w:tcBorders>
              <w:top w:val="nil"/>
              <w:left w:val="nil"/>
              <w:bottom w:val="nil"/>
              <w:right w:val="nil"/>
            </w:tcBorders>
            <w:shd w:val="clear" w:color="000000" w:fill="FFFFFF"/>
            <w:noWrap/>
            <w:vAlign w:val="center"/>
            <w:hideMark/>
          </w:tcPr>
          <w:p w14:paraId="77A8B8CA" w14:textId="5E78D49F" w:rsidR="00197095" w:rsidRPr="00C16361" w:rsidRDefault="00197095" w:rsidP="00197095">
            <w:pPr>
              <w:spacing w:after="0" w:line="240" w:lineRule="auto"/>
              <w:jc w:val="right"/>
              <w:rPr>
                <w:sz w:val="18"/>
                <w:szCs w:val="18"/>
                <w:lang w:eastAsia="sk-SK"/>
              </w:rPr>
            </w:pPr>
            <w:r>
              <w:rPr>
                <w:sz w:val="18"/>
                <w:szCs w:val="18"/>
              </w:rPr>
              <w:t>263 121</w:t>
            </w:r>
          </w:p>
        </w:tc>
        <w:tc>
          <w:tcPr>
            <w:tcW w:w="493" w:type="pct"/>
            <w:gridSpan w:val="4"/>
            <w:tcBorders>
              <w:top w:val="nil"/>
              <w:left w:val="nil"/>
              <w:bottom w:val="nil"/>
              <w:right w:val="nil"/>
            </w:tcBorders>
            <w:shd w:val="clear" w:color="000000" w:fill="FFFFFF"/>
            <w:noWrap/>
            <w:vAlign w:val="center"/>
            <w:hideMark/>
          </w:tcPr>
          <w:p w14:paraId="1EC62874" w14:textId="77E302F7" w:rsidR="00197095" w:rsidRPr="00C16361" w:rsidRDefault="00197095" w:rsidP="00197095">
            <w:pPr>
              <w:spacing w:after="0" w:line="240" w:lineRule="auto"/>
              <w:jc w:val="right"/>
              <w:rPr>
                <w:sz w:val="18"/>
                <w:szCs w:val="18"/>
                <w:lang w:eastAsia="sk-SK"/>
              </w:rPr>
            </w:pPr>
            <w:r>
              <w:rPr>
                <w:sz w:val="18"/>
                <w:szCs w:val="18"/>
              </w:rPr>
              <w:t>255 244</w:t>
            </w:r>
          </w:p>
        </w:tc>
        <w:tc>
          <w:tcPr>
            <w:tcW w:w="493" w:type="pct"/>
            <w:gridSpan w:val="3"/>
            <w:tcBorders>
              <w:top w:val="nil"/>
              <w:left w:val="nil"/>
              <w:bottom w:val="nil"/>
              <w:right w:val="nil"/>
            </w:tcBorders>
            <w:shd w:val="clear" w:color="000000" w:fill="FFFFFF"/>
            <w:noWrap/>
            <w:vAlign w:val="center"/>
            <w:hideMark/>
          </w:tcPr>
          <w:p w14:paraId="330AA26A" w14:textId="2075EC4B" w:rsidR="00197095" w:rsidRPr="00C16361" w:rsidRDefault="00197095" w:rsidP="00197095">
            <w:pPr>
              <w:spacing w:after="0" w:line="240" w:lineRule="auto"/>
              <w:jc w:val="right"/>
              <w:rPr>
                <w:sz w:val="18"/>
                <w:szCs w:val="18"/>
                <w:lang w:eastAsia="sk-SK"/>
              </w:rPr>
            </w:pPr>
            <w:r>
              <w:rPr>
                <w:sz w:val="18"/>
                <w:szCs w:val="18"/>
              </w:rPr>
              <w:t>271 182</w:t>
            </w:r>
          </w:p>
        </w:tc>
        <w:tc>
          <w:tcPr>
            <w:tcW w:w="531" w:type="pct"/>
            <w:gridSpan w:val="3"/>
            <w:tcBorders>
              <w:top w:val="nil"/>
              <w:left w:val="nil"/>
              <w:bottom w:val="nil"/>
              <w:right w:val="nil"/>
            </w:tcBorders>
            <w:shd w:val="clear" w:color="000000" w:fill="FFFFFF"/>
            <w:noWrap/>
            <w:vAlign w:val="center"/>
            <w:hideMark/>
          </w:tcPr>
          <w:p w14:paraId="3A057FCB" w14:textId="2568EC0A" w:rsidR="00197095" w:rsidRPr="00C16361" w:rsidRDefault="00197095" w:rsidP="00197095">
            <w:pPr>
              <w:spacing w:after="0" w:line="240" w:lineRule="auto"/>
              <w:jc w:val="right"/>
              <w:rPr>
                <w:sz w:val="18"/>
                <w:szCs w:val="18"/>
                <w:lang w:eastAsia="sk-SK"/>
              </w:rPr>
            </w:pPr>
            <w:r>
              <w:rPr>
                <w:sz w:val="18"/>
                <w:szCs w:val="18"/>
              </w:rPr>
              <w:t>-7 877</w:t>
            </w:r>
          </w:p>
        </w:tc>
        <w:tc>
          <w:tcPr>
            <w:tcW w:w="463" w:type="pct"/>
            <w:gridSpan w:val="2"/>
            <w:tcBorders>
              <w:top w:val="nil"/>
              <w:left w:val="nil"/>
              <w:bottom w:val="nil"/>
              <w:right w:val="nil"/>
            </w:tcBorders>
            <w:shd w:val="clear" w:color="000000" w:fill="FFFFFF"/>
            <w:noWrap/>
            <w:vAlign w:val="center"/>
            <w:hideMark/>
          </w:tcPr>
          <w:p w14:paraId="00046CEF" w14:textId="750CAF78" w:rsidR="00197095" w:rsidRPr="00C16361" w:rsidRDefault="00197095" w:rsidP="00CC6C7B">
            <w:pPr>
              <w:tabs>
                <w:tab w:val="left" w:pos="555"/>
              </w:tabs>
              <w:spacing w:after="0" w:line="240" w:lineRule="auto"/>
              <w:jc w:val="right"/>
              <w:rPr>
                <w:sz w:val="18"/>
                <w:szCs w:val="18"/>
                <w:lang w:eastAsia="sk-SK"/>
              </w:rPr>
            </w:pPr>
            <w:r>
              <w:rPr>
                <w:sz w:val="18"/>
                <w:szCs w:val="18"/>
              </w:rPr>
              <w:t>-15 938</w:t>
            </w:r>
          </w:p>
        </w:tc>
      </w:tr>
      <w:tr w:rsidR="00FF2F00" w:rsidRPr="00C16361" w14:paraId="00BEB37F"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0C5F6650" w14:textId="77777777" w:rsidR="00197095" w:rsidRPr="00C16361" w:rsidRDefault="00197095" w:rsidP="00197095">
            <w:pPr>
              <w:spacing w:after="0" w:line="240" w:lineRule="auto"/>
              <w:jc w:val="right"/>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42E4B027" w14:textId="77777777" w:rsidR="00197095" w:rsidRPr="00C16361" w:rsidRDefault="00197095" w:rsidP="00197095">
            <w:pPr>
              <w:spacing w:after="0" w:line="240" w:lineRule="auto"/>
              <w:rPr>
                <w:sz w:val="18"/>
                <w:szCs w:val="18"/>
                <w:lang w:eastAsia="sk-SK"/>
              </w:rPr>
            </w:pPr>
            <w:r w:rsidRPr="00C16361">
              <w:rPr>
                <w:sz w:val="18"/>
                <w:szCs w:val="18"/>
                <w:lang w:eastAsia="sk-SK"/>
              </w:rPr>
              <w:t>Obchodné spoločnosti štátu</w:t>
            </w:r>
          </w:p>
        </w:tc>
        <w:tc>
          <w:tcPr>
            <w:tcW w:w="498" w:type="pct"/>
            <w:gridSpan w:val="3"/>
            <w:tcBorders>
              <w:top w:val="nil"/>
              <w:left w:val="nil"/>
              <w:bottom w:val="nil"/>
              <w:right w:val="nil"/>
            </w:tcBorders>
            <w:shd w:val="clear" w:color="000000" w:fill="FFFFFF"/>
            <w:noWrap/>
            <w:vAlign w:val="center"/>
            <w:hideMark/>
          </w:tcPr>
          <w:p w14:paraId="5A469EA2" w14:textId="6310A2DA" w:rsidR="00197095" w:rsidRPr="00C16361" w:rsidRDefault="00197095" w:rsidP="00197095">
            <w:pPr>
              <w:spacing w:after="0" w:line="240" w:lineRule="auto"/>
              <w:jc w:val="right"/>
              <w:rPr>
                <w:sz w:val="18"/>
                <w:szCs w:val="18"/>
                <w:lang w:eastAsia="sk-SK"/>
              </w:rPr>
            </w:pPr>
            <w:r>
              <w:rPr>
                <w:sz w:val="18"/>
                <w:szCs w:val="18"/>
              </w:rPr>
              <w:t>110 414</w:t>
            </w:r>
          </w:p>
        </w:tc>
        <w:tc>
          <w:tcPr>
            <w:tcW w:w="492" w:type="pct"/>
            <w:gridSpan w:val="3"/>
            <w:tcBorders>
              <w:top w:val="nil"/>
              <w:left w:val="nil"/>
              <w:bottom w:val="nil"/>
              <w:right w:val="nil"/>
            </w:tcBorders>
            <w:shd w:val="clear" w:color="000000" w:fill="FFFFFF"/>
            <w:noWrap/>
            <w:vAlign w:val="center"/>
            <w:hideMark/>
          </w:tcPr>
          <w:p w14:paraId="62409E37" w14:textId="2E62B261" w:rsidR="00197095" w:rsidRPr="00C16361" w:rsidRDefault="00197095" w:rsidP="00197095">
            <w:pPr>
              <w:spacing w:after="0" w:line="240" w:lineRule="auto"/>
              <w:jc w:val="right"/>
              <w:rPr>
                <w:sz w:val="18"/>
                <w:szCs w:val="18"/>
                <w:lang w:eastAsia="sk-SK"/>
              </w:rPr>
            </w:pPr>
            <w:r>
              <w:rPr>
                <w:sz w:val="18"/>
                <w:szCs w:val="18"/>
              </w:rPr>
              <w:t>114 507</w:t>
            </w:r>
          </w:p>
        </w:tc>
        <w:tc>
          <w:tcPr>
            <w:tcW w:w="493" w:type="pct"/>
            <w:gridSpan w:val="4"/>
            <w:tcBorders>
              <w:top w:val="nil"/>
              <w:left w:val="nil"/>
              <w:bottom w:val="nil"/>
              <w:right w:val="nil"/>
            </w:tcBorders>
            <w:shd w:val="clear" w:color="000000" w:fill="FFFFFF"/>
            <w:noWrap/>
            <w:vAlign w:val="center"/>
            <w:hideMark/>
          </w:tcPr>
          <w:p w14:paraId="64029D5D" w14:textId="1A2C9A7E" w:rsidR="00197095" w:rsidRPr="00C16361" w:rsidRDefault="00197095" w:rsidP="00197095">
            <w:pPr>
              <w:spacing w:after="0" w:line="240" w:lineRule="auto"/>
              <w:jc w:val="right"/>
              <w:rPr>
                <w:sz w:val="18"/>
                <w:szCs w:val="18"/>
                <w:lang w:eastAsia="sk-SK"/>
              </w:rPr>
            </w:pPr>
            <w:r>
              <w:rPr>
                <w:sz w:val="18"/>
                <w:szCs w:val="18"/>
              </w:rPr>
              <w:t>167 894</w:t>
            </w:r>
          </w:p>
        </w:tc>
        <w:tc>
          <w:tcPr>
            <w:tcW w:w="493" w:type="pct"/>
            <w:gridSpan w:val="3"/>
            <w:tcBorders>
              <w:top w:val="nil"/>
              <w:left w:val="nil"/>
              <w:bottom w:val="nil"/>
              <w:right w:val="nil"/>
            </w:tcBorders>
            <w:shd w:val="clear" w:color="000000" w:fill="FFFFFF"/>
            <w:noWrap/>
            <w:vAlign w:val="center"/>
            <w:hideMark/>
          </w:tcPr>
          <w:p w14:paraId="535BDC84" w14:textId="0AA3030A" w:rsidR="00197095" w:rsidRPr="00C16361" w:rsidRDefault="00197095" w:rsidP="00197095">
            <w:pPr>
              <w:spacing w:after="0" w:line="240" w:lineRule="auto"/>
              <w:jc w:val="right"/>
              <w:rPr>
                <w:sz w:val="18"/>
                <w:szCs w:val="18"/>
                <w:lang w:eastAsia="sk-SK"/>
              </w:rPr>
            </w:pPr>
            <w:r>
              <w:rPr>
                <w:sz w:val="18"/>
                <w:szCs w:val="18"/>
              </w:rPr>
              <w:t>-162 141</w:t>
            </w:r>
          </w:p>
        </w:tc>
        <w:tc>
          <w:tcPr>
            <w:tcW w:w="531" w:type="pct"/>
            <w:gridSpan w:val="3"/>
            <w:tcBorders>
              <w:top w:val="nil"/>
              <w:left w:val="nil"/>
              <w:bottom w:val="nil"/>
              <w:right w:val="nil"/>
            </w:tcBorders>
            <w:shd w:val="clear" w:color="000000" w:fill="FFFFFF"/>
            <w:noWrap/>
            <w:vAlign w:val="center"/>
            <w:hideMark/>
          </w:tcPr>
          <w:p w14:paraId="062784BB" w14:textId="7D334C7E" w:rsidR="00197095" w:rsidRPr="00C16361" w:rsidRDefault="00197095" w:rsidP="00197095">
            <w:pPr>
              <w:spacing w:after="0" w:line="240" w:lineRule="auto"/>
              <w:jc w:val="right"/>
              <w:rPr>
                <w:sz w:val="18"/>
                <w:szCs w:val="18"/>
                <w:lang w:eastAsia="sk-SK"/>
              </w:rPr>
            </w:pPr>
            <w:r>
              <w:rPr>
                <w:sz w:val="18"/>
                <w:szCs w:val="18"/>
              </w:rPr>
              <w:t>53 387</w:t>
            </w:r>
          </w:p>
        </w:tc>
        <w:tc>
          <w:tcPr>
            <w:tcW w:w="463" w:type="pct"/>
            <w:gridSpan w:val="2"/>
            <w:tcBorders>
              <w:top w:val="nil"/>
              <w:left w:val="nil"/>
              <w:bottom w:val="nil"/>
              <w:right w:val="nil"/>
            </w:tcBorders>
            <w:shd w:val="clear" w:color="000000" w:fill="FFFFFF"/>
            <w:noWrap/>
            <w:vAlign w:val="center"/>
            <w:hideMark/>
          </w:tcPr>
          <w:p w14:paraId="351BA611" w14:textId="112DF5F8" w:rsidR="00197095" w:rsidRPr="00C16361" w:rsidRDefault="00197095" w:rsidP="00CC6C7B">
            <w:pPr>
              <w:tabs>
                <w:tab w:val="left" w:pos="555"/>
              </w:tabs>
              <w:spacing w:after="0" w:line="240" w:lineRule="auto"/>
              <w:jc w:val="right"/>
              <w:rPr>
                <w:sz w:val="18"/>
                <w:szCs w:val="18"/>
                <w:lang w:eastAsia="sk-SK"/>
              </w:rPr>
            </w:pPr>
            <w:r>
              <w:rPr>
                <w:sz w:val="18"/>
                <w:szCs w:val="18"/>
              </w:rPr>
              <w:t>330 035</w:t>
            </w:r>
          </w:p>
        </w:tc>
      </w:tr>
      <w:tr w:rsidR="007970C8" w:rsidRPr="00C16361" w14:paraId="79668BAD" w14:textId="77777777" w:rsidTr="00A17BD9">
        <w:trPr>
          <w:gridAfter w:val="2"/>
          <w:wAfter w:w="449" w:type="pct"/>
          <w:trHeight w:val="257"/>
        </w:trPr>
        <w:tc>
          <w:tcPr>
            <w:tcW w:w="100" w:type="pct"/>
            <w:tcBorders>
              <w:top w:val="nil"/>
              <w:left w:val="nil"/>
              <w:bottom w:val="nil"/>
              <w:right w:val="nil"/>
            </w:tcBorders>
            <w:shd w:val="clear" w:color="000000" w:fill="FFFFFF"/>
            <w:noWrap/>
            <w:vAlign w:val="center"/>
            <w:hideMark/>
          </w:tcPr>
          <w:p w14:paraId="2EF8B008" w14:textId="77777777" w:rsidR="00992DD8" w:rsidRPr="00C16361" w:rsidRDefault="00992DD8" w:rsidP="0019064B">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noWrap/>
            <w:vAlign w:val="bottom"/>
            <w:hideMark/>
          </w:tcPr>
          <w:p w14:paraId="1585F2C9" w14:textId="77777777" w:rsidR="00992DD8" w:rsidRPr="00C16361" w:rsidRDefault="00992DD8" w:rsidP="0019064B">
            <w:pPr>
              <w:spacing w:after="0" w:line="240" w:lineRule="auto"/>
              <w:jc w:val="right"/>
              <w:rPr>
                <w:sz w:val="18"/>
                <w:szCs w:val="18"/>
                <w:lang w:eastAsia="sk-SK"/>
              </w:rPr>
            </w:pPr>
          </w:p>
        </w:tc>
        <w:tc>
          <w:tcPr>
            <w:tcW w:w="1783" w:type="pct"/>
            <w:gridSpan w:val="2"/>
            <w:tcBorders>
              <w:top w:val="nil"/>
              <w:left w:val="nil"/>
              <w:bottom w:val="nil"/>
              <w:right w:val="nil"/>
            </w:tcBorders>
            <w:shd w:val="clear" w:color="000000" w:fill="FFFFFF"/>
            <w:noWrap/>
            <w:vAlign w:val="center"/>
            <w:hideMark/>
          </w:tcPr>
          <w:p w14:paraId="4EBFB9C3" w14:textId="77777777" w:rsidR="00992DD8" w:rsidRPr="00C16361" w:rsidRDefault="00992DD8" w:rsidP="0019064B">
            <w:pPr>
              <w:spacing w:after="0" w:line="240" w:lineRule="auto"/>
              <w:rPr>
                <w:sz w:val="18"/>
                <w:szCs w:val="18"/>
                <w:lang w:eastAsia="sk-SK"/>
              </w:rPr>
            </w:pPr>
            <w:r w:rsidRPr="00C16361">
              <w:rPr>
                <w:sz w:val="18"/>
                <w:szCs w:val="18"/>
                <w:lang w:eastAsia="sk-SK"/>
              </w:rPr>
              <w:t>z toho:</w:t>
            </w:r>
          </w:p>
        </w:tc>
        <w:tc>
          <w:tcPr>
            <w:tcW w:w="455" w:type="pct"/>
            <w:gridSpan w:val="2"/>
            <w:tcBorders>
              <w:top w:val="nil"/>
              <w:left w:val="nil"/>
              <w:bottom w:val="nil"/>
              <w:right w:val="nil"/>
            </w:tcBorders>
            <w:shd w:val="clear" w:color="000000" w:fill="FFFFFF"/>
            <w:noWrap/>
            <w:vAlign w:val="center"/>
          </w:tcPr>
          <w:p w14:paraId="2C463A88" w14:textId="77777777" w:rsidR="00992DD8" w:rsidRPr="00C16361" w:rsidRDefault="00992DD8" w:rsidP="00420255">
            <w:pPr>
              <w:spacing w:after="0" w:line="240" w:lineRule="auto"/>
              <w:ind w:left="-1" w:firstLine="102"/>
              <w:jc w:val="right"/>
              <w:rPr>
                <w:b/>
                <w:bCs/>
                <w:sz w:val="18"/>
                <w:szCs w:val="18"/>
                <w:lang w:eastAsia="sk-SK"/>
              </w:rPr>
            </w:pPr>
          </w:p>
        </w:tc>
        <w:tc>
          <w:tcPr>
            <w:tcW w:w="445" w:type="pct"/>
            <w:gridSpan w:val="3"/>
            <w:tcBorders>
              <w:top w:val="nil"/>
              <w:left w:val="nil"/>
              <w:bottom w:val="nil"/>
              <w:right w:val="nil"/>
            </w:tcBorders>
            <w:shd w:val="clear" w:color="000000" w:fill="FFFFFF"/>
            <w:noWrap/>
            <w:vAlign w:val="center"/>
          </w:tcPr>
          <w:p w14:paraId="1D40368B" w14:textId="77777777" w:rsidR="00992DD8" w:rsidRPr="00C16361" w:rsidRDefault="00992DD8" w:rsidP="00420255">
            <w:pPr>
              <w:spacing w:after="0" w:line="240" w:lineRule="auto"/>
              <w:ind w:left="-1" w:firstLine="102"/>
              <w:jc w:val="right"/>
              <w:rPr>
                <w:b/>
                <w:bCs/>
                <w:sz w:val="18"/>
                <w:szCs w:val="18"/>
                <w:lang w:eastAsia="sk-SK"/>
              </w:rPr>
            </w:pPr>
          </w:p>
        </w:tc>
        <w:tc>
          <w:tcPr>
            <w:tcW w:w="167" w:type="pct"/>
            <w:gridSpan w:val="3"/>
            <w:tcBorders>
              <w:top w:val="nil"/>
              <w:left w:val="nil"/>
              <w:bottom w:val="nil"/>
              <w:right w:val="nil"/>
            </w:tcBorders>
            <w:shd w:val="clear" w:color="000000" w:fill="FFFFFF"/>
            <w:noWrap/>
            <w:vAlign w:val="center"/>
          </w:tcPr>
          <w:p w14:paraId="437942BF" w14:textId="77777777" w:rsidR="00992DD8" w:rsidRPr="00C16361" w:rsidRDefault="00992DD8" w:rsidP="00420255">
            <w:pPr>
              <w:spacing w:after="0" w:line="240" w:lineRule="auto"/>
              <w:ind w:left="-1" w:firstLine="102"/>
              <w:jc w:val="right"/>
              <w:rPr>
                <w:b/>
                <w:bCs/>
                <w:sz w:val="18"/>
                <w:szCs w:val="18"/>
                <w:lang w:eastAsia="sk-SK"/>
              </w:rPr>
            </w:pPr>
          </w:p>
        </w:tc>
        <w:tc>
          <w:tcPr>
            <w:tcW w:w="492" w:type="pct"/>
            <w:gridSpan w:val="4"/>
            <w:tcBorders>
              <w:top w:val="nil"/>
              <w:left w:val="nil"/>
              <w:bottom w:val="nil"/>
              <w:right w:val="nil"/>
            </w:tcBorders>
            <w:shd w:val="clear" w:color="000000" w:fill="FFFFFF"/>
            <w:noWrap/>
            <w:vAlign w:val="center"/>
          </w:tcPr>
          <w:p w14:paraId="1E026178" w14:textId="77777777" w:rsidR="00992DD8" w:rsidRPr="00C16361" w:rsidRDefault="00992DD8" w:rsidP="00420255">
            <w:pPr>
              <w:spacing w:after="0" w:line="240" w:lineRule="auto"/>
              <w:ind w:left="-1" w:firstLine="102"/>
              <w:jc w:val="right"/>
              <w:rPr>
                <w:sz w:val="18"/>
                <w:szCs w:val="18"/>
                <w:lang w:eastAsia="sk-SK"/>
              </w:rPr>
            </w:pPr>
          </w:p>
        </w:tc>
        <w:tc>
          <w:tcPr>
            <w:tcW w:w="543" w:type="pct"/>
            <w:gridSpan w:val="3"/>
            <w:tcBorders>
              <w:top w:val="nil"/>
              <w:left w:val="nil"/>
              <w:bottom w:val="nil"/>
              <w:right w:val="nil"/>
            </w:tcBorders>
            <w:shd w:val="clear" w:color="000000" w:fill="FFFFFF"/>
            <w:noWrap/>
            <w:vAlign w:val="center"/>
          </w:tcPr>
          <w:p w14:paraId="5C620864" w14:textId="77777777" w:rsidR="00992DD8" w:rsidRPr="00C16361" w:rsidRDefault="00992DD8" w:rsidP="00420255">
            <w:pPr>
              <w:spacing w:after="0" w:line="240" w:lineRule="auto"/>
              <w:ind w:left="-1" w:firstLine="102"/>
              <w:jc w:val="right"/>
              <w:rPr>
                <w:sz w:val="18"/>
                <w:szCs w:val="18"/>
                <w:lang w:eastAsia="sk-SK"/>
              </w:rPr>
            </w:pPr>
          </w:p>
        </w:tc>
        <w:tc>
          <w:tcPr>
            <w:tcW w:w="447" w:type="pct"/>
            <w:gridSpan w:val="2"/>
            <w:tcBorders>
              <w:top w:val="nil"/>
              <w:left w:val="nil"/>
              <w:bottom w:val="nil"/>
              <w:right w:val="nil"/>
            </w:tcBorders>
            <w:shd w:val="clear" w:color="000000" w:fill="FFFFFF"/>
            <w:noWrap/>
            <w:vAlign w:val="center"/>
          </w:tcPr>
          <w:p w14:paraId="37E8CF54" w14:textId="77777777" w:rsidR="00992DD8" w:rsidRPr="00C16361" w:rsidRDefault="00992DD8" w:rsidP="00420255">
            <w:pPr>
              <w:spacing w:after="0" w:line="240" w:lineRule="auto"/>
              <w:ind w:left="-1" w:firstLine="102"/>
              <w:jc w:val="right"/>
              <w:rPr>
                <w:sz w:val="18"/>
                <w:szCs w:val="18"/>
                <w:lang w:eastAsia="sk-SK"/>
              </w:rPr>
            </w:pPr>
          </w:p>
        </w:tc>
      </w:tr>
      <w:tr w:rsidR="007970C8" w:rsidRPr="00C16361" w14:paraId="335006E5"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6E095498" w14:textId="77777777" w:rsidR="00197095" w:rsidRPr="00C16361" w:rsidRDefault="00197095" w:rsidP="00197095">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noWrap/>
            <w:vAlign w:val="bottom"/>
            <w:hideMark/>
          </w:tcPr>
          <w:p w14:paraId="76FF4905" w14:textId="77777777" w:rsidR="00197095" w:rsidRPr="00C16361" w:rsidRDefault="00197095" w:rsidP="00197095">
            <w:pPr>
              <w:spacing w:after="0" w:line="240" w:lineRule="auto"/>
              <w:jc w:val="right"/>
              <w:rPr>
                <w:sz w:val="18"/>
                <w:szCs w:val="18"/>
                <w:lang w:eastAsia="sk-SK"/>
              </w:rPr>
            </w:pPr>
          </w:p>
        </w:tc>
        <w:tc>
          <w:tcPr>
            <w:tcW w:w="1783" w:type="pct"/>
            <w:gridSpan w:val="2"/>
            <w:tcBorders>
              <w:top w:val="nil"/>
              <w:left w:val="nil"/>
              <w:bottom w:val="nil"/>
              <w:right w:val="nil"/>
            </w:tcBorders>
            <w:shd w:val="clear" w:color="000000" w:fill="FFFFFF"/>
            <w:noWrap/>
            <w:vAlign w:val="center"/>
            <w:hideMark/>
          </w:tcPr>
          <w:p w14:paraId="3AA1441F" w14:textId="514AE3AC" w:rsidR="00197095" w:rsidRPr="00C16361" w:rsidRDefault="00197095" w:rsidP="00197095">
            <w:pPr>
              <w:spacing w:after="0" w:line="240" w:lineRule="auto"/>
              <w:rPr>
                <w:sz w:val="18"/>
                <w:szCs w:val="18"/>
                <w:lang w:eastAsia="sk-SK"/>
              </w:rPr>
            </w:pPr>
            <w:r w:rsidRPr="00C16361">
              <w:rPr>
                <w:sz w:val="18"/>
                <w:szCs w:val="18"/>
                <w:lang w:eastAsia="sk-SK"/>
              </w:rPr>
              <w:t>Železničná spoločnosť Slovensko, a. s.</w:t>
            </w:r>
          </w:p>
        </w:tc>
        <w:tc>
          <w:tcPr>
            <w:tcW w:w="455" w:type="pct"/>
            <w:gridSpan w:val="2"/>
            <w:tcBorders>
              <w:top w:val="nil"/>
              <w:left w:val="nil"/>
              <w:bottom w:val="nil"/>
              <w:right w:val="nil"/>
            </w:tcBorders>
            <w:shd w:val="clear" w:color="000000" w:fill="FFFFFF"/>
            <w:noWrap/>
            <w:vAlign w:val="center"/>
            <w:hideMark/>
          </w:tcPr>
          <w:p w14:paraId="57BF241D" w14:textId="07534C0F" w:rsidR="00197095" w:rsidRPr="00C16361" w:rsidRDefault="00197095" w:rsidP="00197095">
            <w:pPr>
              <w:spacing w:after="0" w:line="240" w:lineRule="auto"/>
              <w:ind w:right="-70"/>
              <w:jc w:val="right"/>
              <w:rPr>
                <w:sz w:val="18"/>
                <w:szCs w:val="18"/>
                <w:lang w:eastAsia="sk-SK"/>
              </w:rPr>
            </w:pPr>
            <w:r>
              <w:rPr>
                <w:sz w:val="18"/>
                <w:szCs w:val="18"/>
              </w:rPr>
              <w:t>-4 029</w:t>
            </w:r>
          </w:p>
        </w:tc>
        <w:tc>
          <w:tcPr>
            <w:tcW w:w="535" w:type="pct"/>
            <w:gridSpan w:val="4"/>
            <w:tcBorders>
              <w:top w:val="nil"/>
              <w:left w:val="nil"/>
              <w:bottom w:val="nil"/>
              <w:right w:val="nil"/>
            </w:tcBorders>
            <w:shd w:val="clear" w:color="000000" w:fill="FFFFFF"/>
            <w:noWrap/>
            <w:vAlign w:val="center"/>
            <w:hideMark/>
          </w:tcPr>
          <w:p w14:paraId="5AD957FB" w14:textId="1B3529F6" w:rsidR="00197095" w:rsidRPr="00C16361" w:rsidRDefault="00197095" w:rsidP="00197095">
            <w:pPr>
              <w:spacing w:after="0" w:line="240" w:lineRule="auto"/>
              <w:ind w:firstLine="74"/>
              <w:jc w:val="right"/>
              <w:rPr>
                <w:sz w:val="18"/>
                <w:szCs w:val="18"/>
                <w:lang w:eastAsia="sk-SK"/>
              </w:rPr>
            </w:pPr>
            <w:r>
              <w:rPr>
                <w:sz w:val="18"/>
                <w:szCs w:val="18"/>
              </w:rPr>
              <w:t>-10 787</w:t>
            </w:r>
          </w:p>
        </w:tc>
        <w:tc>
          <w:tcPr>
            <w:tcW w:w="463" w:type="pct"/>
            <w:gridSpan w:val="3"/>
            <w:tcBorders>
              <w:top w:val="nil"/>
              <w:left w:val="nil"/>
              <w:bottom w:val="nil"/>
              <w:right w:val="nil"/>
            </w:tcBorders>
            <w:shd w:val="clear" w:color="000000" w:fill="FFFFFF"/>
            <w:noWrap/>
            <w:vAlign w:val="center"/>
            <w:hideMark/>
          </w:tcPr>
          <w:p w14:paraId="5F112427" w14:textId="0D599112" w:rsidR="00197095" w:rsidRPr="00C16361" w:rsidRDefault="00197095" w:rsidP="00197095">
            <w:pPr>
              <w:spacing w:after="0" w:line="240" w:lineRule="auto"/>
              <w:ind w:left="137" w:right="-72" w:hanging="283"/>
              <w:jc w:val="right"/>
              <w:rPr>
                <w:sz w:val="18"/>
                <w:szCs w:val="18"/>
                <w:lang w:eastAsia="sk-SK"/>
              </w:rPr>
            </w:pPr>
            <w:r>
              <w:rPr>
                <w:sz w:val="18"/>
                <w:szCs w:val="18"/>
              </w:rPr>
              <w:t>29 402</w:t>
            </w:r>
          </w:p>
        </w:tc>
        <w:tc>
          <w:tcPr>
            <w:tcW w:w="523" w:type="pct"/>
            <w:gridSpan w:val="4"/>
            <w:tcBorders>
              <w:top w:val="nil"/>
              <w:left w:val="nil"/>
              <w:bottom w:val="nil"/>
              <w:right w:val="nil"/>
            </w:tcBorders>
            <w:shd w:val="clear" w:color="000000" w:fill="FFFFFF"/>
            <w:noWrap/>
            <w:vAlign w:val="center"/>
            <w:hideMark/>
          </w:tcPr>
          <w:p w14:paraId="2FA4E28E" w14:textId="0528FB1C" w:rsidR="00197095" w:rsidRPr="00C16361" w:rsidRDefault="00197095" w:rsidP="00197095">
            <w:pPr>
              <w:spacing w:after="0" w:line="240" w:lineRule="auto"/>
              <w:ind w:left="137" w:right="15" w:hanging="283"/>
              <w:jc w:val="right"/>
              <w:rPr>
                <w:sz w:val="18"/>
                <w:szCs w:val="18"/>
                <w:lang w:eastAsia="sk-SK"/>
              </w:rPr>
            </w:pPr>
            <w:r>
              <w:rPr>
                <w:sz w:val="18"/>
                <w:szCs w:val="18"/>
              </w:rPr>
              <w:t>-79 847</w:t>
            </w:r>
          </w:p>
        </w:tc>
        <w:tc>
          <w:tcPr>
            <w:tcW w:w="531" w:type="pct"/>
            <w:gridSpan w:val="3"/>
            <w:tcBorders>
              <w:top w:val="nil"/>
              <w:left w:val="nil"/>
              <w:bottom w:val="nil"/>
              <w:right w:val="nil"/>
            </w:tcBorders>
            <w:shd w:val="clear" w:color="000000" w:fill="FFFFFF"/>
            <w:noWrap/>
            <w:vAlign w:val="center"/>
            <w:hideMark/>
          </w:tcPr>
          <w:p w14:paraId="63943B20" w14:textId="04FF7EC6" w:rsidR="00197095" w:rsidRPr="00C16361" w:rsidRDefault="00197095" w:rsidP="00197095">
            <w:pPr>
              <w:spacing w:after="0" w:line="240" w:lineRule="auto"/>
              <w:ind w:left="137" w:hanging="283"/>
              <w:jc w:val="right"/>
              <w:rPr>
                <w:sz w:val="18"/>
                <w:szCs w:val="18"/>
                <w:lang w:eastAsia="sk-SK"/>
              </w:rPr>
            </w:pPr>
            <w:r>
              <w:rPr>
                <w:sz w:val="18"/>
                <w:szCs w:val="18"/>
              </w:rPr>
              <w:t>40 189</w:t>
            </w:r>
          </w:p>
        </w:tc>
        <w:tc>
          <w:tcPr>
            <w:tcW w:w="463" w:type="pct"/>
            <w:gridSpan w:val="2"/>
            <w:tcBorders>
              <w:top w:val="nil"/>
              <w:left w:val="nil"/>
              <w:bottom w:val="nil"/>
              <w:right w:val="nil"/>
            </w:tcBorders>
            <w:shd w:val="clear" w:color="000000" w:fill="FFFFFF"/>
            <w:noWrap/>
            <w:vAlign w:val="center"/>
            <w:hideMark/>
          </w:tcPr>
          <w:p w14:paraId="48AD16C9" w14:textId="53EA050E" w:rsidR="00197095" w:rsidRPr="00C16361" w:rsidRDefault="00197095" w:rsidP="00CC6C7B">
            <w:pPr>
              <w:tabs>
                <w:tab w:val="left" w:pos="555"/>
              </w:tabs>
              <w:spacing w:after="0" w:line="240" w:lineRule="auto"/>
              <w:jc w:val="right"/>
              <w:rPr>
                <w:sz w:val="18"/>
                <w:szCs w:val="18"/>
                <w:lang w:eastAsia="sk-SK"/>
              </w:rPr>
            </w:pPr>
            <w:r>
              <w:rPr>
                <w:sz w:val="18"/>
                <w:szCs w:val="18"/>
              </w:rPr>
              <w:t>109 249</w:t>
            </w:r>
          </w:p>
        </w:tc>
      </w:tr>
      <w:tr w:rsidR="007970C8" w:rsidRPr="00C16361" w14:paraId="6B4EC662"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20254BEC" w14:textId="77777777" w:rsidR="00197095" w:rsidRPr="00C16361" w:rsidRDefault="00197095" w:rsidP="00197095">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shd w:val="clear" w:color="000000" w:fill="FFFFFF"/>
            <w:noWrap/>
            <w:vAlign w:val="center"/>
            <w:hideMark/>
          </w:tcPr>
          <w:p w14:paraId="51DE5036" w14:textId="77777777" w:rsidR="00197095" w:rsidRPr="00C16361" w:rsidRDefault="00197095" w:rsidP="00197095">
            <w:pPr>
              <w:spacing w:after="0" w:line="240" w:lineRule="auto"/>
              <w:rPr>
                <w:color w:val="000000"/>
                <w:sz w:val="18"/>
                <w:szCs w:val="18"/>
                <w:lang w:eastAsia="sk-SK"/>
              </w:rPr>
            </w:pPr>
            <w:r w:rsidRPr="00C16361">
              <w:rPr>
                <w:color w:val="000000"/>
                <w:sz w:val="18"/>
                <w:szCs w:val="18"/>
                <w:lang w:eastAsia="sk-SK"/>
              </w:rPr>
              <w:t> </w:t>
            </w:r>
          </w:p>
        </w:tc>
        <w:tc>
          <w:tcPr>
            <w:tcW w:w="1783" w:type="pct"/>
            <w:gridSpan w:val="2"/>
            <w:tcBorders>
              <w:top w:val="nil"/>
              <w:left w:val="nil"/>
              <w:bottom w:val="nil"/>
              <w:right w:val="nil"/>
            </w:tcBorders>
            <w:shd w:val="clear" w:color="000000" w:fill="FFFFFF"/>
            <w:noWrap/>
            <w:vAlign w:val="center"/>
            <w:hideMark/>
          </w:tcPr>
          <w:p w14:paraId="58B7F94A" w14:textId="49503EF8" w:rsidR="00197095" w:rsidRPr="00C16361" w:rsidRDefault="00197095" w:rsidP="00197095">
            <w:pPr>
              <w:spacing w:after="0" w:line="240" w:lineRule="auto"/>
              <w:rPr>
                <w:sz w:val="18"/>
                <w:szCs w:val="18"/>
                <w:lang w:eastAsia="sk-SK"/>
              </w:rPr>
            </w:pPr>
            <w:r w:rsidRPr="00C16361">
              <w:rPr>
                <w:sz w:val="18"/>
                <w:szCs w:val="18"/>
                <w:lang w:eastAsia="sk-SK"/>
              </w:rPr>
              <w:t>MH Invest, s. r. o.</w:t>
            </w:r>
          </w:p>
        </w:tc>
        <w:tc>
          <w:tcPr>
            <w:tcW w:w="455" w:type="pct"/>
            <w:gridSpan w:val="2"/>
            <w:tcBorders>
              <w:top w:val="nil"/>
              <w:left w:val="nil"/>
              <w:bottom w:val="nil"/>
              <w:right w:val="nil"/>
            </w:tcBorders>
            <w:shd w:val="clear" w:color="000000" w:fill="FFFFFF"/>
            <w:noWrap/>
            <w:vAlign w:val="center"/>
            <w:hideMark/>
          </w:tcPr>
          <w:p w14:paraId="24E36546" w14:textId="0A41350D" w:rsidR="00197095" w:rsidRPr="00C16361" w:rsidRDefault="00197095" w:rsidP="00197095">
            <w:pPr>
              <w:spacing w:after="0" w:line="240" w:lineRule="auto"/>
              <w:ind w:right="-70"/>
              <w:jc w:val="right"/>
              <w:rPr>
                <w:sz w:val="18"/>
                <w:szCs w:val="18"/>
                <w:lang w:eastAsia="sk-SK"/>
              </w:rPr>
            </w:pPr>
            <w:r>
              <w:rPr>
                <w:sz w:val="18"/>
                <w:szCs w:val="18"/>
              </w:rPr>
              <w:t>-3 138</w:t>
            </w:r>
          </w:p>
        </w:tc>
        <w:tc>
          <w:tcPr>
            <w:tcW w:w="535" w:type="pct"/>
            <w:gridSpan w:val="4"/>
            <w:tcBorders>
              <w:top w:val="nil"/>
              <w:left w:val="nil"/>
              <w:bottom w:val="nil"/>
              <w:right w:val="nil"/>
            </w:tcBorders>
            <w:shd w:val="clear" w:color="000000" w:fill="FFFFFF"/>
            <w:noWrap/>
            <w:vAlign w:val="center"/>
            <w:hideMark/>
          </w:tcPr>
          <w:p w14:paraId="42B0FCA8" w14:textId="57952A40" w:rsidR="00197095" w:rsidRPr="00C16361" w:rsidRDefault="00197095" w:rsidP="00197095">
            <w:pPr>
              <w:spacing w:after="0" w:line="240" w:lineRule="auto"/>
              <w:ind w:firstLine="74"/>
              <w:jc w:val="right"/>
              <w:rPr>
                <w:sz w:val="18"/>
                <w:szCs w:val="18"/>
                <w:lang w:eastAsia="sk-SK"/>
              </w:rPr>
            </w:pPr>
            <w:r>
              <w:rPr>
                <w:sz w:val="18"/>
                <w:szCs w:val="18"/>
              </w:rPr>
              <w:t>-3 868</w:t>
            </w:r>
          </w:p>
        </w:tc>
        <w:tc>
          <w:tcPr>
            <w:tcW w:w="463" w:type="pct"/>
            <w:gridSpan w:val="3"/>
            <w:tcBorders>
              <w:top w:val="nil"/>
              <w:left w:val="nil"/>
              <w:bottom w:val="nil"/>
              <w:right w:val="nil"/>
            </w:tcBorders>
            <w:shd w:val="clear" w:color="000000" w:fill="FFFFFF"/>
            <w:noWrap/>
            <w:vAlign w:val="center"/>
            <w:hideMark/>
          </w:tcPr>
          <w:p w14:paraId="1AD984C9" w14:textId="0408C069" w:rsidR="00197095" w:rsidRPr="00C16361" w:rsidRDefault="00197095" w:rsidP="00197095">
            <w:pPr>
              <w:spacing w:after="0" w:line="240" w:lineRule="auto"/>
              <w:ind w:left="137" w:right="-72" w:hanging="283"/>
              <w:jc w:val="right"/>
              <w:rPr>
                <w:sz w:val="18"/>
                <w:szCs w:val="18"/>
                <w:lang w:eastAsia="sk-SK"/>
              </w:rPr>
            </w:pPr>
            <w:r>
              <w:rPr>
                <w:sz w:val="18"/>
                <w:szCs w:val="18"/>
              </w:rPr>
              <w:t>10 819</w:t>
            </w:r>
          </w:p>
        </w:tc>
        <w:tc>
          <w:tcPr>
            <w:tcW w:w="523" w:type="pct"/>
            <w:gridSpan w:val="4"/>
            <w:tcBorders>
              <w:top w:val="nil"/>
              <w:left w:val="nil"/>
              <w:bottom w:val="nil"/>
              <w:right w:val="nil"/>
            </w:tcBorders>
            <w:shd w:val="clear" w:color="000000" w:fill="FFFFFF"/>
            <w:noWrap/>
            <w:vAlign w:val="center"/>
            <w:hideMark/>
          </w:tcPr>
          <w:p w14:paraId="25C7DF00" w14:textId="0C8C2435" w:rsidR="00197095" w:rsidRPr="00C16361" w:rsidRDefault="00197095" w:rsidP="00197095">
            <w:pPr>
              <w:spacing w:after="0" w:line="240" w:lineRule="auto"/>
              <w:ind w:left="137" w:right="15" w:hanging="283"/>
              <w:jc w:val="right"/>
              <w:rPr>
                <w:sz w:val="18"/>
                <w:szCs w:val="18"/>
                <w:lang w:eastAsia="sk-SK"/>
              </w:rPr>
            </w:pPr>
            <w:r>
              <w:rPr>
                <w:sz w:val="18"/>
                <w:szCs w:val="18"/>
              </w:rPr>
              <w:t>-58 652</w:t>
            </w:r>
          </w:p>
        </w:tc>
        <w:tc>
          <w:tcPr>
            <w:tcW w:w="531" w:type="pct"/>
            <w:gridSpan w:val="3"/>
            <w:tcBorders>
              <w:top w:val="nil"/>
              <w:left w:val="nil"/>
              <w:bottom w:val="nil"/>
              <w:right w:val="nil"/>
            </w:tcBorders>
            <w:shd w:val="clear" w:color="000000" w:fill="FFFFFF"/>
            <w:noWrap/>
            <w:vAlign w:val="center"/>
            <w:hideMark/>
          </w:tcPr>
          <w:p w14:paraId="7FC2BD84" w14:textId="2D40DF41" w:rsidR="00197095" w:rsidRPr="00C16361" w:rsidRDefault="00197095" w:rsidP="00197095">
            <w:pPr>
              <w:spacing w:after="0" w:line="240" w:lineRule="auto"/>
              <w:ind w:left="137" w:hanging="283"/>
              <w:jc w:val="right"/>
              <w:rPr>
                <w:sz w:val="18"/>
                <w:szCs w:val="18"/>
                <w:lang w:eastAsia="sk-SK"/>
              </w:rPr>
            </w:pPr>
            <w:r>
              <w:rPr>
                <w:sz w:val="18"/>
                <w:szCs w:val="18"/>
              </w:rPr>
              <w:t>14 687</w:t>
            </w:r>
          </w:p>
        </w:tc>
        <w:tc>
          <w:tcPr>
            <w:tcW w:w="463" w:type="pct"/>
            <w:gridSpan w:val="2"/>
            <w:tcBorders>
              <w:top w:val="nil"/>
              <w:left w:val="nil"/>
              <w:bottom w:val="nil"/>
              <w:right w:val="nil"/>
            </w:tcBorders>
            <w:shd w:val="clear" w:color="000000" w:fill="FFFFFF"/>
            <w:noWrap/>
            <w:vAlign w:val="center"/>
            <w:hideMark/>
          </w:tcPr>
          <w:p w14:paraId="6CED6BD5" w14:textId="1A3DE697" w:rsidR="00197095" w:rsidRPr="00C16361" w:rsidRDefault="00197095" w:rsidP="00CC6C7B">
            <w:pPr>
              <w:tabs>
                <w:tab w:val="left" w:pos="555"/>
              </w:tabs>
              <w:spacing w:after="0" w:line="240" w:lineRule="auto"/>
              <w:jc w:val="right"/>
              <w:rPr>
                <w:sz w:val="18"/>
                <w:szCs w:val="18"/>
                <w:lang w:eastAsia="sk-SK"/>
              </w:rPr>
            </w:pPr>
            <w:r>
              <w:rPr>
                <w:sz w:val="18"/>
                <w:szCs w:val="18"/>
              </w:rPr>
              <w:t>69 471</w:t>
            </w:r>
          </w:p>
        </w:tc>
      </w:tr>
      <w:tr w:rsidR="007970C8" w:rsidRPr="00C16361" w14:paraId="13393922"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481D8F1E" w14:textId="77777777" w:rsidR="00197095" w:rsidRPr="00C16361" w:rsidRDefault="00197095" w:rsidP="00197095">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shd w:val="clear" w:color="000000" w:fill="FFFFFF"/>
            <w:noWrap/>
            <w:vAlign w:val="center"/>
            <w:hideMark/>
          </w:tcPr>
          <w:p w14:paraId="310852EF" w14:textId="77777777" w:rsidR="00197095" w:rsidRPr="00C16361" w:rsidRDefault="00197095" w:rsidP="00197095">
            <w:pPr>
              <w:spacing w:after="0" w:line="240" w:lineRule="auto"/>
              <w:rPr>
                <w:color w:val="000000"/>
                <w:sz w:val="18"/>
                <w:szCs w:val="18"/>
                <w:lang w:eastAsia="sk-SK"/>
              </w:rPr>
            </w:pPr>
            <w:r w:rsidRPr="00C16361">
              <w:rPr>
                <w:color w:val="000000"/>
                <w:sz w:val="18"/>
                <w:szCs w:val="18"/>
                <w:lang w:eastAsia="sk-SK"/>
              </w:rPr>
              <w:t> </w:t>
            </w:r>
          </w:p>
        </w:tc>
        <w:tc>
          <w:tcPr>
            <w:tcW w:w="1783" w:type="pct"/>
            <w:gridSpan w:val="2"/>
            <w:tcBorders>
              <w:top w:val="nil"/>
              <w:left w:val="nil"/>
              <w:bottom w:val="nil"/>
              <w:right w:val="nil"/>
            </w:tcBorders>
            <w:shd w:val="clear" w:color="000000" w:fill="FFFFFF"/>
            <w:noWrap/>
            <w:vAlign w:val="center"/>
            <w:hideMark/>
          </w:tcPr>
          <w:p w14:paraId="276256EB" w14:textId="37A4C7D6" w:rsidR="00197095" w:rsidRPr="00C16361" w:rsidRDefault="00197095" w:rsidP="00197095">
            <w:pPr>
              <w:spacing w:after="0" w:line="240" w:lineRule="auto"/>
              <w:rPr>
                <w:sz w:val="18"/>
                <w:szCs w:val="18"/>
                <w:lang w:eastAsia="sk-SK"/>
              </w:rPr>
            </w:pPr>
            <w:r w:rsidRPr="00C16361">
              <w:rPr>
                <w:sz w:val="18"/>
                <w:szCs w:val="18"/>
                <w:lang w:eastAsia="sk-SK"/>
              </w:rPr>
              <w:t>SIH a investičné fondy SIH-u</w:t>
            </w:r>
            <w:r w:rsidR="00425506" w:rsidRPr="00425506">
              <w:rPr>
                <w:sz w:val="18"/>
                <w:szCs w:val="18"/>
                <w:vertAlign w:val="superscript"/>
                <w:lang w:eastAsia="sk-SK"/>
              </w:rPr>
              <w:t>2)</w:t>
            </w:r>
            <w:r w:rsidRPr="00C16361">
              <w:rPr>
                <w:sz w:val="18"/>
                <w:szCs w:val="18"/>
                <w:lang w:eastAsia="sk-SK"/>
              </w:rPr>
              <w:t xml:space="preserve"> </w:t>
            </w:r>
          </w:p>
        </w:tc>
        <w:tc>
          <w:tcPr>
            <w:tcW w:w="455" w:type="pct"/>
            <w:gridSpan w:val="2"/>
            <w:tcBorders>
              <w:top w:val="nil"/>
              <w:left w:val="nil"/>
              <w:bottom w:val="nil"/>
              <w:right w:val="nil"/>
            </w:tcBorders>
            <w:shd w:val="clear" w:color="000000" w:fill="FFFFFF"/>
            <w:noWrap/>
            <w:vAlign w:val="center"/>
            <w:hideMark/>
          </w:tcPr>
          <w:p w14:paraId="02AD42C7" w14:textId="2071FEA7" w:rsidR="00197095" w:rsidRPr="00C16361" w:rsidRDefault="00197095" w:rsidP="00197095">
            <w:pPr>
              <w:spacing w:after="0" w:line="240" w:lineRule="auto"/>
              <w:ind w:right="-70"/>
              <w:jc w:val="right"/>
              <w:rPr>
                <w:sz w:val="18"/>
                <w:szCs w:val="18"/>
                <w:lang w:eastAsia="sk-SK"/>
              </w:rPr>
            </w:pPr>
            <w:r>
              <w:rPr>
                <w:sz w:val="18"/>
                <w:szCs w:val="18"/>
              </w:rPr>
              <w:t>40 982</w:t>
            </w:r>
          </w:p>
        </w:tc>
        <w:tc>
          <w:tcPr>
            <w:tcW w:w="535" w:type="pct"/>
            <w:gridSpan w:val="4"/>
            <w:tcBorders>
              <w:top w:val="nil"/>
              <w:left w:val="nil"/>
              <w:bottom w:val="nil"/>
              <w:right w:val="nil"/>
            </w:tcBorders>
            <w:shd w:val="clear" w:color="000000" w:fill="FFFFFF"/>
            <w:noWrap/>
            <w:vAlign w:val="center"/>
            <w:hideMark/>
          </w:tcPr>
          <w:p w14:paraId="4BE771C2" w14:textId="367790F5" w:rsidR="00197095" w:rsidRPr="00C16361" w:rsidRDefault="00197095" w:rsidP="00197095">
            <w:pPr>
              <w:spacing w:after="0" w:line="240" w:lineRule="auto"/>
              <w:ind w:firstLine="74"/>
              <w:jc w:val="right"/>
              <w:rPr>
                <w:sz w:val="18"/>
                <w:szCs w:val="18"/>
                <w:lang w:eastAsia="sk-SK"/>
              </w:rPr>
            </w:pPr>
            <w:r>
              <w:rPr>
                <w:sz w:val="18"/>
                <w:szCs w:val="18"/>
              </w:rPr>
              <w:t>89 458</w:t>
            </w:r>
          </w:p>
        </w:tc>
        <w:tc>
          <w:tcPr>
            <w:tcW w:w="463" w:type="pct"/>
            <w:gridSpan w:val="3"/>
            <w:tcBorders>
              <w:top w:val="nil"/>
              <w:left w:val="nil"/>
              <w:bottom w:val="nil"/>
              <w:right w:val="nil"/>
            </w:tcBorders>
            <w:shd w:val="clear" w:color="000000" w:fill="FFFFFF"/>
            <w:noWrap/>
            <w:vAlign w:val="center"/>
            <w:hideMark/>
          </w:tcPr>
          <w:p w14:paraId="0903F26E" w14:textId="501D9762" w:rsidR="00197095" w:rsidRPr="00C16361" w:rsidRDefault="00197095" w:rsidP="00197095">
            <w:pPr>
              <w:spacing w:after="0" w:line="240" w:lineRule="auto"/>
              <w:ind w:left="137" w:right="-72" w:hanging="283"/>
              <w:jc w:val="right"/>
              <w:rPr>
                <w:sz w:val="18"/>
                <w:szCs w:val="18"/>
                <w:lang w:eastAsia="sk-SK"/>
              </w:rPr>
            </w:pPr>
            <w:r>
              <w:rPr>
                <w:sz w:val="18"/>
                <w:szCs w:val="18"/>
              </w:rPr>
              <w:t>-15 784</w:t>
            </w:r>
          </w:p>
        </w:tc>
        <w:tc>
          <w:tcPr>
            <w:tcW w:w="523" w:type="pct"/>
            <w:gridSpan w:val="4"/>
            <w:tcBorders>
              <w:top w:val="nil"/>
              <w:left w:val="nil"/>
              <w:bottom w:val="nil"/>
              <w:right w:val="nil"/>
            </w:tcBorders>
            <w:shd w:val="clear" w:color="000000" w:fill="FFFFFF"/>
            <w:noWrap/>
            <w:vAlign w:val="center"/>
            <w:hideMark/>
          </w:tcPr>
          <w:p w14:paraId="77780CFF" w14:textId="7330D476" w:rsidR="00197095" w:rsidRPr="00C16361" w:rsidRDefault="00197095" w:rsidP="00197095">
            <w:pPr>
              <w:spacing w:after="0" w:line="240" w:lineRule="auto"/>
              <w:ind w:left="137" w:right="15" w:hanging="283"/>
              <w:jc w:val="right"/>
              <w:rPr>
                <w:sz w:val="18"/>
                <w:szCs w:val="18"/>
                <w:lang w:eastAsia="sk-SK"/>
              </w:rPr>
            </w:pPr>
            <w:r>
              <w:rPr>
                <w:sz w:val="18"/>
                <w:szCs w:val="18"/>
              </w:rPr>
              <w:t>0</w:t>
            </w:r>
          </w:p>
        </w:tc>
        <w:tc>
          <w:tcPr>
            <w:tcW w:w="531" w:type="pct"/>
            <w:gridSpan w:val="3"/>
            <w:tcBorders>
              <w:top w:val="nil"/>
              <w:left w:val="nil"/>
              <w:bottom w:val="nil"/>
              <w:right w:val="nil"/>
            </w:tcBorders>
            <w:shd w:val="clear" w:color="000000" w:fill="FFFFFF"/>
            <w:noWrap/>
            <w:vAlign w:val="center"/>
            <w:hideMark/>
          </w:tcPr>
          <w:p w14:paraId="539784D4" w14:textId="2BBC1A4A" w:rsidR="00197095" w:rsidRPr="00C16361" w:rsidRDefault="00197095" w:rsidP="00197095">
            <w:pPr>
              <w:spacing w:after="0" w:line="240" w:lineRule="auto"/>
              <w:ind w:left="137" w:hanging="283"/>
              <w:jc w:val="right"/>
              <w:rPr>
                <w:sz w:val="18"/>
                <w:szCs w:val="18"/>
                <w:lang w:eastAsia="sk-SK"/>
              </w:rPr>
            </w:pPr>
            <w:r>
              <w:rPr>
                <w:sz w:val="18"/>
                <w:szCs w:val="18"/>
              </w:rPr>
              <w:t>-105 242</w:t>
            </w:r>
          </w:p>
        </w:tc>
        <w:tc>
          <w:tcPr>
            <w:tcW w:w="463" w:type="pct"/>
            <w:gridSpan w:val="2"/>
            <w:tcBorders>
              <w:top w:val="nil"/>
              <w:left w:val="nil"/>
              <w:bottom w:val="nil"/>
              <w:right w:val="nil"/>
            </w:tcBorders>
            <w:shd w:val="clear" w:color="000000" w:fill="FFFFFF"/>
            <w:noWrap/>
            <w:vAlign w:val="center"/>
            <w:hideMark/>
          </w:tcPr>
          <w:p w14:paraId="76CF8BF5" w14:textId="1A3DDD53" w:rsidR="00197095" w:rsidRPr="00C16361" w:rsidRDefault="00197095" w:rsidP="00CC6C7B">
            <w:pPr>
              <w:tabs>
                <w:tab w:val="left" w:pos="555"/>
              </w:tabs>
              <w:spacing w:after="0" w:line="240" w:lineRule="auto"/>
              <w:jc w:val="right"/>
              <w:rPr>
                <w:sz w:val="18"/>
                <w:szCs w:val="18"/>
                <w:lang w:eastAsia="sk-SK"/>
              </w:rPr>
            </w:pPr>
            <w:r>
              <w:rPr>
                <w:sz w:val="18"/>
                <w:szCs w:val="18"/>
              </w:rPr>
              <w:t>-15 784</w:t>
            </w:r>
          </w:p>
        </w:tc>
      </w:tr>
      <w:tr w:rsidR="007970C8" w:rsidRPr="00C16361" w14:paraId="240C00D4"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tcPr>
          <w:p w14:paraId="15517C09" w14:textId="77777777" w:rsidR="00197095" w:rsidRPr="00C16361" w:rsidRDefault="00197095" w:rsidP="00197095">
            <w:pPr>
              <w:spacing w:after="0" w:line="240" w:lineRule="auto"/>
              <w:jc w:val="right"/>
              <w:rPr>
                <w:sz w:val="18"/>
                <w:szCs w:val="18"/>
                <w:lang w:eastAsia="sk-SK"/>
              </w:rPr>
            </w:pPr>
          </w:p>
        </w:tc>
        <w:tc>
          <w:tcPr>
            <w:tcW w:w="118" w:type="pct"/>
            <w:tcBorders>
              <w:top w:val="nil"/>
              <w:left w:val="nil"/>
              <w:bottom w:val="nil"/>
              <w:right w:val="nil"/>
            </w:tcBorders>
            <w:noWrap/>
            <w:vAlign w:val="bottom"/>
          </w:tcPr>
          <w:p w14:paraId="72101EF6" w14:textId="77777777" w:rsidR="00197095" w:rsidRPr="00C16361" w:rsidRDefault="00197095" w:rsidP="00197095">
            <w:pPr>
              <w:spacing w:after="0" w:line="240" w:lineRule="auto"/>
              <w:jc w:val="right"/>
              <w:rPr>
                <w:sz w:val="18"/>
                <w:szCs w:val="18"/>
                <w:lang w:eastAsia="sk-SK"/>
              </w:rPr>
            </w:pPr>
          </w:p>
        </w:tc>
        <w:tc>
          <w:tcPr>
            <w:tcW w:w="1783" w:type="pct"/>
            <w:gridSpan w:val="2"/>
            <w:tcBorders>
              <w:top w:val="nil"/>
              <w:left w:val="nil"/>
              <w:bottom w:val="nil"/>
              <w:right w:val="nil"/>
            </w:tcBorders>
            <w:shd w:val="clear" w:color="000000" w:fill="FFFFFF"/>
            <w:noWrap/>
            <w:vAlign w:val="center"/>
          </w:tcPr>
          <w:p w14:paraId="6F80BE52" w14:textId="2B697D72" w:rsidR="00197095" w:rsidRPr="00C16361" w:rsidRDefault="00197095" w:rsidP="00197095">
            <w:pPr>
              <w:spacing w:after="0" w:line="240" w:lineRule="auto"/>
              <w:rPr>
                <w:sz w:val="18"/>
                <w:szCs w:val="18"/>
                <w:lang w:eastAsia="sk-SK"/>
              </w:rPr>
            </w:pPr>
            <w:r w:rsidRPr="00C16361">
              <w:rPr>
                <w:sz w:val="18"/>
                <w:szCs w:val="18"/>
                <w:lang w:eastAsia="sk-SK"/>
              </w:rPr>
              <w:t>Slovenská záručná a rozvojová banka, a. s.</w:t>
            </w:r>
          </w:p>
        </w:tc>
        <w:tc>
          <w:tcPr>
            <w:tcW w:w="455" w:type="pct"/>
            <w:gridSpan w:val="2"/>
            <w:tcBorders>
              <w:top w:val="nil"/>
              <w:left w:val="nil"/>
              <w:bottom w:val="nil"/>
              <w:right w:val="nil"/>
            </w:tcBorders>
            <w:shd w:val="clear" w:color="000000" w:fill="FFFFFF"/>
            <w:noWrap/>
            <w:vAlign w:val="center"/>
          </w:tcPr>
          <w:p w14:paraId="391252D7" w14:textId="59E07AE4" w:rsidR="00197095" w:rsidRPr="00C16361" w:rsidRDefault="00197095" w:rsidP="00197095">
            <w:pPr>
              <w:spacing w:after="0" w:line="240" w:lineRule="auto"/>
              <w:ind w:right="-70"/>
              <w:jc w:val="right"/>
              <w:rPr>
                <w:sz w:val="18"/>
                <w:szCs w:val="18"/>
                <w:lang w:eastAsia="sk-SK"/>
              </w:rPr>
            </w:pPr>
            <w:r>
              <w:rPr>
                <w:sz w:val="18"/>
                <w:szCs w:val="18"/>
              </w:rPr>
              <w:t>0</w:t>
            </w:r>
          </w:p>
        </w:tc>
        <w:tc>
          <w:tcPr>
            <w:tcW w:w="535" w:type="pct"/>
            <w:gridSpan w:val="4"/>
            <w:tcBorders>
              <w:top w:val="nil"/>
              <w:left w:val="nil"/>
              <w:bottom w:val="nil"/>
              <w:right w:val="nil"/>
            </w:tcBorders>
            <w:shd w:val="clear" w:color="000000" w:fill="FFFFFF"/>
            <w:noWrap/>
            <w:vAlign w:val="center"/>
          </w:tcPr>
          <w:p w14:paraId="0F00D01C" w14:textId="470AD0F5" w:rsidR="00197095" w:rsidRPr="00C16361" w:rsidRDefault="00197095" w:rsidP="00197095">
            <w:pPr>
              <w:spacing w:after="0" w:line="240" w:lineRule="auto"/>
              <w:ind w:firstLine="74"/>
              <w:jc w:val="right"/>
              <w:rPr>
                <w:sz w:val="18"/>
                <w:szCs w:val="18"/>
                <w:lang w:eastAsia="sk-SK"/>
              </w:rPr>
            </w:pPr>
            <w:r>
              <w:rPr>
                <w:sz w:val="18"/>
                <w:szCs w:val="18"/>
              </w:rPr>
              <w:t>8 541</w:t>
            </w:r>
          </w:p>
        </w:tc>
        <w:tc>
          <w:tcPr>
            <w:tcW w:w="463" w:type="pct"/>
            <w:gridSpan w:val="3"/>
            <w:tcBorders>
              <w:top w:val="nil"/>
              <w:left w:val="nil"/>
              <w:bottom w:val="nil"/>
              <w:right w:val="nil"/>
            </w:tcBorders>
            <w:shd w:val="clear" w:color="000000" w:fill="FFFFFF"/>
            <w:noWrap/>
            <w:vAlign w:val="center"/>
          </w:tcPr>
          <w:p w14:paraId="2D3C7905" w14:textId="4A59B31D" w:rsidR="00197095" w:rsidRPr="00C16361" w:rsidRDefault="00197095" w:rsidP="00197095">
            <w:pPr>
              <w:spacing w:after="0" w:line="240" w:lineRule="auto"/>
              <w:ind w:left="137" w:right="-72" w:hanging="283"/>
              <w:jc w:val="right"/>
              <w:rPr>
                <w:sz w:val="18"/>
                <w:szCs w:val="18"/>
                <w:lang w:eastAsia="sk-SK"/>
              </w:rPr>
            </w:pPr>
            <w:r>
              <w:rPr>
                <w:sz w:val="18"/>
                <w:szCs w:val="18"/>
              </w:rPr>
              <w:t>9 398</w:t>
            </w:r>
          </w:p>
        </w:tc>
        <w:tc>
          <w:tcPr>
            <w:tcW w:w="523" w:type="pct"/>
            <w:gridSpan w:val="4"/>
            <w:tcBorders>
              <w:top w:val="nil"/>
              <w:left w:val="nil"/>
              <w:bottom w:val="nil"/>
              <w:right w:val="nil"/>
            </w:tcBorders>
            <w:shd w:val="clear" w:color="000000" w:fill="FFFFFF"/>
            <w:noWrap/>
            <w:vAlign w:val="center"/>
          </w:tcPr>
          <w:p w14:paraId="03FB8D29" w14:textId="26FE6B28" w:rsidR="00197095" w:rsidRPr="00C16361" w:rsidRDefault="00197095" w:rsidP="00197095">
            <w:pPr>
              <w:spacing w:after="0" w:line="240" w:lineRule="auto"/>
              <w:ind w:left="137" w:right="15" w:hanging="283"/>
              <w:jc w:val="right"/>
              <w:rPr>
                <w:sz w:val="18"/>
                <w:szCs w:val="18"/>
                <w:lang w:eastAsia="sk-SK"/>
              </w:rPr>
            </w:pPr>
            <w:r>
              <w:rPr>
                <w:sz w:val="18"/>
                <w:szCs w:val="18"/>
              </w:rPr>
              <w:t>0</w:t>
            </w:r>
          </w:p>
        </w:tc>
        <w:tc>
          <w:tcPr>
            <w:tcW w:w="531" w:type="pct"/>
            <w:gridSpan w:val="3"/>
            <w:tcBorders>
              <w:top w:val="nil"/>
              <w:left w:val="nil"/>
              <w:bottom w:val="nil"/>
              <w:right w:val="nil"/>
            </w:tcBorders>
            <w:shd w:val="clear" w:color="000000" w:fill="FFFFFF"/>
            <w:noWrap/>
            <w:vAlign w:val="center"/>
          </w:tcPr>
          <w:p w14:paraId="6463174A" w14:textId="034EDA00" w:rsidR="00197095" w:rsidRPr="00C16361" w:rsidRDefault="00197095" w:rsidP="00197095">
            <w:pPr>
              <w:spacing w:after="0" w:line="240" w:lineRule="auto"/>
              <w:ind w:left="137" w:hanging="283"/>
              <w:jc w:val="right"/>
              <w:rPr>
                <w:sz w:val="18"/>
                <w:szCs w:val="18"/>
                <w:lang w:eastAsia="sk-SK"/>
              </w:rPr>
            </w:pPr>
            <w:r>
              <w:rPr>
                <w:sz w:val="18"/>
                <w:szCs w:val="18"/>
              </w:rPr>
              <w:t>857</w:t>
            </w:r>
          </w:p>
        </w:tc>
        <w:tc>
          <w:tcPr>
            <w:tcW w:w="463" w:type="pct"/>
            <w:gridSpan w:val="2"/>
            <w:tcBorders>
              <w:top w:val="nil"/>
              <w:left w:val="nil"/>
              <w:bottom w:val="nil"/>
              <w:right w:val="nil"/>
            </w:tcBorders>
            <w:shd w:val="clear" w:color="000000" w:fill="FFFFFF"/>
            <w:noWrap/>
            <w:vAlign w:val="center"/>
          </w:tcPr>
          <w:p w14:paraId="488150F7" w14:textId="46E44E19" w:rsidR="00197095" w:rsidRPr="00C16361" w:rsidRDefault="00197095" w:rsidP="00CC6C7B">
            <w:pPr>
              <w:tabs>
                <w:tab w:val="left" w:pos="555"/>
              </w:tabs>
              <w:spacing w:after="0" w:line="240" w:lineRule="auto"/>
              <w:jc w:val="right"/>
              <w:rPr>
                <w:sz w:val="18"/>
                <w:szCs w:val="18"/>
                <w:lang w:eastAsia="sk-SK"/>
              </w:rPr>
            </w:pPr>
            <w:r>
              <w:rPr>
                <w:sz w:val="18"/>
                <w:szCs w:val="18"/>
              </w:rPr>
              <w:t>9 398</w:t>
            </w:r>
          </w:p>
        </w:tc>
      </w:tr>
      <w:tr w:rsidR="007970C8" w:rsidRPr="00C16361" w14:paraId="55650638"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7B888A79"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noWrap/>
            <w:vAlign w:val="bottom"/>
            <w:hideMark/>
          </w:tcPr>
          <w:p w14:paraId="40352C68" w14:textId="77777777" w:rsidR="0095427D" w:rsidRPr="00C16361" w:rsidRDefault="0095427D" w:rsidP="0095427D">
            <w:pPr>
              <w:spacing w:after="0" w:line="240" w:lineRule="auto"/>
              <w:jc w:val="right"/>
              <w:rPr>
                <w:sz w:val="18"/>
                <w:szCs w:val="18"/>
                <w:lang w:eastAsia="sk-SK"/>
              </w:rPr>
            </w:pPr>
          </w:p>
        </w:tc>
        <w:tc>
          <w:tcPr>
            <w:tcW w:w="1783" w:type="pct"/>
            <w:gridSpan w:val="2"/>
            <w:tcBorders>
              <w:top w:val="nil"/>
              <w:left w:val="nil"/>
              <w:bottom w:val="nil"/>
              <w:right w:val="nil"/>
            </w:tcBorders>
            <w:shd w:val="clear" w:color="000000" w:fill="FFFFFF"/>
            <w:noWrap/>
            <w:vAlign w:val="center"/>
            <w:hideMark/>
          </w:tcPr>
          <w:p w14:paraId="52F573B6" w14:textId="2C5299AB" w:rsidR="0095427D" w:rsidRPr="00C16361" w:rsidRDefault="0095427D" w:rsidP="0095427D">
            <w:pPr>
              <w:spacing w:after="0" w:line="240" w:lineRule="auto"/>
              <w:rPr>
                <w:sz w:val="18"/>
                <w:szCs w:val="18"/>
                <w:lang w:eastAsia="sk-SK"/>
              </w:rPr>
            </w:pPr>
            <w:r w:rsidRPr="00C16361">
              <w:rPr>
                <w:sz w:val="18"/>
                <w:szCs w:val="18"/>
                <w:lang w:eastAsia="sk-SK"/>
              </w:rPr>
              <w:t>Exportno-importná banka SR</w:t>
            </w:r>
          </w:p>
        </w:tc>
        <w:tc>
          <w:tcPr>
            <w:tcW w:w="455" w:type="pct"/>
            <w:gridSpan w:val="2"/>
            <w:tcBorders>
              <w:top w:val="nil"/>
              <w:left w:val="nil"/>
              <w:bottom w:val="nil"/>
              <w:right w:val="nil"/>
            </w:tcBorders>
            <w:shd w:val="clear" w:color="000000" w:fill="FFFFFF"/>
            <w:noWrap/>
            <w:vAlign w:val="center"/>
            <w:hideMark/>
          </w:tcPr>
          <w:p w14:paraId="2D64F678" w14:textId="59BEFA3D" w:rsidR="0095427D" w:rsidRPr="00052A5E" w:rsidRDefault="0095427D" w:rsidP="0095427D">
            <w:pPr>
              <w:spacing w:after="0" w:line="240" w:lineRule="auto"/>
              <w:ind w:right="-70"/>
              <w:jc w:val="right"/>
              <w:rPr>
                <w:sz w:val="18"/>
                <w:szCs w:val="18"/>
                <w:highlight w:val="yellow"/>
                <w:lang w:eastAsia="sk-SK"/>
              </w:rPr>
            </w:pPr>
            <w:r>
              <w:rPr>
                <w:sz w:val="18"/>
                <w:szCs w:val="18"/>
              </w:rPr>
              <w:t>2 961</w:t>
            </w:r>
          </w:p>
        </w:tc>
        <w:tc>
          <w:tcPr>
            <w:tcW w:w="535" w:type="pct"/>
            <w:gridSpan w:val="4"/>
            <w:tcBorders>
              <w:top w:val="nil"/>
              <w:left w:val="nil"/>
              <w:bottom w:val="nil"/>
              <w:right w:val="nil"/>
            </w:tcBorders>
            <w:shd w:val="clear" w:color="000000" w:fill="FFFFFF"/>
            <w:noWrap/>
            <w:vAlign w:val="center"/>
            <w:hideMark/>
          </w:tcPr>
          <w:p w14:paraId="15501BE9" w14:textId="30EF056C" w:rsidR="0095427D" w:rsidRPr="00052A5E" w:rsidRDefault="0095427D" w:rsidP="0095427D">
            <w:pPr>
              <w:spacing w:after="0" w:line="240" w:lineRule="auto"/>
              <w:ind w:firstLine="74"/>
              <w:jc w:val="right"/>
              <w:rPr>
                <w:sz w:val="18"/>
                <w:szCs w:val="18"/>
                <w:highlight w:val="yellow"/>
                <w:lang w:eastAsia="sk-SK"/>
              </w:rPr>
            </w:pPr>
            <w:r>
              <w:rPr>
                <w:sz w:val="18"/>
                <w:szCs w:val="18"/>
              </w:rPr>
              <w:t>11 882</w:t>
            </w:r>
          </w:p>
        </w:tc>
        <w:tc>
          <w:tcPr>
            <w:tcW w:w="463" w:type="pct"/>
            <w:gridSpan w:val="3"/>
            <w:tcBorders>
              <w:top w:val="nil"/>
              <w:left w:val="nil"/>
              <w:bottom w:val="nil"/>
              <w:right w:val="nil"/>
            </w:tcBorders>
            <w:shd w:val="clear" w:color="000000" w:fill="FFFFFF"/>
            <w:noWrap/>
            <w:vAlign w:val="center"/>
            <w:hideMark/>
          </w:tcPr>
          <w:p w14:paraId="3D4B639B" w14:textId="61E635B8" w:rsidR="0095427D" w:rsidRPr="00052A5E" w:rsidRDefault="0095427D" w:rsidP="0095427D">
            <w:pPr>
              <w:spacing w:after="0" w:line="240" w:lineRule="auto"/>
              <w:ind w:left="137" w:right="-72" w:hanging="283"/>
              <w:jc w:val="right"/>
              <w:rPr>
                <w:sz w:val="18"/>
                <w:szCs w:val="18"/>
                <w:highlight w:val="yellow"/>
                <w:lang w:eastAsia="sk-SK"/>
              </w:rPr>
            </w:pPr>
            <w:r>
              <w:rPr>
                <w:sz w:val="18"/>
                <w:szCs w:val="18"/>
              </w:rPr>
              <w:t>193 153</w:t>
            </w:r>
          </w:p>
        </w:tc>
        <w:tc>
          <w:tcPr>
            <w:tcW w:w="523" w:type="pct"/>
            <w:gridSpan w:val="4"/>
            <w:tcBorders>
              <w:top w:val="nil"/>
              <w:left w:val="nil"/>
              <w:bottom w:val="nil"/>
              <w:right w:val="nil"/>
            </w:tcBorders>
            <w:shd w:val="clear" w:color="000000" w:fill="FFFFFF"/>
            <w:noWrap/>
            <w:vAlign w:val="center"/>
            <w:hideMark/>
          </w:tcPr>
          <w:p w14:paraId="1039005C" w14:textId="5870F0B7" w:rsidR="0095427D" w:rsidRPr="00052A5E" w:rsidRDefault="0095427D" w:rsidP="0095427D">
            <w:pPr>
              <w:spacing w:after="0" w:line="240" w:lineRule="auto"/>
              <w:ind w:left="137" w:right="15" w:hanging="283"/>
              <w:jc w:val="right"/>
              <w:rPr>
                <w:sz w:val="18"/>
                <w:szCs w:val="18"/>
                <w:highlight w:val="yellow"/>
                <w:lang w:eastAsia="sk-SK"/>
              </w:rPr>
            </w:pPr>
            <w:r>
              <w:rPr>
                <w:sz w:val="18"/>
                <w:szCs w:val="18"/>
              </w:rPr>
              <w:t>-12 170</w:t>
            </w:r>
          </w:p>
        </w:tc>
        <w:tc>
          <w:tcPr>
            <w:tcW w:w="531" w:type="pct"/>
            <w:gridSpan w:val="3"/>
            <w:tcBorders>
              <w:top w:val="nil"/>
              <w:left w:val="nil"/>
              <w:bottom w:val="nil"/>
              <w:right w:val="nil"/>
            </w:tcBorders>
            <w:shd w:val="clear" w:color="000000" w:fill="FFFFFF"/>
            <w:noWrap/>
            <w:vAlign w:val="center"/>
            <w:hideMark/>
          </w:tcPr>
          <w:p w14:paraId="75CF9519" w14:textId="5964A6A2" w:rsidR="0095427D" w:rsidRPr="00052A5E" w:rsidRDefault="0095427D" w:rsidP="0095427D">
            <w:pPr>
              <w:spacing w:after="0" w:line="240" w:lineRule="auto"/>
              <w:ind w:left="137" w:hanging="283"/>
              <w:jc w:val="right"/>
              <w:rPr>
                <w:sz w:val="18"/>
                <w:szCs w:val="18"/>
                <w:highlight w:val="yellow"/>
                <w:lang w:eastAsia="sk-SK"/>
              </w:rPr>
            </w:pPr>
            <w:r>
              <w:rPr>
                <w:sz w:val="18"/>
                <w:szCs w:val="18"/>
              </w:rPr>
              <w:t>181 271</w:t>
            </w:r>
          </w:p>
        </w:tc>
        <w:tc>
          <w:tcPr>
            <w:tcW w:w="463" w:type="pct"/>
            <w:gridSpan w:val="2"/>
            <w:tcBorders>
              <w:top w:val="nil"/>
              <w:left w:val="nil"/>
              <w:bottom w:val="nil"/>
              <w:right w:val="nil"/>
            </w:tcBorders>
            <w:shd w:val="clear" w:color="000000" w:fill="FFFFFF"/>
            <w:noWrap/>
            <w:vAlign w:val="center"/>
            <w:hideMark/>
          </w:tcPr>
          <w:p w14:paraId="3797CB75" w14:textId="576A9AC2"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205 323</w:t>
            </w:r>
          </w:p>
        </w:tc>
      </w:tr>
      <w:tr w:rsidR="007970C8" w:rsidRPr="00C16361" w14:paraId="6FCEE69C"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1FAC6D75"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shd w:val="clear" w:color="000000" w:fill="FFFFFF"/>
            <w:noWrap/>
            <w:vAlign w:val="center"/>
            <w:hideMark/>
          </w:tcPr>
          <w:p w14:paraId="34EFF68C" w14:textId="77777777" w:rsidR="0095427D" w:rsidRPr="00C16361" w:rsidRDefault="0095427D" w:rsidP="0095427D">
            <w:pPr>
              <w:spacing w:after="0" w:line="240" w:lineRule="auto"/>
              <w:rPr>
                <w:color w:val="000000"/>
                <w:sz w:val="18"/>
                <w:szCs w:val="18"/>
                <w:lang w:eastAsia="sk-SK"/>
              </w:rPr>
            </w:pPr>
            <w:r w:rsidRPr="00C16361">
              <w:rPr>
                <w:color w:val="000000"/>
                <w:sz w:val="18"/>
                <w:szCs w:val="18"/>
                <w:lang w:eastAsia="sk-SK"/>
              </w:rPr>
              <w:t> </w:t>
            </w:r>
          </w:p>
        </w:tc>
        <w:tc>
          <w:tcPr>
            <w:tcW w:w="1783" w:type="pct"/>
            <w:gridSpan w:val="2"/>
            <w:tcBorders>
              <w:top w:val="nil"/>
              <w:left w:val="nil"/>
              <w:bottom w:val="nil"/>
              <w:right w:val="nil"/>
            </w:tcBorders>
            <w:shd w:val="clear" w:color="000000" w:fill="FFFFFF"/>
            <w:noWrap/>
            <w:vAlign w:val="center"/>
            <w:hideMark/>
          </w:tcPr>
          <w:p w14:paraId="74D238EA" w14:textId="3FC4DE3E" w:rsidR="0095427D" w:rsidRPr="00C16361" w:rsidRDefault="0095427D" w:rsidP="0095427D">
            <w:pPr>
              <w:spacing w:after="0" w:line="240" w:lineRule="auto"/>
              <w:rPr>
                <w:sz w:val="18"/>
                <w:szCs w:val="18"/>
                <w:lang w:eastAsia="sk-SK"/>
              </w:rPr>
            </w:pPr>
            <w:r w:rsidRPr="00C16361">
              <w:rPr>
                <w:sz w:val="18"/>
                <w:szCs w:val="18"/>
                <w:lang w:eastAsia="sk-SK"/>
              </w:rPr>
              <w:t>JAVYS</w:t>
            </w:r>
          </w:p>
        </w:tc>
        <w:tc>
          <w:tcPr>
            <w:tcW w:w="455" w:type="pct"/>
            <w:gridSpan w:val="2"/>
            <w:tcBorders>
              <w:top w:val="nil"/>
              <w:left w:val="nil"/>
              <w:bottom w:val="nil"/>
              <w:right w:val="nil"/>
            </w:tcBorders>
            <w:shd w:val="clear" w:color="000000" w:fill="FFFFFF"/>
            <w:noWrap/>
            <w:vAlign w:val="center"/>
            <w:hideMark/>
          </w:tcPr>
          <w:p w14:paraId="3FDE63F7" w14:textId="7155BD5A" w:rsidR="0095427D" w:rsidRPr="00052A5E" w:rsidRDefault="0095427D" w:rsidP="0095427D">
            <w:pPr>
              <w:spacing w:after="0" w:line="240" w:lineRule="auto"/>
              <w:ind w:right="-70"/>
              <w:jc w:val="right"/>
              <w:rPr>
                <w:sz w:val="18"/>
                <w:szCs w:val="18"/>
                <w:highlight w:val="yellow"/>
                <w:lang w:eastAsia="sk-SK"/>
              </w:rPr>
            </w:pPr>
            <w:r>
              <w:rPr>
                <w:sz w:val="18"/>
                <w:szCs w:val="18"/>
              </w:rPr>
              <w:t>1 974</w:t>
            </w:r>
          </w:p>
        </w:tc>
        <w:tc>
          <w:tcPr>
            <w:tcW w:w="535" w:type="pct"/>
            <w:gridSpan w:val="4"/>
            <w:tcBorders>
              <w:top w:val="nil"/>
              <w:left w:val="nil"/>
              <w:bottom w:val="nil"/>
              <w:right w:val="nil"/>
            </w:tcBorders>
            <w:shd w:val="clear" w:color="000000" w:fill="FFFFFF"/>
            <w:noWrap/>
            <w:vAlign w:val="center"/>
            <w:hideMark/>
          </w:tcPr>
          <w:p w14:paraId="51ADD76A" w14:textId="29EEE9E5" w:rsidR="0095427D" w:rsidRPr="00052A5E" w:rsidRDefault="0095427D" w:rsidP="0095427D">
            <w:pPr>
              <w:spacing w:after="0" w:line="240" w:lineRule="auto"/>
              <w:ind w:firstLine="74"/>
              <w:jc w:val="right"/>
              <w:rPr>
                <w:sz w:val="18"/>
                <w:szCs w:val="18"/>
                <w:highlight w:val="yellow"/>
                <w:lang w:eastAsia="sk-SK"/>
              </w:rPr>
            </w:pPr>
            <w:r>
              <w:rPr>
                <w:sz w:val="18"/>
                <w:szCs w:val="18"/>
              </w:rPr>
              <w:t>8 694</w:t>
            </w:r>
          </w:p>
        </w:tc>
        <w:tc>
          <w:tcPr>
            <w:tcW w:w="463" w:type="pct"/>
            <w:gridSpan w:val="3"/>
            <w:tcBorders>
              <w:top w:val="nil"/>
              <w:left w:val="nil"/>
              <w:bottom w:val="nil"/>
              <w:right w:val="nil"/>
            </w:tcBorders>
            <w:shd w:val="clear" w:color="000000" w:fill="FFFFFF"/>
            <w:noWrap/>
            <w:vAlign w:val="center"/>
            <w:hideMark/>
          </w:tcPr>
          <w:p w14:paraId="152DF1CD" w14:textId="1F74D3DE" w:rsidR="0095427D" w:rsidRPr="00052A5E" w:rsidRDefault="0095427D" w:rsidP="0095427D">
            <w:pPr>
              <w:spacing w:after="0" w:line="240" w:lineRule="auto"/>
              <w:ind w:left="137" w:right="-72" w:hanging="283"/>
              <w:jc w:val="right"/>
              <w:rPr>
                <w:sz w:val="18"/>
                <w:szCs w:val="18"/>
                <w:highlight w:val="yellow"/>
                <w:lang w:eastAsia="sk-SK"/>
              </w:rPr>
            </w:pPr>
            <w:r>
              <w:rPr>
                <w:sz w:val="18"/>
                <w:szCs w:val="18"/>
              </w:rPr>
              <w:t>21 913</w:t>
            </w:r>
          </w:p>
        </w:tc>
        <w:tc>
          <w:tcPr>
            <w:tcW w:w="523" w:type="pct"/>
            <w:gridSpan w:val="4"/>
            <w:tcBorders>
              <w:top w:val="nil"/>
              <w:left w:val="nil"/>
              <w:bottom w:val="nil"/>
              <w:right w:val="nil"/>
            </w:tcBorders>
            <w:shd w:val="clear" w:color="000000" w:fill="FFFFFF"/>
            <w:noWrap/>
            <w:vAlign w:val="center"/>
            <w:hideMark/>
          </w:tcPr>
          <w:p w14:paraId="1EA1F55B" w14:textId="31B88AE3" w:rsidR="0095427D" w:rsidRPr="00052A5E" w:rsidRDefault="0095427D" w:rsidP="0095427D">
            <w:pPr>
              <w:spacing w:after="0" w:line="240" w:lineRule="auto"/>
              <w:ind w:left="137" w:right="15" w:hanging="283"/>
              <w:jc w:val="right"/>
              <w:rPr>
                <w:sz w:val="18"/>
                <w:szCs w:val="18"/>
                <w:highlight w:val="yellow"/>
                <w:lang w:eastAsia="sk-SK"/>
              </w:rPr>
            </w:pPr>
            <w:r>
              <w:rPr>
                <w:sz w:val="18"/>
                <w:szCs w:val="18"/>
              </w:rPr>
              <w:t>-59 619</w:t>
            </w:r>
          </w:p>
        </w:tc>
        <w:tc>
          <w:tcPr>
            <w:tcW w:w="531" w:type="pct"/>
            <w:gridSpan w:val="3"/>
            <w:tcBorders>
              <w:top w:val="nil"/>
              <w:left w:val="nil"/>
              <w:bottom w:val="nil"/>
              <w:right w:val="nil"/>
            </w:tcBorders>
            <w:shd w:val="clear" w:color="000000" w:fill="FFFFFF"/>
            <w:noWrap/>
            <w:vAlign w:val="center"/>
            <w:hideMark/>
          </w:tcPr>
          <w:p w14:paraId="464E5A28" w14:textId="2BAEBAF8" w:rsidR="0095427D" w:rsidRPr="00052A5E" w:rsidRDefault="0095427D" w:rsidP="0095427D">
            <w:pPr>
              <w:spacing w:after="0" w:line="240" w:lineRule="auto"/>
              <w:ind w:left="137" w:hanging="283"/>
              <w:jc w:val="right"/>
              <w:rPr>
                <w:sz w:val="18"/>
                <w:szCs w:val="18"/>
                <w:highlight w:val="yellow"/>
                <w:lang w:eastAsia="sk-SK"/>
              </w:rPr>
            </w:pPr>
            <w:r>
              <w:rPr>
                <w:sz w:val="18"/>
                <w:szCs w:val="18"/>
              </w:rPr>
              <w:t>13 219</w:t>
            </w:r>
          </w:p>
        </w:tc>
        <w:tc>
          <w:tcPr>
            <w:tcW w:w="463" w:type="pct"/>
            <w:gridSpan w:val="2"/>
            <w:tcBorders>
              <w:top w:val="nil"/>
              <w:left w:val="nil"/>
              <w:bottom w:val="nil"/>
              <w:right w:val="nil"/>
            </w:tcBorders>
            <w:shd w:val="clear" w:color="000000" w:fill="FFFFFF"/>
            <w:noWrap/>
            <w:vAlign w:val="center"/>
            <w:hideMark/>
          </w:tcPr>
          <w:p w14:paraId="46E58FEA" w14:textId="78B4B5FD"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81 532</w:t>
            </w:r>
          </w:p>
        </w:tc>
      </w:tr>
      <w:tr w:rsidR="007970C8" w:rsidRPr="00C16361" w14:paraId="62787A51"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6F71F05F"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shd w:val="clear" w:color="000000" w:fill="FFFFFF"/>
            <w:noWrap/>
            <w:vAlign w:val="center"/>
            <w:hideMark/>
          </w:tcPr>
          <w:p w14:paraId="011F568A" w14:textId="77777777" w:rsidR="0095427D" w:rsidRPr="00C16361" w:rsidRDefault="0095427D" w:rsidP="0095427D">
            <w:pPr>
              <w:spacing w:after="0" w:line="240" w:lineRule="auto"/>
              <w:rPr>
                <w:color w:val="000000"/>
                <w:sz w:val="18"/>
                <w:szCs w:val="18"/>
                <w:lang w:eastAsia="sk-SK"/>
              </w:rPr>
            </w:pPr>
            <w:r w:rsidRPr="00C16361">
              <w:rPr>
                <w:color w:val="000000"/>
                <w:sz w:val="18"/>
                <w:szCs w:val="18"/>
                <w:lang w:eastAsia="sk-SK"/>
              </w:rPr>
              <w:t> </w:t>
            </w:r>
          </w:p>
        </w:tc>
        <w:tc>
          <w:tcPr>
            <w:tcW w:w="1783" w:type="pct"/>
            <w:gridSpan w:val="2"/>
            <w:tcBorders>
              <w:top w:val="nil"/>
              <w:left w:val="nil"/>
              <w:bottom w:val="nil"/>
              <w:right w:val="nil"/>
            </w:tcBorders>
            <w:shd w:val="clear" w:color="000000" w:fill="FFFFFF"/>
            <w:noWrap/>
            <w:vAlign w:val="center"/>
            <w:hideMark/>
          </w:tcPr>
          <w:p w14:paraId="2A47A082" w14:textId="29C09906" w:rsidR="0095427D" w:rsidRPr="00C16361" w:rsidRDefault="0095427D" w:rsidP="0095427D">
            <w:pPr>
              <w:spacing w:after="0" w:line="240" w:lineRule="auto"/>
              <w:rPr>
                <w:sz w:val="18"/>
                <w:szCs w:val="18"/>
                <w:lang w:eastAsia="sk-SK"/>
              </w:rPr>
            </w:pPr>
            <w:r w:rsidRPr="00C16361">
              <w:rPr>
                <w:sz w:val="18"/>
                <w:szCs w:val="18"/>
                <w:lang w:eastAsia="sk-SK"/>
              </w:rPr>
              <w:t>MH Invest II, s. r. o.</w:t>
            </w:r>
          </w:p>
        </w:tc>
        <w:tc>
          <w:tcPr>
            <w:tcW w:w="455" w:type="pct"/>
            <w:gridSpan w:val="2"/>
            <w:tcBorders>
              <w:top w:val="nil"/>
              <w:left w:val="nil"/>
              <w:bottom w:val="nil"/>
              <w:right w:val="nil"/>
            </w:tcBorders>
            <w:shd w:val="clear" w:color="000000" w:fill="FFFFFF"/>
            <w:noWrap/>
            <w:vAlign w:val="center"/>
            <w:hideMark/>
          </w:tcPr>
          <w:p w14:paraId="18E573CC" w14:textId="33687368" w:rsidR="0095427D" w:rsidRPr="00052A5E" w:rsidRDefault="0095427D" w:rsidP="0095427D">
            <w:pPr>
              <w:spacing w:after="0" w:line="240" w:lineRule="auto"/>
              <w:ind w:right="-70"/>
              <w:jc w:val="right"/>
              <w:rPr>
                <w:sz w:val="18"/>
                <w:szCs w:val="18"/>
                <w:highlight w:val="yellow"/>
                <w:lang w:eastAsia="sk-SK"/>
              </w:rPr>
            </w:pPr>
            <w:r>
              <w:rPr>
                <w:sz w:val="18"/>
                <w:szCs w:val="18"/>
              </w:rPr>
              <w:t>838</w:t>
            </w:r>
          </w:p>
        </w:tc>
        <w:tc>
          <w:tcPr>
            <w:tcW w:w="535" w:type="pct"/>
            <w:gridSpan w:val="4"/>
            <w:tcBorders>
              <w:top w:val="nil"/>
              <w:left w:val="nil"/>
              <w:bottom w:val="nil"/>
              <w:right w:val="nil"/>
            </w:tcBorders>
            <w:shd w:val="clear" w:color="000000" w:fill="FFFFFF"/>
            <w:noWrap/>
            <w:vAlign w:val="center"/>
            <w:hideMark/>
          </w:tcPr>
          <w:p w14:paraId="35980C8C" w14:textId="6FF11091" w:rsidR="0095427D" w:rsidRPr="00052A5E" w:rsidRDefault="0095427D" w:rsidP="0095427D">
            <w:pPr>
              <w:spacing w:after="0" w:line="240" w:lineRule="auto"/>
              <w:ind w:firstLine="74"/>
              <w:jc w:val="right"/>
              <w:rPr>
                <w:sz w:val="18"/>
                <w:szCs w:val="18"/>
                <w:highlight w:val="yellow"/>
                <w:lang w:eastAsia="sk-SK"/>
              </w:rPr>
            </w:pPr>
            <w:r>
              <w:rPr>
                <w:sz w:val="18"/>
                <w:szCs w:val="18"/>
              </w:rPr>
              <w:t>-983</w:t>
            </w:r>
          </w:p>
        </w:tc>
        <w:tc>
          <w:tcPr>
            <w:tcW w:w="463" w:type="pct"/>
            <w:gridSpan w:val="3"/>
            <w:tcBorders>
              <w:top w:val="nil"/>
              <w:left w:val="nil"/>
              <w:bottom w:val="nil"/>
              <w:right w:val="nil"/>
            </w:tcBorders>
            <w:shd w:val="clear" w:color="000000" w:fill="FFFFFF"/>
            <w:noWrap/>
            <w:vAlign w:val="center"/>
            <w:hideMark/>
          </w:tcPr>
          <w:p w14:paraId="2526383B" w14:textId="687E2DF0" w:rsidR="0095427D" w:rsidRPr="00052A5E" w:rsidRDefault="0095427D" w:rsidP="0095427D">
            <w:pPr>
              <w:spacing w:after="0" w:line="240" w:lineRule="auto"/>
              <w:ind w:left="137" w:right="-72" w:hanging="283"/>
              <w:jc w:val="right"/>
              <w:rPr>
                <w:sz w:val="18"/>
                <w:szCs w:val="18"/>
                <w:highlight w:val="yellow"/>
                <w:lang w:eastAsia="sk-SK"/>
              </w:rPr>
            </w:pPr>
            <w:r>
              <w:rPr>
                <w:sz w:val="18"/>
                <w:szCs w:val="18"/>
              </w:rPr>
              <w:t>1 766</w:t>
            </w:r>
          </w:p>
        </w:tc>
        <w:tc>
          <w:tcPr>
            <w:tcW w:w="523" w:type="pct"/>
            <w:gridSpan w:val="4"/>
            <w:tcBorders>
              <w:top w:val="nil"/>
              <w:left w:val="nil"/>
              <w:bottom w:val="nil"/>
              <w:right w:val="nil"/>
            </w:tcBorders>
            <w:shd w:val="clear" w:color="000000" w:fill="FFFFFF"/>
            <w:noWrap/>
            <w:vAlign w:val="center"/>
            <w:hideMark/>
          </w:tcPr>
          <w:p w14:paraId="4647F7AA" w14:textId="03F413DC" w:rsidR="0095427D" w:rsidRPr="00052A5E" w:rsidRDefault="0095427D" w:rsidP="0095427D">
            <w:pPr>
              <w:spacing w:after="0" w:line="240" w:lineRule="auto"/>
              <w:ind w:left="137" w:right="15" w:hanging="283"/>
              <w:jc w:val="right"/>
              <w:rPr>
                <w:sz w:val="18"/>
                <w:szCs w:val="18"/>
                <w:highlight w:val="yellow"/>
                <w:lang w:eastAsia="sk-SK"/>
              </w:rPr>
            </w:pPr>
            <w:r>
              <w:rPr>
                <w:sz w:val="18"/>
                <w:szCs w:val="18"/>
              </w:rPr>
              <w:t>-309</w:t>
            </w:r>
          </w:p>
        </w:tc>
        <w:tc>
          <w:tcPr>
            <w:tcW w:w="531" w:type="pct"/>
            <w:gridSpan w:val="3"/>
            <w:tcBorders>
              <w:top w:val="nil"/>
              <w:left w:val="nil"/>
              <w:bottom w:val="nil"/>
              <w:right w:val="nil"/>
            </w:tcBorders>
            <w:shd w:val="clear" w:color="000000" w:fill="FFFFFF"/>
            <w:noWrap/>
            <w:vAlign w:val="center"/>
            <w:hideMark/>
          </w:tcPr>
          <w:p w14:paraId="51F5127E" w14:textId="3C90FB49" w:rsidR="0095427D" w:rsidRPr="00052A5E" w:rsidRDefault="0095427D" w:rsidP="0095427D">
            <w:pPr>
              <w:spacing w:after="0" w:line="240" w:lineRule="auto"/>
              <w:ind w:left="137" w:hanging="283"/>
              <w:jc w:val="right"/>
              <w:rPr>
                <w:sz w:val="18"/>
                <w:szCs w:val="18"/>
                <w:highlight w:val="yellow"/>
                <w:lang w:eastAsia="sk-SK"/>
              </w:rPr>
            </w:pPr>
            <w:r>
              <w:rPr>
                <w:sz w:val="18"/>
                <w:szCs w:val="18"/>
              </w:rPr>
              <w:t>2 749</w:t>
            </w:r>
          </w:p>
        </w:tc>
        <w:tc>
          <w:tcPr>
            <w:tcW w:w="463" w:type="pct"/>
            <w:gridSpan w:val="2"/>
            <w:tcBorders>
              <w:top w:val="nil"/>
              <w:left w:val="nil"/>
              <w:bottom w:val="nil"/>
              <w:right w:val="nil"/>
            </w:tcBorders>
            <w:shd w:val="clear" w:color="000000" w:fill="FFFFFF"/>
            <w:noWrap/>
            <w:vAlign w:val="center"/>
            <w:hideMark/>
          </w:tcPr>
          <w:p w14:paraId="41D34E87" w14:textId="57B6A665"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2 075</w:t>
            </w:r>
          </w:p>
        </w:tc>
      </w:tr>
      <w:tr w:rsidR="007970C8" w:rsidRPr="00C16361" w14:paraId="1326C71C"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42F95722"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shd w:val="clear" w:color="000000" w:fill="FFFFFF"/>
            <w:noWrap/>
            <w:vAlign w:val="center"/>
            <w:hideMark/>
          </w:tcPr>
          <w:p w14:paraId="729087CB" w14:textId="77777777" w:rsidR="0095427D" w:rsidRPr="00C16361" w:rsidRDefault="0095427D" w:rsidP="0095427D">
            <w:pPr>
              <w:spacing w:after="0" w:line="240" w:lineRule="auto"/>
              <w:rPr>
                <w:sz w:val="18"/>
                <w:szCs w:val="18"/>
                <w:lang w:eastAsia="sk-SK"/>
              </w:rPr>
            </w:pPr>
            <w:r w:rsidRPr="00C16361">
              <w:rPr>
                <w:sz w:val="18"/>
                <w:szCs w:val="18"/>
                <w:lang w:eastAsia="sk-SK"/>
              </w:rPr>
              <w:t> </w:t>
            </w:r>
          </w:p>
        </w:tc>
        <w:tc>
          <w:tcPr>
            <w:tcW w:w="1783" w:type="pct"/>
            <w:gridSpan w:val="2"/>
            <w:tcBorders>
              <w:top w:val="nil"/>
              <w:left w:val="nil"/>
              <w:bottom w:val="nil"/>
              <w:right w:val="nil"/>
            </w:tcBorders>
            <w:shd w:val="clear" w:color="000000" w:fill="FFFFFF"/>
            <w:noWrap/>
            <w:hideMark/>
          </w:tcPr>
          <w:p w14:paraId="2DB66BC9" w14:textId="1E9B3E35" w:rsidR="0095427D" w:rsidRPr="00C16361" w:rsidRDefault="0095427D" w:rsidP="0095427D">
            <w:pPr>
              <w:spacing w:after="0" w:line="240" w:lineRule="auto"/>
              <w:rPr>
                <w:sz w:val="18"/>
                <w:szCs w:val="18"/>
                <w:lang w:eastAsia="sk-SK"/>
              </w:rPr>
            </w:pPr>
            <w:r w:rsidRPr="00C16361">
              <w:rPr>
                <w:sz w:val="18"/>
                <w:szCs w:val="18"/>
                <w:lang w:eastAsia="sk-SK"/>
              </w:rPr>
              <w:t>Slovenská konsolidačná, a. s.</w:t>
            </w:r>
          </w:p>
        </w:tc>
        <w:tc>
          <w:tcPr>
            <w:tcW w:w="455" w:type="pct"/>
            <w:gridSpan w:val="2"/>
            <w:tcBorders>
              <w:top w:val="nil"/>
              <w:left w:val="nil"/>
              <w:bottom w:val="nil"/>
              <w:right w:val="nil"/>
            </w:tcBorders>
            <w:shd w:val="clear" w:color="000000" w:fill="FFFFFF"/>
            <w:noWrap/>
            <w:vAlign w:val="center"/>
            <w:hideMark/>
          </w:tcPr>
          <w:p w14:paraId="4A51CD5E" w14:textId="2C45799B" w:rsidR="0095427D" w:rsidRPr="00052A5E" w:rsidRDefault="0095427D" w:rsidP="0095427D">
            <w:pPr>
              <w:spacing w:after="0" w:line="240" w:lineRule="auto"/>
              <w:ind w:right="-70"/>
              <w:jc w:val="right"/>
              <w:rPr>
                <w:sz w:val="18"/>
                <w:szCs w:val="18"/>
                <w:highlight w:val="yellow"/>
                <w:lang w:eastAsia="sk-SK"/>
              </w:rPr>
            </w:pPr>
            <w:r>
              <w:rPr>
                <w:sz w:val="18"/>
                <w:szCs w:val="18"/>
              </w:rPr>
              <w:t>3 495</w:t>
            </w:r>
          </w:p>
        </w:tc>
        <w:tc>
          <w:tcPr>
            <w:tcW w:w="535" w:type="pct"/>
            <w:gridSpan w:val="4"/>
            <w:tcBorders>
              <w:top w:val="nil"/>
              <w:left w:val="nil"/>
              <w:bottom w:val="nil"/>
              <w:right w:val="nil"/>
            </w:tcBorders>
            <w:shd w:val="clear" w:color="000000" w:fill="FFFFFF"/>
            <w:noWrap/>
            <w:vAlign w:val="center"/>
            <w:hideMark/>
          </w:tcPr>
          <w:p w14:paraId="3F4076B3" w14:textId="2493F929" w:rsidR="0095427D" w:rsidRPr="00052A5E" w:rsidRDefault="0095427D" w:rsidP="0095427D">
            <w:pPr>
              <w:spacing w:after="0" w:line="240" w:lineRule="auto"/>
              <w:ind w:firstLine="74"/>
              <w:jc w:val="right"/>
              <w:rPr>
                <w:sz w:val="18"/>
                <w:szCs w:val="18"/>
                <w:highlight w:val="yellow"/>
                <w:lang w:eastAsia="sk-SK"/>
              </w:rPr>
            </w:pPr>
            <w:r>
              <w:rPr>
                <w:sz w:val="18"/>
                <w:szCs w:val="18"/>
              </w:rPr>
              <w:t>354</w:t>
            </w:r>
          </w:p>
        </w:tc>
        <w:tc>
          <w:tcPr>
            <w:tcW w:w="463" w:type="pct"/>
            <w:gridSpan w:val="3"/>
            <w:tcBorders>
              <w:top w:val="nil"/>
              <w:left w:val="nil"/>
              <w:bottom w:val="nil"/>
              <w:right w:val="nil"/>
            </w:tcBorders>
            <w:shd w:val="clear" w:color="000000" w:fill="FFFFFF"/>
            <w:noWrap/>
            <w:vAlign w:val="center"/>
            <w:hideMark/>
          </w:tcPr>
          <w:p w14:paraId="27168BEB" w14:textId="7FE3BD91" w:rsidR="0095427D" w:rsidRPr="00052A5E" w:rsidRDefault="0095427D" w:rsidP="0095427D">
            <w:pPr>
              <w:spacing w:after="0" w:line="240" w:lineRule="auto"/>
              <w:ind w:left="137" w:right="-72" w:hanging="283"/>
              <w:jc w:val="right"/>
              <w:rPr>
                <w:sz w:val="18"/>
                <w:szCs w:val="18"/>
                <w:highlight w:val="yellow"/>
                <w:lang w:eastAsia="sk-SK"/>
              </w:rPr>
            </w:pPr>
            <w:r>
              <w:rPr>
                <w:sz w:val="18"/>
                <w:szCs w:val="18"/>
              </w:rPr>
              <w:t>-316</w:t>
            </w:r>
          </w:p>
        </w:tc>
        <w:tc>
          <w:tcPr>
            <w:tcW w:w="523" w:type="pct"/>
            <w:gridSpan w:val="4"/>
            <w:tcBorders>
              <w:top w:val="nil"/>
              <w:left w:val="nil"/>
              <w:bottom w:val="nil"/>
              <w:right w:val="nil"/>
            </w:tcBorders>
            <w:shd w:val="clear" w:color="000000" w:fill="FFFFFF"/>
            <w:noWrap/>
            <w:vAlign w:val="center"/>
            <w:hideMark/>
          </w:tcPr>
          <w:p w14:paraId="27027683" w14:textId="2FC30969" w:rsidR="0095427D" w:rsidRPr="00052A5E" w:rsidRDefault="0095427D" w:rsidP="0095427D">
            <w:pPr>
              <w:spacing w:after="0" w:line="240" w:lineRule="auto"/>
              <w:ind w:left="137" w:right="15" w:hanging="283"/>
              <w:jc w:val="right"/>
              <w:rPr>
                <w:sz w:val="18"/>
                <w:szCs w:val="18"/>
                <w:highlight w:val="yellow"/>
                <w:lang w:eastAsia="sk-SK"/>
              </w:rPr>
            </w:pPr>
            <w:r>
              <w:rPr>
                <w:sz w:val="18"/>
                <w:szCs w:val="18"/>
              </w:rPr>
              <w:t>-4 077</w:t>
            </w:r>
          </w:p>
        </w:tc>
        <w:tc>
          <w:tcPr>
            <w:tcW w:w="531" w:type="pct"/>
            <w:gridSpan w:val="3"/>
            <w:tcBorders>
              <w:top w:val="nil"/>
              <w:left w:val="nil"/>
              <w:bottom w:val="nil"/>
              <w:right w:val="nil"/>
            </w:tcBorders>
            <w:shd w:val="clear" w:color="000000" w:fill="FFFFFF"/>
            <w:noWrap/>
            <w:vAlign w:val="center"/>
            <w:hideMark/>
          </w:tcPr>
          <w:p w14:paraId="248945A6" w14:textId="682EDF12" w:rsidR="0095427D" w:rsidRPr="00052A5E" w:rsidRDefault="0095427D" w:rsidP="0095427D">
            <w:pPr>
              <w:spacing w:after="0" w:line="240" w:lineRule="auto"/>
              <w:ind w:left="137" w:hanging="283"/>
              <w:jc w:val="right"/>
              <w:rPr>
                <w:sz w:val="18"/>
                <w:szCs w:val="18"/>
                <w:highlight w:val="yellow"/>
                <w:lang w:eastAsia="sk-SK"/>
              </w:rPr>
            </w:pPr>
            <w:r>
              <w:rPr>
                <w:sz w:val="18"/>
                <w:szCs w:val="18"/>
              </w:rPr>
              <w:t>-670</w:t>
            </w:r>
          </w:p>
        </w:tc>
        <w:tc>
          <w:tcPr>
            <w:tcW w:w="463" w:type="pct"/>
            <w:gridSpan w:val="2"/>
            <w:tcBorders>
              <w:top w:val="nil"/>
              <w:left w:val="nil"/>
              <w:bottom w:val="nil"/>
              <w:right w:val="nil"/>
            </w:tcBorders>
            <w:shd w:val="clear" w:color="000000" w:fill="FFFFFF"/>
            <w:noWrap/>
            <w:vAlign w:val="center"/>
            <w:hideMark/>
          </w:tcPr>
          <w:p w14:paraId="4141C4C6" w14:textId="083E1F4D"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3 761</w:t>
            </w:r>
          </w:p>
        </w:tc>
      </w:tr>
      <w:tr w:rsidR="007970C8" w:rsidRPr="00C16361" w14:paraId="5B8A3E9A"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51B13538"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shd w:val="clear" w:color="000000" w:fill="FFFFFF"/>
            <w:noWrap/>
            <w:vAlign w:val="center"/>
            <w:hideMark/>
          </w:tcPr>
          <w:p w14:paraId="16537A17" w14:textId="77777777" w:rsidR="0095427D" w:rsidRPr="00C16361" w:rsidRDefault="0095427D" w:rsidP="0095427D">
            <w:pPr>
              <w:spacing w:after="0" w:line="240" w:lineRule="auto"/>
              <w:rPr>
                <w:sz w:val="18"/>
                <w:szCs w:val="18"/>
                <w:lang w:eastAsia="sk-SK"/>
              </w:rPr>
            </w:pPr>
            <w:r w:rsidRPr="00C16361">
              <w:rPr>
                <w:sz w:val="18"/>
                <w:szCs w:val="18"/>
                <w:lang w:eastAsia="sk-SK"/>
              </w:rPr>
              <w:t> </w:t>
            </w:r>
          </w:p>
        </w:tc>
        <w:tc>
          <w:tcPr>
            <w:tcW w:w="1783" w:type="pct"/>
            <w:gridSpan w:val="2"/>
            <w:tcBorders>
              <w:top w:val="nil"/>
              <w:left w:val="nil"/>
              <w:bottom w:val="nil"/>
              <w:right w:val="nil"/>
            </w:tcBorders>
            <w:shd w:val="clear" w:color="000000" w:fill="FFFFFF"/>
            <w:noWrap/>
            <w:vAlign w:val="center"/>
            <w:hideMark/>
          </w:tcPr>
          <w:p w14:paraId="1B7F888B" w14:textId="7E98F455" w:rsidR="0095427D" w:rsidRPr="00C16361" w:rsidRDefault="0095427D" w:rsidP="0095427D">
            <w:pPr>
              <w:spacing w:after="0" w:line="240" w:lineRule="auto"/>
              <w:rPr>
                <w:sz w:val="18"/>
                <w:szCs w:val="18"/>
                <w:lang w:eastAsia="sk-SK"/>
              </w:rPr>
            </w:pPr>
            <w:r w:rsidRPr="00C16361">
              <w:rPr>
                <w:sz w:val="18"/>
                <w:szCs w:val="18"/>
                <w:lang w:eastAsia="sk-SK"/>
              </w:rPr>
              <w:t>Národná diaľničná spoločnosť, a. s.</w:t>
            </w:r>
          </w:p>
        </w:tc>
        <w:tc>
          <w:tcPr>
            <w:tcW w:w="455" w:type="pct"/>
            <w:gridSpan w:val="2"/>
            <w:tcBorders>
              <w:top w:val="nil"/>
              <w:left w:val="nil"/>
              <w:bottom w:val="nil"/>
              <w:right w:val="nil"/>
            </w:tcBorders>
            <w:shd w:val="clear" w:color="000000" w:fill="FFFFFF"/>
            <w:noWrap/>
            <w:vAlign w:val="center"/>
            <w:hideMark/>
          </w:tcPr>
          <w:p w14:paraId="06A5FB37" w14:textId="773427A3" w:rsidR="0095427D" w:rsidRPr="00052A5E" w:rsidRDefault="0095427D" w:rsidP="0095427D">
            <w:pPr>
              <w:spacing w:after="0" w:line="240" w:lineRule="auto"/>
              <w:ind w:right="-70"/>
              <w:jc w:val="right"/>
              <w:rPr>
                <w:sz w:val="18"/>
                <w:szCs w:val="18"/>
                <w:highlight w:val="yellow"/>
                <w:lang w:eastAsia="sk-SK"/>
              </w:rPr>
            </w:pPr>
            <w:r>
              <w:rPr>
                <w:sz w:val="18"/>
                <w:szCs w:val="18"/>
              </w:rPr>
              <w:t>-45 578</w:t>
            </w:r>
          </w:p>
        </w:tc>
        <w:tc>
          <w:tcPr>
            <w:tcW w:w="535" w:type="pct"/>
            <w:gridSpan w:val="4"/>
            <w:tcBorders>
              <w:top w:val="nil"/>
              <w:left w:val="nil"/>
              <w:bottom w:val="nil"/>
              <w:right w:val="nil"/>
            </w:tcBorders>
            <w:shd w:val="clear" w:color="000000" w:fill="FFFFFF"/>
            <w:noWrap/>
            <w:vAlign w:val="center"/>
            <w:hideMark/>
          </w:tcPr>
          <w:p w14:paraId="28A321BB" w14:textId="34B2D473" w:rsidR="0095427D" w:rsidRPr="00052A5E" w:rsidRDefault="0095427D" w:rsidP="0095427D">
            <w:pPr>
              <w:spacing w:after="0" w:line="240" w:lineRule="auto"/>
              <w:ind w:firstLine="74"/>
              <w:jc w:val="right"/>
              <w:rPr>
                <w:sz w:val="18"/>
                <w:szCs w:val="18"/>
                <w:highlight w:val="yellow"/>
                <w:lang w:eastAsia="sk-SK"/>
              </w:rPr>
            </w:pPr>
            <w:r>
              <w:rPr>
                <w:sz w:val="18"/>
                <w:szCs w:val="18"/>
              </w:rPr>
              <w:t>53 615</w:t>
            </w:r>
          </w:p>
        </w:tc>
        <w:tc>
          <w:tcPr>
            <w:tcW w:w="463" w:type="pct"/>
            <w:gridSpan w:val="3"/>
            <w:tcBorders>
              <w:top w:val="nil"/>
              <w:left w:val="nil"/>
              <w:bottom w:val="nil"/>
              <w:right w:val="nil"/>
            </w:tcBorders>
            <w:shd w:val="clear" w:color="000000" w:fill="FFFFFF"/>
            <w:noWrap/>
            <w:vAlign w:val="center"/>
            <w:hideMark/>
          </w:tcPr>
          <w:p w14:paraId="1551D7FB" w14:textId="7B98DC8C" w:rsidR="0095427D" w:rsidRPr="00052A5E" w:rsidRDefault="0095427D" w:rsidP="0095427D">
            <w:pPr>
              <w:spacing w:after="0" w:line="240" w:lineRule="auto"/>
              <w:ind w:left="137" w:right="-72" w:hanging="283"/>
              <w:jc w:val="right"/>
              <w:rPr>
                <w:sz w:val="18"/>
                <w:szCs w:val="18"/>
                <w:highlight w:val="yellow"/>
                <w:lang w:eastAsia="sk-SK"/>
              </w:rPr>
            </w:pPr>
            <w:r>
              <w:rPr>
                <w:sz w:val="18"/>
                <w:szCs w:val="18"/>
              </w:rPr>
              <w:t>-57 402</w:t>
            </w:r>
          </w:p>
        </w:tc>
        <w:tc>
          <w:tcPr>
            <w:tcW w:w="523" w:type="pct"/>
            <w:gridSpan w:val="4"/>
            <w:tcBorders>
              <w:top w:val="nil"/>
              <w:left w:val="nil"/>
              <w:bottom w:val="nil"/>
              <w:right w:val="nil"/>
            </w:tcBorders>
            <w:shd w:val="clear" w:color="000000" w:fill="FFFFFF"/>
            <w:noWrap/>
            <w:vAlign w:val="center"/>
            <w:hideMark/>
          </w:tcPr>
          <w:p w14:paraId="7FD771E0" w14:textId="08DE1C39" w:rsidR="0095427D" w:rsidRPr="00052A5E" w:rsidRDefault="0095427D" w:rsidP="0095427D">
            <w:pPr>
              <w:spacing w:after="0" w:line="240" w:lineRule="auto"/>
              <w:ind w:left="137" w:right="15" w:hanging="283"/>
              <w:jc w:val="right"/>
              <w:rPr>
                <w:sz w:val="18"/>
                <w:szCs w:val="18"/>
                <w:highlight w:val="yellow"/>
                <w:lang w:eastAsia="sk-SK"/>
              </w:rPr>
            </w:pPr>
            <w:r>
              <w:rPr>
                <w:sz w:val="18"/>
                <w:szCs w:val="18"/>
              </w:rPr>
              <w:t>27 958</w:t>
            </w:r>
          </w:p>
        </w:tc>
        <w:tc>
          <w:tcPr>
            <w:tcW w:w="531" w:type="pct"/>
            <w:gridSpan w:val="3"/>
            <w:tcBorders>
              <w:top w:val="nil"/>
              <w:left w:val="nil"/>
              <w:bottom w:val="nil"/>
              <w:right w:val="nil"/>
            </w:tcBorders>
            <w:shd w:val="clear" w:color="000000" w:fill="FFFFFF"/>
            <w:noWrap/>
            <w:vAlign w:val="center"/>
            <w:hideMark/>
          </w:tcPr>
          <w:p w14:paraId="07389956" w14:textId="7028E68F" w:rsidR="0095427D" w:rsidRPr="00052A5E" w:rsidRDefault="0095427D" w:rsidP="0095427D">
            <w:pPr>
              <w:spacing w:after="0" w:line="240" w:lineRule="auto"/>
              <w:ind w:left="137" w:hanging="283"/>
              <w:jc w:val="right"/>
              <w:rPr>
                <w:sz w:val="18"/>
                <w:szCs w:val="18"/>
                <w:highlight w:val="yellow"/>
                <w:lang w:eastAsia="sk-SK"/>
              </w:rPr>
            </w:pPr>
            <w:r>
              <w:rPr>
                <w:sz w:val="18"/>
                <w:szCs w:val="18"/>
              </w:rPr>
              <w:t>-111 017</w:t>
            </w:r>
          </w:p>
        </w:tc>
        <w:tc>
          <w:tcPr>
            <w:tcW w:w="463" w:type="pct"/>
            <w:gridSpan w:val="2"/>
            <w:tcBorders>
              <w:top w:val="nil"/>
              <w:left w:val="nil"/>
              <w:bottom w:val="nil"/>
              <w:right w:val="nil"/>
            </w:tcBorders>
            <w:shd w:val="clear" w:color="000000" w:fill="FFFFFF"/>
            <w:noWrap/>
            <w:vAlign w:val="center"/>
            <w:hideMark/>
          </w:tcPr>
          <w:p w14:paraId="215F2E91" w14:textId="6E409C6F"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-85 360</w:t>
            </w:r>
          </w:p>
        </w:tc>
      </w:tr>
      <w:tr w:rsidR="007970C8" w:rsidRPr="00C16361" w14:paraId="69A79F27" w14:textId="77777777" w:rsidTr="00A17BD9">
        <w:trPr>
          <w:gridAfter w:val="1"/>
          <w:wAfter w:w="28" w:type="pct"/>
          <w:trHeight w:val="257"/>
        </w:trPr>
        <w:tc>
          <w:tcPr>
            <w:tcW w:w="100" w:type="pct"/>
            <w:tcBorders>
              <w:top w:val="nil"/>
              <w:left w:val="nil"/>
              <w:bottom w:val="nil"/>
              <w:right w:val="nil"/>
            </w:tcBorders>
            <w:shd w:val="clear" w:color="000000" w:fill="FFFFFF"/>
            <w:noWrap/>
            <w:vAlign w:val="center"/>
            <w:hideMark/>
          </w:tcPr>
          <w:p w14:paraId="61907030"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18" w:type="pct"/>
            <w:tcBorders>
              <w:top w:val="nil"/>
              <w:left w:val="nil"/>
              <w:bottom w:val="nil"/>
              <w:right w:val="nil"/>
            </w:tcBorders>
            <w:shd w:val="clear" w:color="000000" w:fill="FFFFFF"/>
            <w:noWrap/>
            <w:vAlign w:val="center"/>
            <w:hideMark/>
          </w:tcPr>
          <w:p w14:paraId="7D2CBDE5" w14:textId="77777777" w:rsidR="0095427D" w:rsidRPr="00C16361" w:rsidRDefault="0095427D" w:rsidP="0095427D">
            <w:pPr>
              <w:spacing w:after="0" w:line="240" w:lineRule="auto"/>
              <w:rPr>
                <w:sz w:val="18"/>
                <w:szCs w:val="18"/>
                <w:lang w:eastAsia="sk-SK"/>
              </w:rPr>
            </w:pPr>
            <w:r w:rsidRPr="00C16361">
              <w:rPr>
                <w:sz w:val="18"/>
                <w:szCs w:val="18"/>
                <w:lang w:eastAsia="sk-SK"/>
              </w:rPr>
              <w:t> </w:t>
            </w:r>
          </w:p>
        </w:tc>
        <w:tc>
          <w:tcPr>
            <w:tcW w:w="1783" w:type="pct"/>
            <w:gridSpan w:val="2"/>
            <w:tcBorders>
              <w:top w:val="nil"/>
              <w:left w:val="nil"/>
              <w:bottom w:val="nil"/>
              <w:right w:val="nil"/>
            </w:tcBorders>
            <w:shd w:val="clear" w:color="000000" w:fill="FFFFFF"/>
            <w:noWrap/>
            <w:vAlign w:val="center"/>
            <w:hideMark/>
          </w:tcPr>
          <w:p w14:paraId="387DFFF0" w14:textId="77777777" w:rsidR="0095427D" w:rsidRPr="00C16361" w:rsidRDefault="0095427D" w:rsidP="0095427D">
            <w:pPr>
              <w:spacing w:after="0" w:line="240" w:lineRule="auto"/>
              <w:rPr>
                <w:sz w:val="18"/>
                <w:szCs w:val="18"/>
                <w:lang w:eastAsia="sk-SK"/>
              </w:rPr>
            </w:pPr>
            <w:r w:rsidRPr="00C16361">
              <w:rPr>
                <w:sz w:val="18"/>
                <w:szCs w:val="18"/>
                <w:lang w:eastAsia="sk-SK"/>
              </w:rPr>
              <w:t>Železnice Slovenskej republiky</w:t>
            </w:r>
          </w:p>
        </w:tc>
        <w:tc>
          <w:tcPr>
            <w:tcW w:w="455" w:type="pct"/>
            <w:gridSpan w:val="2"/>
            <w:tcBorders>
              <w:top w:val="nil"/>
              <w:left w:val="nil"/>
              <w:bottom w:val="nil"/>
              <w:right w:val="nil"/>
            </w:tcBorders>
            <w:shd w:val="clear" w:color="000000" w:fill="FFFFFF"/>
            <w:noWrap/>
            <w:vAlign w:val="center"/>
            <w:hideMark/>
          </w:tcPr>
          <w:p w14:paraId="54D07CDE" w14:textId="7FC985F6" w:rsidR="0095427D" w:rsidRPr="00052A5E" w:rsidRDefault="0095427D" w:rsidP="00965E8C">
            <w:pPr>
              <w:spacing w:after="0" w:line="240" w:lineRule="auto"/>
              <w:ind w:right="-70"/>
              <w:jc w:val="right"/>
              <w:rPr>
                <w:sz w:val="18"/>
                <w:szCs w:val="18"/>
                <w:highlight w:val="yellow"/>
                <w:lang w:eastAsia="sk-SK"/>
              </w:rPr>
            </w:pPr>
            <w:r>
              <w:rPr>
                <w:sz w:val="18"/>
                <w:szCs w:val="18"/>
              </w:rPr>
              <w:t>106 668</w:t>
            </w:r>
          </w:p>
        </w:tc>
        <w:tc>
          <w:tcPr>
            <w:tcW w:w="535" w:type="pct"/>
            <w:gridSpan w:val="4"/>
            <w:tcBorders>
              <w:top w:val="nil"/>
              <w:left w:val="nil"/>
              <w:bottom w:val="nil"/>
              <w:right w:val="nil"/>
            </w:tcBorders>
            <w:shd w:val="clear" w:color="000000" w:fill="FFFFFF"/>
            <w:noWrap/>
            <w:vAlign w:val="center"/>
            <w:hideMark/>
          </w:tcPr>
          <w:p w14:paraId="5D5332F4" w14:textId="3CB46F20" w:rsidR="0095427D" w:rsidRPr="00052A5E" w:rsidRDefault="0095427D" w:rsidP="0095427D">
            <w:pPr>
              <w:spacing w:after="0" w:line="240" w:lineRule="auto"/>
              <w:ind w:firstLine="74"/>
              <w:jc w:val="right"/>
              <w:rPr>
                <w:sz w:val="18"/>
                <w:szCs w:val="18"/>
                <w:highlight w:val="yellow"/>
                <w:lang w:eastAsia="sk-SK"/>
              </w:rPr>
            </w:pPr>
            <w:r>
              <w:rPr>
                <w:sz w:val="18"/>
                <w:szCs w:val="18"/>
              </w:rPr>
              <w:t>-32 137</w:t>
            </w:r>
          </w:p>
        </w:tc>
        <w:tc>
          <w:tcPr>
            <w:tcW w:w="463" w:type="pct"/>
            <w:gridSpan w:val="3"/>
            <w:tcBorders>
              <w:top w:val="nil"/>
              <w:left w:val="nil"/>
              <w:bottom w:val="nil"/>
              <w:right w:val="nil"/>
            </w:tcBorders>
            <w:shd w:val="clear" w:color="000000" w:fill="FFFFFF"/>
            <w:noWrap/>
            <w:vAlign w:val="center"/>
            <w:hideMark/>
          </w:tcPr>
          <w:p w14:paraId="5BD6A078" w14:textId="3F814074" w:rsidR="0095427D" w:rsidRPr="00052A5E" w:rsidRDefault="0095427D" w:rsidP="0095427D">
            <w:pPr>
              <w:spacing w:after="0" w:line="240" w:lineRule="auto"/>
              <w:ind w:left="137" w:right="-72" w:hanging="283"/>
              <w:jc w:val="right"/>
              <w:rPr>
                <w:sz w:val="18"/>
                <w:szCs w:val="18"/>
                <w:highlight w:val="yellow"/>
                <w:lang w:eastAsia="sk-SK"/>
              </w:rPr>
            </w:pPr>
            <w:r>
              <w:rPr>
                <w:sz w:val="18"/>
                <w:szCs w:val="18"/>
              </w:rPr>
              <w:t>-22 918</w:t>
            </w:r>
          </w:p>
        </w:tc>
        <w:tc>
          <w:tcPr>
            <w:tcW w:w="523" w:type="pct"/>
            <w:gridSpan w:val="4"/>
            <w:tcBorders>
              <w:top w:val="nil"/>
              <w:left w:val="nil"/>
              <w:bottom w:val="nil"/>
              <w:right w:val="nil"/>
            </w:tcBorders>
            <w:shd w:val="clear" w:color="000000" w:fill="FFFFFF"/>
            <w:noWrap/>
            <w:vAlign w:val="center"/>
            <w:hideMark/>
          </w:tcPr>
          <w:p w14:paraId="53D6EFAA" w14:textId="7C490B3B" w:rsidR="0095427D" w:rsidRPr="00052A5E" w:rsidRDefault="0095427D" w:rsidP="0095427D">
            <w:pPr>
              <w:spacing w:after="0" w:line="240" w:lineRule="auto"/>
              <w:ind w:left="137" w:right="15" w:hanging="283"/>
              <w:jc w:val="right"/>
              <w:rPr>
                <w:sz w:val="18"/>
                <w:szCs w:val="18"/>
                <w:highlight w:val="yellow"/>
                <w:lang w:eastAsia="sk-SK"/>
              </w:rPr>
            </w:pPr>
            <w:r>
              <w:rPr>
                <w:sz w:val="18"/>
                <w:szCs w:val="18"/>
              </w:rPr>
              <w:t>26 622</w:t>
            </w:r>
          </w:p>
        </w:tc>
        <w:tc>
          <w:tcPr>
            <w:tcW w:w="531" w:type="pct"/>
            <w:gridSpan w:val="3"/>
            <w:tcBorders>
              <w:top w:val="nil"/>
              <w:left w:val="nil"/>
              <w:bottom w:val="nil"/>
              <w:right w:val="nil"/>
            </w:tcBorders>
            <w:shd w:val="clear" w:color="000000" w:fill="FFFFFF"/>
            <w:noWrap/>
            <w:vAlign w:val="center"/>
            <w:hideMark/>
          </w:tcPr>
          <w:p w14:paraId="77B51EF3" w14:textId="64B3DCC6" w:rsidR="0095427D" w:rsidRPr="00052A5E" w:rsidRDefault="0095427D" w:rsidP="0095427D">
            <w:pPr>
              <w:spacing w:after="0" w:line="240" w:lineRule="auto"/>
              <w:ind w:left="137" w:hanging="283"/>
              <w:jc w:val="right"/>
              <w:rPr>
                <w:sz w:val="18"/>
                <w:szCs w:val="18"/>
                <w:highlight w:val="yellow"/>
                <w:lang w:eastAsia="sk-SK"/>
              </w:rPr>
            </w:pPr>
            <w:r>
              <w:rPr>
                <w:sz w:val="18"/>
                <w:szCs w:val="18"/>
              </w:rPr>
              <w:t>9 219</w:t>
            </w:r>
          </w:p>
        </w:tc>
        <w:tc>
          <w:tcPr>
            <w:tcW w:w="463" w:type="pct"/>
            <w:gridSpan w:val="2"/>
            <w:tcBorders>
              <w:top w:val="nil"/>
              <w:left w:val="nil"/>
              <w:bottom w:val="nil"/>
              <w:right w:val="nil"/>
            </w:tcBorders>
            <w:shd w:val="clear" w:color="000000" w:fill="FFFFFF"/>
            <w:noWrap/>
            <w:vAlign w:val="center"/>
            <w:hideMark/>
          </w:tcPr>
          <w:p w14:paraId="7A715A71" w14:textId="4B6B1CCB"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-49 540</w:t>
            </w:r>
          </w:p>
        </w:tc>
      </w:tr>
      <w:tr w:rsidR="00FF2F00" w:rsidRPr="00C16361" w14:paraId="4226EBFE"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5E918FFB"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114D70D8" w14:textId="77777777" w:rsidR="0095427D" w:rsidRPr="00C16361" w:rsidRDefault="0095427D" w:rsidP="0095427D">
            <w:pPr>
              <w:spacing w:after="0" w:line="240" w:lineRule="auto"/>
              <w:rPr>
                <w:sz w:val="18"/>
                <w:szCs w:val="18"/>
                <w:lang w:eastAsia="sk-SK"/>
              </w:rPr>
            </w:pPr>
            <w:r w:rsidRPr="00C16361">
              <w:rPr>
                <w:sz w:val="18"/>
                <w:szCs w:val="18"/>
                <w:lang w:eastAsia="sk-SK"/>
              </w:rPr>
              <w:t>Verejné vysoké školy</w:t>
            </w:r>
          </w:p>
        </w:tc>
        <w:tc>
          <w:tcPr>
            <w:tcW w:w="498" w:type="pct"/>
            <w:gridSpan w:val="3"/>
            <w:tcBorders>
              <w:top w:val="nil"/>
              <w:left w:val="nil"/>
              <w:bottom w:val="nil"/>
              <w:right w:val="nil"/>
            </w:tcBorders>
            <w:shd w:val="clear" w:color="000000" w:fill="FFFFFF"/>
            <w:noWrap/>
            <w:vAlign w:val="center"/>
            <w:hideMark/>
          </w:tcPr>
          <w:p w14:paraId="62EECE15" w14:textId="779C0DE9" w:rsidR="0095427D" w:rsidRPr="00052A5E" w:rsidRDefault="0095427D" w:rsidP="00965E8C">
            <w:pPr>
              <w:spacing w:after="0" w:line="240" w:lineRule="auto"/>
              <w:jc w:val="right"/>
              <w:rPr>
                <w:sz w:val="18"/>
                <w:szCs w:val="18"/>
                <w:highlight w:val="yellow"/>
                <w:lang w:eastAsia="sk-SK"/>
              </w:rPr>
            </w:pPr>
            <w:r>
              <w:rPr>
                <w:sz w:val="18"/>
                <w:szCs w:val="18"/>
              </w:rPr>
              <w:t>-1 806</w:t>
            </w:r>
          </w:p>
        </w:tc>
        <w:tc>
          <w:tcPr>
            <w:tcW w:w="492" w:type="pct"/>
            <w:gridSpan w:val="3"/>
            <w:tcBorders>
              <w:top w:val="nil"/>
              <w:left w:val="nil"/>
              <w:bottom w:val="nil"/>
              <w:right w:val="nil"/>
            </w:tcBorders>
            <w:shd w:val="clear" w:color="000000" w:fill="FFFFFF"/>
            <w:noWrap/>
            <w:vAlign w:val="center"/>
            <w:hideMark/>
          </w:tcPr>
          <w:p w14:paraId="7E64DDA2" w14:textId="6A9BABB6" w:rsidR="0095427D" w:rsidRPr="00052A5E" w:rsidRDefault="0095427D" w:rsidP="0095427D">
            <w:pPr>
              <w:spacing w:after="0" w:line="240" w:lineRule="auto"/>
              <w:jc w:val="right"/>
              <w:rPr>
                <w:sz w:val="18"/>
                <w:szCs w:val="18"/>
                <w:highlight w:val="yellow"/>
                <w:lang w:eastAsia="sk-SK"/>
              </w:rPr>
            </w:pPr>
            <w:r>
              <w:rPr>
                <w:sz w:val="18"/>
                <w:szCs w:val="18"/>
              </w:rPr>
              <w:t>25 357</w:t>
            </w:r>
          </w:p>
        </w:tc>
        <w:tc>
          <w:tcPr>
            <w:tcW w:w="493" w:type="pct"/>
            <w:gridSpan w:val="4"/>
            <w:tcBorders>
              <w:top w:val="nil"/>
              <w:left w:val="nil"/>
              <w:bottom w:val="nil"/>
              <w:right w:val="nil"/>
            </w:tcBorders>
            <w:shd w:val="clear" w:color="000000" w:fill="FFFFFF"/>
            <w:noWrap/>
            <w:vAlign w:val="center"/>
            <w:hideMark/>
          </w:tcPr>
          <w:p w14:paraId="7E97802A" w14:textId="28187DAA" w:rsidR="0095427D" w:rsidRPr="00052A5E" w:rsidRDefault="0095427D" w:rsidP="0095427D">
            <w:pPr>
              <w:spacing w:after="0" w:line="240" w:lineRule="auto"/>
              <w:ind w:left="137" w:hanging="283"/>
              <w:jc w:val="right"/>
              <w:rPr>
                <w:sz w:val="18"/>
                <w:szCs w:val="18"/>
                <w:highlight w:val="yellow"/>
                <w:lang w:eastAsia="sk-SK"/>
              </w:rPr>
            </w:pPr>
            <w:r>
              <w:rPr>
                <w:sz w:val="18"/>
                <w:szCs w:val="18"/>
              </w:rPr>
              <w:t>89 717</w:t>
            </w:r>
          </w:p>
        </w:tc>
        <w:tc>
          <w:tcPr>
            <w:tcW w:w="493" w:type="pct"/>
            <w:gridSpan w:val="3"/>
            <w:tcBorders>
              <w:top w:val="nil"/>
              <w:left w:val="nil"/>
              <w:bottom w:val="nil"/>
              <w:right w:val="nil"/>
            </w:tcBorders>
            <w:shd w:val="clear" w:color="000000" w:fill="FFFFFF"/>
            <w:noWrap/>
            <w:vAlign w:val="center"/>
            <w:hideMark/>
          </w:tcPr>
          <w:p w14:paraId="151CD641" w14:textId="76BD7B1A" w:rsidR="0095427D" w:rsidRPr="00052A5E" w:rsidRDefault="0095427D" w:rsidP="0095427D">
            <w:pPr>
              <w:spacing w:after="0" w:line="240" w:lineRule="auto"/>
              <w:ind w:left="137" w:hanging="283"/>
              <w:jc w:val="right"/>
              <w:rPr>
                <w:sz w:val="18"/>
                <w:szCs w:val="18"/>
                <w:highlight w:val="yellow"/>
                <w:lang w:eastAsia="sk-SK"/>
              </w:rPr>
            </w:pPr>
            <w:r>
              <w:rPr>
                <w:sz w:val="18"/>
                <w:szCs w:val="18"/>
              </w:rPr>
              <w:t>-2 225</w:t>
            </w:r>
          </w:p>
        </w:tc>
        <w:tc>
          <w:tcPr>
            <w:tcW w:w="531" w:type="pct"/>
            <w:gridSpan w:val="3"/>
            <w:tcBorders>
              <w:top w:val="nil"/>
              <w:left w:val="nil"/>
              <w:bottom w:val="nil"/>
              <w:right w:val="nil"/>
            </w:tcBorders>
            <w:shd w:val="clear" w:color="000000" w:fill="FFFFFF"/>
            <w:noWrap/>
            <w:vAlign w:val="center"/>
            <w:hideMark/>
          </w:tcPr>
          <w:p w14:paraId="0E542CFF" w14:textId="545487A4" w:rsidR="0095427D" w:rsidRPr="00052A5E" w:rsidRDefault="0095427D" w:rsidP="0095427D">
            <w:pPr>
              <w:spacing w:after="0" w:line="240" w:lineRule="auto"/>
              <w:ind w:left="137" w:hanging="283"/>
              <w:jc w:val="right"/>
              <w:rPr>
                <w:sz w:val="18"/>
                <w:szCs w:val="18"/>
                <w:highlight w:val="yellow"/>
                <w:lang w:eastAsia="sk-SK"/>
              </w:rPr>
            </w:pPr>
            <w:r>
              <w:rPr>
                <w:sz w:val="18"/>
                <w:szCs w:val="18"/>
              </w:rPr>
              <w:t>64 360</w:t>
            </w:r>
          </w:p>
        </w:tc>
        <w:tc>
          <w:tcPr>
            <w:tcW w:w="463" w:type="pct"/>
            <w:gridSpan w:val="2"/>
            <w:tcBorders>
              <w:top w:val="nil"/>
              <w:left w:val="nil"/>
              <w:bottom w:val="nil"/>
              <w:right w:val="nil"/>
            </w:tcBorders>
            <w:shd w:val="clear" w:color="000000" w:fill="FFFFFF"/>
            <w:noWrap/>
            <w:vAlign w:val="center"/>
            <w:hideMark/>
          </w:tcPr>
          <w:p w14:paraId="4E4EDAA6" w14:textId="5BA7A128"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91 942</w:t>
            </w:r>
          </w:p>
        </w:tc>
      </w:tr>
      <w:tr w:rsidR="00A14578" w:rsidRPr="00C16361" w14:paraId="27DF66C8" w14:textId="77777777" w:rsidTr="007970C8">
        <w:trPr>
          <w:trHeight w:val="257"/>
        </w:trPr>
        <w:tc>
          <w:tcPr>
            <w:tcW w:w="100" w:type="pct"/>
            <w:tcBorders>
              <w:top w:val="nil"/>
              <w:left w:val="nil"/>
              <w:bottom w:val="nil"/>
              <w:right w:val="nil"/>
            </w:tcBorders>
            <w:shd w:val="clear" w:color="000000" w:fill="FFFFFF"/>
            <w:noWrap/>
            <w:vAlign w:val="center"/>
            <w:hideMark/>
          </w:tcPr>
          <w:p w14:paraId="6A38595F" w14:textId="77777777" w:rsidR="00A14578" w:rsidRPr="00C16361" w:rsidRDefault="00A14578" w:rsidP="00A14578">
            <w:pPr>
              <w:spacing w:after="0" w:line="240" w:lineRule="auto"/>
              <w:jc w:val="right"/>
              <w:rPr>
                <w:sz w:val="18"/>
                <w:szCs w:val="18"/>
                <w:lang w:eastAsia="sk-SK"/>
              </w:rPr>
            </w:pPr>
            <w:r w:rsidRPr="00C16361">
              <w:rPr>
                <w:sz w:val="18"/>
                <w:szCs w:val="18"/>
                <w:lang w:eastAsia="sk-SK"/>
              </w:rPr>
              <w:t> </w:t>
            </w:r>
          </w:p>
        </w:tc>
        <w:tc>
          <w:tcPr>
            <w:tcW w:w="1843" w:type="pct"/>
            <w:gridSpan w:val="2"/>
            <w:tcBorders>
              <w:top w:val="nil"/>
              <w:left w:val="nil"/>
              <w:bottom w:val="nil"/>
              <w:right w:val="nil"/>
            </w:tcBorders>
            <w:shd w:val="clear" w:color="000000" w:fill="FFFFFF"/>
            <w:noWrap/>
            <w:vAlign w:val="center"/>
            <w:hideMark/>
          </w:tcPr>
          <w:p w14:paraId="0EC97326" w14:textId="77777777" w:rsidR="00A14578" w:rsidRPr="0092712F" w:rsidRDefault="00A14578" w:rsidP="00A14578">
            <w:pPr>
              <w:spacing w:after="0" w:line="240" w:lineRule="auto"/>
              <w:rPr>
                <w:sz w:val="18"/>
                <w:szCs w:val="18"/>
                <w:lang w:eastAsia="sk-SK"/>
              </w:rPr>
            </w:pPr>
            <w:r w:rsidRPr="0092712F">
              <w:rPr>
                <w:sz w:val="18"/>
                <w:szCs w:val="18"/>
                <w:lang w:eastAsia="sk-SK"/>
              </w:rPr>
              <w:t>Verejné výskumné inštitúcie</w:t>
            </w:r>
          </w:p>
        </w:tc>
        <w:tc>
          <w:tcPr>
            <w:tcW w:w="100" w:type="pct"/>
            <w:gridSpan w:val="2"/>
            <w:tcBorders>
              <w:top w:val="nil"/>
              <w:left w:val="nil"/>
              <w:bottom w:val="nil"/>
              <w:right w:val="nil"/>
            </w:tcBorders>
            <w:shd w:val="clear" w:color="000000" w:fill="FFFFFF"/>
            <w:noWrap/>
            <w:vAlign w:val="center"/>
            <w:hideMark/>
          </w:tcPr>
          <w:p w14:paraId="61531FEA" w14:textId="77777777" w:rsidR="00A14578" w:rsidRPr="007970C8" w:rsidRDefault="00A14578" w:rsidP="00965E8C">
            <w:pPr>
              <w:spacing w:after="0" w:line="240" w:lineRule="auto"/>
              <w:jc w:val="right"/>
              <w:rPr>
                <w:sz w:val="18"/>
                <w:szCs w:val="18"/>
                <w:lang w:eastAsia="sk-SK"/>
              </w:rPr>
            </w:pPr>
            <w:r w:rsidRPr="007970C8">
              <w:rPr>
                <w:sz w:val="18"/>
                <w:szCs w:val="18"/>
                <w:lang w:eastAsia="sk-SK"/>
              </w:rPr>
              <w:t> </w:t>
            </w:r>
          </w:p>
        </w:tc>
        <w:tc>
          <w:tcPr>
            <w:tcW w:w="493" w:type="pct"/>
            <w:gridSpan w:val="3"/>
            <w:tcBorders>
              <w:top w:val="nil"/>
              <w:left w:val="nil"/>
              <w:bottom w:val="nil"/>
              <w:right w:val="nil"/>
            </w:tcBorders>
            <w:shd w:val="clear" w:color="000000" w:fill="FFFFFF"/>
            <w:noWrap/>
            <w:vAlign w:val="center"/>
            <w:hideMark/>
          </w:tcPr>
          <w:p w14:paraId="4CFC4D2B" w14:textId="1A7713EC" w:rsidR="00A14578" w:rsidRPr="00052A5E" w:rsidRDefault="00965E8C" w:rsidP="00965E8C">
            <w:pPr>
              <w:spacing w:after="0" w:line="240" w:lineRule="auto"/>
              <w:jc w:val="center"/>
              <w:rPr>
                <w:sz w:val="18"/>
                <w:szCs w:val="18"/>
                <w:highlight w:val="yellow"/>
                <w:lang w:eastAsia="sk-SK"/>
              </w:rPr>
            </w:pPr>
            <w:r>
              <w:rPr>
                <w:sz w:val="18"/>
                <w:szCs w:val="18"/>
              </w:rPr>
              <w:t xml:space="preserve">     </w:t>
            </w:r>
            <w:r w:rsidR="00A14578">
              <w:rPr>
                <w:sz w:val="18"/>
                <w:szCs w:val="18"/>
              </w:rPr>
              <w:t>2 314</w:t>
            </w:r>
          </w:p>
        </w:tc>
        <w:tc>
          <w:tcPr>
            <w:tcW w:w="492" w:type="pct"/>
            <w:gridSpan w:val="3"/>
            <w:tcBorders>
              <w:top w:val="nil"/>
              <w:left w:val="nil"/>
              <w:bottom w:val="nil"/>
              <w:right w:val="nil"/>
            </w:tcBorders>
            <w:shd w:val="clear" w:color="000000" w:fill="FFFFFF"/>
            <w:noWrap/>
            <w:vAlign w:val="center"/>
            <w:hideMark/>
          </w:tcPr>
          <w:p w14:paraId="06293973" w14:textId="01DC5D48" w:rsidR="00A14578" w:rsidRPr="00052A5E" w:rsidRDefault="00965E8C" w:rsidP="00965E8C">
            <w:pPr>
              <w:spacing w:after="0" w:line="240" w:lineRule="auto"/>
              <w:jc w:val="center"/>
              <w:rPr>
                <w:sz w:val="18"/>
                <w:szCs w:val="18"/>
                <w:highlight w:val="yellow"/>
                <w:lang w:eastAsia="sk-SK"/>
              </w:rPr>
            </w:pPr>
            <w:r>
              <w:rPr>
                <w:sz w:val="18"/>
                <w:szCs w:val="18"/>
              </w:rPr>
              <w:t xml:space="preserve">     </w:t>
            </w:r>
            <w:r w:rsidR="00A14578">
              <w:rPr>
                <w:sz w:val="18"/>
                <w:szCs w:val="18"/>
              </w:rPr>
              <w:t>3 281</w:t>
            </w:r>
          </w:p>
        </w:tc>
        <w:tc>
          <w:tcPr>
            <w:tcW w:w="493" w:type="pct"/>
            <w:gridSpan w:val="4"/>
            <w:tcBorders>
              <w:top w:val="nil"/>
              <w:left w:val="nil"/>
              <w:bottom w:val="nil"/>
              <w:right w:val="nil"/>
            </w:tcBorders>
            <w:shd w:val="clear" w:color="000000" w:fill="FFFFFF"/>
            <w:noWrap/>
            <w:vAlign w:val="center"/>
            <w:hideMark/>
          </w:tcPr>
          <w:p w14:paraId="768DA78C" w14:textId="356A4110" w:rsidR="00A14578" w:rsidRPr="00052A5E" w:rsidRDefault="00965E8C" w:rsidP="00965E8C">
            <w:pPr>
              <w:spacing w:after="0" w:line="240" w:lineRule="auto"/>
              <w:jc w:val="center"/>
              <w:rPr>
                <w:sz w:val="18"/>
                <w:szCs w:val="18"/>
                <w:highlight w:val="yellow"/>
                <w:lang w:eastAsia="sk-SK"/>
              </w:rPr>
            </w:pPr>
            <w:r>
              <w:rPr>
                <w:sz w:val="18"/>
                <w:szCs w:val="18"/>
              </w:rPr>
              <w:t xml:space="preserve">   </w:t>
            </w:r>
            <w:r w:rsidR="00A14578">
              <w:rPr>
                <w:sz w:val="18"/>
                <w:szCs w:val="18"/>
              </w:rPr>
              <w:t>13 678</w:t>
            </w:r>
          </w:p>
        </w:tc>
        <w:tc>
          <w:tcPr>
            <w:tcW w:w="483" w:type="pct"/>
            <w:gridSpan w:val="3"/>
            <w:tcBorders>
              <w:top w:val="nil"/>
              <w:left w:val="nil"/>
              <w:bottom w:val="nil"/>
              <w:right w:val="nil"/>
            </w:tcBorders>
            <w:shd w:val="clear" w:color="000000" w:fill="FFFFFF"/>
            <w:noWrap/>
            <w:vAlign w:val="center"/>
            <w:hideMark/>
          </w:tcPr>
          <w:p w14:paraId="33619D99" w14:textId="38FF6B2D" w:rsidR="00A14578" w:rsidRPr="00052A5E" w:rsidRDefault="00965E8C" w:rsidP="00965E8C">
            <w:pPr>
              <w:spacing w:after="0" w:line="240" w:lineRule="auto"/>
              <w:jc w:val="center"/>
              <w:rPr>
                <w:sz w:val="18"/>
                <w:szCs w:val="18"/>
                <w:highlight w:val="yellow"/>
                <w:lang w:eastAsia="sk-SK"/>
              </w:rPr>
            </w:pPr>
            <w:r>
              <w:rPr>
                <w:sz w:val="18"/>
                <w:szCs w:val="18"/>
              </w:rPr>
              <w:t xml:space="preserve">        </w:t>
            </w:r>
            <w:r w:rsidR="00A14578">
              <w:rPr>
                <w:sz w:val="18"/>
                <w:szCs w:val="18"/>
              </w:rPr>
              <w:t>180</w:t>
            </w:r>
          </w:p>
        </w:tc>
        <w:tc>
          <w:tcPr>
            <w:tcW w:w="547" w:type="pct"/>
            <w:gridSpan w:val="3"/>
            <w:tcBorders>
              <w:top w:val="nil"/>
              <w:left w:val="nil"/>
              <w:bottom w:val="nil"/>
              <w:right w:val="nil"/>
            </w:tcBorders>
            <w:shd w:val="clear" w:color="000000" w:fill="FFFFFF"/>
            <w:noWrap/>
            <w:vAlign w:val="center"/>
            <w:hideMark/>
          </w:tcPr>
          <w:p w14:paraId="42E7B440" w14:textId="37881099" w:rsidR="00A14578" w:rsidRPr="00052A5E" w:rsidRDefault="00965E8C" w:rsidP="00CC6C7B">
            <w:pPr>
              <w:tabs>
                <w:tab w:val="left" w:pos="555"/>
              </w:tabs>
              <w:spacing w:after="0" w:line="240" w:lineRule="auto"/>
              <w:jc w:val="center"/>
              <w:rPr>
                <w:sz w:val="18"/>
                <w:szCs w:val="18"/>
                <w:highlight w:val="yellow"/>
                <w:lang w:eastAsia="sk-SK"/>
              </w:rPr>
            </w:pPr>
            <w:r>
              <w:rPr>
                <w:sz w:val="18"/>
                <w:szCs w:val="18"/>
              </w:rPr>
              <w:t xml:space="preserve">     </w:t>
            </w:r>
            <w:r w:rsidR="00A14578">
              <w:rPr>
                <w:sz w:val="18"/>
                <w:szCs w:val="18"/>
              </w:rPr>
              <w:t>10 397</w:t>
            </w:r>
          </w:p>
        </w:tc>
        <w:tc>
          <w:tcPr>
            <w:tcW w:w="449" w:type="pct"/>
            <w:gridSpan w:val="2"/>
            <w:tcBorders>
              <w:top w:val="nil"/>
              <w:left w:val="nil"/>
              <w:bottom w:val="nil"/>
              <w:right w:val="nil"/>
            </w:tcBorders>
            <w:shd w:val="clear" w:color="000000" w:fill="FFFFFF"/>
            <w:noWrap/>
            <w:vAlign w:val="center"/>
            <w:hideMark/>
          </w:tcPr>
          <w:p w14:paraId="4DFAC188" w14:textId="6A071771" w:rsidR="00A14578" w:rsidRPr="00052A5E" w:rsidRDefault="00965E8C" w:rsidP="00CC6C7B">
            <w:pPr>
              <w:tabs>
                <w:tab w:val="left" w:pos="555"/>
              </w:tabs>
              <w:spacing w:after="0" w:line="240" w:lineRule="auto"/>
              <w:jc w:val="center"/>
              <w:rPr>
                <w:sz w:val="18"/>
                <w:szCs w:val="18"/>
                <w:highlight w:val="yellow"/>
                <w:lang w:eastAsia="sk-SK"/>
              </w:rPr>
            </w:pPr>
            <w:r>
              <w:rPr>
                <w:sz w:val="18"/>
                <w:szCs w:val="18"/>
              </w:rPr>
              <w:t xml:space="preserve">  </w:t>
            </w:r>
            <w:r w:rsidR="00CC6C7B">
              <w:rPr>
                <w:sz w:val="18"/>
                <w:szCs w:val="18"/>
              </w:rPr>
              <w:t xml:space="preserve"> </w:t>
            </w:r>
            <w:r w:rsidR="00A14578">
              <w:rPr>
                <w:sz w:val="18"/>
                <w:szCs w:val="18"/>
              </w:rPr>
              <w:t>13 498</w:t>
            </w:r>
          </w:p>
        </w:tc>
      </w:tr>
      <w:tr w:rsidR="00FF2F00" w:rsidRPr="00C16361" w14:paraId="7017C7AA"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4076E178"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2BB49821" w14:textId="77777777" w:rsidR="0095427D" w:rsidRPr="00C16361" w:rsidRDefault="0095427D" w:rsidP="0095427D">
            <w:pPr>
              <w:spacing w:after="0" w:line="240" w:lineRule="auto"/>
              <w:rPr>
                <w:sz w:val="18"/>
                <w:szCs w:val="18"/>
                <w:lang w:eastAsia="sk-SK"/>
              </w:rPr>
            </w:pPr>
            <w:r w:rsidRPr="00C16361">
              <w:rPr>
                <w:sz w:val="18"/>
                <w:szCs w:val="18"/>
                <w:lang w:eastAsia="sk-SK"/>
              </w:rPr>
              <w:t>Zdravotnícke zariadenia ústrednej správy</w:t>
            </w:r>
          </w:p>
        </w:tc>
        <w:tc>
          <w:tcPr>
            <w:tcW w:w="498" w:type="pct"/>
            <w:gridSpan w:val="3"/>
            <w:tcBorders>
              <w:top w:val="nil"/>
              <w:left w:val="nil"/>
              <w:bottom w:val="nil"/>
              <w:right w:val="nil"/>
            </w:tcBorders>
            <w:shd w:val="clear" w:color="000000" w:fill="FFFFFF"/>
            <w:noWrap/>
            <w:vAlign w:val="center"/>
            <w:hideMark/>
          </w:tcPr>
          <w:p w14:paraId="4A3CF42B" w14:textId="127831C8" w:rsidR="0095427D" w:rsidRPr="00052A5E" w:rsidRDefault="0095427D" w:rsidP="00965E8C">
            <w:pPr>
              <w:spacing w:after="0" w:line="240" w:lineRule="auto"/>
              <w:jc w:val="right"/>
              <w:rPr>
                <w:sz w:val="18"/>
                <w:szCs w:val="18"/>
                <w:highlight w:val="yellow"/>
                <w:lang w:eastAsia="sk-SK"/>
              </w:rPr>
            </w:pPr>
            <w:r>
              <w:rPr>
                <w:sz w:val="18"/>
                <w:szCs w:val="18"/>
              </w:rPr>
              <w:t>249 475</w:t>
            </w:r>
          </w:p>
        </w:tc>
        <w:tc>
          <w:tcPr>
            <w:tcW w:w="492" w:type="pct"/>
            <w:gridSpan w:val="3"/>
            <w:tcBorders>
              <w:top w:val="nil"/>
              <w:left w:val="nil"/>
              <w:bottom w:val="nil"/>
              <w:right w:val="nil"/>
            </w:tcBorders>
            <w:shd w:val="clear" w:color="000000" w:fill="FFFFFF"/>
            <w:noWrap/>
            <w:vAlign w:val="center"/>
            <w:hideMark/>
          </w:tcPr>
          <w:p w14:paraId="1F6FE8B8" w14:textId="1E9F713F" w:rsidR="0095427D" w:rsidRPr="00052A5E" w:rsidRDefault="0095427D" w:rsidP="0095427D">
            <w:pPr>
              <w:spacing w:after="0" w:line="240" w:lineRule="auto"/>
              <w:jc w:val="right"/>
              <w:rPr>
                <w:sz w:val="18"/>
                <w:szCs w:val="18"/>
                <w:highlight w:val="yellow"/>
                <w:lang w:eastAsia="sk-SK"/>
              </w:rPr>
            </w:pPr>
            <w:r>
              <w:rPr>
                <w:sz w:val="18"/>
                <w:szCs w:val="18"/>
              </w:rPr>
              <w:t>-277 147</w:t>
            </w:r>
          </w:p>
        </w:tc>
        <w:tc>
          <w:tcPr>
            <w:tcW w:w="493" w:type="pct"/>
            <w:gridSpan w:val="4"/>
            <w:tcBorders>
              <w:top w:val="nil"/>
              <w:left w:val="nil"/>
              <w:bottom w:val="nil"/>
              <w:right w:val="nil"/>
            </w:tcBorders>
            <w:shd w:val="clear" w:color="000000" w:fill="FFFFFF"/>
            <w:noWrap/>
            <w:vAlign w:val="center"/>
            <w:hideMark/>
          </w:tcPr>
          <w:p w14:paraId="233F9F2E" w14:textId="4BE1110B" w:rsidR="0095427D" w:rsidRPr="00052A5E" w:rsidRDefault="0095427D" w:rsidP="0095427D">
            <w:pPr>
              <w:spacing w:after="0" w:line="240" w:lineRule="auto"/>
              <w:jc w:val="right"/>
              <w:rPr>
                <w:sz w:val="18"/>
                <w:szCs w:val="18"/>
                <w:highlight w:val="yellow"/>
                <w:lang w:eastAsia="sk-SK"/>
              </w:rPr>
            </w:pPr>
            <w:r>
              <w:rPr>
                <w:sz w:val="18"/>
                <w:szCs w:val="18"/>
              </w:rPr>
              <w:t>17 832</w:t>
            </w:r>
          </w:p>
        </w:tc>
        <w:tc>
          <w:tcPr>
            <w:tcW w:w="493" w:type="pct"/>
            <w:gridSpan w:val="3"/>
            <w:tcBorders>
              <w:top w:val="nil"/>
              <w:left w:val="nil"/>
              <w:bottom w:val="nil"/>
              <w:right w:val="nil"/>
            </w:tcBorders>
            <w:shd w:val="clear" w:color="000000" w:fill="FFFFFF"/>
            <w:noWrap/>
            <w:vAlign w:val="center"/>
            <w:hideMark/>
          </w:tcPr>
          <w:p w14:paraId="5ACA745C" w14:textId="0357965E" w:rsidR="0095427D" w:rsidRPr="00052A5E" w:rsidRDefault="0095427D" w:rsidP="0095427D">
            <w:pPr>
              <w:spacing w:after="0" w:line="240" w:lineRule="auto"/>
              <w:jc w:val="right"/>
              <w:rPr>
                <w:sz w:val="18"/>
                <w:szCs w:val="18"/>
                <w:highlight w:val="yellow"/>
                <w:lang w:eastAsia="sk-SK"/>
              </w:rPr>
            </w:pPr>
            <w:r>
              <w:rPr>
                <w:sz w:val="18"/>
                <w:szCs w:val="18"/>
              </w:rPr>
              <w:t>-46 687</w:t>
            </w:r>
          </w:p>
        </w:tc>
        <w:tc>
          <w:tcPr>
            <w:tcW w:w="531" w:type="pct"/>
            <w:gridSpan w:val="3"/>
            <w:tcBorders>
              <w:top w:val="nil"/>
              <w:left w:val="nil"/>
              <w:bottom w:val="nil"/>
              <w:right w:val="nil"/>
            </w:tcBorders>
            <w:shd w:val="clear" w:color="000000" w:fill="FFFFFF"/>
            <w:noWrap/>
            <w:vAlign w:val="center"/>
            <w:hideMark/>
          </w:tcPr>
          <w:p w14:paraId="23DEE6A8" w14:textId="1E2AB9FA" w:rsidR="0095427D" w:rsidRPr="00052A5E" w:rsidRDefault="0095427D" w:rsidP="0095427D">
            <w:pPr>
              <w:spacing w:after="0" w:line="240" w:lineRule="auto"/>
              <w:jc w:val="right"/>
              <w:rPr>
                <w:sz w:val="18"/>
                <w:szCs w:val="18"/>
                <w:highlight w:val="yellow"/>
                <w:lang w:eastAsia="sk-SK"/>
              </w:rPr>
            </w:pPr>
            <w:r>
              <w:rPr>
                <w:sz w:val="18"/>
                <w:szCs w:val="18"/>
              </w:rPr>
              <w:t>294 979</w:t>
            </w:r>
          </w:p>
        </w:tc>
        <w:tc>
          <w:tcPr>
            <w:tcW w:w="463" w:type="pct"/>
            <w:gridSpan w:val="2"/>
            <w:tcBorders>
              <w:top w:val="nil"/>
              <w:left w:val="nil"/>
              <w:bottom w:val="nil"/>
              <w:right w:val="nil"/>
            </w:tcBorders>
            <w:shd w:val="clear" w:color="000000" w:fill="FFFFFF"/>
            <w:noWrap/>
            <w:vAlign w:val="center"/>
            <w:hideMark/>
          </w:tcPr>
          <w:p w14:paraId="394390D3" w14:textId="30DE6A93"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64 519</w:t>
            </w:r>
          </w:p>
        </w:tc>
      </w:tr>
      <w:tr w:rsidR="00FF2F00" w:rsidRPr="00C16361" w14:paraId="534DEDE4" w14:textId="77777777" w:rsidTr="00A14578">
        <w:trPr>
          <w:gridAfter w:val="1"/>
          <w:wAfter w:w="28" w:type="pct"/>
          <w:trHeight w:val="273"/>
        </w:trPr>
        <w:tc>
          <w:tcPr>
            <w:tcW w:w="100" w:type="pct"/>
            <w:tcBorders>
              <w:top w:val="nil"/>
              <w:left w:val="nil"/>
              <w:bottom w:val="nil"/>
              <w:right w:val="nil"/>
            </w:tcBorders>
            <w:shd w:val="clear" w:color="000000" w:fill="FFFFFF"/>
            <w:noWrap/>
            <w:vAlign w:val="center"/>
            <w:hideMark/>
          </w:tcPr>
          <w:p w14:paraId="5B53BCDE" w14:textId="77777777" w:rsidR="0095427D" w:rsidRPr="00C16361" w:rsidRDefault="0095427D" w:rsidP="0095427D">
            <w:pPr>
              <w:spacing w:after="0" w:line="240" w:lineRule="auto"/>
              <w:jc w:val="right"/>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36817115" w14:textId="7390DB98" w:rsidR="0095427D" w:rsidRPr="00C16361" w:rsidRDefault="0095427D" w:rsidP="0095427D">
            <w:pPr>
              <w:spacing w:after="0" w:line="240" w:lineRule="auto"/>
              <w:rPr>
                <w:sz w:val="18"/>
                <w:szCs w:val="18"/>
                <w:lang w:eastAsia="sk-SK"/>
              </w:rPr>
            </w:pPr>
            <w:r w:rsidRPr="00C16361">
              <w:rPr>
                <w:sz w:val="18"/>
                <w:szCs w:val="18"/>
                <w:lang w:eastAsia="sk-SK"/>
              </w:rPr>
              <w:t>Ostatné subjekty ústrednej správy</w:t>
            </w:r>
            <w:r w:rsidR="00425506" w:rsidRPr="00425506">
              <w:rPr>
                <w:sz w:val="18"/>
                <w:szCs w:val="18"/>
                <w:vertAlign w:val="superscript"/>
                <w:lang w:eastAsia="sk-SK"/>
              </w:rPr>
              <w:t>3</w:t>
            </w:r>
            <w:r w:rsidRPr="00C16361">
              <w:rPr>
                <w:sz w:val="18"/>
                <w:szCs w:val="18"/>
                <w:vertAlign w:val="superscript"/>
                <w:lang w:eastAsia="sk-SK"/>
              </w:rPr>
              <w:t>)</w:t>
            </w:r>
          </w:p>
        </w:tc>
        <w:tc>
          <w:tcPr>
            <w:tcW w:w="498" w:type="pct"/>
            <w:gridSpan w:val="3"/>
            <w:tcBorders>
              <w:top w:val="nil"/>
              <w:left w:val="nil"/>
              <w:bottom w:val="nil"/>
              <w:right w:val="nil"/>
            </w:tcBorders>
            <w:shd w:val="clear" w:color="000000" w:fill="FFFFFF"/>
            <w:noWrap/>
            <w:vAlign w:val="center"/>
            <w:hideMark/>
          </w:tcPr>
          <w:p w14:paraId="1EDC03B4" w14:textId="4AC0AD94" w:rsidR="0095427D" w:rsidRPr="00052A5E" w:rsidRDefault="0095427D" w:rsidP="00965E8C">
            <w:pPr>
              <w:spacing w:after="0" w:line="240" w:lineRule="auto"/>
              <w:jc w:val="right"/>
              <w:rPr>
                <w:sz w:val="18"/>
                <w:szCs w:val="18"/>
                <w:highlight w:val="yellow"/>
                <w:lang w:eastAsia="sk-SK"/>
              </w:rPr>
            </w:pPr>
            <w:r>
              <w:rPr>
                <w:sz w:val="18"/>
                <w:szCs w:val="18"/>
              </w:rPr>
              <w:t>159 446</w:t>
            </w:r>
          </w:p>
        </w:tc>
        <w:tc>
          <w:tcPr>
            <w:tcW w:w="492" w:type="pct"/>
            <w:gridSpan w:val="3"/>
            <w:tcBorders>
              <w:top w:val="nil"/>
              <w:left w:val="nil"/>
              <w:bottom w:val="nil"/>
              <w:right w:val="nil"/>
            </w:tcBorders>
            <w:shd w:val="clear" w:color="000000" w:fill="FFFFFF"/>
            <w:noWrap/>
            <w:vAlign w:val="center"/>
            <w:hideMark/>
          </w:tcPr>
          <w:p w14:paraId="7986D865" w14:textId="2D58B273" w:rsidR="0095427D" w:rsidRPr="00052A5E" w:rsidRDefault="0095427D" w:rsidP="0095427D">
            <w:pPr>
              <w:spacing w:after="0" w:line="240" w:lineRule="auto"/>
              <w:jc w:val="right"/>
              <w:rPr>
                <w:sz w:val="18"/>
                <w:szCs w:val="18"/>
                <w:highlight w:val="yellow"/>
                <w:lang w:eastAsia="sk-SK"/>
              </w:rPr>
            </w:pPr>
            <w:r>
              <w:rPr>
                <w:sz w:val="18"/>
                <w:szCs w:val="18"/>
              </w:rPr>
              <w:t>101 736</w:t>
            </w:r>
          </w:p>
        </w:tc>
        <w:tc>
          <w:tcPr>
            <w:tcW w:w="493" w:type="pct"/>
            <w:gridSpan w:val="4"/>
            <w:tcBorders>
              <w:top w:val="nil"/>
              <w:left w:val="nil"/>
              <w:bottom w:val="nil"/>
              <w:right w:val="nil"/>
            </w:tcBorders>
            <w:shd w:val="clear" w:color="000000" w:fill="FFFFFF"/>
            <w:noWrap/>
            <w:vAlign w:val="center"/>
            <w:hideMark/>
          </w:tcPr>
          <w:p w14:paraId="452889E3" w14:textId="4C8F0C7D" w:rsidR="0095427D" w:rsidRPr="00052A5E" w:rsidRDefault="0095427D" w:rsidP="0095427D">
            <w:pPr>
              <w:spacing w:after="0" w:line="240" w:lineRule="auto"/>
              <w:jc w:val="right"/>
              <w:rPr>
                <w:sz w:val="18"/>
                <w:szCs w:val="18"/>
                <w:highlight w:val="yellow"/>
                <w:lang w:eastAsia="sk-SK"/>
              </w:rPr>
            </w:pPr>
            <w:r>
              <w:rPr>
                <w:sz w:val="18"/>
                <w:szCs w:val="18"/>
              </w:rPr>
              <w:t>120 009</w:t>
            </w:r>
          </w:p>
        </w:tc>
        <w:tc>
          <w:tcPr>
            <w:tcW w:w="493" w:type="pct"/>
            <w:gridSpan w:val="3"/>
            <w:tcBorders>
              <w:top w:val="nil"/>
              <w:left w:val="nil"/>
              <w:bottom w:val="nil"/>
              <w:right w:val="nil"/>
            </w:tcBorders>
            <w:shd w:val="clear" w:color="000000" w:fill="FFFFFF"/>
            <w:noWrap/>
            <w:vAlign w:val="center"/>
            <w:hideMark/>
          </w:tcPr>
          <w:p w14:paraId="3F3E9238" w14:textId="5321A72E" w:rsidR="0095427D" w:rsidRPr="00052A5E" w:rsidRDefault="0095427D" w:rsidP="0095427D">
            <w:pPr>
              <w:spacing w:after="0" w:line="240" w:lineRule="auto"/>
              <w:jc w:val="right"/>
              <w:rPr>
                <w:sz w:val="18"/>
                <w:szCs w:val="18"/>
                <w:highlight w:val="yellow"/>
                <w:lang w:eastAsia="sk-SK"/>
              </w:rPr>
            </w:pPr>
            <w:r>
              <w:rPr>
                <w:sz w:val="18"/>
                <w:szCs w:val="18"/>
              </w:rPr>
              <w:t>-51 551</w:t>
            </w:r>
          </w:p>
        </w:tc>
        <w:tc>
          <w:tcPr>
            <w:tcW w:w="531" w:type="pct"/>
            <w:gridSpan w:val="3"/>
            <w:tcBorders>
              <w:top w:val="nil"/>
              <w:left w:val="nil"/>
              <w:bottom w:val="nil"/>
              <w:right w:val="nil"/>
            </w:tcBorders>
            <w:shd w:val="clear" w:color="000000" w:fill="FFFFFF"/>
            <w:noWrap/>
            <w:vAlign w:val="center"/>
            <w:hideMark/>
          </w:tcPr>
          <w:p w14:paraId="5E7C567E" w14:textId="14BDA8F8" w:rsidR="0095427D" w:rsidRPr="00052A5E" w:rsidRDefault="0095427D" w:rsidP="0095427D">
            <w:pPr>
              <w:spacing w:after="0" w:line="240" w:lineRule="auto"/>
              <w:jc w:val="right"/>
              <w:rPr>
                <w:sz w:val="18"/>
                <w:szCs w:val="18"/>
                <w:highlight w:val="yellow"/>
                <w:lang w:eastAsia="sk-SK"/>
              </w:rPr>
            </w:pPr>
            <w:r>
              <w:rPr>
                <w:sz w:val="18"/>
                <w:szCs w:val="18"/>
              </w:rPr>
              <w:t>18 273</w:t>
            </w:r>
          </w:p>
        </w:tc>
        <w:tc>
          <w:tcPr>
            <w:tcW w:w="463" w:type="pct"/>
            <w:gridSpan w:val="2"/>
            <w:tcBorders>
              <w:top w:val="nil"/>
              <w:left w:val="nil"/>
              <w:bottom w:val="nil"/>
              <w:right w:val="nil"/>
            </w:tcBorders>
            <w:shd w:val="clear" w:color="000000" w:fill="FFFFFF"/>
            <w:noWrap/>
            <w:vAlign w:val="center"/>
            <w:hideMark/>
          </w:tcPr>
          <w:p w14:paraId="630F0C0B" w14:textId="09F61898"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171 560</w:t>
            </w:r>
          </w:p>
        </w:tc>
      </w:tr>
      <w:tr w:rsidR="0095427D" w:rsidRPr="00C16361" w14:paraId="5B257119" w14:textId="77777777" w:rsidTr="00A17BD9">
        <w:trPr>
          <w:gridAfter w:val="1"/>
          <w:wAfter w:w="28" w:type="pct"/>
          <w:trHeight w:val="257"/>
        </w:trPr>
        <w:tc>
          <w:tcPr>
            <w:tcW w:w="2001" w:type="pct"/>
            <w:gridSpan w:val="4"/>
            <w:tcBorders>
              <w:top w:val="nil"/>
              <w:left w:val="nil"/>
              <w:bottom w:val="nil"/>
              <w:right w:val="nil"/>
            </w:tcBorders>
            <w:shd w:val="clear" w:color="000000" w:fill="FFFFFF"/>
            <w:noWrap/>
            <w:vAlign w:val="center"/>
            <w:hideMark/>
          </w:tcPr>
          <w:p w14:paraId="6FAC333E" w14:textId="77777777" w:rsidR="0095427D" w:rsidRPr="00C16361" w:rsidRDefault="0095427D" w:rsidP="0095427D">
            <w:pPr>
              <w:spacing w:after="0" w:line="240" w:lineRule="auto"/>
              <w:rPr>
                <w:b/>
                <w:bCs/>
                <w:color w:val="000000"/>
                <w:sz w:val="18"/>
                <w:szCs w:val="18"/>
                <w:lang w:eastAsia="sk-SK"/>
              </w:rPr>
            </w:pPr>
            <w:r w:rsidRPr="00C16361">
              <w:rPr>
                <w:b/>
                <w:bCs/>
                <w:color w:val="000000"/>
                <w:sz w:val="18"/>
                <w:szCs w:val="18"/>
                <w:lang w:eastAsia="sk-SK"/>
              </w:rPr>
              <w:t>Územná samospráva, z toho</w:t>
            </w:r>
          </w:p>
        </w:tc>
        <w:tc>
          <w:tcPr>
            <w:tcW w:w="498" w:type="pct"/>
            <w:gridSpan w:val="3"/>
            <w:tcBorders>
              <w:top w:val="nil"/>
              <w:left w:val="nil"/>
              <w:bottom w:val="nil"/>
              <w:right w:val="nil"/>
            </w:tcBorders>
            <w:shd w:val="clear" w:color="000000" w:fill="FFFFFF"/>
            <w:noWrap/>
            <w:vAlign w:val="center"/>
            <w:hideMark/>
          </w:tcPr>
          <w:p w14:paraId="3C36D58C" w14:textId="6C2937F1" w:rsidR="0095427D" w:rsidRPr="00052A5E" w:rsidRDefault="0095427D" w:rsidP="00965E8C">
            <w:pPr>
              <w:spacing w:after="0" w:line="240" w:lineRule="auto"/>
              <w:jc w:val="right"/>
              <w:rPr>
                <w:b/>
                <w:bCs/>
                <w:sz w:val="18"/>
                <w:szCs w:val="18"/>
                <w:highlight w:val="yellow"/>
                <w:lang w:eastAsia="sk-SK"/>
              </w:rPr>
            </w:pPr>
            <w:r>
              <w:rPr>
                <w:b/>
                <w:bCs/>
                <w:sz w:val="18"/>
                <w:szCs w:val="18"/>
              </w:rPr>
              <w:t>-406 596</w:t>
            </w:r>
          </w:p>
        </w:tc>
        <w:tc>
          <w:tcPr>
            <w:tcW w:w="492" w:type="pct"/>
            <w:gridSpan w:val="3"/>
            <w:tcBorders>
              <w:top w:val="nil"/>
              <w:left w:val="nil"/>
              <w:bottom w:val="nil"/>
              <w:right w:val="nil"/>
            </w:tcBorders>
            <w:shd w:val="clear" w:color="000000" w:fill="FFFFFF"/>
            <w:noWrap/>
            <w:vAlign w:val="center"/>
            <w:hideMark/>
          </w:tcPr>
          <w:p w14:paraId="1EAB37CC" w14:textId="1CF4C8C0" w:rsidR="0095427D" w:rsidRPr="00052A5E" w:rsidRDefault="0095427D" w:rsidP="0095427D">
            <w:pPr>
              <w:spacing w:after="0" w:line="240" w:lineRule="auto"/>
              <w:jc w:val="right"/>
              <w:rPr>
                <w:b/>
                <w:bCs/>
                <w:sz w:val="18"/>
                <w:szCs w:val="18"/>
                <w:highlight w:val="yellow"/>
                <w:lang w:eastAsia="sk-SK"/>
              </w:rPr>
            </w:pPr>
            <w:r>
              <w:rPr>
                <w:b/>
                <w:bCs/>
                <w:sz w:val="18"/>
                <w:szCs w:val="18"/>
              </w:rPr>
              <w:t>80 96</w:t>
            </w:r>
            <w:r w:rsidR="003F612E">
              <w:rPr>
                <w:b/>
                <w:bCs/>
                <w:sz w:val="18"/>
                <w:szCs w:val="18"/>
              </w:rPr>
              <w:t>8</w:t>
            </w:r>
          </w:p>
        </w:tc>
        <w:tc>
          <w:tcPr>
            <w:tcW w:w="493" w:type="pct"/>
            <w:gridSpan w:val="4"/>
            <w:tcBorders>
              <w:top w:val="nil"/>
              <w:left w:val="nil"/>
              <w:bottom w:val="nil"/>
              <w:right w:val="nil"/>
            </w:tcBorders>
            <w:shd w:val="clear" w:color="000000" w:fill="FFFFFF"/>
            <w:noWrap/>
            <w:vAlign w:val="center"/>
            <w:hideMark/>
          </w:tcPr>
          <w:p w14:paraId="29886214" w14:textId="3BA22AC5" w:rsidR="0095427D" w:rsidRPr="00052A5E" w:rsidRDefault="0095427D" w:rsidP="0095427D">
            <w:pPr>
              <w:spacing w:after="0" w:line="240" w:lineRule="auto"/>
              <w:jc w:val="right"/>
              <w:rPr>
                <w:b/>
                <w:bCs/>
                <w:sz w:val="18"/>
                <w:szCs w:val="18"/>
                <w:highlight w:val="yellow"/>
                <w:lang w:eastAsia="sk-SK"/>
              </w:rPr>
            </w:pPr>
            <w:r>
              <w:rPr>
                <w:b/>
                <w:bCs/>
                <w:sz w:val="18"/>
                <w:szCs w:val="18"/>
              </w:rPr>
              <w:t>-101 873</w:t>
            </w:r>
          </w:p>
        </w:tc>
        <w:tc>
          <w:tcPr>
            <w:tcW w:w="493" w:type="pct"/>
            <w:gridSpan w:val="3"/>
            <w:tcBorders>
              <w:top w:val="nil"/>
              <w:left w:val="nil"/>
              <w:bottom w:val="nil"/>
              <w:right w:val="nil"/>
            </w:tcBorders>
            <w:shd w:val="clear" w:color="000000" w:fill="FFFFFF"/>
            <w:noWrap/>
            <w:vAlign w:val="center"/>
            <w:hideMark/>
          </w:tcPr>
          <w:p w14:paraId="7027725A" w14:textId="26E6EDD3" w:rsidR="0095427D" w:rsidRPr="00052A5E" w:rsidRDefault="0095427D" w:rsidP="0095427D">
            <w:pPr>
              <w:spacing w:after="0" w:line="240" w:lineRule="auto"/>
              <w:jc w:val="right"/>
              <w:rPr>
                <w:b/>
                <w:bCs/>
                <w:sz w:val="18"/>
                <w:szCs w:val="18"/>
                <w:highlight w:val="yellow"/>
                <w:lang w:eastAsia="sk-SK"/>
              </w:rPr>
            </w:pPr>
            <w:r>
              <w:rPr>
                <w:b/>
                <w:bCs/>
                <w:sz w:val="18"/>
                <w:szCs w:val="18"/>
              </w:rPr>
              <w:t>-414 518</w:t>
            </w:r>
          </w:p>
        </w:tc>
        <w:tc>
          <w:tcPr>
            <w:tcW w:w="531" w:type="pct"/>
            <w:gridSpan w:val="3"/>
            <w:tcBorders>
              <w:top w:val="nil"/>
              <w:left w:val="nil"/>
              <w:bottom w:val="nil"/>
              <w:right w:val="nil"/>
            </w:tcBorders>
            <w:shd w:val="clear" w:color="000000" w:fill="FFFFFF"/>
            <w:noWrap/>
            <w:vAlign w:val="center"/>
            <w:hideMark/>
          </w:tcPr>
          <w:p w14:paraId="345AE5C6" w14:textId="48E0A5C6" w:rsidR="0095427D" w:rsidRPr="00052A5E" w:rsidRDefault="0095427D" w:rsidP="0095427D">
            <w:pPr>
              <w:spacing w:after="0" w:line="240" w:lineRule="auto"/>
              <w:jc w:val="right"/>
              <w:rPr>
                <w:b/>
                <w:bCs/>
                <w:sz w:val="18"/>
                <w:szCs w:val="18"/>
                <w:highlight w:val="yellow"/>
                <w:lang w:eastAsia="sk-SK"/>
              </w:rPr>
            </w:pPr>
            <w:r>
              <w:rPr>
                <w:b/>
                <w:bCs/>
                <w:sz w:val="18"/>
                <w:szCs w:val="18"/>
              </w:rPr>
              <w:t>-182 84</w:t>
            </w:r>
            <w:r w:rsidR="003F612E">
              <w:rPr>
                <w:b/>
                <w:bCs/>
                <w:sz w:val="18"/>
                <w:szCs w:val="18"/>
              </w:rPr>
              <w:t>1</w:t>
            </w:r>
          </w:p>
        </w:tc>
        <w:tc>
          <w:tcPr>
            <w:tcW w:w="463" w:type="pct"/>
            <w:gridSpan w:val="2"/>
            <w:tcBorders>
              <w:top w:val="nil"/>
              <w:left w:val="nil"/>
              <w:bottom w:val="nil"/>
              <w:right w:val="nil"/>
            </w:tcBorders>
            <w:shd w:val="clear" w:color="000000" w:fill="FFFFFF"/>
            <w:noWrap/>
            <w:vAlign w:val="center"/>
            <w:hideMark/>
          </w:tcPr>
          <w:p w14:paraId="1E2DB92B" w14:textId="47347EEA" w:rsidR="0095427D" w:rsidRPr="00052A5E" w:rsidRDefault="0095427D" w:rsidP="00CC6C7B">
            <w:pPr>
              <w:tabs>
                <w:tab w:val="left" w:pos="555"/>
              </w:tabs>
              <w:spacing w:after="0" w:line="240" w:lineRule="auto"/>
              <w:jc w:val="right"/>
              <w:rPr>
                <w:b/>
                <w:bCs/>
                <w:sz w:val="18"/>
                <w:szCs w:val="18"/>
                <w:highlight w:val="yellow"/>
                <w:lang w:eastAsia="sk-SK"/>
              </w:rPr>
            </w:pPr>
            <w:r>
              <w:rPr>
                <w:b/>
                <w:bCs/>
                <w:sz w:val="18"/>
                <w:szCs w:val="18"/>
              </w:rPr>
              <w:t>312 645</w:t>
            </w:r>
          </w:p>
        </w:tc>
      </w:tr>
      <w:tr w:rsidR="00FF2F00" w:rsidRPr="00C16361" w14:paraId="28A9A3D1" w14:textId="77777777" w:rsidTr="00A14578">
        <w:trPr>
          <w:gridAfter w:val="1"/>
          <w:wAfter w:w="28" w:type="pct"/>
          <w:trHeight w:val="273"/>
        </w:trPr>
        <w:tc>
          <w:tcPr>
            <w:tcW w:w="100" w:type="pct"/>
            <w:tcBorders>
              <w:top w:val="nil"/>
              <w:left w:val="nil"/>
              <w:bottom w:val="nil"/>
              <w:right w:val="nil"/>
            </w:tcBorders>
            <w:shd w:val="clear" w:color="000000" w:fill="FFFFFF"/>
            <w:noWrap/>
            <w:vAlign w:val="center"/>
            <w:hideMark/>
          </w:tcPr>
          <w:p w14:paraId="4670BB0D" w14:textId="77777777" w:rsidR="0095427D" w:rsidRPr="00C16361" w:rsidRDefault="0095427D" w:rsidP="0095427D">
            <w:pPr>
              <w:spacing w:after="0" w:line="240" w:lineRule="auto"/>
              <w:rPr>
                <w:color w:val="000000"/>
                <w:sz w:val="18"/>
                <w:szCs w:val="18"/>
                <w:lang w:eastAsia="sk-SK"/>
              </w:rPr>
            </w:pPr>
            <w:r w:rsidRPr="00C16361">
              <w:rPr>
                <w:color w:val="000000"/>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6DC4BBEF" w14:textId="77777777" w:rsidR="0095427D" w:rsidRPr="00C16361" w:rsidRDefault="0095427D" w:rsidP="0095427D">
            <w:pPr>
              <w:spacing w:after="0" w:line="240" w:lineRule="auto"/>
              <w:rPr>
                <w:sz w:val="18"/>
                <w:szCs w:val="18"/>
                <w:lang w:eastAsia="sk-SK"/>
              </w:rPr>
            </w:pPr>
            <w:r w:rsidRPr="00C16361">
              <w:rPr>
                <w:sz w:val="18"/>
                <w:szCs w:val="18"/>
                <w:lang w:eastAsia="sk-SK"/>
              </w:rPr>
              <w:t>Obce</w:t>
            </w:r>
            <w:r w:rsidRPr="00C16361">
              <w:rPr>
                <w:sz w:val="18"/>
                <w:szCs w:val="18"/>
                <w:vertAlign w:val="superscript"/>
                <w:lang w:eastAsia="sk-SK"/>
              </w:rPr>
              <w:t xml:space="preserve"> </w:t>
            </w:r>
            <w:r w:rsidRPr="00C16361">
              <w:rPr>
                <w:sz w:val="18"/>
                <w:szCs w:val="18"/>
                <w:lang w:eastAsia="sk-SK"/>
              </w:rPr>
              <w:t>a ich rozpočtové organizácie</w:t>
            </w:r>
          </w:p>
        </w:tc>
        <w:tc>
          <w:tcPr>
            <w:tcW w:w="498" w:type="pct"/>
            <w:gridSpan w:val="3"/>
            <w:tcBorders>
              <w:top w:val="nil"/>
              <w:left w:val="nil"/>
              <w:bottom w:val="nil"/>
              <w:right w:val="nil"/>
            </w:tcBorders>
            <w:shd w:val="clear" w:color="000000" w:fill="FFFFFF"/>
            <w:noWrap/>
            <w:vAlign w:val="center"/>
            <w:hideMark/>
          </w:tcPr>
          <w:p w14:paraId="2F6AB457" w14:textId="76EE273F" w:rsidR="0095427D" w:rsidRPr="00052A5E" w:rsidRDefault="0095427D" w:rsidP="00965E8C">
            <w:pPr>
              <w:spacing w:after="0" w:line="240" w:lineRule="auto"/>
              <w:jc w:val="right"/>
              <w:rPr>
                <w:sz w:val="18"/>
                <w:szCs w:val="18"/>
                <w:highlight w:val="yellow"/>
                <w:lang w:eastAsia="sk-SK"/>
              </w:rPr>
            </w:pPr>
            <w:r>
              <w:rPr>
                <w:sz w:val="18"/>
                <w:szCs w:val="18"/>
              </w:rPr>
              <w:t>-287 784</w:t>
            </w:r>
          </w:p>
        </w:tc>
        <w:tc>
          <w:tcPr>
            <w:tcW w:w="492" w:type="pct"/>
            <w:gridSpan w:val="3"/>
            <w:tcBorders>
              <w:top w:val="nil"/>
              <w:left w:val="nil"/>
              <w:bottom w:val="nil"/>
              <w:right w:val="nil"/>
            </w:tcBorders>
            <w:shd w:val="clear" w:color="000000" w:fill="FFFFFF"/>
            <w:noWrap/>
            <w:vAlign w:val="center"/>
            <w:hideMark/>
          </w:tcPr>
          <w:p w14:paraId="2B953277" w14:textId="13CC35C6" w:rsidR="0095427D" w:rsidRPr="00052A5E" w:rsidRDefault="0095427D" w:rsidP="0095427D">
            <w:pPr>
              <w:spacing w:after="0" w:line="240" w:lineRule="auto"/>
              <w:jc w:val="right"/>
              <w:rPr>
                <w:sz w:val="18"/>
                <w:szCs w:val="18"/>
                <w:highlight w:val="yellow"/>
                <w:lang w:eastAsia="sk-SK"/>
              </w:rPr>
            </w:pPr>
            <w:r>
              <w:rPr>
                <w:sz w:val="18"/>
                <w:szCs w:val="18"/>
              </w:rPr>
              <w:t>124 77</w:t>
            </w:r>
            <w:r w:rsidR="003F612E">
              <w:rPr>
                <w:sz w:val="18"/>
                <w:szCs w:val="18"/>
              </w:rPr>
              <w:t>8</w:t>
            </w:r>
          </w:p>
        </w:tc>
        <w:tc>
          <w:tcPr>
            <w:tcW w:w="493" w:type="pct"/>
            <w:gridSpan w:val="4"/>
            <w:tcBorders>
              <w:top w:val="nil"/>
              <w:left w:val="nil"/>
              <w:bottom w:val="nil"/>
              <w:right w:val="nil"/>
            </w:tcBorders>
            <w:shd w:val="clear" w:color="000000" w:fill="FFFFFF"/>
            <w:noWrap/>
            <w:vAlign w:val="center"/>
            <w:hideMark/>
          </w:tcPr>
          <w:p w14:paraId="15BDD64D" w14:textId="06A0B3AD" w:rsidR="0095427D" w:rsidRPr="00052A5E" w:rsidRDefault="0095427D" w:rsidP="0095427D">
            <w:pPr>
              <w:spacing w:after="0" w:line="240" w:lineRule="auto"/>
              <w:jc w:val="right"/>
              <w:rPr>
                <w:sz w:val="18"/>
                <w:szCs w:val="18"/>
                <w:highlight w:val="yellow"/>
                <w:lang w:eastAsia="sk-SK"/>
              </w:rPr>
            </w:pPr>
            <w:r>
              <w:rPr>
                <w:sz w:val="18"/>
                <w:szCs w:val="18"/>
              </w:rPr>
              <w:t>35 270</w:t>
            </w:r>
          </w:p>
        </w:tc>
        <w:tc>
          <w:tcPr>
            <w:tcW w:w="493" w:type="pct"/>
            <w:gridSpan w:val="3"/>
            <w:tcBorders>
              <w:top w:val="nil"/>
              <w:left w:val="nil"/>
              <w:bottom w:val="nil"/>
              <w:right w:val="nil"/>
            </w:tcBorders>
            <w:shd w:val="clear" w:color="000000" w:fill="FFFFFF"/>
            <w:noWrap/>
            <w:vAlign w:val="center"/>
            <w:hideMark/>
          </w:tcPr>
          <w:p w14:paraId="2ED2FDFF" w14:textId="1A90BD2E" w:rsidR="0095427D" w:rsidRPr="00052A5E" w:rsidRDefault="0095427D" w:rsidP="0095427D">
            <w:pPr>
              <w:spacing w:after="0" w:line="240" w:lineRule="auto"/>
              <w:jc w:val="right"/>
              <w:rPr>
                <w:sz w:val="18"/>
                <w:szCs w:val="18"/>
                <w:highlight w:val="yellow"/>
                <w:lang w:eastAsia="sk-SK"/>
              </w:rPr>
            </w:pPr>
            <w:r>
              <w:rPr>
                <w:sz w:val="18"/>
                <w:szCs w:val="18"/>
              </w:rPr>
              <w:t>-283 250</w:t>
            </w:r>
          </w:p>
        </w:tc>
        <w:tc>
          <w:tcPr>
            <w:tcW w:w="531" w:type="pct"/>
            <w:gridSpan w:val="3"/>
            <w:tcBorders>
              <w:top w:val="nil"/>
              <w:left w:val="nil"/>
              <w:bottom w:val="nil"/>
              <w:right w:val="nil"/>
            </w:tcBorders>
            <w:shd w:val="clear" w:color="000000" w:fill="FFFFFF"/>
            <w:noWrap/>
            <w:vAlign w:val="center"/>
            <w:hideMark/>
          </w:tcPr>
          <w:p w14:paraId="6F66F80D" w14:textId="7570A20A" w:rsidR="0095427D" w:rsidRPr="00052A5E" w:rsidRDefault="0095427D" w:rsidP="0095427D">
            <w:pPr>
              <w:spacing w:after="0" w:line="240" w:lineRule="auto"/>
              <w:jc w:val="right"/>
              <w:rPr>
                <w:sz w:val="18"/>
                <w:szCs w:val="18"/>
                <w:highlight w:val="yellow"/>
                <w:lang w:eastAsia="sk-SK"/>
              </w:rPr>
            </w:pPr>
            <w:r>
              <w:rPr>
                <w:sz w:val="18"/>
                <w:szCs w:val="18"/>
              </w:rPr>
              <w:t>-89 50</w:t>
            </w:r>
            <w:r w:rsidR="003F612E">
              <w:rPr>
                <w:sz w:val="18"/>
                <w:szCs w:val="18"/>
              </w:rPr>
              <w:t>8</w:t>
            </w:r>
          </w:p>
        </w:tc>
        <w:tc>
          <w:tcPr>
            <w:tcW w:w="463" w:type="pct"/>
            <w:gridSpan w:val="2"/>
            <w:tcBorders>
              <w:top w:val="nil"/>
              <w:left w:val="nil"/>
              <w:bottom w:val="nil"/>
              <w:right w:val="nil"/>
            </w:tcBorders>
            <w:shd w:val="clear" w:color="000000" w:fill="FFFFFF"/>
            <w:noWrap/>
            <w:vAlign w:val="center"/>
            <w:hideMark/>
          </w:tcPr>
          <w:p w14:paraId="5C46F173" w14:textId="57BC7086"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318 520</w:t>
            </w:r>
          </w:p>
        </w:tc>
      </w:tr>
      <w:tr w:rsidR="007970C8" w:rsidRPr="00C16361" w14:paraId="0FDA367B" w14:textId="77777777" w:rsidTr="007970C8">
        <w:trPr>
          <w:trHeight w:val="257"/>
        </w:trPr>
        <w:tc>
          <w:tcPr>
            <w:tcW w:w="100" w:type="pct"/>
            <w:tcBorders>
              <w:top w:val="nil"/>
              <w:left w:val="nil"/>
              <w:bottom w:val="nil"/>
              <w:right w:val="nil"/>
            </w:tcBorders>
            <w:shd w:val="clear" w:color="000000" w:fill="FFFFFF"/>
            <w:noWrap/>
            <w:vAlign w:val="center"/>
            <w:hideMark/>
          </w:tcPr>
          <w:p w14:paraId="0EFE5701" w14:textId="77777777" w:rsidR="0095427D" w:rsidRPr="00C16361" w:rsidRDefault="0095427D" w:rsidP="0095427D">
            <w:pPr>
              <w:spacing w:after="0" w:line="240" w:lineRule="auto"/>
              <w:rPr>
                <w:color w:val="000000"/>
                <w:sz w:val="18"/>
                <w:szCs w:val="18"/>
                <w:lang w:eastAsia="sk-SK"/>
              </w:rPr>
            </w:pPr>
            <w:r w:rsidRPr="00C16361">
              <w:rPr>
                <w:color w:val="000000"/>
                <w:sz w:val="18"/>
                <w:szCs w:val="18"/>
                <w:lang w:eastAsia="sk-SK"/>
              </w:rPr>
              <w:t> </w:t>
            </w:r>
          </w:p>
        </w:tc>
        <w:tc>
          <w:tcPr>
            <w:tcW w:w="1843" w:type="pct"/>
            <w:gridSpan w:val="2"/>
            <w:tcBorders>
              <w:top w:val="nil"/>
              <w:left w:val="nil"/>
              <w:bottom w:val="nil"/>
              <w:right w:val="nil"/>
            </w:tcBorders>
            <w:shd w:val="clear" w:color="000000" w:fill="FFFFFF"/>
            <w:noWrap/>
            <w:vAlign w:val="center"/>
            <w:hideMark/>
          </w:tcPr>
          <w:p w14:paraId="4E5C7F2E" w14:textId="77777777" w:rsidR="0095427D" w:rsidRPr="00C16361" w:rsidRDefault="0095427D" w:rsidP="0095427D">
            <w:pPr>
              <w:spacing w:after="0" w:line="240" w:lineRule="auto"/>
              <w:rPr>
                <w:sz w:val="18"/>
                <w:szCs w:val="18"/>
                <w:lang w:eastAsia="sk-SK"/>
              </w:rPr>
            </w:pPr>
            <w:r w:rsidRPr="00C16361">
              <w:rPr>
                <w:sz w:val="18"/>
                <w:szCs w:val="18"/>
                <w:lang w:eastAsia="sk-SK"/>
              </w:rPr>
              <w:t>VÚC a ich rozpočtové organizácie</w:t>
            </w:r>
          </w:p>
        </w:tc>
        <w:tc>
          <w:tcPr>
            <w:tcW w:w="100" w:type="pct"/>
            <w:gridSpan w:val="2"/>
            <w:tcBorders>
              <w:top w:val="nil"/>
              <w:left w:val="nil"/>
              <w:bottom w:val="nil"/>
              <w:right w:val="nil"/>
            </w:tcBorders>
            <w:vAlign w:val="center"/>
            <w:hideMark/>
          </w:tcPr>
          <w:p w14:paraId="4D87DBEE" w14:textId="77777777" w:rsidR="0095427D" w:rsidRPr="00052A5E" w:rsidRDefault="0095427D" w:rsidP="00965E8C">
            <w:pPr>
              <w:spacing w:after="0" w:line="240" w:lineRule="auto"/>
              <w:jc w:val="right"/>
              <w:rPr>
                <w:sz w:val="18"/>
                <w:szCs w:val="18"/>
                <w:highlight w:val="yellow"/>
                <w:lang w:eastAsia="sk-SK"/>
              </w:rPr>
            </w:pPr>
          </w:p>
        </w:tc>
        <w:tc>
          <w:tcPr>
            <w:tcW w:w="493" w:type="pct"/>
            <w:gridSpan w:val="3"/>
            <w:tcBorders>
              <w:top w:val="nil"/>
              <w:left w:val="nil"/>
              <w:bottom w:val="nil"/>
              <w:right w:val="nil"/>
            </w:tcBorders>
            <w:shd w:val="clear" w:color="000000" w:fill="FFFFFF"/>
            <w:noWrap/>
            <w:vAlign w:val="center"/>
            <w:hideMark/>
          </w:tcPr>
          <w:p w14:paraId="700D1997" w14:textId="33F86B85" w:rsidR="0095427D" w:rsidRPr="00052A5E" w:rsidRDefault="0095427D" w:rsidP="00965E8C">
            <w:pPr>
              <w:spacing w:after="0" w:line="240" w:lineRule="auto"/>
              <w:jc w:val="center"/>
              <w:rPr>
                <w:sz w:val="18"/>
                <w:szCs w:val="18"/>
                <w:highlight w:val="yellow"/>
                <w:lang w:eastAsia="sk-SK"/>
              </w:rPr>
            </w:pPr>
            <w:r>
              <w:rPr>
                <w:sz w:val="18"/>
                <w:szCs w:val="18"/>
              </w:rPr>
              <w:t>-141 839</w:t>
            </w:r>
          </w:p>
        </w:tc>
        <w:tc>
          <w:tcPr>
            <w:tcW w:w="492" w:type="pct"/>
            <w:gridSpan w:val="3"/>
            <w:tcBorders>
              <w:top w:val="nil"/>
              <w:left w:val="nil"/>
              <w:bottom w:val="nil"/>
              <w:right w:val="nil"/>
            </w:tcBorders>
            <w:shd w:val="clear" w:color="000000" w:fill="FFFFFF"/>
            <w:noWrap/>
            <w:vAlign w:val="center"/>
            <w:hideMark/>
          </w:tcPr>
          <w:p w14:paraId="419BB7C8" w14:textId="5D044338" w:rsidR="0095427D" w:rsidRPr="00052A5E" w:rsidRDefault="0095427D" w:rsidP="0095427D">
            <w:pPr>
              <w:spacing w:after="0" w:line="240" w:lineRule="auto"/>
              <w:jc w:val="center"/>
              <w:rPr>
                <w:sz w:val="18"/>
                <w:szCs w:val="18"/>
                <w:highlight w:val="yellow"/>
                <w:lang w:eastAsia="sk-SK"/>
              </w:rPr>
            </w:pPr>
            <w:r>
              <w:rPr>
                <w:sz w:val="18"/>
                <w:szCs w:val="18"/>
              </w:rPr>
              <w:t>-89 995</w:t>
            </w:r>
          </w:p>
        </w:tc>
        <w:tc>
          <w:tcPr>
            <w:tcW w:w="493" w:type="pct"/>
            <w:gridSpan w:val="4"/>
            <w:tcBorders>
              <w:top w:val="nil"/>
              <w:left w:val="nil"/>
              <w:bottom w:val="nil"/>
              <w:right w:val="nil"/>
            </w:tcBorders>
            <w:shd w:val="clear" w:color="000000" w:fill="FFFFFF"/>
            <w:noWrap/>
            <w:vAlign w:val="center"/>
            <w:hideMark/>
          </w:tcPr>
          <w:p w14:paraId="0DE64C4D" w14:textId="478952CF" w:rsidR="0095427D" w:rsidRPr="00052A5E" w:rsidRDefault="0095427D" w:rsidP="0095427D">
            <w:pPr>
              <w:spacing w:after="0" w:line="240" w:lineRule="auto"/>
              <w:jc w:val="center"/>
              <w:rPr>
                <w:sz w:val="18"/>
                <w:szCs w:val="18"/>
                <w:highlight w:val="yellow"/>
                <w:lang w:eastAsia="sk-SK"/>
              </w:rPr>
            </w:pPr>
            <w:r>
              <w:rPr>
                <w:sz w:val="18"/>
                <w:szCs w:val="18"/>
              </w:rPr>
              <w:t>-33 649</w:t>
            </w:r>
          </w:p>
        </w:tc>
        <w:tc>
          <w:tcPr>
            <w:tcW w:w="483" w:type="pct"/>
            <w:gridSpan w:val="3"/>
            <w:tcBorders>
              <w:top w:val="nil"/>
              <w:left w:val="nil"/>
              <w:bottom w:val="nil"/>
              <w:right w:val="nil"/>
            </w:tcBorders>
            <w:shd w:val="clear" w:color="000000" w:fill="FFFFFF"/>
            <w:noWrap/>
            <w:vAlign w:val="center"/>
            <w:hideMark/>
          </w:tcPr>
          <w:p w14:paraId="5709D4E0" w14:textId="3950E0D6" w:rsidR="0095427D" w:rsidRPr="00052A5E" w:rsidRDefault="0095427D" w:rsidP="0095427D">
            <w:pPr>
              <w:spacing w:after="0" w:line="240" w:lineRule="auto"/>
              <w:jc w:val="center"/>
              <w:rPr>
                <w:sz w:val="18"/>
                <w:szCs w:val="18"/>
                <w:highlight w:val="yellow"/>
                <w:lang w:eastAsia="sk-SK"/>
              </w:rPr>
            </w:pPr>
            <w:r>
              <w:rPr>
                <w:sz w:val="18"/>
                <w:szCs w:val="18"/>
              </w:rPr>
              <w:t>-115 617</w:t>
            </w:r>
          </w:p>
        </w:tc>
        <w:tc>
          <w:tcPr>
            <w:tcW w:w="547" w:type="pct"/>
            <w:gridSpan w:val="3"/>
            <w:tcBorders>
              <w:top w:val="nil"/>
              <w:left w:val="nil"/>
              <w:bottom w:val="nil"/>
              <w:right w:val="nil"/>
            </w:tcBorders>
            <w:shd w:val="clear" w:color="000000" w:fill="FFFFFF"/>
            <w:noWrap/>
            <w:vAlign w:val="center"/>
            <w:hideMark/>
          </w:tcPr>
          <w:p w14:paraId="2F388A57" w14:textId="08ADA36F" w:rsidR="0095427D" w:rsidRPr="00052A5E" w:rsidRDefault="00FF2F00" w:rsidP="00CC6C7B">
            <w:pPr>
              <w:tabs>
                <w:tab w:val="left" w:pos="555"/>
              </w:tabs>
              <w:spacing w:after="0" w:line="240" w:lineRule="auto"/>
              <w:ind w:left="137" w:hanging="283"/>
              <w:jc w:val="center"/>
              <w:rPr>
                <w:sz w:val="18"/>
                <w:szCs w:val="18"/>
                <w:highlight w:val="yellow"/>
                <w:lang w:eastAsia="sk-SK"/>
              </w:rPr>
            </w:pPr>
            <w:r>
              <w:rPr>
                <w:sz w:val="18"/>
                <w:szCs w:val="18"/>
              </w:rPr>
              <w:t xml:space="preserve">        </w:t>
            </w:r>
            <w:r w:rsidR="0095427D">
              <w:rPr>
                <w:sz w:val="18"/>
                <w:szCs w:val="18"/>
              </w:rPr>
              <w:t>56 346</w:t>
            </w:r>
          </w:p>
        </w:tc>
        <w:tc>
          <w:tcPr>
            <w:tcW w:w="449" w:type="pct"/>
            <w:gridSpan w:val="2"/>
            <w:tcBorders>
              <w:top w:val="nil"/>
              <w:left w:val="nil"/>
              <w:bottom w:val="nil"/>
              <w:right w:val="nil"/>
            </w:tcBorders>
            <w:shd w:val="clear" w:color="000000" w:fill="FFFFFF"/>
            <w:noWrap/>
            <w:vAlign w:val="center"/>
            <w:hideMark/>
          </w:tcPr>
          <w:p w14:paraId="271FF3D7" w14:textId="1472C9B5" w:rsidR="0095427D" w:rsidRPr="00052A5E" w:rsidRDefault="00FF2F00" w:rsidP="00CC6C7B">
            <w:pPr>
              <w:tabs>
                <w:tab w:val="left" w:pos="555"/>
              </w:tabs>
              <w:spacing w:after="0" w:line="240" w:lineRule="auto"/>
              <w:jc w:val="center"/>
              <w:rPr>
                <w:sz w:val="18"/>
                <w:szCs w:val="18"/>
                <w:highlight w:val="yellow"/>
                <w:lang w:eastAsia="sk-SK"/>
              </w:rPr>
            </w:pPr>
            <w:r>
              <w:rPr>
                <w:sz w:val="18"/>
                <w:szCs w:val="18"/>
              </w:rPr>
              <w:t xml:space="preserve">  </w:t>
            </w:r>
            <w:r w:rsidR="0095427D">
              <w:rPr>
                <w:sz w:val="18"/>
                <w:szCs w:val="18"/>
              </w:rPr>
              <w:t>81 968</w:t>
            </w:r>
          </w:p>
        </w:tc>
      </w:tr>
      <w:tr w:rsidR="00FF2F00" w:rsidRPr="00C16361" w14:paraId="121EDF86"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4168C913" w14:textId="77777777" w:rsidR="0095427D" w:rsidRPr="00C16361" w:rsidRDefault="0095427D" w:rsidP="0095427D">
            <w:pPr>
              <w:spacing w:after="0" w:line="240" w:lineRule="auto"/>
              <w:rPr>
                <w:color w:val="000000"/>
                <w:sz w:val="18"/>
                <w:szCs w:val="18"/>
                <w:lang w:eastAsia="sk-SK"/>
              </w:rPr>
            </w:pPr>
            <w:r w:rsidRPr="00C16361">
              <w:rPr>
                <w:color w:val="000000"/>
                <w:sz w:val="18"/>
                <w:szCs w:val="18"/>
                <w:lang w:eastAsia="sk-SK"/>
              </w:rPr>
              <w:lastRenderedPageBreak/>
              <w:t> </w:t>
            </w:r>
          </w:p>
        </w:tc>
        <w:tc>
          <w:tcPr>
            <w:tcW w:w="1902" w:type="pct"/>
            <w:gridSpan w:val="3"/>
            <w:tcBorders>
              <w:top w:val="nil"/>
              <w:left w:val="nil"/>
              <w:bottom w:val="nil"/>
              <w:right w:val="nil"/>
            </w:tcBorders>
            <w:shd w:val="clear" w:color="000000" w:fill="FFFFFF"/>
            <w:noWrap/>
            <w:vAlign w:val="center"/>
            <w:hideMark/>
          </w:tcPr>
          <w:p w14:paraId="6BF6C72D" w14:textId="77777777" w:rsidR="0095427D" w:rsidRPr="00C16361" w:rsidRDefault="0095427D" w:rsidP="0095427D">
            <w:pPr>
              <w:spacing w:after="0" w:line="240" w:lineRule="auto"/>
              <w:rPr>
                <w:sz w:val="18"/>
                <w:szCs w:val="18"/>
                <w:lang w:eastAsia="sk-SK"/>
              </w:rPr>
            </w:pPr>
            <w:r w:rsidRPr="00C16361">
              <w:rPr>
                <w:sz w:val="18"/>
                <w:szCs w:val="18"/>
                <w:lang w:eastAsia="sk-SK"/>
              </w:rPr>
              <w:t>Príspevkové organizácie obcí</w:t>
            </w:r>
          </w:p>
        </w:tc>
        <w:tc>
          <w:tcPr>
            <w:tcW w:w="498" w:type="pct"/>
            <w:gridSpan w:val="3"/>
            <w:tcBorders>
              <w:top w:val="nil"/>
              <w:left w:val="nil"/>
              <w:bottom w:val="nil"/>
              <w:right w:val="nil"/>
            </w:tcBorders>
            <w:shd w:val="clear" w:color="000000" w:fill="FFFFFF"/>
            <w:noWrap/>
            <w:vAlign w:val="center"/>
            <w:hideMark/>
          </w:tcPr>
          <w:p w14:paraId="7543EB0D" w14:textId="03C4011C" w:rsidR="0095427D" w:rsidRPr="00052A5E" w:rsidRDefault="0095427D" w:rsidP="00965E8C">
            <w:pPr>
              <w:spacing w:after="0" w:line="240" w:lineRule="auto"/>
              <w:jc w:val="right"/>
              <w:rPr>
                <w:sz w:val="18"/>
                <w:szCs w:val="18"/>
                <w:highlight w:val="yellow"/>
                <w:lang w:eastAsia="sk-SK"/>
              </w:rPr>
            </w:pPr>
            <w:r>
              <w:rPr>
                <w:sz w:val="18"/>
                <w:szCs w:val="18"/>
              </w:rPr>
              <w:t>-1 694</w:t>
            </w:r>
          </w:p>
        </w:tc>
        <w:tc>
          <w:tcPr>
            <w:tcW w:w="492" w:type="pct"/>
            <w:gridSpan w:val="3"/>
            <w:tcBorders>
              <w:top w:val="nil"/>
              <w:left w:val="nil"/>
              <w:bottom w:val="nil"/>
              <w:right w:val="nil"/>
            </w:tcBorders>
            <w:shd w:val="clear" w:color="000000" w:fill="FFFFFF"/>
            <w:noWrap/>
            <w:vAlign w:val="center"/>
            <w:hideMark/>
          </w:tcPr>
          <w:p w14:paraId="499D4C88" w14:textId="5CD9F59A" w:rsidR="0095427D" w:rsidRPr="00052A5E" w:rsidRDefault="0095427D" w:rsidP="0095427D">
            <w:pPr>
              <w:spacing w:after="0" w:line="240" w:lineRule="auto"/>
              <w:jc w:val="right"/>
              <w:rPr>
                <w:sz w:val="18"/>
                <w:szCs w:val="18"/>
                <w:highlight w:val="yellow"/>
                <w:lang w:eastAsia="sk-SK"/>
              </w:rPr>
            </w:pPr>
            <w:r>
              <w:rPr>
                <w:sz w:val="18"/>
                <w:szCs w:val="18"/>
              </w:rPr>
              <w:t>1 213</w:t>
            </w:r>
          </w:p>
        </w:tc>
        <w:tc>
          <w:tcPr>
            <w:tcW w:w="493" w:type="pct"/>
            <w:gridSpan w:val="4"/>
            <w:tcBorders>
              <w:top w:val="nil"/>
              <w:left w:val="nil"/>
              <w:bottom w:val="nil"/>
              <w:right w:val="nil"/>
            </w:tcBorders>
            <w:shd w:val="clear" w:color="000000" w:fill="FFFFFF"/>
            <w:noWrap/>
            <w:vAlign w:val="center"/>
            <w:hideMark/>
          </w:tcPr>
          <w:p w14:paraId="328DCC28" w14:textId="6ABB6BEB" w:rsidR="0095427D" w:rsidRPr="00052A5E" w:rsidRDefault="0095427D" w:rsidP="0095427D">
            <w:pPr>
              <w:spacing w:after="0" w:line="240" w:lineRule="auto"/>
              <w:jc w:val="right"/>
              <w:rPr>
                <w:sz w:val="18"/>
                <w:szCs w:val="18"/>
                <w:highlight w:val="yellow"/>
                <w:lang w:eastAsia="sk-SK"/>
              </w:rPr>
            </w:pPr>
            <w:r>
              <w:rPr>
                <w:sz w:val="18"/>
                <w:szCs w:val="18"/>
              </w:rPr>
              <w:t>1 386</w:t>
            </w:r>
          </w:p>
        </w:tc>
        <w:tc>
          <w:tcPr>
            <w:tcW w:w="493" w:type="pct"/>
            <w:gridSpan w:val="3"/>
            <w:tcBorders>
              <w:top w:val="nil"/>
              <w:left w:val="nil"/>
              <w:bottom w:val="nil"/>
              <w:right w:val="nil"/>
            </w:tcBorders>
            <w:shd w:val="clear" w:color="000000" w:fill="FFFFFF"/>
            <w:noWrap/>
            <w:vAlign w:val="center"/>
            <w:hideMark/>
          </w:tcPr>
          <w:p w14:paraId="04DDF0B4" w14:textId="2289C780" w:rsidR="0095427D" w:rsidRPr="00052A5E" w:rsidRDefault="0095427D" w:rsidP="0095427D">
            <w:pPr>
              <w:spacing w:after="0" w:line="240" w:lineRule="auto"/>
              <w:jc w:val="right"/>
              <w:rPr>
                <w:sz w:val="18"/>
                <w:szCs w:val="18"/>
                <w:highlight w:val="yellow"/>
                <w:lang w:eastAsia="sk-SK"/>
              </w:rPr>
            </w:pPr>
            <w:r>
              <w:rPr>
                <w:sz w:val="18"/>
                <w:szCs w:val="18"/>
              </w:rPr>
              <w:t>-323</w:t>
            </w:r>
          </w:p>
        </w:tc>
        <w:tc>
          <w:tcPr>
            <w:tcW w:w="531" w:type="pct"/>
            <w:gridSpan w:val="3"/>
            <w:tcBorders>
              <w:top w:val="nil"/>
              <w:left w:val="nil"/>
              <w:bottom w:val="nil"/>
              <w:right w:val="nil"/>
            </w:tcBorders>
            <w:shd w:val="clear" w:color="000000" w:fill="FFFFFF"/>
            <w:noWrap/>
            <w:vAlign w:val="center"/>
            <w:hideMark/>
          </w:tcPr>
          <w:p w14:paraId="5167D885" w14:textId="0D670ED4" w:rsidR="0095427D" w:rsidRPr="00052A5E" w:rsidRDefault="00FF2F00" w:rsidP="0095427D">
            <w:pPr>
              <w:spacing w:after="0" w:line="240" w:lineRule="auto"/>
              <w:jc w:val="right"/>
              <w:rPr>
                <w:sz w:val="18"/>
                <w:szCs w:val="18"/>
                <w:highlight w:val="yellow"/>
                <w:lang w:eastAsia="sk-SK"/>
              </w:rPr>
            </w:pPr>
            <w:r>
              <w:rPr>
                <w:sz w:val="18"/>
                <w:szCs w:val="18"/>
              </w:rPr>
              <w:t xml:space="preserve">  </w:t>
            </w:r>
            <w:r w:rsidR="0095427D">
              <w:rPr>
                <w:sz w:val="18"/>
                <w:szCs w:val="18"/>
              </w:rPr>
              <w:t>173</w:t>
            </w:r>
          </w:p>
        </w:tc>
        <w:tc>
          <w:tcPr>
            <w:tcW w:w="463" w:type="pct"/>
            <w:gridSpan w:val="2"/>
            <w:tcBorders>
              <w:top w:val="nil"/>
              <w:left w:val="nil"/>
              <w:bottom w:val="nil"/>
              <w:right w:val="nil"/>
            </w:tcBorders>
            <w:shd w:val="clear" w:color="000000" w:fill="FFFFFF"/>
            <w:noWrap/>
            <w:vAlign w:val="center"/>
            <w:hideMark/>
          </w:tcPr>
          <w:p w14:paraId="17EA49D3" w14:textId="08639725" w:rsidR="0095427D" w:rsidRPr="00052A5E" w:rsidRDefault="00FF2F00" w:rsidP="00CC6C7B">
            <w:pPr>
              <w:tabs>
                <w:tab w:val="left" w:pos="555"/>
              </w:tabs>
              <w:spacing w:after="0" w:line="240" w:lineRule="auto"/>
              <w:jc w:val="right"/>
              <w:rPr>
                <w:sz w:val="18"/>
                <w:szCs w:val="18"/>
                <w:highlight w:val="yellow"/>
                <w:lang w:eastAsia="sk-SK"/>
              </w:rPr>
            </w:pPr>
            <w:r>
              <w:rPr>
                <w:sz w:val="18"/>
                <w:szCs w:val="18"/>
              </w:rPr>
              <w:t xml:space="preserve"> </w:t>
            </w:r>
            <w:r w:rsidR="0095427D">
              <w:rPr>
                <w:sz w:val="18"/>
                <w:szCs w:val="18"/>
              </w:rPr>
              <w:t>1 709</w:t>
            </w:r>
          </w:p>
        </w:tc>
      </w:tr>
      <w:tr w:rsidR="00FF2F00" w:rsidRPr="00C16361" w14:paraId="773D6D08"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4571D02D" w14:textId="77777777" w:rsidR="0095427D" w:rsidRPr="00C16361" w:rsidRDefault="0095427D" w:rsidP="0095427D">
            <w:pPr>
              <w:spacing w:after="0" w:line="240" w:lineRule="auto"/>
              <w:rPr>
                <w:color w:val="000000"/>
                <w:sz w:val="18"/>
                <w:szCs w:val="18"/>
                <w:lang w:eastAsia="sk-SK"/>
              </w:rPr>
            </w:pPr>
            <w:r w:rsidRPr="00C16361">
              <w:rPr>
                <w:color w:val="000000"/>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3A4C268A" w14:textId="77777777" w:rsidR="0095427D" w:rsidRPr="00C16361" w:rsidRDefault="0095427D" w:rsidP="0095427D">
            <w:pPr>
              <w:spacing w:after="0" w:line="240" w:lineRule="auto"/>
              <w:rPr>
                <w:sz w:val="18"/>
                <w:szCs w:val="18"/>
                <w:lang w:eastAsia="sk-SK"/>
              </w:rPr>
            </w:pPr>
            <w:r w:rsidRPr="00C16361">
              <w:rPr>
                <w:sz w:val="18"/>
                <w:szCs w:val="18"/>
                <w:lang w:eastAsia="sk-SK"/>
              </w:rPr>
              <w:t>Príspevkové organizácie VÚC</w:t>
            </w:r>
          </w:p>
        </w:tc>
        <w:tc>
          <w:tcPr>
            <w:tcW w:w="498" w:type="pct"/>
            <w:gridSpan w:val="3"/>
            <w:tcBorders>
              <w:top w:val="nil"/>
              <w:left w:val="nil"/>
              <w:bottom w:val="nil"/>
              <w:right w:val="nil"/>
            </w:tcBorders>
            <w:shd w:val="clear" w:color="000000" w:fill="FFFFFF"/>
            <w:noWrap/>
            <w:vAlign w:val="center"/>
            <w:hideMark/>
          </w:tcPr>
          <w:p w14:paraId="166F4DF5" w14:textId="75F83A38" w:rsidR="0095427D" w:rsidRPr="00052A5E" w:rsidRDefault="0095427D" w:rsidP="00965E8C">
            <w:pPr>
              <w:spacing w:after="0" w:line="240" w:lineRule="auto"/>
              <w:jc w:val="right"/>
              <w:rPr>
                <w:sz w:val="18"/>
                <w:szCs w:val="18"/>
                <w:highlight w:val="yellow"/>
                <w:lang w:eastAsia="sk-SK"/>
              </w:rPr>
            </w:pPr>
            <w:r>
              <w:rPr>
                <w:sz w:val="18"/>
                <w:szCs w:val="18"/>
              </w:rPr>
              <w:t>-1 050</w:t>
            </w:r>
          </w:p>
        </w:tc>
        <w:tc>
          <w:tcPr>
            <w:tcW w:w="492" w:type="pct"/>
            <w:gridSpan w:val="3"/>
            <w:tcBorders>
              <w:top w:val="nil"/>
              <w:left w:val="nil"/>
              <w:bottom w:val="nil"/>
              <w:right w:val="nil"/>
            </w:tcBorders>
            <w:shd w:val="clear" w:color="000000" w:fill="FFFFFF"/>
            <w:noWrap/>
            <w:vAlign w:val="center"/>
            <w:hideMark/>
          </w:tcPr>
          <w:p w14:paraId="470E70F7" w14:textId="4585610E" w:rsidR="0095427D" w:rsidRPr="00052A5E" w:rsidRDefault="0095427D" w:rsidP="0095427D">
            <w:pPr>
              <w:spacing w:after="0" w:line="240" w:lineRule="auto"/>
              <w:jc w:val="right"/>
              <w:rPr>
                <w:sz w:val="18"/>
                <w:szCs w:val="18"/>
                <w:highlight w:val="yellow"/>
                <w:lang w:eastAsia="sk-SK"/>
              </w:rPr>
            </w:pPr>
            <w:r>
              <w:rPr>
                <w:sz w:val="18"/>
                <w:szCs w:val="18"/>
              </w:rPr>
              <w:t>11 419</w:t>
            </w:r>
          </w:p>
        </w:tc>
        <w:tc>
          <w:tcPr>
            <w:tcW w:w="493" w:type="pct"/>
            <w:gridSpan w:val="4"/>
            <w:tcBorders>
              <w:top w:val="nil"/>
              <w:left w:val="nil"/>
              <w:bottom w:val="nil"/>
              <w:right w:val="nil"/>
            </w:tcBorders>
            <w:shd w:val="clear" w:color="000000" w:fill="FFFFFF"/>
            <w:noWrap/>
            <w:vAlign w:val="center"/>
            <w:hideMark/>
          </w:tcPr>
          <w:p w14:paraId="1010A014" w14:textId="14818D0A" w:rsidR="0095427D" w:rsidRPr="00052A5E" w:rsidRDefault="0095427D" w:rsidP="0095427D">
            <w:pPr>
              <w:spacing w:after="0" w:line="240" w:lineRule="auto"/>
              <w:jc w:val="right"/>
              <w:rPr>
                <w:sz w:val="18"/>
                <w:szCs w:val="18"/>
                <w:highlight w:val="yellow"/>
                <w:lang w:eastAsia="sk-SK"/>
              </w:rPr>
            </w:pPr>
            <w:r>
              <w:rPr>
                <w:sz w:val="18"/>
                <w:szCs w:val="18"/>
              </w:rPr>
              <w:t>-7 623</w:t>
            </w:r>
          </w:p>
        </w:tc>
        <w:tc>
          <w:tcPr>
            <w:tcW w:w="493" w:type="pct"/>
            <w:gridSpan w:val="3"/>
            <w:tcBorders>
              <w:top w:val="nil"/>
              <w:left w:val="nil"/>
              <w:bottom w:val="nil"/>
              <w:right w:val="nil"/>
            </w:tcBorders>
            <w:shd w:val="clear" w:color="000000" w:fill="FFFFFF"/>
            <w:noWrap/>
            <w:vAlign w:val="center"/>
            <w:hideMark/>
          </w:tcPr>
          <w:p w14:paraId="68D9EBC4" w14:textId="7FACFC89" w:rsidR="0095427D" w:rsidRPr="00052A5E" w:rsidRDefault="0095427D" w:rsidP="0095427D">
            <w:pPr>
              <w:spacing w:after="0" w:line="240" w:lineRule="auto"/>
              <w:jc w:val="right"/>
              <w:rPr>
                <w:sz w:val="18"/>
                <w:szCs w:val="18"/>
                <w:highlight w:val="yellow"/>
                <w:lang w:eastAsia="sk-SK"/>
              </w:rPr>
            </w:pPr>
            <w:r>
              <w:rPr>
                <w:sz w:val="18"/>
                <w:szCs w:val="18"/>
              </w:rPr>
              <w:t>-175</w:t>
            </w:r>
          </w:p>
        </w:tc>
        <w:tc>
          <w:tcPr>
            <w:tcW w:w="531" w:type="pct"/>
            <w:gridSpan w:val="3"/>
            <w:tcBorders>
              <w:top w:val="nil"/>
              <w:left w:val="nil"/>
              <w:bottom w:val="nil"/>
              <w:right w:val="nil"/>
            </w:tcBorders>
            <w:shd w:val="clear" w:color="000000" w:fill="FFFFFF"/>
            <w:noWrap/>
            <w:vAlign w:val="center"/>
            <w:hideMark/>
          </w:tcPr>
          <w:p w14:paraId="0B36A981" w14:textId="6756BFA6" w:rsidR="0095427D" w:rsidRPr="00052A5E" w:rsidRDefault="0095427D" w:rsidP="0095427D">
            <w:pPr>
              <w:spacing w:after="0" w:line="240" w:lineRule="auto"/>
              <w:jc w:val="right"/>
              <w:rPr>
                <w:sz w:val="18"/>
                <w:szCs w:val="18"/>
                <w:highlight w:val="yellow"/>
                <w:lang w:eastAsia="sk-SK"/>
              </w:rPr>
            </w:pPr>
            <w:r>
              <w:rPr>
                <w:sz w:val="18"/>
                <w:szCs w:val="18"/>
              </w:rPr>
              <w:t>-19 042</w:t>
            </w:r>
          </w:p>
        </w:tc>
        <w:tc>
          <w:tcPr>
            <w:tcW w:w="463" w:type="pct"/>
            <w:gridSpan w:val="2"/>
            <w:tcBorders>
              <w:top w:val="nil"/>
              <w:left w:val="nil"/>
              <w:bottom w:val="nil"/>
              <w:right w:val="nil"/>
            </w:tcBorders>
            <w:shd w:val="clear" w:color="000000" w:fill="FFFFFF"/>
            <w:noWrap/>
            <w:vAlign w:val="center"/>
            <w:hideMark/>
          </w:tcPr>
          <w:p w14:paraId="4B117189" w14:textId="45E2C82B"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-7 448</w:t>
            </w:r>
          </w:p>
        </w:tc>
      </w:tr>
      <w:tr w:rsidR="00FF2F00" w:rsidRPr="00C16361" w14:paraId="2C85DDCA"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0A8CCB10" w14:textId="77777777" w:rsidR="0095427D" w:rsidRPr="00C16361" w:rsidRDefault="0095427D" w:rsidP="0095427D">
            <w:pPr>
              <w:spacing w:after="0" w:line="240" w:lineRule="auto"/>
              <w:rPr>
                <w:color w:val="000000"/>
                <w:sz w:val="18"/>
                <w:szCs w:val="18"/>
                <w:lang w:eastAsia="sk-SK"/>
              </w:rPr>
            </w:pPr>
            <w:r w:rsidRPr="00C16361">
              <w:rPr>
                <w:color w:val="000000"/>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5656E1BA" w14:textId="77777777" w:rsidR="0095427D" w:rsidRPr="00C16361" w:rsidRDefault="0095427D" w:rsidP="0095427D">
            <w:pPr>
              <w:spacing w:after="0" w:line="240" w:lineRule="auto"/>
              <w:rPr>
                <w:sz w:val="18"/>
                <w:szCs w:val="18"/>
                <w:lang w:eastAsia="sk-SK"/>
              </w:rPr>
            </w:pPr>
            <w:r w:rsidRPr="00C16361">
              <w:rPr>
                <w:sz w:val="18"/>
                <w:szCs w:val="18"/>
                <w:lang w:eastAsia="sk-SK"/>
              </w:rPr>
              <w:t>Dopravné podniky</w:t>
            </w:r>
          </w:p>
        </w:tc>
        <w:tc>
          <w:tcPr>
            <w:tcW w:w="498" w:type="pct"/>
            <w:gridSpan w:val="3"/>
            <w:tcBorders>
              <w:top w:val="nil"/>
              <w:left w:val="nil"/>
              <w:bottom w:val="nil"/>
              <w:right w:val="nil"/>
            </w:tcBorders>
            <w:shd w:val="clear" w:color="000000" w:fill="FFFFFF"/>
            <w:noWrap/>
            <w:vAlign w:val="center"/>
            <w:hideMark/>
          </w:tcPr>
          <w:p w14:paraId="5E1E9042" w14:textId="504AC672" w:rsidR="0095427D" w:rsidRPr="00052A5E" w:rsidRDefault="0095427D" w:rsidP="00965E8C">
            <w:pPr>
              <w:spacing w:after="0" w:line="240" w:lineRule="auto"/>
              <w:jc w:val="right"/>
              <w:rPr>
                <w:sz w:val="18"/>
                <w:szCs w:val="18"/>
                <w:highlight w:val="yellow"/>
                <w:lang w:eastAsia="sk-SK"/>
              </w:rPr>
            </w:pPr>
            <w:r>
              <w:rPr>
                <w:sz w:val="18"/>
                <w:szCs w:val="18"/>
              </w:rPr>
              <w:t>-9 411</w:t>
            </w:r>
          </w:p>
        </w:tc>
        <w:tc>
          <w:tcPr>
            <w:tcW w:w="492" w:type="pct"/>
            <w:gridSpan w:val="3"/>
            <w:tcBorders>
              <w:top w:val="nil"/>
              <w:left w:val="nil"/>
              <w:bottom w:val="nil"/>
              <w:right w:val="nil"/>
            </w:tcBorders>
            <w:shd w:val="clear" w:color="000000" w:fill="FFFFFF"/>
            <w:noWrap/>
            <w:vAlign w:val="center"/>
            <w:hideMark/>
          </w:tcPr>
          <w:p w14:paraId="55911F33" w14:textId="63224C71" w:rsidR="0095427D" w:rsidRPr="00052A5E" w:rsidRDefault="0095427D" w:rsidP="0095427D">
            <w:pPr>
              <w:spacing w:after="0" w:line="240" w:lineRule="auto"/>
              <w:jc w:val="right"/>
              <w:rPr>
                <w:sz w:val="18"/>
                <w:szCs w:val="18"/>
                <w:highlight w:val="yellow"/>
                <w:lang w:eastAsia="sk-SK"/>
              </w:rPr>
            </w:pPr>
            <w:r>
              <w:rPr>
                <w:sz w:val="18"/>
                <w:szCs w:val="18"/>
              </w:rPr>
              <w:t>71 771</w:t>
            </w:r>
          </w:p>
        </w:tc>
        <w:tc>
          <w:tcPr>
            <w:tcW w:w="493" w:type="pct"/>
            <w:gridSpan w:val="4"/>
            <w:tcBorders>
              <w:top w:val="nil"/>
              <w:left w:val="nil"/>
              <w:bottom w:val="nil"/>
              <w:right w:val="nil"/>
            </w:tcBorders>
            <w:shd w:val="clear" w:color="000000" w:fill="FFFFFF"/>
            <w:noWrap/>
            <w:vAlign w:val="center"/>
            <w:hideMark/>
          </w:tcPr>
          <w:p w14:paraId="3B66BE98" w14:textId="40048A9C" w:rsidR="0095427D" w:rsidRPr="00052A5E" w:rsidRDefault="0095427D" w:rsidP="0095427D">
            <w:pPr>
              <w:spacing w:after="0" w:line="240" w:lineRule="auto"/>
              <w:jc w:val="right"/>
              <w:rPr>
                <w:sz w:val="18"/>
                <w:szCs w:val="18"/>
                <w:highlight w:val="yellow"/>
                <w:lang w:eastAsia="sk-SK"/>
              </w:rPr>
            </w:pPr>
            <w:r>
              <w:rPr>
                <w:sz w:val="18"/>
                <w:szCs w:val="18"/>
              </w:rPr>
              <w:t>-72 640</w:t>
            </w:r>
          </w:p>
        </w:tc>
        <w:tc>
          <w:tcPr>
            <w:tcW w:w="493" w:type="pct"/>
            <w:gridSpan w:val="3"/>
            <w:tcBorders>
              <w:top w:val="nil"/>
              <w:left w:val="nil"/>
              <w:bottom w:val="nil"/>
              <w:right w:val="nil"/>
            </w:tcBorders>
            <w:shd w:val="clear" w:color="000000" w:fill="FFFFFF"/>
            <w:noWrap/>
            <w:vAlign w:val="center"/>
            <w:hideMark/>
          </w:tcPr>
          <w:p w14:paraId="6FAAA99A" w14:textId="688C1F76" w:rsidR="0095427D" w:rsidRPr="00052A5E" w:rsidRDefault="0095427D" w:rsidP="0095427D">
            <w:pPr>
              <w:spacing w:after="0" w:line="240" w:lineRule="auto"/>
              <w:jc w:val="right"/>
              <w:rPr>
                <w:sz w:val="18"/>
                <w:szCs w:val="18"/>
                <w:highlight w:val="yellow"/>
                <w:lang w:eastAsia="sk-SK"/>
              </w:rPr>
            </w:pPr>
            <w:r>
              <w:rPr>
                <w:sz w:val="18"/>
                <w:szCs w:val="18"/>
              </w:rPr>
              <w:t>-13 136</w:t>
            </w:r>
          </w:p>
        </w:tc>
        <w:tc>
          <w:tcPr>
            <w:tcW w:w="531" w:type="pct"/>
            <w:gridSpan w:val="3"/>
            <w:tcBorders>
              <w:top w:val="nil"/>
              <w:left w:val="nil"/>
              <w:bottom w:val="nil"/>
              <w:right w:val="nil"/>
            </w:tcBorders>
            <w:shd w:val="clear" w:color="000000" w:fill="FFFFFF"/>
            <w:noWrap/>
            <w:vAlign w:val="center"/>
            <w:hideMark/>
          </w:tcPr>
          <w:p w14:paraId="013977BA" w14:textId="2B925FAC" w:rsidR="0095427D" w:rsidRPr="00052A5E" w:rsidRDefault="0095427D" w:rsidP="0095427D">
            <w:pPr>
              <w:spacing w:after="0" w:line="240" w:lineRule="auto"/>
              <w:jc w:val="right"/>
              <w:rPr>
                <w:sz w:val="18"/>
                <w:szCs w:val="18"/>
                <w:highlight w:val="yellow"/>
                <w:lang w:eastAsia="sk-SK"/>
              </w:rPr>
            </w:pPr>
            <w:r>
              <w:rPr>
                <w:sz w:val="18"/>
                <w:szCs w:val="18"/>
              </w:rPr>
              <w:t>-144 411</w:t>
            </w:r>
          </w:p>
        </w:tc>
        <w:tc>
          <w:tcPr>
            <w:tcW w:w="463" w:type="pct"/>
            <w:gridSpan w:val="2"/>
            <w:tcBorders>
              <w:top w:val="nil"/>
              <w:left w:val="nil"/>
              <w:bottom w:val="nil"/>
              <w:right w:val="nil"/>
            </w:tcBorders>
            <w:shd w:val="clear" w:color="000000" w:fill="FFFFFF"/>
            <w:noWrap/>
            <w:vAlign w:val="center"/>
            <w:hideMark/>
          </w:tcPr>
          <w:p w14:paraId="14B2DAF0" w14:textId="5802BA94" w:rsidR="0095427D" w:rsidRPr="00052A5E" w:rsidRDefault="0095427D" w:rsidP="00CC6C7B">
            <w:pPr>
              <w:tabs>
                <w:tab w:val="left" w:pos="555"/>
              </w:tabs>
              <w:spacing w:after="0" w:line="240" w:lineRule="auto"/>
              <w:jc w:val="right"/>
              <w:rPr>
                <w:sz w:val="18"/>
                <w:szCs w:val="18"/>
                <w:highlight w:val="yellow"/>
                <w:lang w:eastAsia="sk-SK"/>
              </w:rPr>
            </w:pPr>
            <w:r>
              <w:rPr>
                <w:sz w:val="18"/>
                <w:szCs w:val="18"/>
              </w:rPr>
              <w:t>-59 504</w:t>
            </w:r>
          </w:p>
        </w:tc>
      </w:tr>
      <w:tr w:rsidR="007970C8" w:rsidRPr="00C16361" w14:paraId="6B709E15" w14:textId="77777777" w:rsidTr="007970C8">
        <w:trPr>
          <w:trHeight w:val="257"/>
        </w:trPr>
        <w:tc>
          <w:tcPr>
            <w:tcW w:w="100" w:type="pct"/>
            <w:tcBorders>
              <w:top w:val="nil"/>
              <w:left w:val="nil"/>
              <w:bottom w:val="nil"/>
              <w:right w:val="nil"/>
            </w:tcBorders>
            <w:shd w:val="clear" w:color="000000" w:fill="FFFFFF"/>
            <w:noWrap/>
            <w:vAlign w:val="center"/>
            <w:hideMark/>
          </w:tcPr>
          <w:p w14:paraId="269A60FE" w14:textId="77777777" w:rsidR="007970C8" w:rsidRPr="00C16361" w:rsidRDefault="007970C8" w:rsidP="007970C8">
            <w:pPr>
              <w:spacing w:after="0" w:line="240" w:lineRule="auto"/>
              <w:rPr>
                <w:color w:val="000000"/>
                <w:sz w:val="18"/>
                <w:szCs w:val="18"/>
                <w:lang w:eastAsia="sk-SK"/>
              </w:rPr>
            </w:pPr>
            <w:r w:rsidRPr="00C16361">
              <w:rPr>
                <w:color w:val="000000"/>
                <w:sz w:val="18"/>
                <w:szCs w:val="18"/>
                <w:lang w:eastAsia="sk-SK"/>
              </w:rPr>
              <w:t> </w:t>
            </w:r>
          </w:p>
        </w:tc>
        <w:tc>
          <w:tcPr>
            <w:tcW w:w="1843" w:type="pct"/>
            <w:gridSpan w:val="2"/>
            <w:tcBorders>
              <w:top w:val="nil"/>
              <w:left w:val="nil"/>
              <w:bottom w:val="nil"/>
              <w:right w:val="nil"/>
            </w:tcBorders>
            <w:shd w:val="clear" w:color="000000" w:fill="FFFFFF"/>
            <w:noWrap/>
            <w:vAlign w:val="center"/>
            <w:hideMark/>
          </w:tcPr>
          <w:p w14:paraId="0B87C0DD" w14:textId="77777777" w:rsidR="007970C8" w:rsidRPr="00C16361" w:rsidRDefault="007970C8" w:rsidP="007970C8">
            <w:pPr>
              <w:spacing w:after="0" w:line="240" w:lineRule="auto"/>
              <w:rPr>
                <w:sz w:val="18"/>
                <w:szCs w:val="18"/>
                <w:lang w:eastAsia="sk-SK"/>
              </w:rPr>
            </w:pPr>
            <w:r w:rsidRPr="00C16361">
              <w:rPr>
                <w:sz w:val="18"/>
                <w:szCs w:val="18"/>
                <w:lang w:eastAsia="sk-SK"/>
              </w:rPr>
              <w:t>Zdravotnícke zariadenia územnej samosprávy</w:t>
            </w:r>
          </w:p>
        </w:tc>
        <w:tc>
          <w:tcPr>
            <w:tcW w:w="100" w:type="pct"/>
            <w:gridSpan w:val="2"/>
            <w:tcBorders>
              <w:top w:val="nil"/>
              <w:left w:val="nil"/>
              <w:bottom w:val="nil"/>
              <w:right w:val="nil"/>
            </w:tcBorders>
            <w:vAlign w:val="center"/>
            <w:hideMark/>
          </w:tcPr>
          <w:p w14:paraId="71FE8C2D" w14:textId="77777777" w:rsidR="007970C8" w:rsidRPr="00052A5E" w:rsidRDefault="007970C8" w:rsidP="00965E8C">
            <w:pPr>
              <w:spacing w:after="0" w:line="240" w:lineRule="auto"/>
              <w:jc w:val="right"/>
              <w:rPr>
                <w:sz w:val="18"/>
                <w:szCs w:val="18"/>
                <w:highlight w:val="yellow"/>
                <w:lang w:eastAsia="sk-SK"/>
              </w:rPr>
            </w:pPr>
          </w:p>
        </w:tc>
        <w:tc>
          <w:tcPr>
            <w:tcW w:w="493" w:type="pct"/>
            <w:gridSpan w:val="3"/>
            <w:tcBorders>
              <w:top w:val="nil"/>
              <w:left w:val="nil"/>
              <w:bottom w:val="nil"/>
              <w:right w:val="nil"/>
            </w:tcBorders>
            <w:noWrap/>
            <w:vAlign w:val="center"/>
            <w:hideMark/>
          </w:tcPr>
          <w:p w14:paraId="4D549125" w14:textId="14568B3C" w:rsidR="007970C8" w:rsidRPr="007970C8" w:rsidRDefault="00FF2F00" w:rsidP="00FF2F00">
            <w:pPr>
              <w:spacing w:after="0" w:line="240" w:lineRule="auto"/>
              <w:jc w:val="center"/>
              <w:rPr>
                <w:sz w:val="18"/>
                <w:szCs w:val="18"/>
                <w:lang w:eastAsia="sk-SK"/>
              </w:rPr>
            </w:pPr>
            <w:r>
              <w:rPr>
                <w:sz w:val="18"/>
                <w:szCs w:val="18"/>
              </w:rPr>
              <w:t xml:space="preserve">   </w:t>
            </w:r>
            <w:r w:rsidR="007970C8" w:rsidRPr="007970C8">
              <w:rPr>
                <w:sz w:val="18"/>
                <w:szCs w:val="18"/>
              </w:rPr>
              <w:t>-29 023</w:t>
            </w:r>
          </w:p>
        </w:tc>
        <w:tc>
          <w:tcPr>
            <w:tcW w:w="492" w:type="pct"/>
            <w:gridSpan w:val="3"/>
            <w:tcBorders>
              <w:top w:val="nil"/>
              <w:left w:val="nil"/>
              <w:bottom w:val="nil"/>
              <w:right w:val="nil"/>
            </w:tcBorders>
            <w:shd w:val="clear" w:color="000000" w:fill="FFFFFF"/>
            <w:noWrap/>
            <w:vAlign w:val="center"/>
            <w:hideMark/>
          </w:tcPr>
          <w:p w14:paraId="4051252A" w14:textId="4C6BA45E" w:rsidR="007970C8" w:rsidRPr="00052A5E" w:rsidRDefault="007970C8" w:rsidP="007970C8">
            <w:pPr>
              <w:spacing w:after="0" w:line="240" w:lineRule="auto"/>
              <w:jc w:val="center"/>
              <w:rPr>
                <w:sz w:val="18"/>
                <w:szCs w:val="18"/>
                <w:highlight w:val="yellow"/>
                <w:lang w:eastAsia="sk-SK"/>
              </w:rPr>
            </w:pPr>
            <w:r w:rsidRPr="007970C8">
              <w:rPr>
                <w:sz w:val="18"/>
                <w:szCs w:val="18"/>
              </w:rPr>
              <w:t xml:space="preserve">   -13 115</w:t>
            </w:r>
          </w:p>
        </w:tc>
        <w:tc>
          <w:tcPr>
            <w:tcW w:w="493" w:type="pct"/>
            <w:gridSpan w:val="4"/>
            <w:tcBorders>
              <w:top w:val="nil"/>
              <w:left w:val="nil"/>
              <w:bottom w:val="nil"/>
              <w:right w:val="nil"/>
            </w:tcBorders>
            <w:shd w:val="clear" w:color="000000" w:fill="FFFFFF"/>
            <w:noWrap/>
            <w:vAlign w:val="center"/>
            <w:hideMark/>
          </w:tcPr>
          <w:p w14:paraId="040B853E" w14:textId="19D74710" w:rsidR="007970C8" w:rsidRPr="00052A5E" w:rsidRDefault="00FF2F00" w:rsidP="00FF2F00">
            <w:pPr>
              <w:spacing w:after="0" w:line="240" w:lineRule="auto"/>
              <w:jc w:val="center"/>
              <w:rPr>
                <w:sz w:val="18"/>
                <w:szCs w:val="18"/>
                <w:highlight w:val="yellow"/>
                <w:lang w:eastAsia="sk-SK"/>
              </w:rPr>
            </w:pPr>
            <w:r>
              <w:rPr>
                <w:sz w:val="18"/>
                <w:szCs w:val="18"/>
              </w:rPr>
              <w:t xml:space="preserve">      </w:t>
            </w:r>
            <w:r w:rsidR="007970C8" w:rsidRPr="007970C8">
              <w:rPr>
                <w:sz w:val="18"/>
                <w:szCs w:val="18"/>
              </w:rPr>
              <w:t>-639</w:t>
            </w:r>
          </w:p>
        </w:tc>
        <w:tc>
          <w:tcPr>
            <w:tcW w:w="483" w:type="pct"/>
            <w:gridSpan w:val="3"/>
            <w:tcBorders>
              <w:top w:val="nil"/>
              <w:left w:val="nil"/>
              <w:bottom w:val="nil"/>
              <w:right w:val="nil"/>
            </w:tcBorders>
            <w:shd w:val="clear" w:color="000000" w:fill="FFFFFF"/>
            <w:noWrap/>
            <w:vAlign w:val="center"/>
            <w:hideMark/>
          </w:tcPr>
          <w:p w14:paraId="49034BDA" w14:textId="2A703FCF" w:rsidR="007970C8" w:rsidRPr="00052A5E" w:rsidRDefault="007970C8" w:rsidP="007970C8">
            <w:pPr>
              <w:spacing w:after="0" w:line="240" w:lineRule="auto"/>
              <w:jc w:val="right"/>
              <w:rPr>
                <w:sz w:val="18"/>
                <w:szCs w:val="18"/>
                <w:highlight w:val="yellow"/>
                <w:lang w:eastAsia="sk-SK"/>
              </w:rPr>
            </w:pPr>
            <w:r>
              <w:rPr>
                <w:sz w:val="18"/>
                <w:szCs w:val="18"/>
              </w:rPr>
              <w:t>-2 017</w:t>
            </w:r>
          </w:p>
        </w:tc>
        <w:tc>
          <w:tcPr>
            <w:tcW w:w="547" w:type="pct"/>
            <w:gridSpan w:val="3"/>
            <w:tcBorders>
              <w:top w:val="nil"/>
              <w:left w:val="nil"/>
              <w:bottom w:val="nil"/>
              <w:right w:val="nil"/>
            </w:tcBorders>
            <w:shd w:val="clear" w:color="000000" w:fill="FFFFFF"/>
            <w:noWrap/>
            <w:vAlign w:val="center"/>
            <w:hideMark/>
          </w:tcPr>
          <w:p w14:paraId="1E81CA1B" w14:textId="1A402FCE" w:rsidR="007970C8" w:rsidRPr="00052A5E" w:rsidRDefault="00FF2F00" w:rsidP="00CC6C7B">
            <w:pPr>
              <w:tabs>
                <w:tab w:val="left" w:pos="555"/>
              </w:tabs>
              <w:spacing w:after="0" w:line="240" w:lineRule="auto"/>
              <w:ind w:left="137" w:hanging="283"/>
              <w:jc w:val="center"/>
              <w:rPr>
                <w:sz w:val="18"/>
                <w:szCs w:val="18"/>
                <w:highlight w:val="yellow"/>
                <w:lang w:eastAsia="sk-SK"/>
              </w:rPr>
            </w:pPr>
            <w:r>
              <w:rPr>
                <w:sz w:val="18"/>
                <w:szCs w:val="18"/>
              </w:rPr>
              <w:t xml:space="preserve">       </w:t>
            </w:r>
            <w:r w:rsidR="007970C8">
              <w:rPr>
                <w:sz w:val="18"/>
                <w:szCs w:val="18"/>
              </w:rPr>
              <w:t>12 476</w:t>
            </w:r>
          </w:p>
        </w:tc>
        <w:tc>
          <w:tcPr>
            <w:tcW w:w="449" w:type="pct"/>
            <w:gridSpan w:val="2"/>
            <w:tcBorders>
              <w:top w:val="nil"/>
              <w:left w:val="nil"/>
              <w:bottom w:val="nil"/>
              <w:right w:val="nil"/>
            </w:tcBorders>
            <w:shd w:val="clear" w:color="000000" w:fill="FFFFFF"/>
            <w:noWrap/>
            <w:vAlign w:val="center"/>
            <w:hideMark/>
          </w:tcPr>
          <w:p w14:paraId="74333477" w14:textId="1C92794A" w:rsidR="007970C8" w:rsidRPr="00052A5E" w:rsidRDefault="00FF2F00" w:rsidP="00CC6C7B">
            <w:pPr>
              <w:tabs>
                <w:tab w:val="left" w:pos="555"/>
              </w:tabs>
              <w:spacing w:after="0" w:line="240" w:lineRule="auto"/>
              <w:jc w:val="center"/>
              <w:rPr>
                <w:sz w:val="18"/>
                <w:szCs w:val="18"/>
                <w:highlight w:val="yellow"/>
                <w:lang w:eastAsia="sk-SK"/>
              </w:rPr>
            </w:pPr>
            <w:r>
              <w:rPr>
                <w:sz w:val="18"/>
                <w:szCs w:val="18"/>
              </w:rPr>
              <w:t xml:space="preserve">    </w:t>
            </w:r>
            <w:r w:rsidR="007970C8">
              <w:rPr>
                <w:sz w:val="18"/>
                <w:szCs w:val="18"/>
              </w:rPr>
              <w:t>1 378</w:t>
            </w:r>
          </w:p>
        </w:tc>
      </w:tr>
      <w:tr w:rsidR="00FF2F00" w:rsidRPr="00C16361" w14:paraId="4EE73516"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5A6D7859" w14:textId="77777777" w:rsidR="007970C8" w:rsidRPr="00C16361" w:rsidRDefault="007970C8" w:rsidP="007970C8">
            <w:pPr>
              <w:spacing w:after="0" w:line="240" w:lineRule="auto"/>
              <w:rPr>
                <w:color w:val="000000"/>
                <w:sz w:val="18"/>
                <w:szCs w:val="18"/>
                <w:lang w:eastAsia="sk-SK"/>
              </w:rPr>
            </w:pPr>
            <w:r w:rsidRPr="00C16361">
              <w:rPr>
                <w:color w:val="000000"/>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34AEDDC0" w14:textId="77777777" w:rsidR="007970C8" w:rsidRPr="00C16361" w:rsidRDefault="007970C8" w:rsidP="007970C8">
            <w:pPr>
              <w:spacing w:after="0" w:line="240" w:lineRule="auto"/>
              <w:rPr>
                <w:sz w:val="18"/>
                <w:szCs w:val="18"/>
                <w:lang w:eastAsia="sk-SK"/>
              </w:rPr>
            </w:pPr>
            <w:r w:rsidRPr="00C16361">
              <w:rPr>
                <w:sz w:val="18"/>
                <w:szCs w:val="18"/>
                <w:lang w:eastAsia="sk-SK"/>
              </w:rPr>
              <w:t>Ostatné subjekty územnej samosprávy</w:t>
            </w:r>
          </w:p>
        </w:tc>
        <w:tc>
          <w:tcPr>
            <w:tcW w:w="498" w:type="pct"/>
            <w:gridSpan w:val="3"/>
            <w:tcBorders>
              <w:top w:val="nil"/>
              <w:left w:val="nil"/>
              <w:bottom w:val="nil"/>
              <w:right w:val="nil"/>
            </w:tcBorders>
            <w:shd w:val="clear" w:color="000000" w:fill="FFFFFF"/>
            <w:noWrap/>
            <w:vAlign w:val="center"/>
            <w:hideMark/>
          </w:tcPr>
          <w:p w14:paraId="337DEC69" w14:textId="311109B3" w:rsidR="007970C8" w:rsidRPr="00052A5E" w:rsidRDefault="007970C8" w:rsidP="00965E8C">
            <w:pPr>
              <w:spacing w:after="0" w:line="240" w:lineRule="auto"/>
              <w:jc w:val="right"/>
              <w:rPr>
                <w:sz w:val="18"/>
                <w:szCs w:val="18"/>
                <w:highlight w:val="yellow"/>
                <w:lang w:eastAsia="sk-SK"/>
              </w:rPr>
            </w:pPr>
            <w:r>
              <w:rPr>
                <w:sz w:val="18"/>
                <w:szCs w:val="18"/>
              </w:rPr>
              <w:t>6 159</w:t>
            </w:r>
          </w:p>
        </w:tc>
        <w:tc>
          <w:tcPr>
            <w:tcW w:w="492" w:type="pct"/>
            <w:gridSpan w:val="3"/>
            <w:tcBorders>
              <w:top w:val="nil"/>
              <w:left w:val="nil"/>
              <w:bottom w:val="nil"/>
              <w:right w:val="nil"/>
            </w:tcBorders>
            <w:shd w:val="clear" w:color="000000" w:fill="FFFFFF"/>
            <w:noWrap/>
            <w:vAlign w:val="center"/>
            <w:hideMark/>
          </w:tcPr>
          <w:p w14:paraId="00E353F0" w14:textId="2892B7F5" w:rsidR="007970C8" w:rsidRPr="00052A5E" w:rsidRDefault="007970C8" w:rsidP="007970C8">
            <w:pPr>
              <w:spacing w:after="0" w:line="240" w:lineRule="auto"/>
              <w:jc w:val="right"/>
              <w:rPr>
                <w:sz w:val="18"/>
                <w:szCs w:val="18"/>
                <w:highlight w:val="yellow"/>
                <w:lang w:eastAsia="sk-SK"/>
              </w:rPr>
            </w:pPr>
            <w:r>
              <w:rPr>
                <w:sz w:val="18"/>
                <w:szCs w:val="18"/>
              </w:rPr>
              <w:t>-25 103</w:t>
            </w:r>
          </w:p>
        </w:tc>
        <w:tc>
          <w:tcPr>
            <w:tcW w:w="493" w:type="pct"/>
            <w:gridSpan w:val="4"/>
            <w:tcBorders>
              <w:top w:val="nil"/>
              <w:left w:val="nil"/>
              <w:bottom w:val="nil"/>
              <w:right w:val="nil"/>
            </w:tcBorders>
            <w:shd w:val="clear" w:color="000000" w:fill="FFFFFF"/>
            <w:noWrap/>
            <w:vAlign w:val="center"/>
            <w:hideMark/>
          </w:tcPr>
          <w:p w14:paraId="2C17BEDC" w14:textId="0B31C249" w:rsidR="007970C8" w:rsidRPr="00052A5E" w:rsidRDefault="007970C8" w:rsidP="007970C8">
            <w:pPr>
              <w:spacing w:after="0" w:line="240" w:lineRule="auto"/>
              <w:jc w:val="right"/>
              <w:rPr>
                <w:sz w:val="18"/>
                <w:szCs w:val="18"/>
                <w:highlight w:val="yellow"/>
                <w:lang w:eastAsia="sk-SK"/>
              </w:rPr>
            </w:pPr>
            <w:r>
              <w:rPr>
                <w:sz w:val="18"/>
                <w:szCs w:val="18"/>
              </w:rPr>
              <w:t>-23 978</w:t>
            </w:r>
          </w:p>
        </w:tc>
        <w:tc>
          <w:tcPr>
            <w:tcW w:w="493" w:type="pct"/>
            <w:gridSpan w:val="3"/>
            <w:tcBorders>
              <w:top w:val="nil"/>
              <w:left w:val="nil"/>
              <w:bottom w:val="nil"/>
              <w:right w:val="nil"/>
            </w:tcBorders>
            <w:shd w:val="clear" w:color="000000" w:fill="FFFFFF"/>
            <w:noWrap/>
            <w:vAlign w:val="center"/>
            <w:hideMark/>
          </w:tcPr>
          <w:p w14:paraId="2601B8E5" w14:textId="389FD8CF" w:rsidR="007970C8" w:rsidRPr="00052A5E" w:rsidRDefault="007970C8" w:rsidP="007970C8">
            <w:pPr>
              <w:spacing w:after="0" w:line="240" w:lineRule="auto"/>
              <w:jc w:val="right"/>
              <w:rPr>
                <w:sz w:val="18"/>
                <w:szCs w:val="18"/>
                <w:highlight w:val="yellow"/>
                <w:lang w:eastAsia="sk-SK"/>
              </w:rPr>
            </w:pPr>
            <w:r>
              <w:rPr>
                <w:sz w:val="18"/>
                <w:szCs w:val="18"/>
              </w:rPr>
              <w:t>0</w:t>
            </w:r>
          </w:p>
        </w:tc>
        <w:tc>
          <w:tcPr>
            <w:tcW w:w="531" w:type="pct"/>
            <w:gridSpan w:val="3"/>
            <w:tcBorders>
              <w:top w:val="nil"/>
              <w:left w:val="nil"/>
              <w:bottom w:val="nil"/>
              <w:right w:val="nil"/>
            </w:tcBorders>
            <w:shd w:val="clear" w:color="000000" w:fill="FFFFFF"/>
            <w:noWrap/>
            <w:vAlign w:val="center"/>
            <w:hideMark/>
          </w:tcPr>
          <w:p w14:paraId="2B1EE64C" w14:textId="1E52DDD3" w:rsidR="007970C8" w:rsidRPr="00052A5E" w:rsidRDefault="007970C8" w:rsidP="007970C8">
            <w:pPr>
              <w:spacing w:after="0" w:line="240" w:lineRule="auto"/>
              <w:jc w:val="right"/>
              <w:rPr>
                <w:sz w:val="18"/>
                <w:szCs w:val="18"/>
                <w:highlight w:val="yellow"/>
                <w:lang w:eastAsia="sk-SK"/>
              </w:rPr>
            </w:pPr>
            <w:r>
              <w:rPr>
                <w:sz w:val="18"/>
                <w:szCs w:val="18"/>
              </w:rPr>
              <w:t>1 125</w:t>
            </w:r>
          </w:p>
        </w:tc>
        <w:tc>
          <w:tcPr>
            <w:tcW w:w="463" w:type="pct"/>
            <w:gridSpan w:val="2"/>
            <w:tcBorders>
              <w:top w:val="nil"/>
              <w:left w:val="nil"/>
              <w:bottom w:val="nil"/>
              <w:right w:val="nil"/>
            </w:tcBorders>
            <w:shd w:val="clear" w:color="000000" w:fill="FFFFFF"/>
            <w:noWrap/>
            <w:vAlign w:val="center"/>
            <w:hideMark/>
          </w:tcPr>
          <w:p w14:paraId="5B75BD2C" w14:textId="6D50D581" w:rsidR="007970C8" w:rsidRPr="00052A5E" w:rsidRDefault="007970C8" w:rsidP="00CC6C7B">
            <w:pPr>
              <w:tabs>
                <w:tab w:val="left" w:pos="555"/>
              </w:tabs>
              <w:spacing w:after="0" w:line="240" w:lineRule="auto"/>
              <w:jc w:val="right"/>
              <w:rPr>
                <w:sz w:val="18"/>
                <w:szCs w:val="18"/>
                <w:highlight w:val="yellow"/>
                <w:lang w:eastAsia="sk-SK"/>
              </w:rPr>
            </w:pPr>
            <w:r>
              <w:rPr>
                <w:sz w:val="18"/>
                <w:szCs w:val="18"/>
              </w:rPr>
              <w:t>-23 978</w:t>
            </w:r>
          </w:p>
        </w:tc>
      </w:tr>
      <w:tr w:rsidR="007970C8" w:rsidRPr="00C16361" w14:paraId="6554C500" w14:textId="77777777" w:rsidTr="00A17BD9">
        <w:trPr>
          <w:gridAfter w:val="1"/>
          <w:wAfter w:w="28" w:type="pct"/>
          <w:trHeight w:val="257"/>
        </w:trPr>
        <w:tc>
          <w:tcPr>
            <w:tcW w:w="2001" w:type="pct"/>
            <w:gridSpan w:val="4"/>
            <w:tcBorders>
              <w:top w:val="nil"/>
              <w:left w:val="nil"/>
              <w:bottom w:val="nil"/>
              <w:right w:val="nil"/>
            </w:tcBorders>
            <w:shd w:val="clear" w:color="000000" w:fill="FFFFFF"/>
            <w:noWrap/>
            <w:vAlign w:val="center"/>
            <w:hideMark/>
          </w:tcPr>
          <w:p w14:paraId="16EC64F6" w14:textId="77777777" w:rsidR="007970C8" w:rsidRPr="00C16361" w:rsidRDefault="007970C8" w:rsidP="007970C8">
            <w:pPr>
              <w:spacing w:after="0" w:line="240" w:lineRule="auto"/>
              <w:rPr>
                <w:b/>
                <w:bCs/>
                <w:color w:val="000000"/>
                <w:sz w:val="18"/>
                <w:szCs w:val="18"/>
                <w:lang w:eastAsia="sk-SK"/>
              </w:rPr>
            </w:pPr>
            <w:r w:rsidRPr="00C16361">
              <w:rPr>
                <w:b/>
                <w:bCs/>
                <w:color w:val="000000"/>
                <w:sz w:val="18"/>
                <w:szCs w:val="18"/>
                <w:lang w:eastAsia="sk-SK"/>
              </w:rPr>
              <w:t>Fondy sociálneho zabezpečenia</w:t>
            </w:r>
          </w:p>
        </w:tc>
        <w:tc>
          <w:tcPr>
            <w:tcW w:w="498" w:type="pct"/>
            <w:gridSpan w:val="3"/>
            <w:tcBorders>
              <w:top w:val="nil"/>
              <w:left w:val="nil"/>
              <w:bottom w:val="nil"/>
              <w:right w:val="nil"/>
            </w:tcBorders>
            <w:shd w:val="clear" w:color="000000" w:fill="FFFFFF"/>
            <w:noWrap/>
            <w:vAlign w:val="center"/>
            <w:hideMark/>
          </w:tcPr>
          <w:p w14:paraId="05E9EE4A" w14:textId="521CA222" w:rsidR="007970C8" w:rsidRPr="00052A5E" w:rsidRDefault="007970C8" w:rsidP="00965E8C">
            <w:pPr>
              <w:spacing w:after="0" w:line="240" w:lineRule="auto"/>
              <w:jc w:val="right"/>
              <w:rPr>
                <w:b/>
                <w:bCs/>
                <w:sz w:val="18"/>
                <w:szCs w:val="18"/>
                <w:highlight w:val="yellow"/>
                <w:lang w:eastAsia="sk-SK"/>
              </w:rPr>
            </w:pPr>
            <w:r>
              <w:rPr>
                <w:b/>
                <w:bCs/>
                <w:sz w:val="18"/>
                <w:szCs w:val="18"/>
              </w:rPr>
              <w:t>189 168</w:t>
            </w:r>
          </w:p>
        </w:tc>
        <w:tc>
          <w:tcPr>
            <w:tcW w:w="492" w:type="pct"/>
            <w:gridSpan w:val="3"/>
            <w:tcBorders>
              <w:top w:val="nil"/>
              <w:left w:val="nil"/>
              <w:bottom w:val="nil"/>
              <w:right w:val="nil"/>
            </w:tcBorders>
            <w:shd w:val="clear" w:color="000000" w:fill="FFFFFF"/>
            <w:noWrap/>
            <w:vAlign w:val="center"/>
            <w:hideMark/>
          </w:tcPr>
          <w:p w14:paraId="7A6733D8" w14:textId="18829878" w:rsidR="007970C8" w:rsidRPr="00052A5E" w:rsidRDefault="007970C8" w:rsidP="007970C8">
            <w:pPr>
              <w:spacing w:after="0" w:line="240" w:lineRule="auto"/>
              <w:jc w:val="right"/>
              <w:rPr>
                <w:b/>
                <w:bCs/>
                <w:sz w:val="18"/>
                <w:szCs w:val="18"/>
                <w:highlight w:val="yellow"/>
                <w:lang w:eastAsia="sk-SK"/>
              </w:rPr>
            </w:pPr>
            <w:r>
              <w:rPr>
                <w:b/>
                <w:bCs/>
                <w:sz w:val="18"/>
                <w:szCs w:val="18"/>
              </w:rPr>
              <w:t>276 236</w:t>
            </w:r>
          </w:p>
        </w:tc>
        <w:tc>
          <w:tcPr>
            <w:tcW w:w="493" w:type="pct"/>
            <w:gridSpan w:val="4"/>
            <w:tcBorders>
              <w:top w:val="nil"/>
              <w:left w:val="nil"/>
              <w:bottom w:val="nil"/>
              <w:right w:val="nil"/>
            </w:tcBorders>
            <w:shd w:val="clear" w:color="000000" w:fill="FFFFFF"/>
            <w:noWrap/>
            <w:vAlign w:val="center"/>
            <w:hideMark/>
          </w:tcPr>
          <w:p w14:paraId="643CD0B0" w14:textId="176B871F" w:rsidR="007970C8" w:rsidRPr="00052A5E" w:rsidRDefault="007970C8" w:rsidP="007970C8">
            <w:pPr>
              <w:spacing w:after="0" w:line="240" w:lineRule="auto"/>
              <w:jc w:val="right"/>
              <w:rPr>
                <w:b/>
                <w:bCs/>
                <w:sz w:val="18"/>
                <w:szCs w:val="18"/>
                <w:highlight w:val="yellow"/>
                <w:lang w:eastAsia="sk-SK"/>
              </w:rPr>
            </w:pPr>
            <w:r>
              <w:rPr>
                <w:b/>
                <w:bCs/>
                <w:sz w:val="18"/>
                <w:szCs w:val="18"/>
              </w:rPr>
              <w:t>347 657</w:t>
            </w:r>
          </w:p>
        </w:tc>
        <w:tc>
          <w:tcPr>
            <w:tcW w:w="493" w:type="pct"/>
            <w:gridSpan w:val="3"/>
            <w:tcBorders>
              <w:top w:val="nil"/>
              <w:left w:val="nil"/>
              <w:bottom w:val="nil"/>
              <w:right w:val="nil"/>
            </w:tcBorders>
            <w:shd w:val="clear" w:color="000000" w:fill="FFFFFF"/>
            <w:noWrap/>
            <w:vAlign w:val="center"/>
            <w:hideMark/>
          </w:tcPr>
          <w:p w14:paraId="0C1EED72" w14:textId="0691EDD0" w:rsidR="007970C8" w:rsidRPr="00052A5E" w:rsidRDefault="007970C8" w:rsidP="007970C8">
            <w:pPr>
              <w:spacing w:after="0" w:line="240" w:lineRule="auto"/>
              <w:jc w:val="right"/>
              <w:rPr>
                <w:b/>
                <w:bCs/>
                <w:sz w:val="18"/>
                <w:szCs w:val="18"/>
                <w:highlight w:val="yellow"/>
                <w:lang w:eastAsia="sk-SK"/>
              </w:rPr>
            </w:pPr>
            <w:r>
              <w:rPr>
                <w:b/>
                <w:bCs/>
                <w:sz w:val="18"/>
                <w:szCs w:val="18"/>
              </w:rPr>
              <w:t>319 109</w:t>
            </w:r>
          </w:p>
        </w:tc>
        <w:tc>
          <w:tcPr>
            <w:tcW w:w="531" w:type="pct"/>
            <w:gridSpan w:val="3"/>
            <w:tcBorders>
              <w:top w:val="nil"/>
              <w:left w:val="nil"/>
              <w:bottom w:val="nil"/>
              <w:right w:val="nil"/>
            </w:tcBorders>
            <w:shd w:val="clear" w:color="000000" w:fill="FFFFFF"/>
            <w:noWrap/>
            <w:vAlign w:val="center"/>
            <w:hideMark/>
          </w:tcPr>
          <w:p w14:paraId="1987EB69" w14:textId="35A71DAB" w:rsidR="007970C8" w:rsidRPr="00052A5E" w:rsidRDefault="007970C8" w:rsidP="007970C8">
            <w:pPr>
              <w:spacing w:after="0" w:line="240" w:lineRule="auto"/>
              <w:jc w:val="right"/>
              <w:rPr>
                <w:b/>
                <w:bCs/>
                <w:sz w:val="18"/>
                <w:szCs w:val="18"/>
                <w:highlight w:val="yellow"/>
                <w:lang w:eastAsia="sk-SK"/>
              </w:rPr>
            </w:pPr>
            <w:r>
              <w:rPr>
                <w:b/>
                <w:bCs/>
                <w:sz w:val="18"/>
                <w:szCs w:val="18"/>
              </w:rPr>
              <w:t>71 421</w:t>
            </w:r>
          </w:p>
        </w:tc>
        <w:tc>
          <w:tcPr>
            <w:tcW w:w="463" w:type="pct"/>
            <w:gridSpan w:val="2"/>
            <w:tcBorders>
              <w:top w:val="nil"/>
              <w:left w:val="nil"/>
              <w:bottom w:val="nil"/>
              <w:right w:val="nil"/>
            </w:tcBorders>
            <w:shd w:val="clear" w:color="000000" w:fill="FFFFFF"/>
            <w:noWrap/>
            <w:vAlign w:val="center"/>
            <w:hideMark/>
          </w:tcPr>
          <w:p w14:paraId="0E5EC914" w14:textId="4DD8160B" w:rsidR="007970C8" w:rsidRPr="00052A5E" w:rsidRDefault="007970C8" w:rsidP="007970C8">
            <w:pPr>
              <w:spacing w:after="0" w:line="240" w:lineRule="auto"/>
              <w:jc w:val="right"/>
              <w:rPr>
                <w:b/>
                <w:bCs/>
                <w:sz w:val="18"/>
                <w:szCs w:val="18"/>
                <w:highlight w:val="yellow"/>
                <w:lang w:eastAsia="sk-SK"/>
              </w:rPr>
            </w:pPr>
            <w:r>
              <w:rPr>
                <w:b/>
                <w:bCs/>
                <w:sz w:val="18"/>
                <w:szCs w:val="18"/>
              </w:rPr>
              <w:t>28 548</w:t>
            </w:r>
          </w:p>
        </w:tc>
      </w:tr>
      <w:tr w:rsidR="00FF2F00" w:rsidRPr="00C16361" w14:paraId="0351107B"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00168ECF" w14:textId="77777777" w:rsidR="007970C8" w:rsidRPr="00C16361" w:rsidRDefault="007970C8" w:rsidP="007970C8">
            <w:pPr>
              <w:spacing w:after="0" w:line="240" w:lineRule="auto"/>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7C714DB3" w14:textId="77777777" w:rsidR="007970C8" w:rsidRPr="00C16361" w:rsidRDefault="007970C8" w:rsidP="007970C8">
            <w:pPr>
              <w:spacing w:after="0" w:line="240" w:lineRule="auto"/>
              <w:rPr>
                <w:sz w:val="18"/>
                <w:szCs w:val="18"/>
                <w:lang w:eastAsia="sk-SK"/>
              </w:rPr>
            </w:pPr>
            <w:r w:rsidRPr="00C16361">
              <w:rPr>
                <w:sz w:val="18"/>
                <w:szCs w:val="18"/>
                <w:lang w:eastAsia="sk-SK"/>
              </w:rPr>
              <w:t>Sociálna poisťovňa</w:t>
            </w:r>
          </w:p>
        </w:tc>
        <w:tc>
          <w:tcPr>
            <w:tcW w:w="498" w:type="pct"/>
            <w:gridSpan w:val="3"/>
            <w:tcBorders>
              <w:top w:val="nil"/>
              <w:left w:val="nil"/>
              <w:bottom w:val="nil"/>
              <w:right w:val="nil"/>
            </w:tcBorders>
            <w:shd w:val="clear" w:color="000000" w:fill="FFFFFF"/>
            <w:noWrap/>
            <w:vAlign w:val="center"/>
            <w:hideMark/>
          </w:tcPr>
          <w:p w14:paraId="21BEB634" w14:textId="4C109A4A" w:rsidR="007970C8" w:rsidRPr="00052A5E" w:rsidRDefault="007970C8" w:rsidP="00965E8C">
            <w:pPr>
              <w:spacing w:after="0" w:line="240" w:lineRule="auto"/>
              <w:jc w:val="right"/>
              <w:rPr>
                <w:sz w:val="18"/>
                <w:szCs w:val="18"/>
                <w:highlight w:val="yellow"/>
                <w:lang w:eastAsia="sk-SK"/>
              </w:rPr>
            </w:pPr>
            <w:r>
              <w:rPr>
                <w:sz w:val="18"/>
                <w:szCs w:val="18"/>
              </w:rPr>
              <w:t>188 616</w:t>
            </w:r>
          </w:p>
        </w:tc>
        <w:tc>
          <w:tcPr>
            <w:tcW w:w="492" w:type="pct"/>
            <w:gridSpan w:val="3"/>
            <w:tcBorders>
              <w:top w:val="nil"/>
              <w:left w:val="nil"/>
              <w:bottom w:val="nil"/>
              <w:right w:val="nil"/>
            </w:tcBorders>
            <w:shd w:val="clear" w:color="000000" w:fill="FFFFFF"/>
            <w:noWrap/>
            <w:vAlign w:val="center"/>
            <w:hideMark/>
          </w:tcPr>
          <w:p w14:paraId="2C60B8D7" w14:textId="5FF8BB27" w:rsidR="007970C8" w:rsidRPr="00052A5E" w:rsidRDefault="007970C8" w:rsidP="007970C8">
            <w:pPr>
              <w:spacing w:after="0" w:line="240" w:lineRule="auto"/>
              <w:jc w:val="right"/>
              <w:rPr>
                <w:sz w:val="18"/>
                <w:szCs w:val="18"/>
                <w:highlight w:val="yellow"/>
                <w:lang w:eastAsia="sk-SK"/>
              </w:rPr>
            </w:pPr>
            <w:r>
              <w:rPr>
                <w:sz w:val="18"/>
                <w:szCs w:val="18"/>
              </w:rPr>
              <w:t>51 561</w:t>
            </w:r>
          </w:p>
        </w:tc>
        <w:tc>
          <w:tcPr>
            <w:tcW w:w="493" w:type="pct"/>
            <w:gridSpan w:val="4"/>
            <w:tcBorders>
              <w:top w:val="nil"/>
              <w:left w:val="nil"/>
              <w:bottom w:val="nil"/>
              <w:right w:val="nil"/>
            </w:tcBorders>
            <w:shd w:val="clear" w:color="000000" w:fill="FFFFFF"/>
            <w:noWrap/>
            <w:vAlign w:val="center"/>
            <w:hideMark/>
          </w:tcPr>
          <w:p w14:paraId="159FE2AE" w14:textId="3DA84155" w:rsidR="007970C8" w:rsidRPr="00052A5E" w:rsidRDefault="007970C8" w:rsidP="007970C8">
            <w:pPr>
              <w:spacing w:after="0" w:line="240" w:lineRule="auto"/>
              <w:jc w:val="right"/>
              <w:rPr>
                <w:sz w:val="18"/>
                <w:szCs w:val="18"/>
                <w:highlight w:val="yellow"/>
                <w:lang w:eastAsia="sk-SK"/>
              </w:rPr>
            </w:pPr>
            <w:r>
              <w:rPr>
                <w:sz w:val="18"/>
                <w:szCs w:val="18"/>
              </w:rPr>
              <w:t>335 463</w:t>
            </w:r>
          </w:p>
        </w:tc>
        <w:tc>
          <w:tcPr>
            <w:tcW w:w="493" w:type="pct"/>
            <w:gridSpan w:val="3"/>
            <w:tcBorders>
              <w:top w:val="nil"/>
              <w:left w:val="nil"/>
              <w:bottom w:val="nil"/>
              <w:right w:val="nil"/>
            </w:tcBorders>
            <w:shd w:val="clear" w:color="000000" w:fill="FFFFFF"/>
            <w:noWrap/>
            <w:vAlign w:val="center"/>
            <w:hideMark/>
          </w:tcPr>
          <w:p w14:paraId="31C7E722" w14:textId="5E689BAE" w:rsidR="007970C8" w:rsidRPr="00052A5E" w:rsidRDefault="007970C8" w:rsidP="007970C8">
            <w:pPr>
              <w:spacing w:after="0" w:line="240" w:lineRule="auto"/>
              <w:jc w:val="right"/>
              <w:rPr>
                <w:sz w:val="18"/>
                <w:szCs w:val="18"/>
                <w:highlight w:val="yellow"/>
                <w:lang w:eastAsia="sk-SK"/>
              </w:rPr>
            </w:pPr>
            <w:r>
              <w:rPr>
                <w:sz w:val="18"/>
                <w:szCs w:val="18"/>
              </w:rPr>
              <w:t>140 099</w:t>
            </w:r>
          </w:p>
        </w:tc>
        <w:tc>
          <w:tcPr>
            <w:tcW w:w="531" w:type="pct"/>
            <w:gridSpan w:val="3"/>
            <w:tcBorders>
              <w:top w:val="nil"/>
              <w:left w:val="nil"/>
              <w:bottom w:val="nil"/>
              <w:right w:val="nil"/>
            </w:tcBorders>
            <w:shd w:val="clear" w:color="000000" w:fill="FFFFFF"/>
            <w:noWrap/>
            <w:vAlign w:val="center"/>
            <w:hideMark/>
          </w:tcPr>
          <w:p w14:paraId="5CFAC67C" w14:textId="4158B4B8" w:rsidR="007970C8" w:rsidRPr="00052A5E" w:rsidRDefault="007970C8" w:rsidP="007970C8">
            <w:pPr>
              <w:spacing w:after="0" w:line="240" w:lineRule="auto"/>
              <w:jc w:val="right"/>
              <w:rPr>
                <w:sz w:val="18"/>
                <w:szCs w:val="18"/>
                <w:highlight w:val="yellow"/>
                <w:lang w:eastAsia="sk-SK"/>
              </w:rPr>
            </w:pPr>
            <w:r>
              <w:rPr>
                <w:sz w:val="18"/>
                <w:szCs w:val="18"/>
              </w:rPr>
              <w:t>283 902</w:t>
            </w:r>
          </w:p>
        </w:tc>
        <w:tc>
          <w:tcPr>
            <w:tcW w:w="463" w:type="pct"/>
            <w:gridSpan w:val="2"/>
            <w:tcBorders>
              <w:top w:val="nil"/>
              <w:left w:val="nil"/>
              <w:bottom w:val="nil"/>
              <w:right w:val="nil"/>
            </w:tcBorders>
            <w:shd w:val="clear" w:color="000000" w:fill="FFFFFF"/>
            <w:noWrap/>
            <w:vAlign w:val="center"/>
            <w:hideMark/>
          </w:tcPr>
          <w:p w14:paraId="1B9D79A9" w14:textId="10679B40" w:rsidR="007970C8" w:rsidRPr="00052A5E" w:rsidRDefault="007970C8" w:rsidP="007970C8">
            <w:pPr>
              <w:spacing w:after="0" w:line="240" w:lineRule="auto"/>
              <w:jc w:val="right"/>
              <w:rPr>
                <w:sz w:val="18"/>
                <w:szCs w:val="18"/>
                <w:highlight w:val="yellow"/>
                <w:lang w:eastAsia="sk-SK"/>
              </w:rPr>
            </w:pPr>
            <w:r>
              <w:rPr>
                <w:sz w:val="18"/>
                <w:szCs w:val="18"/>
              </w:rPr>
              <w:t>195 364</w:t>
            </w:r>
          </w:p>
        </w:tc>
      </w:tr>
      <w:tr w:rsidR="00FF2F00" w:rsidRPr="00C16361" w14:paraId="72D65487" w14:textId="77777777" w:rsidTr="00A14578">
        <w:trPr>
          <w:gridAfter w:val="1"/>
          <w:wAfter w:w="28" w:type="pct"/>
          <w:trHeight w:val="257"/>
        </w:trPr>
        <w:tc>
          <w:tcPr>
            <w:tcW w:w="100" w:type="pct"/>
            <w:tcBorders>
              <w:top w:val="nil"/>
              <w:left w:val="nil"/>
              <w:bottom w:val="nil"/>
              <w:right w:val="nil"/>
            </w:tcBorders>
            <w:shd w:val="clear" w:color="000000" w:fill="FFFFFF"/>
            <w:noWrap/>
            <w:vAlign w:val="center"/>
            <w:hideMark/>
          </w:tcPr>
          <w:p w14:paraId="57F1E81E" w14:textId="77777777" w:rsidR="007970C8" w:rsidRPr="00C16361" w:rsidRDefault="007970C8" w:rsidP="007970C8">
            <w:pPr>
              <w:spacing w:after="0" w:line="240" w:lineRule="auto"/>
              <w:rPr>
                <w:sz w:val="18"/>
                <w:szCs w:val="18"/>
                <w:lang w:eastAsia="sk-SK"/>
              </w:rPr>
            </w:pPr>
            <w:r w:rsidRPr="00C16361">
              <w:rPr>
                <w:sz w:val="18"/>
                <w:szCs w:val="18"/>
                <w:lang w:eastAsia="sk-SK"/>
              </w:rPr>
              <w:t> </w:t>
            </w:r>
          </w:p>
        </w:tc>
        <w:tc>
          <w:tcPr>
            <w:tcW w:w="1902" w:type="pct"/>
            <w:gridSpan w:val="3"/>
            <w:tcBorders>
              <w:top w:val="nil"/>
              <w:left w:val="nil"/>
              <w:bottom w:val="nil"/>
              <w:right w:val="nil"/>
            </w:tcBorders>
            <w:shd w:val="clear" w:color="000000" w:fill="FFFFFF"/>
            <w:noWrap/>
            <w:vAlign w:val="center"/>
            <w:hideMark/>
          </w:tcPr>
          <w:p w14:paraId="7662B1E5" w14:textId="77777777" w:rsidR="007970C8" w:rsidRPr="00C16361" w:rsidRDefault="007970C8" w:rsidP="007970C8">
            <w:pPr>
              <w:spacing w:after="0" w:line="240" w:lineRule="auto"/>
              <w:rPr>
                <w:sz w:val="18"/>
                <w:szCs w:val="18"/>
                <w:lang w:eastAsia="sk-SK"/>
              </w:rPr>
            </w:pPr>
            <w:r w:rsidRPr="00C16361">
              <w:rPr>
                <w:sz w:val="18"/>
                <w:szCs w:val="18"/>
                <w:lang w:eastAsia="sk-SK"/>
              </w:rPr>
              <w:t>Verejné zdravotné poistenie</w:t>
            </w:r>
          </w:p>
        </w:tc>
        <w:tc>
          <w:tcPr>
            <w:tcW w:w="498" w:type="pct"/>
            <w:gridSpan w:val="3"/>
            <w:tcBorders>
              <w:top w:val="nil"/>
              <w:left w:val="nil"/>
              <w:bottom w:val="nil"/>
              <w:right w:val="nil"/>
            </w:tcBorders>
            <w:shd w:val="clear" w:color="000000" w:fill="FFFFFF"/>
            <w:noWrap/>
            <w:vAlign w:val="center"/>
            <w:hideMark/>
          </w:tcPr>
          <w:p w14:paraId="434F9DB8" w14:textId="44F41E05" w:rsidR="007970C8" w:rsidRPr="00052A5E" w:rsidRDefault="007970C8" w:rsidP="00965E8C">
            <w:pPr>
              <w:spacing w:after="0" w:line="240" w:lineRule="auto"/>
              <w:jc w:val="right"/>
              <w:rPr>
                <w:sz w:val="18"/>
                <w:szCs w:val="18"/>
                <w:highlight w:val="yellow"/>
                <w:lang w:eastAsia="sk-SK"/>
              </w:rPr>
            </w:pPr>
            <w:r>
              <w:rPr>
                <w:sz w:val="18"/>
                <w:szCs w:val="18"/>
              </w:rPr>
              <w:t>552</w:t>
            </w:r>
          </w:p>
        </w:tc>
        <w:tc>
          <w:tcPr>
            <w:tcW w:w="492" w:type="pct"/>
            <w:gridSpan w:val="3"/>
            <w:tcBorders>
              <w:top w:val="nil"/>
              <w:left w:val="nil"/>
              <w:bottom w:val="nil"/>
              <w:right w:val="nil"/>
            </w:tcBorders>
            <w:shd w:val="clear" w:color="000000" w:fill="FFFFFF"/>
            <w:noWrap/>
            <w:vAlign w:val="center"/>
            <w:hideMark/>
          </w:tcPr>
          <w:p w14:paraId="60627BAD" w14:textId="35E88752" w:rsidR="007970C8" w:rsidRPr="00052A5E" w:rsidRDefault="007970C8" w:rsidP="007970C8">
            <w:pPr>
              <w:spacing w:after="0" w:line="240" w:lineRule="auto"/>
              <w:jc w:val="right"/>
              <w:rPr>
                <w:sz w:val="18"/>
                <w:szCs w:val="18"/>
                <w:highlight w:val="yellow"/>
                <w:lang w:eastAsia="sk-SK"/>
              </w:rPr>
            </w:pPr>
            <w:r>
              <w:rPr>
                <w:sz w:val="18"/>
                <w:szCs w:val="18"/>
              </w:rPr>
              <w:t>224 675</w:t>
            </w:r>
          </w:p>
        </w:tc>
        <w:tc>
          <w:tcPr>
            <w:tcW w:w="493" w:type="pct"/>
            <w:gridSpan w:val="4"/>
            <w:tcBorders>
              <w:top w:val="nil"/>
              <w:left w:val="nil"/>
              <w:bottom w:val="nil"/>
              <w:right w:val="nil"/>
            </w:tcBorders>
            <w:shd w:val="clear" w:color="000000" w:fill="FFFFFF"/>
            <w:noWrap/>
            <w:vAlign w:val="center"/>
            <w:hideMark/>
          </w:tcPr>
          <w:p w14:paraId="3D2F81E7" w14:textId="6722E33E" w:rsidR="007970C8" w:rsidRPr="00052A5E" w:rsidRDefault="007970C8" w:rsidP="007970C8">
            <w:pPr>
              <w:spacing w:after="0" w:line="240" w:lineRule="auto"/>
              <w:jc w:val="right"/>
              <w:rPr>
                <w:sz w:val="18"/>
                <w:szCs w:val="18"/>
                <w:highlight w:val="yellow"/>
                <w:lang w:eastAsia="sk-SK"/>
              </w:rPr>
            </w:pPr>
            <w:r>
              <w:rPr>
                <w:sz w:val="18"/>
                <w:szCs w:val="18"/>
              </w:rPr>
              <w:t>12 194</w:t>
            </w:r>
          </w:p>
        </w:tc>
        <w:tc>
          <w:tcPr>
            <w:tcW w:w="493" w:type="pct"/>
            <w:gridSpan w:val="3"/>
            <w:tcBorders>
              <w:top w:val="nil"/>
              <w:left w:val="nil"/>
              <w:bottom w:val="nil"/>
              <w:right w:val="nil"/>
            </w:tcBorders>
            <w:shd w:val="clear" w:color="000000" w:fill="FFFFFF"/>
            <w:noWrap/>
            <w:vAlign w:val="center"/>
            <w:hideMark/>
          </w:tcPr>
          <w:p w14:paraId="62973D87" w14:textId="59AED473" w:rsidR="007970C8" w:rsidRPr="00052A5E" w:rsidRDefault="007970C8" w:rsidP="007970C8">
            <w:pPr>
              <w:spacing w:after="0" w:line="240" w:lineRule="auto"/>
              <w:jc w:val="right"/>
              <w:rPr>
                <w:sz w:val="18"/>
                <w:szCs w:val="18"/>
                <w:highlight w:val="yellow"/>
                <w:lang w:eastAsia="sk-SK"/>
              </w:rPr>
            </w:pPr>
            <w:r>
              <w:rPr>
                <w:sz w:val="18"/>
                <w:szCs w:val="18"/>
              </w:rPr>
              <w:t>179 010</w:t>
            </w:r>
          </w:p>
        </w:tc>
        <w:tc>
          <w:tcPr>
            <w:tcW w:w="531" w:type="pct"/>
            <w:gridSpan w:val="3"/>
            <w:tcBorders>
              <w:top w:val="nil"/>
              <w:left w:val="nil"/>
              <w:bottom w:val="nil"/>
              <w:right w:val="nil"/>
            </w:tcBorders>
            <w:shd w:val="clear" w:color="000000" w:fill="FFFFFF"/>
            <w:noWrap/>
            <w:vAlign w:val="center"/>
            <w:hideMark/>
          </w:tcPr>
          <w:p w14:paraId="5F20503D" w14:textId="15CD4A81" w:rsidR="007970C8" w:rsidRPr="00052A5E" w:rsidRDefault="007970C8" w:rsidP="007970C8">
            <w:pPr>
              <w:spacing w:after="0" w:line="240" w:lineRule="auto"/>
              <w:jc w:val="right"/>
              <w:rPr>
                <w:sz w:val="18"/>
                <w:szCs w:val="18"/>
                <w:highlight w:val="yellow"/>
                <w:lang w:eastAsia="sk-SK"/>
              </w:rPr>
            </w:pPr>
            <w:r>
              <w:rPr>
                <w:sz w:val="18"/>
                <w:szCs w:val="18"/>
              </w:rPr>
              <w:t>-212 481</w:t>
            </w:r>
          </w:p>
        </w:tc>
        <w:tc>
          <w:tcPr>
            <w:tcW w:w="463" w:type="pct"/>
            <w:gridSpan w:val="2"/>
            <w:tcBorders>
              <w:top w:val="nil"/>
              <w:left w:val="nil"/>
              <w:bottom w:val="nil"/>
              <w:right w:val="nil"/>
            </w:tcBorders>
            <w:shd w:val="clear" w:color="000000" w:fill="FFFFFF"/>
            <w:noWrap/>
            <w:vAlign w:val="center"/>
            <w:hideMark/>
          </w:tcPr>
          <w:p w14:paraId="75B31916" w14:textId="1AF75AB2" w:rsidR="007970C8" w:rsidRPr="00052A5E" w:rsidRDefault="007970C8" w:rsidP="007970C8">
            <w:pPr>
              <w:spacing w:after="0" w:line="240" w:lineRule="auto"/>
              <w:jc w:val="right"/>
              <w:rPr>
                <w:sz w:val="18"/>
                <w:szCs w:val="18"/>
                <w:highlight w:val="yellow"/>
                <w:lang w:eastAsia="sk-SK"/>
              </w:rPr>
            </w:pPr>
            <w:r>
              <w:rPr>
                <w:sz w:val="18"/>
                <w:szCs w:val="18"/>
              </w:rPr>
              <w:t>-166 816</w:t>
            </w:r>
          </w:p>
        </w:tc>
      </w:tr>
      <w:tr w:rsidR="007970C8" w:rsidRPr="00C16361" w14:paraId="6A6429C6" w14:textId="77777777" w:rsidTr="00A17BD9">
        <w:trPr>
          <w:gridAfter w:val="1"/>
          <w:wAfter w:w="28" w:type="pct"/>
          <w:trHeight w:val="257"/>
        </w:trPr>
        <w:tc>
          <w:tcPr>
            <w:tcW w:w="2001" w:type="pct"/>
            <w:gridSpan w:val="4"/>
            <w:tcBorders>
              <w:top w:val="single" w:sz="4" w:space="0" w:color="auto"/>
              <w:left w:val="nil"/>
              <w:bottom w:val="nil"/>
              <w:right w:val="nil"/>
            </w:tcBorders>
            <w:noWrap/>
            <w:vAlign w:val="center"/>
            <w:hideMark/>
          </w:tcPr>
          <w:p w14:paraId="2375C2D8" w14:textId="77777777" w:rsidR="007970C8" w:rsidRPr="00C16361" w:rsidRDefault="007970C8" w:rsidP="007970C8">
            <w:pPr>
              <w:spacing w:after="0" w:line="240" w:lineRule="auto"/>
              <w:rPr>
                <w:b/>
                <w:bCs/>
                <w:sz w:val="18"/>
                <w:szCs w:val="18"/>
                <w:lang w:eastAsia="sk-SK"/>
              </w:rPr>
            </w:pPr>
            <w:r w:rsidRPr="00C16361">
              <w:rPr>
                <w:b/>
                <w:bCs/>
                <w:sz w:val="18"/>
                <w:szCs w:val="18"/>
                <w:lang w:eastAsia="sk-SK"/>
              </w:rPr>
              <w:t>Schodok verejnej správy spolu</w:t>
            </w:r>
          </w:p>
        </w:tc>
        <w:tc>
          <w:tcPr>
            <w:tcW w:w="498" w:type="pct"/>
            <w:gridSpan w:val="3"/>
            <w:tcBorders>
              <w:top w:val="single" w:sz="4" w:space="0" w:color="auto"/>
              <w:left w:val="nil"/>
              <w:bottom w:val="nil"/>
              <w:right w:val="nil"/>
            </w:tcBorders>
            <w:noWrap/>
            <w:vAlign w:val="center"/>
            <w:hideMark/>
          </w:tcPr>
          <w:p w14:paraId="77C09F6C" w14:textId="35CEF8E4" w:rsidR="007970C8" w:rsidRPr="00C16361" w:rsidRDefault="007970C8" w:rsidP="007970C8">
            <w:pPr>
              <w:spacing w:after="0" w:line="240" w:lineRule="auto"/>
              <w:jc w:val="right"/>
              <w:rPr>
                <w:b/>
                <w:bCs/>
                <w:sz w:val="18"/>
                <w:szCs w:val="18"/>
                <w:lang w:eastAsia="sk-SK"/>
              </w:rPr>
            </w:pPr>
            <w:r>
              <w:rPr>
                <w:b/>
                <w:bCs/>
                <w:sz w:val="18"/>
                <w:szCs w:val="18"/>
              </w:rPr>
              <w:t>-1 719 50</w:t>
            </w:r>
            <w:r w:rsidR="007E182D">
              <w:rPr>
                <w:b/>
                <w:bCs/>
                <w:sz w:val="18"/>
                <w:szCs w:val="18"/>
              </w:rPr>
              <w:t>4</w:t>
            </w:r>
          </w:p>
        </w:tc>
        <w:tc>
          <w:tcPr>
            <w:tcW w:w="492" w:type="pct"/>
            <w:gridSpan w:val="3"/>
            <w:tcBorders>
              <w:top w:val="single" w:sz="4" w:space="0" w:color="auto"/>
              <w:left w:val="nil"/>
              <w:bottom w:val="nil"/>
              <w:right w:val="nil"/>
            </w:tcBorders>
            <w:noWrap/>
            <w:vAlign w:val="center"/>
            <w:hideMark/>
          </w:tcPr>
          <w:p w14:paraId="33B0F2F6" w14:textId="47C28B80" w:rsidR="007970C8" w:rsidRPr="00C16361" w:rsidRDefault="007970C8" w:rsidP="007970C8">
            <w:pPr>
              <w:spacing w:after="0" w:line="240" w:lineRule="auto"/>
              <w:jc w:val="right"/>
              <w:rPr>
                <w:b/>
                <w:bCs/>
                <w:sz w:val="18"/>
                <w:szCs w:val="18"/>
                <w:lang w:eastAsia="sk-SK"/>
              </w:rPr>
            </w:pPr>
            <w:r>
              <w:rPr>
                <w:b/>
                <w:bCs/>
                <w:sz w:val="18"/>
                <w:szCs w:val="18"/>
              </w:rPr>
              <w:t>-6 542 10</w:t>
            </w:r>
            <w:r w:rsidR="003F612E">
              <w:rPr>
                <w:b/>
                <w:bCs/>
                <w:sz w:val="18"/>
                <w:szCs w:val="18"/>
              </w:rPr>
              <w:t>6</w:t>
            </w:r>
          </w:p>
        </w:tc>
        <w:tc>
          <w:tcPr>
            <w:tcW w:w="493" w:type="pct"/>
            <w:gridSpan w:val="4"/>
            <w:tcBorders>
              <w:top w:val="single" w:sz="4" w:space="0" w:color="auto"/>
              <w:left w:val="nil"/>
              <w:bottom w:val="nil"/>
              <w:right w:val="nil"/>
            </w:tcBorders>
            <w:noWrap/>
            <w:vAlign w:val="center"/>
            <w:hideMark/>
          </w:tcPr>
          <w:p w14:paraId="2665A39B" w14:textId="6A5A2851" w:rsidR="007970C8" w:rsidRPr="00C16361" w:rsidRDefault="007970C8" w:rsidP="007970C8">
            <w:pPr>
              <w:spacing w:after="0" w:line="240" w:lineRule="auto"/>
              <w:jc w:val="right"/>
              <w:rPr>
                <w:b/>
                <w:bCs/>
                <w:sz w:val="18"/>
                <w:szCs w:val="18"/>
                <w:lang w:eastAsia="sk-SK"/>
              </w:rPr>
            </w:pPr>
            <w:r>
              <w:rPr>
                <w:b/>
                <w:bCs/>
                <w:sz w:val="18"/>
                <w:szCs w:val="18"/>
              </w:rPr>
              <w:t>-7 157 068</w:t>
            </w:r>
          </w:p>
        </w:tc>
        <w:tc>
          <w:tcPr>
            <w:tcW w:w="493" w:type="pct"/>
            <w:gridSpan w:val="3"/>
            <w:tcBorders>
              <w:top w:val="single" w:sz="4" w:space="0" w:color="auto"/>
              <w:left w:val="nil"/>
              <w:bottom w:val="nil"/>
              <w:right w:val="nil"/>
            </w:tcBorders>
            <w:noWrap/>
            <w:vAlign w:val="center"/>
            <w:hideMark/>
          </w:tcPr>
          <w:p w14:paraId="24423BCA" w14:textId="132F5AAD" w:rsidR="007970C8" w:rsidRPr="00C16361" w:rsidRDefault="007970C8" w:rsidP="007970C8">
            <w:pPr>
              <w:spacing w:after="0" w:line="240" w:lineRule="auto"/>
              <w:jc w:val="right"/>
              <w:rPr>
                <w:b/>
                <w:bCs/>
                <w:sz w:val="18"/>
                <w:szCs w:val="18"/>
                <w:lang w:eastAsia="sk-SK"/>
              </w:rPr>
            </w:pPr>
            <w:r>
              <w:rPr>
                <w:b/>
                <w:bCs/>
                <w:sz w:val="18"/>
                <w:szCs w:val="18"/>
              </w:rPr>
              <w:t>-7 840 706</w:t>
            </w:r>
          </w:p>
        </w:tc>
        <w:tc>
          <w:tcPr>
            <w:tcW w:w="531" w:type="pct"/>
            <w:gridSpan w:val="3"/>
            <w:tcBorders>
              <w:top w:val="single" w:sz="4" w:space="0" w:color="auto"/>
              <w:left w:val="nil"/>
              <w:bottom w:val="nil"/>
              <w:right w:val="nil"/>
            </w:tcBorders>
            <w:noWrap/>
            <w:vAlign w:val="center"/>
            <w:hideMark/>
          </w:tcPr>
          <w:p w14:paraId="1BFC7CFE" w14:textId="4F2C5152" w:rsidR="007970C8" w:rsidRPr="00C16361" w:rsidRDefault="007970C8" w:rsidP="007970C8">
            <w:pPr>
              <w:spacing w:after="0" w:line="240" w:lineRule="auto"/>
              <w:jc w:val="right"/>
              <w:rPr>
                <w:b/>
                <w:bCs/>
                <w:sz w:val="18"/>
                <w:szCs w:val="18"/>
                <w:lang w:eastAsia="sk-SK"/>
              </w:rPr>
            </w:pPr>
            <w:r>
              <w:rPr>
                <w:b/>
                <w:bCs/>
                <w:sz w:val="18"/>
                <w:szCs w:val="18"/>
              </w:rPr>
              <w:t>-614 96</w:t>
            </w:r>
            <w:r w:rsidR="003F612E">
              <w:rPr>
                <w:b/>
                <w:bCs/>
                <w:sz w:val="18"/>
                <w:szCs w:val="18"/>
              </w:rPr>
              <w:t>2</w:t>
            </w:r>
          </w:p>
        </w:tc>
        <w:tc>
          <w:tcPr>
            <w:tcW w:w="463" w:type="pct"/>
            <w:gridSpan w:val="2"/>
            <w:tcBorders>
              <w:top w:val="single" w:sz="4" w:space="0" w:color="auto"/>
              <w:left w:val="nil"/>
              <w:bottom w:val="nil"/>
              <w:right w:val="nil"/>
            </w:tcBorders>
            <w:noWrap/>
            <w:vAlign w:val="center"/>
            <w:hideMark/>
          </w:tcPr>
          <w:p w14:paraId="4053D020" w14:textId="254E3017" w:rsidR="007970C8" w:rsidRPr="00C16361" w:rsidRDefault="007970C8" w:rsidP="007970C8">
            <w:pPr>
              <w:spacing w:after="0" w:line="240" w:lineRule="auto"/>
              <w:jc w:val="right"/>
              <w:rPr>
                <w:b/>
                <w:bCs/>
                <w:sz w:val="18"/>
                <w:szCs w:val="18"/>
                <w:lang w:eastAsia="sk-SK"/>
              </w:rPr>
            </w:pPr>
            <w:r>
              <w:rPr>
                <w:b/>
                <w:bCs/>
                <w:sz w:val="18"/>
                <w:szCs w:val="18"/>
              </w:rPr>
              <w:t>683 638</w:t>
            </w:r>
          </w:p>
        </w:tc>
      </w:tr>
      <w:tr w:rsidR="007970C8" w:rsidRPr="00C16361" w14:paraId="0AEFC3CE" w14:textId="77777777" w:rsidTr="00A17BD9">
        <w:trPr>
          <w:gridAfter w:val="1"/>
          <w:wAfter w:w="28" w:type="pct"/>
          <w:trHeight w:val="257"/>
        </w:trPr>
        <w:tc>
          <w:tcPr>
            <w:tcW w:w="2001" w:type="pct"/>
            <w:gridSpan w:val="4"/>
            <w:tcBorders>
              <w:top w:val="nil"/>
              <w:left w:val="nil"/>
              <w:bottom w:val="single" w:sz="4" w:space="0" w:color="auto"/>
              <w:right w:val="nil"/>
            </w:tcBorders>
            <w:noWrap/>
            <w:vAlign w:val="center"/>
            <w:hideMark/>
          </w:tcPr>
          <w:p w14:paraId="1FA37C14" w14:textId="77777777" w:rsidR="007970C8" w:rsidRPr="00C16361" w:rsidRDefault="007970C8" w:rsidP="007970C8">
            <w:pPr>
              <w:spacing w:after="0" w:line="240" w:lineRule="auto"/>
              <w:rPr>
                <w:b/>
                <w:bCs/>
                <w:sz w:val="18"/>
                <w:szCs w:val="18"/>
                <w:lang w:eastAsia="sk-SK"/>
              </w:rPr>
            </w:pPr>
            <w:r w:rsidRPr="00C16361">
              <w:rPr>
                <w:b/>
                <w:bCs/>
                <w:sz w:val="18"/>
                <w:szCs w:val="18"/>
                <w:lang w:eastAsia="sk-SK"/>
              </w:rPr>
              <w:t xml:space="preserve">           % z HDP</w:t>
            </w:r>
          </w:p>
        </w:tc>
        <w:tc>
          <w:tcPr>
            <w:tcW w:w="498" w:type="pct"/>
            <w:gridSpan w:val="3"/>
            <w:tcBorders>
              <w:top w:val="nil"/>
              <w:left w:val="nil"/>
              <w:bottom w:val="single" w:sz="4" w:space="0" w:color="auto"/>
              <w:right w:val="nil"/>
            </w:tcBorders>
            <w:noWrap/>
            <w:vAlign w:val="center"/>
            <w:hideMark/>
          </w:tcPr>
          <w:p w14:paraId="5DDBDB5D" w14:textId="2C4A1C4C" w:rsidR="007970C8" w:rsidRPr="00C16361" w:rsidRDefault="007970C8" w:rsidP="007970C8">
            <w:pPr>
              <w:spacing w:after="0" w:line="240" w:lineRule="auto"/>
              <w:jc w:val="right"/>
              <w:rPr>
                <w:b/>
                <w:bCs/>
                <w:sz w:val="18"/>
                <w:szCs w:val="18"/>
                <w:lang w:eastAsia="sk-SK"/>
              </w:rPr>
            </w:pPr>
            <w:r>
              <w:rPr>
                <w:b/>
                <w:bCs/>
                <w:sz w:val="18"/>
                <w:szCs w:val="18"/>
              </w:rPr>
              <w:t>-1,6</w:t>
            </w:r>
          </w:p>
        </w:tc>
        <w:tc>
          <w:tcPr>
            <w:tcW w:w="492" w:type="pct"/>
            <w:gridSpan w:val="3"/>
            <w:tcBorders>
              <w:top w:val="nil"/>
              <w:left w:val="nil"/>
              <w:bottom w:val="single" w:sz="4" w:space="0" w:color="auto"/>
              <w:right w:val="nil"/>
            </w:tcBorders>
            <w:noWrap/>
            <w:vAlign w:val="center"/>
            <w:hideMark/>
          </w:tcPr>
          <w:p w14:paraId="567B5F4B" w14:textId="6C8E55AE" w:rsidR="007970C8" w:rsidRPr="00C16361" w:rsidRDefault="007970C8" w:rsidP="007970C8">
            <w:pPr>
              <w:spacing w:after="0" w:line="240" w:lineRule="auto"/>
              <w:jc w:val="right"/>
              <w:rPr>
                <w:b/>
                <w:bCs/>
                <w:sz w:val="18"/>
                <w:szCs w:val="18"/>
                <w:lang w:eastAsia="sk-SK"/>
              </w:rPr>
            </w:pPr>
            <w:r>
              <w:rPr>
                <w:b/>
                <w:bCs/>
                <w:sz w:val="18"/>
                <w:szCs w:val="18"/>
              </w:rPr>
              <w:t>-5,3</w:t>
            </w:r>
          </w:p>
        </w:tc>
        <w:tc>
          <w:tcPr>
            <w:tcW w:w="493" w:type="pct"/>
            <w:gridSpan w:val="4"/>
            <w:tcBorders>
              <w:top w:val="nil"/>
              <w:left w:val="nil"/>
              <w:bottom w:val="single" w:sz="4" w:space="0" w:color="auto"/>
              <w:right w:val="nil"/>
            </w:tcBorders>
            <w:noWrap/>
            <w:vAlign w:val="center"/>
            <w:hideMark/>
          </w:tcPr>
          <w:p w14:paraId="56039849" w14:textId="7EC24DC6" w:rsidR="007970C8" w:rsidRPr="00C16361" w:rsidRDefault="007970C8" w:rsidP="007970C8">
            <w:pPr>
              <w:spacing w:after="0" w:line="240" w:lineRule="auto"/>
              <w:jc w:val="right"/>
              <w:rPr>
                <w:b/>
                <w:bCs/>
                <w:sz w:val="18"/>
                <w:szCs w:val="18"/>
                <w:lang w:eastAsia="sk-SK"/>
              </w:rPr>
            </w:pPr>
            <w:r>
              <w:rPr>
                <w:b/>
                <w:bCs/>
                <w:sz w:val="18"/>
                <w:szCs w:val="18"/>
              </w:rPr>
              <w:t>-5,5</w:t>
            </w:r>
          </w:p>
        </w:tc>
        <w:tc>
          <w:tcPr>
            <w:tcW w:w="493" w:type="pct"/>
            <w:gridSpan w:val="3"/>
            <w:tcBorders>
              <w:top w:val="nil"/>
              <w:left w:val="nil"/>
              <w:bottom w:val="single" w:sz="4" w:space="0" w:color="auto"/>
              <w:right w:val="nil"/>
            </w:tcBorders>
            <w:noWrap/>
            <w:vAlign w:val="center"/>
            <w:hideMark/>
          </w:tcPr>
          <w:p w14:paraId="62F612C4" w14:textId="3B177FF5" w:rsidR="007970C8" w:rsidRPr="00C16361" w:rsidRDefault="007970C8" w:rsidP="007970C8">
            <w:pPr>
              <w:spacing w:after="0" w:line="240" w:lineRule="auto"/>
              <w:jc w:val="right"/>
              <w:rPr>
                <w:b/>
                <w:bCs/>
                <w:sz w:val="18"/>
                <w:szCs w:val="18"/>
                <w:lang w:eastAsia="sk-SK"/>
              </w:rPr>
            </w:pPr>
            <w:r>
              <w:rPr>
                <w:b/>
                <w:bCs/>
                <w:sz w:val="18"/>
                <w:szCs w:val="18"/>
              </w:rPr>
              <w:t>-6,0</w:t>
            </w:r>
          </w:p>
        </w:tc>
        <w:tc>
          <w:tcPr>
            <w:tcW w:w="531" w:type="pct"/>
            <w:gridSpan w:val="3"/>
            <w:tcBorders>
              <w:top w:val="nil"/>
              <w:left w:val="nil"/>
              <w:bottom w:val="single" w:sz="4" w:space="0" w:color="auto"/>
              <w:right w:val="nil"/>
            </w:tcBorders>
            <w:noWrap/>
            <w:vAlign w:val="center"/>
            <w:hideMark/>
          </w:tcPr>
          <w:p w14:paraId="153AD8C6" w14:textId="20B84E71" w:rsidR="007970C8" w:rsidRPr="00C16361" w:rsidRDefault="007970C8" w:rsidP="007970C8">
            <w:pPr>
              <w:spacing w:after="0" w:line="240" w:lineRule="auto"/>
              <w:jc w:val="right"/>
              <w:rPr>
                <w:b/>
                <w:bCs/>
                <w:sz w:val="18"/>
                <w:szCs w:val="18"/>
                <w:lang w:eastAsia="sk-SK"/>
              </w:rPr>
            </w:pPr>
            <w:r>
              <w:rPr>
                <w:b/>
                <w:bCs/>
                <w:sz w:val="18"/>
                <w:szCs w:val="18"/>
              </w:rPr>
              <w:t>-</w:t>
            </w:r>
            <w:r w:rsidR="008D3077">
              <w:rPr>
                <w:b/>
                <w:bCs/>
                <w:sz w:val="18"/>
                <w:szCs w:val="18"/>
              </w:rPr>
              <w:t>0,2</w:t>
            </w:r>
          </w:p>
        </w:tc>
        <w:tc>
          <w:tcPr>
            <w:tcW w:w="463" w:type="pct"/>
            <w:gridSpan w:val="2"/>
            <w:tcBorders>
              <w:top w:val="nil"/>
              <w:left w:val="nil"/>
              <w:bottom w:val="single" w:sz="4" w:space="0" w:color="auto"/>
              <w:right w:val="nil"/>
            </w:tcBorders>
            <w:noWrap/>
            <w:vAlign w:val="center"/>
            <w:hideMark/>
          </w:tcPr>
          <w:p w14:paraId="0D9AE92B" w14:textId="25F2EBDE" w:rsidR="007970C8" w:rsidRPr="00C16361" w:rsidRDefault="007970C8" w:rsidP="007970C8">
            <w:pPr>
              <w:spacing w:after="0" w:line="240" w:lineRule="auto"/>
              <w:jc w:val="right"/>
              <w:rPr>
                <w:b/>
                <w:bCs/>
                <w:sz w:val="18"/>
                <w:szCs w:val="18"/>
                <w:lang w:eastAsia="sk-SK"/>
              </w:rPr>
            </w:pPr>
            <w:r>
              <w:rPr>
                <w:b/>
                <w:bCs/>
                <w:sz w:val="18"/>
                <w:szCs w:val="18"/>
              </w:rPr>
              <w:t>0,</w:t>
            </w:r>
            <w:r w:rsidR="00C465D8">
              <w:rPr>
                <w:b/>
                <w:bCs/>
                <w:sz w:val="18"/>
                <w:szCs w:val="18"/>
              </w:rPr>
              <w:t>5</w:t>
            </w:r>
          </w:p>
        </w:tc>
      </w:tr>
    </w:tbl>
    <w:p w14:paraId="2B377D9E" w14:textId="77777777" w:rsidR="00992DD8" w:rsidRPr="00C16361" w:rsidRDefault="00992DD8" w:rsidP="00992DD8">
      <w:pPr>
        <w:spacing w:after="0" w:line="240" w:lineRule="auto"/>
        <w:ind w:right="-285"/>
        <w:jc w:val="both"/>
        <w:rPr>
          <w:sz w:val="16"/>
          <w:szCs w:val="16"/>
          <w:lang w:eastAsia="sk-SK"/>
        </w:rPr>
      </w:pPr>
      <w:r w:rsidRPr="00C16361">
        <w:rPr>
          <w:color w:val="000000"/>
          <w:sz w:val="16"/>
          <w:szCs w:val="16"/>
          <w:vertAlign w:val="superscript"/>
          <w:lang w:eastAsia="sk-SK"/>
        </w:rPr>
        <w:t xml:space="preserve">1) </w:t>
      </w:r>
      <w:r w:rsidRPr="00C16361">
        <w:rPr>
          <w:color w:val="000000"/>
          <w:sz w:val="16"/>
          <w:szCs w:val="16"/>
          <w:lang w:eastAsia="sk-SK"/>
        </w:rPr>
        <w:t>Vrátane štátnych finančných aktív, mimorozpočtových účtov a salda účtu štátneho dlhu</w:t>
      </w:r>
      <w:r w:rsidRPr="00C16361">
        <w:rPr>
          <w:color w:val="000000"/>
          <w:sz w:val="16"/>
          <w:szCs w:val="16"/>
          <w:lang w:eastAsia="sk-SK"/>
        </w:rPr>
        <w:tab/>
        <w:t xml:space="preserve">      </w:t>
      </w:r>
      <w:r w:rsidRPr="00C16361">
        <w:rPr>
          <w:color w:val="000000"/>
          <w:sz w:val="16"/>
          <w:szCs w:val="16"/>
          <w:lang w:eastAsia="sk-SK"/>
        </w:rPr>
        <w:tab/>
      </w:r>
      <w:r w:rsidRPr="00C16361">
        <w:rPr>
          <w:color w:val="000000"/>
          <w:sz w:val="16"/>
          <w:szCs w:val="16"/>
          <w:lang w:eastAsia="sk-SK"/>
        </w:rPr>
        <w:tab/>
        <w:t xml:space="preserve">                 Z</w:t>
      </w:r>
      <w:r w:rsidRPr="00C16361">
        <w:rPr>
          <w:sz w:val="16"/>
          <w:szCs w:val="16"/>
          <w:lang w:eastAsia="sk-SK"/>
        </w:rPr>
        <w:t>droj: MF SR</w:t>
      </w:r>
    </w:p>
    <w:p w14:paraId="0FC73C0E" w14:textId="32ECAD26" w:rsidR="00425506" w:rsidRDefault="00425506" w:rsidP="00992DD8">
      <w:pPr>
        <w:spacing w:after="0" w:line="240" w:lineRule="auto"/>
        <w:jc w:val="both"/>
        <w:rPr>
          <w:sz w:val="16"/>
          <w:szCs w:val="16"/>
          <w:vertAlign w:val="superscript"/>
          <w:lang w:eastAsia="sk-SK"/>
        </w:rPr>
      </w:pPr>
      <w:r>
        <w:rPr>
          <w:sz w:val="16"/>
          <w:szCs w:val="16"/>
          <w:vertAlign w:val="superscript"/>
          <w:lang w:eastAsia="sk-SK"/>
        </w:rPr>
        <w:t xml:space="preserve">2) </w:t>
      </w:r>
      <w:r>
        <w:rPr>
          <w:sz w:val="16"/>
          <w:szCs w:val="16"/>
          <w:lang w:eastAsia="sk-SK"/>
        </w:rPr>
        <w:t xml:space="preserve"> Rozpočet SIH a investičných fondov SIH-u (40 982 tis. eur) je v tabuľke prezentovaný ako súčasť Štátneho rozpočtu </w:t>
      </w:r>
    </w:p>
    <w:p w14:paraId="0ADAF0B1" w14:textId="1C01E552" w:rsidR="00992DD8" w:rsidRPr="00C16361" w:rsidRDefault="00425506" w:rsidP="00992DD8">
      <w:pPr>
        <w:spacing w:after="0" w:line="240" w:lineRule="auto"/>
        <w:jc w:val="both"/>
        <w:rPr>
          <w:sz w:val="16"/>
          <w:szCs w:val="16"/>
          <w:lang w:eastAsia="sk-SK"/>
        </w:rPr>
      </w:pPr>
      <w:r>
        <w:rPr>
          <w:sz w:val="16"/>
          <w:szCs w:val="16"/>
          <w:vertAlign w:val="superscript"/>
          <w:lang w:eastAsia="sk-SK"/>
        </w:rPr>
        <w:t>3</w:t>
      </w:r>
      <w:r w:rsidR="00992DD8" w:rsidRPr="00C16361">
        <w:rPr>
          <w:sz w:val="16"/>
          <w:szCs w:val="16"/>
          <w:vertAlign w:val="superscript"/>
          <w:lang w:eastAsia="sk-SK"/>
        </w:rPr>
        <w:t xml:space="preserve">) </w:t>
      </w:r>
      <w:r w:rsidR="00992DD8" w:rsidRPr="00C16361">
        <w:rPr>
          <w:sz w:val="16"/>
          <w:szCs w:val="16"/>
          <w:lang w:eastAsia="sk-SK"/>
        </w:rPr>
        <w:t>Ostatné subjekty ústrednej správy zahŕňajú: Rozhlas a televíziu Slovenska, Slovenský pozemkový fond, Age</w:t>
      </w:r>
      <w:r w:rsidR="00F31BBE" w:rsidRPr="00C16361">
        <w:rPr>
          <w:sz w:val="16"/>
          <w:szCs w:val="16"/>
          <w:lang w:eastAsia="sk-SK"/>
        </w:rPr>
        <w:t xml:space="preserve">ntúru pre núdzové zásoby ropy </w:t>
      </w:r>
      <w:r w:rsidR="00F31BBE" w:rsidRPr="00C16361">
        <w:rPr>
          <w:sz w:val="16"/>
          <w:szCs w:val="16"/>
        </w:rPr>
        <w:t>a </w:t>
      </w:r>
      <w:r w:rsidR="00992DD8" w:rsidRPr="00C16361">
        <w:rPr>
          <w:sz w:val="16"/>
          <w:szCs w:val="16"/>
        </w:rPr>
        <w:t>ropných</w:t>
      </w:r>
      <w:r w:rsidR="00992DD8" w:rsidRPr="00C16361">
        <w:rPr>
          <w:sz w:val="16"/>
          <w:szCs w:val="16"/>
          <w:lang w:eastAsia="sk-SK"/>
        </w:rPr>
        <w:t xml:space="preserve"> výrobkov, neziskové organizácie ústrednej správy a ostatné ústredné podniky.</w:t>
      </w:r>
    </w:p>
    <w:p w14:paraId="0B3F375C" w14:textId="5F2D9C22" w:rsidR="00027116" w:rsidRPr="00174C84" w:rsidRDefault="00027116" w:rsidP="00027116">
      <w:pPr>
        <w:spacing w:after="0" w:line="240" w:lineRule="auto"/>
        <w:jc w:val="both"/>
        <w:rPr>
          <w:sz w:val="16"/>
          <w:szCs w:val="16"/>
          <w:highlight w:val="yellow"/>
          <w:lang w:eastAsia="sk-SK"/>
        </w:rPr>
      </w:pPr>
    </w:p>
    <w:p w14:paraId="791951B6" w14:textId="77777777" w:rsidR="00A615D3" w:rsidRPr="006046A7" w:rsidRDefault="003D050C" w:rsidP="00AA46C8">
      <w:pPr>
        <w:pStyle w:val="Nadpis2"/>
        <w:numPr>
          <w:ilvl w:val="0"/>
          <w:numId w:val="0"/>
        </w:numPr>
        <w:ind w:left="896"/>
      </w:pPr>
      <w:bookmarkStart w:id="19" w:name="_Toc212461595"/>
      <w:r w:rsidRPr="006046A7">
        <w:t>1</w:t>
      </w:r>
      <w:r w:rsidR="00C102B8" w:rsidRPr="006046A7">
        <w:t>.</w:t>
      </w:r>
      <w:r w:rsidR="008E7556" w:rsidRPr="006046A7">
        <w:t>3</w:t>
      </w:r>
      <w:r w:rsidR="00C102B8" w:rsidRPr="006046A7">
        <w:t>.</w:t>
      </w:r>
      <w:r w:rsidR="00C102B8" w:rsidRPr="006046A7">
        <w:tab/>
      </w:r>
      <w:r w:rsidRPr="006046A7">
        <w:t>Dlh verejnej správy</w:t>
      </w:r>
      <w:bookmarkEnd w:id="19"/>
    </w:p>
    <w:p w14:paraId="581272D7" w14:textId="608EED1D" w:rsidR="00DA437B" w:rsidRDefault="00B1798D" w:rsidP="00901E59">
      <w:pPr>
        <w:spacing w:after="120" w:line="240" w:lineRule="auto"/>
        <w:jc w:val="both"/>
        <w:rPr>
          <w:bCs/>
          <w:szCs w:val="22"/>
          <w:lang w:eastAsia="sk-SK"/>
        </w:rPr>
      </w:pPr>
      <w:r>
        <w:rPr>
          <w:b/>
          <w:szCs w:val="22"/>
        </w:rPr>
        <w:t>Maastrichtský</w:t>
      </w:r>
      <w:r w:rsidR="009556A9" w:rsidRPr="006046A7">
        <w:rPr>
          <w:b/>
          <w:szCs w:val="22"/>
        </w:rPr>
        <w:t xml:space="preserve"> dlh verejnej správy (</w:t>
      </w:r>
      <w:r>
        <w:rPr>
          <w:b/>
          <w:szCs w:val="22"/>
        </w:rPr>
        <w:t>hrubý</w:t>
      </w:r>
      <w:r w:rsidR="009556A9" w:rsidRPr="006046A7">
        <w:rPr>
          <w:b/>
          <w:szCs w:val="22"/>
        </w:rPr>
        <w:t xml:space="preserve"> dlh) dosiahol k 31.12.202</w:t>
      </w:r>
      <w:r w:rsidR="006046A7" w:rsidRPr="006046A7">
        <w:rPr>
          <w:b/>
          <w:szCs w:val="22"/>
        </w:rPr>
        <w:t>4</w:t>
      </w:r>
      <w:r w:rsidR="009556A9" w:rsidRPr="006046A7">
        <w:rPr>
          <w:b/>
          <w:szCs w:val="22"/>
        </w:rPr>
        <w:t xml:space="preserve"> výšku </w:t>
      </w:r>
      <w:r w:rsidR="006046A7" w:rsidRPr="006046A7">
        <w:rPr>
          <w:b/>
          <w:szCs w:val="22"/>
        </w:rPr>
        <w:t>77 734 635</w:t>
      </w:r>
      <w:r w:rsidR="009556A9" w:rsidRPr="006046A7">
        <w:rPr>
          <w:b/>
          <w:szCs w:val="22"/>
        </w:rPr>
        <w:t> tis. eur (5</w:t>
      </w:r>
      <w:r w:rsidR="006046A7" w:rsidRPr="006046A7">
        <w:rPr>
          <w:b/>
          <w:szCs w:val="22"/>
        </w:rPr>
        <w:t>9,7</w:t>
      </w:r>
      <w:r w:rsidR="00677331">
        <w:rPr>
          <w:b/>
          <w:szCs w:val="22"/>
        </w:rPr>
        <w:t> </w:t>
      </w:r>
      <w:r w:rsidR="009556A9" w:rsidRPr="006046A7">
        <w:rPr>
          <w:b/>
          <w:szCs w:val="22"/>
        </w:rPr>
        <w:t xml:space="preserve">% HDP) </w:t>
      </w:r>
      <w:r w:rsidR="009556A9" w:rsidRPr="006046A7">
        <w:rPr>
          <w:bCs/>
          <w:szCs w:val="22"/>
        </w:rPr>
        <w:t xml:space="preserve">a medziročne jeho pomer k HDP </w:t>
      </w:r>
      <w:r w:rsidR="006046A7" w:rsidRPr="006046A7">
        <w:rPr>
          <w:bCs/>
          <w:szCs w:val="22"/>
        </w:rPr>
        <w:t>vzrástol</w:t>
      </w:r>
      <w:r w:rsidR="009556A9" w:rsidRPr="006046A7">
        <w:rPr>
          <w:bCs/>
          <w:szCs w:val="22"/>
        </w:rPr>
        <w:t xml:space="preserve"> o</w:t>
      </w:r>
      <w:r w:rsidR="006046A7" w:rsidRPr="006046A7">
        <w:rPr>
          <w:bCs/>
          <w:szCs w:val="22"/>
        </w:rPr>
        <w:t> 3,9</w:t>
      </w:r>
      <w:r w:rsidR="009556A9" w:rsidRPr="006046A7">
        <w:rPr>
          <w:bCs/>
          <w:szCs w:val="22"/>
        </w:rPr>
        <w:t> p. b.</w:t>
      </w:r>
      <w:r w:rsidR="002D7562">
        <w:rPr>
          <w:bCs/>
          <w:szCs w:val="22"/>
        </w:rPr>
        <w:t xml:space="preserve"> </w:t>
      </w:r>
      <w:r w:rsidR="009556A9" w:rsidRPr="006046A7">
        <w:t>V nominálnom vyjadrení dlh verejnej správy, očistený o vzájomné výpožičky v rámci verejnej správ</w:t>
      </w:r>
      <w:r w:rsidR="005F059F" w:rsidRPr="006046A7">
        <w:t>y</w:t>
      </w:r>
      <w:r w:rsidR="009556A9" w:rsidRPr="006046A7">
        <w:t xml:space="preserve">, medziročne vzrástol </w:t>
      </w:r>
      <w:r w:rsidR="009556A9" w:rsidRPr="006046A7">
        <w:rPr>
          <w:szCs w:val="22"/>
        </w:rPr>
        <w:t>o</w:t>
      </w:r>
      <w:r w:rsidR="006046A7" w:rsidRPr="006046A7">
        <w:rPr>
          <w:szCs w:val="22"/>
        </w:rPr>
        <w:t> </w:t>
      </w:r>
      <w:r w:rsidR="006046A7" w:rsidRPr="006046A7">
        <w:rPr>
          <w:bCs/>
          <w:szCs w:val="22"/>
          <w:lang w:eastAsia="sk-SK"/>
        </w:rPr>
        <w:t>8 852 389</w:t>
      </w:r>
      <w:r w:rsidR="009556A9" w:rsidRPr="006046A7">
        <w:rPr>
          <w:bCs/>
          <w:szCs w:val="22"/>
          <w:lang w:eastAsia="sk-SK"/>
        </w:rPr>
        <w:t> tis. eur.</w:t>
      </w:r>
    </w:p>
    <w:p w14:paraId="1038FE18" w14:textId="3E2CBFFD" w:rsidR="00DA437B" w:rsidRDefault="00DA437B" w:rsidP="00D162A9">
      <w:pPr>
        <w:pStyle w:val="Popis"/>
      </w:pPr>
      <w:bookmarkStart w:id="20" w:name="_Toc212124626"/>
      <w:r>
        <w:t xml:space="preserve">Tabuľka </w:t>
      </w:r>
      <w:r w:rsidR="00CA4B84">
        <w:fldChar w:fldCharType="begin"/>
      </w:r>
      <w:r w:rsidR="00CA4B84">
        <w:instrText xml:space="preserve"> SEQ Tabuľka \* ARABIC </w:instrText>
      </w:r>
      <w:r w:rsidR="00CA4B84">
        <w:fldChar w:fldCharType="separate"/>
      </w:r>
      <w:r w:rsidR="00076866">
        <w:rPr>
          <w:noProof/>
        </w:rPr>
        <w:t>5</w:t>
      </w:r>
      <w:r w:rsidR="00CA4B84">
        <w:rPr>
          <w:noProof/>
        </w:rPr>
        <w:fldChar w:fldCharType="end"/>
      </w:r>
      <w:r>
        <w:t xml:space="preserve"> - </w:t>
      </w:r>
      <w:r w:rsidRPr="006B3ECF">
        <w:t>Maastrichtský dlh verejnej správy podľa jednotlivých subjektov (v tis. eur)</w:t>
      </w:r>
      <w:bookmarkEnd w:id="20"/>
    </w:p>
    <w:tbl>
      <w:tblPr>
        <w:tblW w:w="5000" w:type="pct"/>
        <w:tblCellMar>
          <w:left w:w="70" w:type="dxa"/>
          <w:right w:w="70" w:type="dxa"/>
        </w:tblCellMar>
        <w:tblLook w:val="04A0" w:firstRow="1" w:lastRow="0" w:firstColumn="1" w:lastColumn="0" w:noHBand="0" w:noVBand="1"/>
      </w:tblPr>
      <w:tblGrid>
        <w:gridCol w:w="4932"/>
        <w:gridCol w:w="144"/>
        <w:gridCol w:w="1001"/>
        <w:gridCol w:w="129"/>
        <w:gridCol w:w="32"/>
        <w:gridCol w:w="980"/>
        <w:gridCol w:w="78"/>
        <w:gridCol w:w="931"/>
        <w:gridCol w:w="125"/>
        <w:gridCol w:w="1143"/>
      </w:tblGrid>
      <w:tr w:rsidR="006876EC" w:rsidRPr="006876EC" w14:paraId="5C32B009" w14:textId="77777777" w:rsidTr="006876EC">
        <w:trPr>
          <w:trHeight w:val="520"/>
          <w:tblHeader/>
        </w:trPr>
        <w:tc>
          <w:tcPr>
            <w:tcW w:w="2673" w:type="pct"/>
            <w:gridSpan w:val="2"/>
            <w:vMerge w:val="restart"/>
            <w:tcBorders>
              <w:top w:val="single" w:sz="4" w:space="0" w:color="auto"/>
              <w:left w:val="nil"/>
              <w:bottom w:val="single" w:sz="4" w:space="0" w:color="000000"/>
              <w:right w:val="nil"/>
            </w:tcBorders>
            <w:vAlign w:val="center"/>
            <w:hideMark/>
          </w:tcPr>
          <w:p w14:paraId="55735FF7" w14:textId="77777777" w:rsidR="006876EC" w:rsidRPr="006876EC" w:rsidRDefault="006876EC" w:rsidP="006876EC">
            <w:pPr>
              <w:spacing w:after="0" w:line="240" w:lineRule="auto"/>
              <w:jc w:val="both"/>
              <w:rPr>
                <w:b/>
                <w:bCs/>
                <w:sz w:val="20"/>
                <w:szCs w:val="20"/>
                <w:lang w:eastAsia="sk-SK"/>
              </w:rPr>
            </w:pPr>
            <w:r w:rsidRPr="006876EC">
              <w:rPr>
                <w:b/>
                <w:bCs/>
                <w:sz w:val="20"/>
                <w:szCs w:val="20"/>
                <w:lang w:eastAsia="sk-SK"/>
              </w:rPr>
              <w:t> </w:t>
            </w:r>
          </w:p>
        </w:tc>
        <w:tc>
          <w:tcPr>
            <w:tcW w:w="595" w:type="pct"/>
            <w:gridSpan w:val="2"/>
            <w:tcBorders>
              <w:top w:val="single" w:sz="4" w:space="0" w:color="auto"/>
              <w:left w:val="nil"/>
              <w:bottom w:val="nil"/>
              <w:right w:val="nil"/>
            </w:tcBorders>
            <w:vAlign w:val="center"/>
            <w:hideMark/>
          </w:tcPr>
          <w:p w14:paraId="46357314" w14:textId="53212648" w:rsidR="006876EC" w:rsidRPr="006876EC" w:rsidRDefault="006876EC" w:rsidP="006876EC">
            <w:pPr>
              <w:spacing w:after="0" w:line="240" w:lineRule="auto"/>
              <w:jc w:val="center"/>
              <w:rPr>
                <w:b/>
                <w:bCs/>
                <w:sz w:val="20"/>
                <w:szCs w:val="20"/>
                <w:lang w:eastAsia="sk-SK"/>
              </w:rPr>
            </w:pPr>
            <w:r w:rsidRPr="006876EC">
              <w:rPr>
                <w:b/>
                <w:bCs/>
                <w:sz w:val="20"/>
                <w:szCs w:val="20"/>
              </w:rPr>
              <w:t>2022 S</w:t>
            </w:r>
          </w:p>
        </w:tc>
        <w:tc>
          <w:tcPr>
            <w:tcW w:w="574" w:type="pct"/>
            <w:gridSpan w:val="3"/>
            <w:tcBorders>
              <w:top w:val="single" w:sz="4" w:space="0" w:color="auto"/>
              <w:left w:val="nil"/>
              <w:bottom w:val="nil"/>
              <w:right w:val="nil"/>
            </w:tcBorders>
            <w:vAlign w:val="center"/>
            <w:hideMark/>
          </w:tcPr>
          <w:p w14:paraId="0B8C92C5" w14:textId="0E468758" w:rsidR="006876EC" w:rsidRPr="006876EC" w:rsidRDefault="006876EC" w:rsidP="006876EC">
            <w:pPr>
              <w:spacing w:after="0" w:line="240" w:lineRule="auto"/>
              <w:jc w:val="center"/>
              <w:rPr>
                <w:b/>
                <w:bCs/>
                <w:sz w:val="20"/>
                <w:szCs w:val="20"/>
                <w:lang w:eastAsia="sk-SK"/>
              </w:rPr>
            </w:pPr>
            <w:r w:rsidRPr="006876EC">
              <w:rPr>
                <w:b/>
                <w:bCs/>
                <w:sz w:val="20"/>
                <w:szCs w:val="20"/>
              </w:rPr>
              <w:t>2023 S</w:t>
            </w:r>
          </w:p>
        </w:tc>
        <w:tc>
          <w:tcPr>
            <w:tcW w:w="490" w:type="pct"/>
            <w:tcBorders>
              <w:top w:val="single" w:sz="4" w:space="0" w:color="auto"/>
              <w:left w:val="nil"/>
              <w:bottom w:val="nil"/>
              <w:right w:val="nil"/>
            </w:tcBorders>
            <w:vAlign w:val="center"/>
            <w:hideMark/>
          </w:tcPr>
          <w:p w14:paraId="2AE75481" w14:textId="4D7B837B" w:rsidR="006876EC" w:rsidRPr="006876EC" w:rsidRDefault="006876EC" w:rsidP="006876EC">
            <w:pPr>
              <w:spacing w:after="0" w:line="240" w:lineRule="auto"/>
              <w:jc w:val="center"/>
              <w:rPr>
                <w:b/>
                <w:bCs/>
                <w:sz w:val="20"/>
                <w:szCs w:val="20"/>
                <w:lang w:eastAsia="sk-SK"/>
              </w:rPr>
            </w:pPr>
            <w:r w:rsidRPr="006876EC">
              <w:rPr>
                <w:b/>
                <w:bCs/>
                <w:sz w:val="20"/>
                <w:szCs w:val="20"/>
              </w:rPr>
              <w:t>2024 S</w:t>
            </w:r>
          </w:p>
        </w:tc>
        <w:tc>
          <w:tcPr>
            <w:tcW w:w="668" w:type="pct"/>
            <w:gridSpan w:val="2"/>
            <w:tcBorders>
              <w:top w:val="single" w:sz="4" w:space="0" w:color="auto"/>
              <w:left w:val="nil"/>
              <w:bottom w:val="nil"/>
              <w:right w:val="nil"/>
            </w:tcBorders>
            <w:vAlign w:val="center"/>
            <w:hideMark/>
          </w:tcPr>
          <w:p w14:paraId="07A1908A" w14:textId="77777777" w:rsidR="006876EC" w:rsidRPr="006876EC" w:rsidRDefault="006876EC" w:rsidP="006876EC">
            <w:pPr>
              <w:spacing w:after="0" w:line="240" w:lineRule="auto"/>
              <w:jc w:val="center"/>
              <w:rPr>
                <w:b/>
                <w:bCs/>
                <w:sz w:val="20"/>
                <w:szCs w:val="20"/>
                <w:lang w:eastAsia="sk-SK"/>
              </w:rPr>
            </w:pPr>
            <w:r w:rsidRPr="006876EC">
              <w:rPr>
                <w:b/>
                <w:bCs/>
                <w:sz w:val="20"/>
                <w:szCs w:val="20"/>
                <w:lang w:eastAsia="sk-SK"/>
              </w:rPr>
              <w:t>Medziročný rozdiel</w:t>
            </w:r>
          </w:p>
        </w:tc>
      </w:tr>
      <w:tr w:rsidR="006876EC" w:rsidRPr="006876EC" w14:paraId="5A6D5D3C" w14:textId="77777777" w:rsidTr="006876EC">
        <w:trPr>
          <w:trHeight w:val="58"/>
          <w:tblHeader/>
        </w:trPr>
        <w:tc>
          <w:tcPr>
            <w:tcW w:w="2673" w:type="pct"/>
            <w:gridSpan w:val="2"/>
            <w:vMerge/>
            <w:tcBorders>
              <w:top w:val="nil"/>
              <w:left w:val="nil"/>
              <w:bottom w:val="single" w:sz="4" w:space="0" w:color="auto"/>
              <w:right w:val="nil"/>
            </w:tcBorders>
            <w:vAlign w:val="center"/>
            <w:hideMark/>
          </w:tcPr>
          <w:p w14:paraId="1F982210" w14:textId="77777777" w:rsidR="006876EC" w:rsidRPr="006876EC" w:rsidRDefault="006876EC" w:rsidP="006876EC">
            <w:pPr>
              <w:spacing w:after="0" w:line="240" w:lineRule="auto"/>
              <w:rPr>
                <w:b/>
                <w:bCs/>
                <w:sz w:val="20"/>
                <w:szCs w:val="20"/>
                <w:lang w:eastAsia="sk-SK"/>
              </w:rPr>
            </w:pPr>
          </w:p>
        </w:tc>
        <w:tc>
          <w:tcPr>
            <w:tcW w:w="595" w:type="pct"/>
            <w:gridSpan w:val="2"/>
            <w:tcBorders>
              <w:top w:val="nil"/>
              <w:left w:val="nil"/>
              <w:bottom w:val="single" w:sz="4" w:space="0" w:color="auto"/>
              <w:right w:val="nil"/>
            </w:tcBorders>
            <w:noWrap/>
            <w:vAlign w:val="bottom"/>
            <w:hideMark/>
          </w:tcPr>
          <w:p w14:paraId="2A5F7CA8" w14:textId="5B40FBF9" w:rsidR="006876EC" w:rsidRPr="006876EC" w:rsidRDefault="006876EC" w:rsidP="006876EC">
            <w:pPr>
              <w:spacing w:after="0" w:line="240" w:lineRule="auto"/>
              <w:jc w:val="center"/>
              <w:rPr>
                <w:b/>
                <w:bCs/>
                <w:sz w:val="20"/>
                <w:szCs w:val="20"/>
                <w:lang w:eastAsia="sk-SK"/>
              </w:rPr>
            </w:pPr>
            <w:r w:rsidRPr="006876EC">
              <w:rPr>
                <w:b/>
                <w:bCs/>
                <w:sz w:val="20"/>
                <w:szCs w:val="20"/>
              </w:rPr>
              <w:t>1</w:t>
            </w:r>
          </w:p>
        </w:tc>
        <w:tc>
          <w:tcPr>
            <w:tcW w:w="574" w:type="pct"/>
            <w:gridSpan w:val="3"/>
            <w:tcBorders>
              <w:top w:val="nil"/>
              <w:left w:val="nil"/>
              <w:bottom w:val="single" w:sz="4" w:space="0" w:color="auto"/>
              <w:right w:val="nil"/>
            </w:tcBorders>
            <w:noWrap/>
            <w:vAlign w:val="bottom"/>
            <w:hideMark/>
          </w:tcPr>
          <w:p w14:paraId="2C3DFF64" w14:textId="55822C05" w:rsidR="006876EC" w:rsidRPr="006876EC" w:rsidRDefault="006876EC" w:rsidP="006876EC">
            <w:pPr>
              <w:spacing w:after="0" w:line="240" w:lineRule="auto"/>
              <w:jc w:val="center"/>
              <w:rPr>
                <w:b/>
                <w:bCs/>
                <w:sz w:val="20"/>
                <w:szCs w:val="20"/>
                <w:lang w:eastAsia="sk-SK"/>
              </w:rPr>
            </w:pPr>
            <w:r w:rsidRPr="006876EC">
              <w:rPr>
                <w:b/>
                <w:bCs/>
                <w:sz w:val="20"/>
                <w:szCs w:val="20"/>
              </w:rPr>
              <w:t>2</w:t>
            </w:r>
          </w:p>
        </w:tc>
        <w:tc>
          <w:tcPr>
            <w:tcW w:w="490" w:type="pct"/>
            <w:tcBorders>
              <w:top w:val="nil"/>
              <w:left w:val="nil"/>
              <w:bottom w:val="single" w:sz="4" w:space="0" w:color="auto"/>
              <w:right w:val="nil"/>
            </w:tcBorders>
            <w:noWrap/>
            <w:vAlign w:val="bottom"/>
            <w:hideMark/>
          </w:tcPr>
          <w:p w14:paraId="617B684E" w14:textId="04A2A989" w:rsidR="006876EC" w:rsidRPr="006876EC" w:rsidRDefault="006876EC" w:rsidP="006876EC">
            <w:pPr>
              <w:spacing w:after="0" w:line="240" w:lineRule="auto"/>
              <w:jc w:val="center"/>
              <w:rPr>
                <w:b/>
                <w:bCs/>
                <w:sz w:val="20"/>
                <w:szCs w:val="20"/>
                <w:lang w:eastAsia="sk-SK"/>
              </w:rPr>
            </w:pPr>
            <w:r w:rsidRPr="006876EC">
              <w:rPr>
                <w:b/>
                <w:bCs/>
                <w:sz w:val="20"/>
                <w:szCs w:val="20"/>
              </w:rPr>
              <w:t>3</w:t>
            </w:r>
          </w:p>
        </w:tc>
        <w:tc>
          <w:tcPr>
            <w:tcW w:w="668" w:type="pct"/>
            <w:gridSpan w:val="2"/>
            <w:tcBorders>
              <w:top w:val="nil"/>
              <w:left w:val="nil"/>
              <w:bottom w:val="single" w:sz="4" w:space="0" w:color="auto"/>
              <w:right w:val="nil"/>
            </w:tcBorders>
            <w:noWrap/>
            <w:vAlign w:val="bottom"/>
            <w:hideMark/>
          </w:tcPr>
          <w:p w14:paraId="565D7564" w14:textId="68595080" w:rsidR="006876EC" w:rsidRPr="006876EC" w:rsidRDefault="006876EC" w:rsidP="006876EC">
            <w:pPr>
              <w:spacing w:after="0" w:line="240" w:lineRule="auto"/>
              <w:jc w:val="center"/>
              <w:rPr>
                <w:b/>
                <w:bCs/>
                <w:sz w:val="20"/>
                <w:szCs w:val="20"/>
                <w:lang w:eastAsia="sk-SK"/>
              </w:rPr>
            </w:pPr>
            <w:r w:rsidRPr="006876EC">
              <w:rPr>
                <w:b/>
                <w:bCs/>
                <w:sz w:val="20"/>
                <w:szCs w:val="20"/>
                <w:lang w:eastAsia="sk-SK"/>
              </w:rPr>
              <w:t>4=3-2</w:t>
            </w:r>
          </w:p>
        </w:tc>
      </w:tr>
      <w:tr w:rsidR="006876EC" w:rsidRPr="006876EC" w14:paraId="563B47F4" w14:textId="77777777" w:rsidTr="006876EC">
        <w:trPr>
          <w:trHeight w:val="260"/>
        </w:trPr>
        <w:tc>
          <w:tcPr>
            <w:tcW w:w="2597" w:type="pct"/>
            <w:tcBorders>
              <w:top w:val="single" w:sz="4" w:space="0" w:color="auto"/>
              <w:left w:val="nil"/>
              <w:bottom w:val="nil"/>
              <w:right w:val="nil"/>
            </w:tcBorders>
            <w:noWrap/>
            <w:vAlign w:val="bottom"/>
            <w:hideMark/>
          </w:tcPr>
          <w:p w14:paraId="309EB3D2" w14:textId="77777777" w:rsidR="006876EC" w:rsidRPr="006876EC" w:rsidRDefault="006876EC" w:rsidP="000851CB">
            <w:pPr>
              <w:spacing w:after="0" w:line="240" w:lineRule="auto"/>
              <w:rPr>
                <w:b/>
                <w:bCs/>
                <w:sz w:val="20"/>
                <w:szCs w:val="20"/>
                <w:lang w:eastAsia="sk-SK"/>
              </w:rPr>
            </w:pPr>
            <w:r w:rsidRPr="006876EC">
              <w:rPr>
                <w:b/>
                <w:bCs/>
                <w:sz w:val="20"/>
                <w:szCs w:val="20"/>
                <w:lang w:eastAsia="sk-SK"/>
              </w:rPr>
              <w:t>Ústredná správa</w:t>
            </w:r>
          </w:p>
        </w:tc>
        <w:tc>
          <w:tcPr>
            <w:tcW w:w="603" w:type="pct"/>
            <w:gridSpan w:val="2"/>
            <w:tcBorders>
              <w:top w:val="single" w:sz="4" w:space="0" w:color="auto"/>
              <w:left w:val="nil"/>
              <w:bottom w:val="nil"/>
              <w:right w:val="nil"/>
            </w:tcBorders>
            <w:noWrap/>
            <w:vAlign w:val="bottom"/>
            <w:hideMark/>
          </w:tcPr>
          <w:p w14:paraId="53653DC7" w14:textId="32A7C5BF" w:rsidR="006876EC" w:rsidRPr="006876EC" w:rsidRDefault="006876EC" w:rsidP="000851CB">
            <w:pPr>
              <w:spacing w:after="0" w:line="240" w:lineRule="auto"/>
              <w:jc w:val="right"/>
              <w:rPr>
                <w:b/>
                <w:bCs/>
                <w:sz w:val="20"/>
                <w:szCs w:val="20"/>
                <w:lang w:eastAsia="sk-SK"/>
              </w:rPr>
            </w:pPr>
            <w:r w:rsidRPr="006876EC">
              <w:rPr>
                <w:b/>
                <w:bCs/>
                <w:sz w:val="20"/>
                <w:szCs w:val="20"/>
              </w:rPr>
              <w:t>62 470 793</w:t>
            </w:r>
          </w:p>
        </w:tc>
        <w:tc>
          <w:tcPr>
            <w:tcW w:w="601" w:type="pct"/>
            <w:gridSpan w:val="3"/>
            <w:tcBorders>
              <w:top w:val="single" w:sz="4" w:space="0" w:color="auto"/>
              <w:left w:val="nil"/>
              <w:bottom w:val="nil"/>
              <w:right w:val="nil"/>
            </w:tcBorders>
            <w:noWrap/>
            <w:vAlign w:val="bottom"/>
            <w:hideMark/>
          </w:tcPr>
          <w:p w14:paraId="6DFFE7DD" w14:textId="3AA98E63" w:rsidR="006876EC" w:rsidRPr="006876EC" w:rsidRDefault="006876EC" w:rsidP="000851CB">
            <w:pPr>
              <w:spacing w:after="0" w:line="240" w:lineRule="auto"/>
              <w:jc w:val="right"/>
              <w:rPr>
                <w:b/>
                <w:bCs/>
                <w:sz w:val="20"/>
                <w:szCs w:val="20"/>
                <w:lang w:eastAsia="sk-SK"/>
              </w:rPr>
            </w:pPr>
            <w:r w:rsidRPr="006876EC">
              <w:rPr>
                <w:b/>
                <w:bCs/>
                <w:sz w:val="20"/>
                <w:szCs w:val="20"/>
              </w:rPr>
              <w:t>67 895 952</w:t>
            </w:r>
          </w:p>
        </w:tc>
        <w:tc>
          <w:tcPr>
            <w:tcW w:w="597" w:type="pct"/>
            <w:gridSpan w:val="3"/>
            <w:tcBorders>
              <w:top w:val="single" w:sz="4" w:space="0" w:color="auto"/>
              <w:left w:val="nil"/>
              <w:bottom w:val="nil"/>
              <w:right w:val="nil"/>
            </w:tcBorders>
            <w:noWrap/>
            <w:vAlign w:val="bottom"/>
            <w:hideMark/>
          </w:tcPr>
          <w:p w14:paraId="0D6EEAB2" w14:textId="3CBDDD71" w:rsidR="006876EC" w:rsidRPr="006876EC" w:rsidRDefault="006876EC" w:rsidP="000851CB">
            <w:pPr>
              <w:spacing w:after="0" w:line="240" w:lineRule="auto"/>
              <w:jc w:val="right"/>
              <w:rPr>
                <w:b/>
                <w:bCs/>
                <w:sz w:val="20"/>
                <w:szCs w:val="20"/>
                <w:lang w:eastAsia="sk-SK"/>
              </w:rPr>
            </w:pPr>
            <w:r w:rsidRPr="006876EC">
              <w:rPr>
                <w:b/>
                <w:bCs/>
                <w:sz w:val="20"/>
                <w:szCs w:val="20"/>
              </w:rPr>
              <w:t>76 671 612</w:t>
            </w:r>
          </w:p>
        </w:tc>
        <w:tc>
          <w:tcPr>
            <w:tcW w:w="602" w:type="pct"/>
            <w:tcBorders>
              <w:top w:val="single" w:sz="4" w:space="0" w:color="auto"/>
              <w:left w:val="nil"/>
              <w:bottom w:val="nil"/>
              <w:right w:val="nil"/>
            </w:tcBorders>
            <w:noWrap/>
            <w:vAlign w:val="bottom"/>
            <w:hideMark/>
          </w:tcPr>
          <w:p w14:paraId="732E673B" w14:textId="2205DCD4" w:rsidR="006876EC" w:rsidRPr="006876EC" w:rsidRDefault="006876EC" w:rsidP="000851CB">
            <w:pPr>
              <w:spacing w:after="0" w:line="240" w:lineRule="auto"/>
              <w:jc w:val="right"/>
              <w:rPr>
                <w:b/>
                <w:bCs/>
                <w:sz w:val="20"/>
                <w:szCs w:val="20"/>
                <w:lang w:eastAsia="sk-SK"/>
              </w:rPr>
            </w:pPr>
            <w:r w:rsidRPr="006876EC">
              <w:rPr>
                <w:b/>
                <w:bCs/>
                <w:sz w:val="20"/>
                <w:szCs w:val="20"/>
              </w:rPr>
              <w:t>8 775 660</w:t>
            </w:r>
          </w:p>
        </w:tc>
      </w:tr>
      <w:tr w:rsidR="006876EC" w:rsidRPr="006876EC" w14:paraId="73FDCAF1" w14:textId="77777777" w:rsidTr="006876EC">
        <w:trPr>
          <w:trHeight w:val="260"/>
        </w:trPr>
        <w:tc>
          <w:tcPr>
            <w:tcW w:w="2597" w:type="pct"/>
            <w:tcBorders>
              <w:top w:val="nil"/>
              <w:left w:val="nil"/>
              <w:bottom w:val="nil"/>
              <w:right w:val="nil"/>
            </w:tcBorders>
            <w:noWrap/>
            <w:vAlign w:val="bottom"/>
            <w:hideMark/>
          </w:tcPr>
          <w:p w14:paraId="3B444FDB" w14:textId="77777777" w:rsidR="006876EC" w:rsidRPr="006876EC" w:rsidRDefault="006876EC" w:rsidP="000851CB">
            <w:pPr>
              <w:spacing w:after="0" w:line="240" w:lineRule="auto"/>
              <w:ind w:firstLineChars="100" w:firstLine="200"/>
              <w:rPr>
                <w:sz w:val="20"/>
                <w:szCs w:val="20"/>
                <w:lang w:eastAsia="sk-SK"/>
              </w:rPr>
            </w:pPr>
            <w:r w:rsidRPr="006876EC">
              <w:rPr>
                <w:sz w:val="20"/>
                <w:szCs w:val="20"/>
                <w:lang w:eastAsia="sk-SK"/>
              </w:rPr>
              <w:t xml:space="preserve">z toho: </w:t>
            </w:r>
          </w:p>
        </w:tc>
        <w:tc>
          <w:tcPr>
            <w:tcW w:w="603" w:type="pct"/>
            <w:gridSpan w:val="2"/>
            <w:tcBorders>
              <w:top w:val="nil"/>
              <w:left w:val="nil"/>
              <w:bottom w:val="nil"/>
              <w:right w:val="nil"/>
            </w:tcBorders>
            <w:noWrap/>
            <w:vAlign w:val="bottom"/>
            <w:hideMark/>
          </w:tcPr>
          <w:p w14:paraId="46B853D5" w14:textId="77777777" w:rsidR="006876EC" w:rsidRPr="006876EC" w:rsidRDefault="006876EC" w:rsidP="000851CB">
            <w:pPr>
              <w:spacing w:after="0" w:line="240" w:lineRule="auto"/>
              <w:ind w:firstLineChars="100" w:firstLine="200"/>
              <w:rPr>
                <w:sz w:val="20"/>
                <w:szCs w:val="20"/>
                <w:lang w:eastAsia="sk-SK"/>
              </w:rPr>
            </w:pPr>
          </w:p>
        </w:tc>
        <w:tc>
          <w:tcPr>
            <w:tcW w:w="601" w:type="pct"/>
            <w:gridSpan w:val="3"/>
            <w:tcBorders>
              <w:top w:val="nil"/>
              <w:left w:val="nil"/>
              <w:bottom w:val="nil"/>
              <w:right w:val="nil"/>
            </w:tcBorders>
            <w:noWrap/>
            <w:vAlign w:val="bottom"/>
            <w:hideMark/>
          </w:tcPr>
          <w:p w14:paraId="2874F2F7" w14:textId="77777777" w:rsidR="006876EC" w:rsidRPr="006876EC" w:rsidRDefault="006876EC" w:rsidP="000851CB">
            <w:pPr>
              <w:spacing w:after="0" w:line="240" w:lineRule="auto"/>
              <w:rPr>
                <w:sz w:val="20"/>
                <w:szCs w:val="20"/>
                <w:lang w:eastAsia="sk-SK"/>
              </w:rPr>
            </w:pPr>
          </w:p>
        </w:tc>
        <w:tc>
          <w:tcPr>
            <w:tcW w:w="597" w:type="pct"/>
            <w:gridSpan w:val="3"/>
            <w:tcBorders>
              <w:top w:val="nil"/>
              <w:left w:val="nil"/>
              <w:bottom w:val="nil"/>
              <w:right w:val="nil"/>
            </w:tcBorders>
            <w:noWrap/>
            <w:vAlign w:val="bottom"/>
            <w:hideMark/>
          </w:tcPr>
          <w:p w14:paraId="2999A661" w14:textId="77777777" w:rsidR="006876EC" w:rsidRPr="006876EC" w:rsidRDefault="006876EC" w:rsidP="000851CB">
            <w:pPr>
              <w:spacing w:after="0" w:line="240" w:lineRule="auto"/>
              <w:rPr>
                <w:sz w:val="20"/>
                <w:szCs w:val="20"/>
                <w:lang w:eastAsia="sk-SK"/>
              </w:rPr>
            </w:pPr>
          </w:p>
        </w:tc>
        <w:tc>
          <w:tcPr>
            <w:tcW w:w="602" w:type="pct"/>
            <w:tcBorders>
              <w:top w:val="nil"/>
              <w:left w:val="nil"/>
              <w:bottom w:val="nil"/>
              <w:right w:val="nil"/>
            </w:tcBorders>
            <w:noWrap/>
            <w:vAlign w:val="bottom"/>
            <w:hideMark/>
          </w:tcPr>
          <w:p w14:paraId="06909702" w14:textId="77777777" w:rsidR="006876EC" w:rsidRPr="006876EC" w:rsidRDefault="006876EC" w:rsidP="000851CB">
            <w:pPr>
              <w:spacing w:after="0" w:line="240" w:lineRule="auto"/>
              <w:rPr>
                <w:sz w:val="20"/>
                <w:szCs w:val="20"/>
                <w:lang w:eastAsia="sk-SK"/>
              </w:rPr>
            </w:pPr>
          </w:p>
        </w:tc>
      </w:tr>
      <w:tr w:rsidR="006876EC" w:rsidRPr="006876EC" w14:paraId="45C5A62D" w14:textId="77777777" w:rsidTr="006876EC">
        <w:trPr>
          <w:trHeight w:val="310"/>
        </w:trPr>
        <w:tc>
          <w:tcPr>
            <w:tcW w:w="2597" w:type="pct"/>
            <w:tcBorders>
              <w:top w:val="nil"/>
              <w:left w:val="nil"/>
              <w:bottom w:val="nil"/>
              <w:right w:val="nil"/>
            </w:tcBorders>
            <w:noWrap/>
            <w:vAlign w:val="bottom"/>
            <w:hideMark/>
          </w:tcPr>
          <w:p w14:paraId="6A5F67A0" w14:textId="24720E69"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Štátny dlh</w:t>
            </w:r>
            <w:r w:rsidRPr="006876EC">
              <w:rPr>
                <w:sz w:val="20"/>
                <w:szCs w:val="20"/>
                <w:vertAlign w:val="superscript"/>
                <w:lang w:eastAsia="sk-SK"/>
              </w:rPr>
              <w:t>1)</w:t>
            </w:r>
          </w:p>
        </w:tc>
        <w:tc>
          <w:tcPr>
            <w:tcW w:w="603" w:type="pct"/>
            <w:gridSpan w:val="2"/>
            <w:tcBorders>
              <w:top w:val="nil"/>
              <w:left w:val="nil"/>
              <w:bottom w:val="nil"/>
              <w:right w:val="nil"/>
            </w:tcBorders>
            <w:noWrap/>
            <w:vAlign w:val="bottom"/>
            <w:hideMark/>
          </w:tcPr>
          <w:p w14:paraId="69174A80" w14:textId="44C368ED" w:rsidR="006876EC" w:rsidRPr="006876EC" w:rsidRDefault="006876EC" w:rsidP="000851CB">
            <w:pPr>
              <w:spacing w:after="0" w:line="240" w:lineRule="auto"/>
              <w:jc w:val="right"/>
              <w:rPr>
                <w:sz w:val="20"/>
                <w:szCs w:val="20"/>
                <w:lang w:eastAsia="sk-SK"/>
              </w:rPr>
            </w:pPr>
            <w:r w:rsidRPr="006876EC">
              <w:rPr>
                <w:sz w:val="20"/>
                <w:szCs w:val="20"/>
              </w:rPr>
              <w:t>61 323 071</w:t>
            </w:r>
          </w:p>
        </w:tc>
        <w:tc>
          <w:tcPr>
            <w:tcW w:w="601" w:type="pct"/>
            <w:gridSpan w:val="3"/>
            <w:tcBorders>
              <w:top w:val="nil"/>
              <w:left w:val="nil"/>
              <w:bottom w:val="nil"/>
              <w:right w:val="nil"/>
            </w:tcBorders>
            <w:noWrap/>
            <w:vAlign w:val="bottom"/>
            <w:hideMark/>
          </w:tcPr>
          <w:p w14:paraId="3D92077D" w14:textId="00AE91EB" w:rsidR="006876EC" w:rsidRPr="006876EC" w:rsidRDefault="006876EC" w:rsidP="000851CB">
            <w:pPr>
              <w:spacing w:after="0" w:line="240" w:lineRule="auto"/>
              <w:jc w:val="right"/>
              <w:rPr>
                <w:sz w:val="20"/>
                <w:szCs w:val="20"/>
                <w:lang w:eastAsia="sk-SK"/>
              </w:rPr>
            </w:pPr>
            <w:r w:rsidRPr="006876EC">
              <w:rPr>
                <w:sz w:val="20"/>
                <w:szCs w:val="20"/>
              </w:rPr>
              <w:t>66 540 942</w:t>
            </w:r>
          </w:p>
        </w:tc>
        <w:tc>
          <w:tcPr>
            <w:tcW w:w="597" w:type="pct"/>
            <w:gridSpan w:val="3"/>
            <w:tcBorders>
              <w:top w:val="nil"/>
              <w:left w:val="nil"/>
              <w:bottom w:val="nil"/>
              <w:right w:val="nil"/>
            </w:tcBorders>
            <w:noWrap/>
            <w:vAlign w:val="bottom"/>
            <w:hideMark/>
          </w:tcPr>
          <w:p w14:paraId="26360AF9" w14:textId="31403393" w:rsidR="006876EC" w:rsidRPr="006876EC" w:rsidRDefault="006876EC" w:rsidP="000851CB">
            <w:pPr>
              <w:spacing w:after="0" w:line="240" w:lineRule="auto"/>
              <w:jc w:val="right"/>
              <w:rPr>
                <w:sz w:val="20"/>
                <w:szCs w:val="20"/>
                <w:lang w:eastAsia="sk-SK"/>
              </w:rPr>
            </w:pPr>
            <w:r w:rsidRPr="006876EC">
              <w:rPr>
                <w:sz w:val="20"/>
                <w:szCs w:val="20"/>
              </w:rPr>
              <w:t>75 410 881</w:t>
            </w:r>
          </w:p>
        </w:tc>
        <w:tc>
          <w:tcPr>
            <w:tcW w:w="602" w:type="pct"/>
            <w:tcBorders>
              <w:top w:val="nil"/>
              <w:left w:val="nil"/>
              <w:bottom w:val="nil"/>
              <w:right w:val="nil"/>
            </w:tcBorders>
            <w:noWrap/>
            <w:vAlign w:val="bottom"/>
            <w:hideMark/>
          </w:tcPr>
          <w:p w14:paraId="024FADA8" w14:textId="423F83CF" w:rsidR="006876EC" w:rsidRPr="006876EC" w:rsidRDefault="006876EC" w:rsidP="000851CB">
            <w:pPr>
              <w:spacing w:after="0" w:line="240" w:lineRule="auto"/>
              <w:jc w:val="right"/>
              <w:rPr>
                <w:sz w:val="20"/>
                <w:szCs w:val="20"/>
                <w:lang w:eastAsia="sk-SK"/>
              </w:rPr>
            </w:pPr>
            <w:r w:rsidRPr="006876EC">
              <w:rPr>
                <w:sz w:val="20"/>
                <w:szCs w:val="20"/>
              </w:rPr>
              <w:t>8 869 939</w:t>
            </w:r>
          </w:p>
        </w:tc>
      </w:tr>
      <w:tr w:rsidR="006876EC" w:rsidRPr="006876EC" w14:paraId="035E6460" w14:textId="77777777" w:rsidTr="006876EC">
        <w:trPr>
          <w:trHeight w:val="260"/>
        </w:trPr>
        <w:tc>
          <w:tcPr>
            <w:tcW w:w="2597" w:type="pct"/>
            <w:tcBorders>
              <w:top w:val="nil"/>
              <w:left w:val="nil"/>
              <w:bottom w:val="nil"/>
              <w:right w:val="nil"/>
            </w:tcBorders>
            <w:noWrap/>
            <w:vAlign w:val="bottom"/>
            <w:hideMark/>
          </w:tcPr>
          <w:p w14:paraId="4A84E344"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Príspevkové organizácie ústrednej správy</w:t>
            </w:r>
          </w:p>
        </w:tc>
        <w:tc>
          <w:tcPr>
            <w:tcW w:w="603" w:type="pct"/>
            <w:gridSpan w:val="2"/>
            <w:tcBorders>
              <w:top w:val="nil"/>
              <w:left w:val="nil"/>
              <w:bottom w:val="nil"/>
              <w:right w:val="nil"/>
            </w:tcBorders>
            <w:noWrap/>
            <w:vAlign w:val="bottom"/>
            <w:hideMark/>
          </w:tcPr>
          <w:p w14:paraId="670F8D27" w14:textId="1FC1A56C" w:rsidR="006876EC" w:rsidRPr="006876EC" w:rsidRDefault="006876EC" w:rsidP="000851CB">
            <w:pPr>
              <w:spacing w:after="0" w:line="240" w:lineRule="auto"/>
              <w:jc w:val="right"/>
              <w:rPr>
                <w:sz w:val="20"/>
                <w:szCs w:val="20"/>
                <w:lang w:eastAsia="sk-SK"/>
              </w:rPr>
            </w:pPr>
            <w:r w:rsidRPr="006876EC">
              <w:rPr>
                <w:sz w:val="20"/>
                <w:szCs w:val="20"/>
              </w:rPr>
              <w:t>3 687</w:t>
            </w:r>
          </w:p>
        </w:tc>
        <w:tc>
          <w:tcPr>
            <w:tcW w:w="601" w:type="pct"/>
            <w:gridSpan w:val="3"/>
            <w:tcBorders>
              <w:top w:val="nil"/>
              <w:left w:val="nil"/>
              <w:bottom w:val="nil"/>
              <w:right w:val="nil"/>
            </w:tcBorders>
            <w:noWrap/>
            <w:vAlign w:val="bottom"/>
            <w:hideMark/>
          </w:tcPr>
          <w:p w14:paraId="5AA70F1F" w14:textId="411BC71F" w:rsidR="006876EC" w:rsidRPr="006876EC" w:rsidRDefault="006876EC" w:rsidP="000851CB">
            <w:pPr>
              <w:spacing w:after="0" w:line="240" w:lineRule="auto"/>
              <w:jc w:val="right"/>
              <w:rPr>
                <w:sz w:val="20"/>
                <w:szCs w:val="20"/>
                <w:lang w:eastAsia="sk-SK"/>
              </w:rPr>
            </w:pPr>
            <w:r w:rsidRPr="006876EC">
              <w:rPr>
                <w:sz w:val="20"/>
                <w:szCs w:val="20"/>
              </w:rPr>
              <w:t>618</w:t>
            </w:r>
          </w:p>
        </w:tc>
        <w:tc>
          <w:tcPr>
            <w:tcW w:w="597" w:type="pct"/>
            <w:gridSpan w:val="3"/>
            <w:tcBorders>
              <w:top w:val="nil"/>
              <w:left w:val="nil"/>
              <w:bottom w:val="nil"/>
              <w:right w:val="nil"/>
            </w:tcBorders>
            <w:noWrap/>
            <w:vAlign w:val="bottom"/>
            <w:hideMark/>
          </w:tcPr>
          <w:p w14:paraId="55FBFF10" w14:textId="24E5E343" w:rsidR="006876EC" w:rsidRPr="006876EC" w:rsidRDefault="006876EC" w:rsidP="000851CB">
            <w:pPr>
              <w:spacing w:after="0" w:line="240" w:lineRule="auto"/>
              <w:jc w:val="right"/>
              <w:rPr>
                <w:sz w:val="20"/>
                <w:szCs w:val="20"/>
                <w:lang w:eastAsia="sk-SK"/>
              </w:rPr>
            </w:pPr>
            <w:r w:rsidRPr="006876EC">
              <w:rPr>
                <w:sz w:val="20"/>
                <w:szCs w:val="20"/>
              </w:rPr>
              <w:t>469</w:t>
            </w:r>
          </w:p>
        </w:tc>
        <w:tc>
          <w:tcPr>
            <w:tcW w:w="602" w:type="pct"/>
            <w:tcBorders>
              <w:top w:val="nil"/>
              <w:left w:val="nil"/>
              <w:bottom w:val="nil"/>
              <w:right w:val="nil"/>
            </w:tcBorders>
            <w:noWrap/>
            <w:vAlign w:val="bottom"/>
            <w:hideMark/>
          </w:tcPr>
          <w:p w14:paraId="3F74EABE" w14:textId="655E7060" w:rsidR="006876EC" w:rsidRPr="006876EC" w:rsidRDefault="006876EC" w:rsidP="000851CB">
            <w:pPr>
              <w:spacing w:after="0" w:line="240" w:lineRule="auto"/>
              <w:jc w:val="right"/>
              <w:rPr>
                <w:sz w:val="20"/>
                <w:szCs w:val="20"/>
                <w:lang w:eastAsia="sk-SK"/>
              </w:rPr>
            </w:pPr>
            <w:r w:rsidRPr="006876EC">
              <w:rPr>
                <w:sz w:val="20"/>
                <w:szCs w:val="20"/>
              </w:rPr>
              <w:t>-149</w:t>
            </w:r>
          </w:p>
        </w:tc>
      </w:tr>
      <w:tr w:rsidR="006876EC" w:rsidRPr="006876EC" w14:paraId="4BDBABD7" w14:textId="77777777" w:rsidTr="006876EC">
        <w:trPr>
          <w:trHeight w:val="260"/>
        </w:trPr>
        <w:tc>
          <w:tcPr>
            <w:tcW w:w="2597" w:type="pct"/>
            <w:tcBorders>
              <w:top w:val="nil"/>
              <w:left w:val="nil"/>
              <w:bottom w:val="nil"/>
              <w:right w:val="nil"/>
            </w:tcBorders>
            <w:noWrap/>
            <w:vAlign w:val="bottom"/>
            <w:hideMark/>
          </w:tcPr>
          <w:p w14:paraId="573D792F"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Exportno-importná banka SR</w:t>
            </w:r>
          </w:p>
        </w:tc>
        <w:tc>
          <w:tcPr>
            <w:tcW w:w="603" w:type="pct"/>
            <w:gridSpan w:val="2"/>
            <w:tcBorders>
              <w:top w:val="nil"/>
              <w:left w:val="nil"/>
              <w:bottom w:val="nil"/>
              <w:right w:val="nil"/>
            </w:tcBorders>
            <w:noWrap/>
            <w:vAlign w:val="bottom"/>
            <w:hideMark/>
          </w:tcPr>
          <w:p w14:paraId="6C5EF6C2" w14:textId="5F7A5243" w:rsidR="006876EC" w:rsidRPr="006876EC" w:rsidRDefault="006876EC" w:rsidP="000851CB">
            <w:pPr>
              <w:spacing w:after="0" w:line="240" w:lineRule="auto"/>
              <w:jc w:val="right"/>
              <w:rPr>
                <w:sz w:val="20"/>
                <w:szCs w:val="20"/>
                <w:lang w:eastAsia="sk-SK"/>
              </w:rPr>
            </w:pPr>
            <w:r w:rsidRPr="006876EC">
              <w:rPr>
                <w:sz w:val="20"/>
                <w:szCs w:val="20"/>
              </w:rPr>
              <w:t>188 740</w:t>
            </w:r>
          </w:p>
        </w:tc>
        <w:tc>
          <w:tcPr>
            <w:tcW w:w="601" w:type="pct"/>
            <w:gridSpan w:val="3"/>
            <w:tcBorders>
              <w:top w:val="nil"/>
              <w:left w:val="nil"/>
              <w:bottom w:val="nil"/>
              <w:right w:val="nil"/>
            </w:tcBorders>
            <w:noWrap/>
            <w:vAlign w:val="bottom"/>
            <w:hideMark/>
          </w:tcPr>
          <w:p w14:paraId="122D65E4" w14:textId="4E54CF6A" w:rsidR="006876EC" w:rsidRPr="006876EC" w:rsidRDefault="006876EC" w:rsidP="000851CB">
            <w:pPr>
              <w:spacing w:after="0" w:line="240" w:lineRule="auto"/>
              <w:jc w:val="right"/>
              <w:rPr>
                <w:sz w:val="20"/>
                <w:szCs w:val="20"/>
                <w:lang w:eastAsia="sk-SK"/>
              </w:rPr>
            </w:pPr>
            <w:r w:rsidRPr="006876EC">
              <w:rPr>
                <w:sz w:val="20"/>
                <w:szCs w:val="20"/>
              </w:rPr>
              <w:t>188 156</w:t>
            </w:r>
          </w:p>
        </w:tc>
        <w:tc>
          <w:tcPr>
            <w:tcW w:w="597" w:type="pct"/>
            <w:gridSpan w:val="3"/>
            <w:tcBorders>
              <w:top w:val="nil"/>
              <w:left w:val="nil"/>
              <w:bottom w:val="nil"/>
              <w:right w:val="nil"/>
            </w:tcBorders>
            <w:noWrap/>
            <w:vAlign w:val="bottom"/>
            <w:hideMark/>
          </w:tcPr>
          <w:p w14:paraId="72AAA794" w14:textId="46747FA9" w:rsidR="006876EC" w:rsidRPr="006876EC" w:rsidRDefault="006876EC" w:rsidP="000851CB">
            <w:pPr>
              <w:spacing w:after="0" w:line="240" w:lineRule="auto"/>
              <w:jc w:val="right"/>
              <w:rPr>
                <w:sz w:val="20"/>
                <w:szCs w:val="20"/>
                <w:lang w:eastAsia="sk-SK"/>
              </w:rPr>
            </w:pPr>
            <w:r w:rsidRPr="006876EC">
              <w:rPr>
                <w:sz w:val="20"/>
                <w:szCs w:val="20"/>
              </w:rPr>
              <w:t>245 412</w:t>
            </w:r>
          </w:p>
        </w:tc>
        <w:tc>
          <w:tcPr>
            <w:tcW w:w="602" w:type="pct"/>
            <w:tcBorders>
              <w:top w:val="nil"/>
              <w:left w:val="nil"/>
              <w:bottom w:val="nil"/>
              <w:right w:val="nil"/>
            </w:tcBorders>
            <w:noWrap/>
            <w:vAlign w:val="bottom"/>
            <w:hideMark/>
          </w:tcPr>
          <w:p w14:paraId="17EBCB1C" w14:textId="3608290A" w:rsidR="006876EC" w:rsidRPr="006876EC" w:rsidRDefault="006876EC" w:rsidP="000851CB">
            <w:pPr>
              <w:spacing w:after="0" w:line="240" w:lineRule="auto"/>
              <w:jc w:val="right"/>
              <w:rPr>
                <w:sz w:val="20"/>
                <w:szCs w:val="20"/>
                <w:lang w:eastAsia="sk-SK"/>
              </w:rPr>
            </w:pPr>
            <w:r w:rsidRPr="006876EC">
              <w:rPr>
                <w:sz w:val="20"/>
                <w:szCs w:val="20"/>
              </w:rPr>
              <w:t>57 256</w:t>
            </w:r>
          </w:p>
        </w:tc>
      </w:tr>
      <w:tr w:rsidR="007E0573" w:rsidRPr="006876EC" w14:paraId="04130B4A" w14:textId="77777777" w:rsidTr="006876EC">
        <w:trPr>
          <w:trHeight w:val="260"/>
        </w:trPr>
        <w:tc>
          <w:tcPr>
            <w:tcW w:w="2597" w:type="pct"/>
            <w:tcBorders>
              <w:top w:val="nil"/>
              <w:left w:val="nil"/>
              <w:bottom w:val="nil"/>
              <w:right w:val="nil"/>
            </w:tcBorders>
            <w:noWrap/>
            <w:vAlign w:val="bottom"/>
            <w:hideMark/>
          </w:tcPr>
          <w:p w14:paraId="455C3990" w14:textId="311D1224" w:rsidR="007E0573" w:rsidRPr="006876EC" w:rsidRDefault="007E0573" w:rsidP="000851CB">
            <w:pPr>
              <w:spacing w:after="0" w:line="240" w:lineRule="auto"/>
              <w:ind w:firstLineChars="200" w:firstLine="400"/>
              <w:rPr>
                <w:sz w:val="20"/>
                <w:szCs w:val="20"/>
                <w:lang w:eastAsia="sk-SK"/>
              </w:rPr>
            </w:pPr>
            <w:r w:rsidRPr="006876EC">
              <w:rPr>
                <w:sz w:val="20"/>
                <w:szCs w:val="20"/>
                <w:lang w:eastAsia="sk-SK"/>
              </w:rPr>
              <w:t>Slovenská záručná a rozvojová banka, a. s.</w:t>
            </w:r>
          </w:p>
        </w:tc>
        <w:tc>
          <w:tcPr>
            <w:tcW w:w="603" w:type="pct"/>
            <w:gridSpan w:val="2"/>
            <w:tcBorders>
              <w:top w:val="nil"/>
              <w:left w:val="nil"/>
              <w:bottom w:val="nil"/>
              <w:right w:val="nil"/>
            </w:tcBorders>
            <w:noWrap/>
            <w:vAlign w:val="bottom"/>
            <w:hideMark/>
          </w:tcPr>
          <w:p w14:paraId="7E1916B6" w14:textId="2CF6F5AC" w:rsidR="007E0573" w:rsidRPr="006876EC" w:rsidRDefault="007E0573" w:rsidP="000851CB">
            <w:pPr>
              <w:spacing w:after="0" w:line="240" w:lineRule="auto"/>
              <w:ind w:firstLineChars="200" w:firstLine="400"/>
              <w:jc w:val="right"/>
              <w:rPr>
                <w:sz w:val="20"/>
                <w:szCs w:val="20"/>
                <w:lang w:eastAsia="sk-SK"/>
              </w:rPr>
            </w:pPr>
          </w:p>
        </w:tc>
        <w:tc>
          <w:tcPr>
            <w:tcW w:w="601" w:type="pct"/>
            <w:gridSpan w:val="3"/>
            <w:tcBorders>
              <w:top w:val="nil"/>
              <w:left w:val="nil"/>
              <w:bottom w:val="nil"/>
              <w:right w:val="nil"/>
            </w:tcBorders>
            <w:noWrap/>
            <w:vAlign w:val="bottom"/>
            <w:hideMark/>
          </w:tcPr>
          <w:p w14:paraId="2389364F" w14:textId="6E1BB9FE" w:rsidR="007E0573" w:rsidRPr="006876EC" w:rsidRDefault="007E0573" w:rsidP="000851CB">
            <w:pPr>
              <w:spacing w:after="0" w:line="240" w:lineRule="auto"/>
              <w:jc w:val="right"/>
              <w:rPr>
                <w:sz w:val="20"/>
                <w:szCs w:val="20"/>
                <w:lang w:eastAsia="sk-SK"/>
              </w:rPr>
            </w:pPr>
            <w:r>
              <w:rPr>
                <w:sz w:val="20"/>
                <w:szCs w:val="20"/>
              </w:rPr>
              <w:t>240 167</w:t>
            </w:r>
          </w:p>
        </w:tc>
        <w:tc>
          <w:tcPr>
            <w:tcW w:w="597" w:type="pct"/>
            <w:gridSpan w:val="3"/>
            <w:tcBorders>
              <w:top w:val="nil"/>
              <w:left w:val="nil"/>
              <w:bottom w:val="nil"/>
              <w:right w:val="nil"/>
            </w:tcBorders>
            <w:noWrap/>
            <w:vAlign w:val="bottom"/>
            <w:hideMark/>
          </w:tcPr>
          <w:p w14:paraId="61F547A5" w14:textId="01AA7EFD" w:rsidR="007E0573" w:rsidRPr="006876EC" w:rsidRDefault="007E0573" w:rsidP="000851CB">
            <w:pPr>
              <w:spacing w:after="0" w:line="240" w:lineRule="auto"/>
              <w:jc w:val="right"/>
              <w:rPr>
                <w:sz w:val="20"/>
                <w:szCs w:val="20"/>
                <w:lang w:eastAsia="sk-SK"/>
              </w:rPr>
            </w:pPr>
            <w:r>
              <w:rPr>
                <w:sz w:val="20"/>
                <w:szCs w:val="20"/>
              </w:rPr>
              <w:t>249 697</w:t>
            </w:r>
          </w:p>
        </w:tc>
        <w:tc>
          <w:tcPr>
            <w:tcW w:w="602" w:type="pct"/>
            <w:tcBorders>
              <w:top w:val="nil"/>
              <w:left w:val="nil"/>
              <w:bottom w:val="nil"/>
              <w:right w:val="nil"/>
            </w:tcBorders>
            <w:noWrap/>
            <w:vAlign w:val="bottom"/>
            <w:hideMark/>
          </w:tcPr>
          <w:p w14:paraId="19CA61B5" w14:textId="2E0911A7" w:rsidR="007E0573" w:rsidRPr="006876EC" w:rsidRDefault="007E0573" w:rsidP="000851CB">
            <w:pPr>
              <w:spacing w:after="0" w:line="240" w:lineRule="auto"/>
              <w:jc w:val="right"/>
              <w:rPr>
                <w:sz w:val="20"/>
                <w:szCs w:val="20"/>
                <w:lang w:eastAsia="sk-SK"/>
              </w:rPr>
            </w:pPr>
            <w:r>
              <w:rPr>
                <w:sz w:val="20"/>
                <w:szCs w:val="20"/>
              </w:rPr>
              <w:t>9 530</w:t>
            </w:r>
          </w:p>
        </w:tc>
      </w:tr>
      <w:tr w:rsidR="006876EC" w:rsidRPr="006876EC" w14:paraId="22B9D799" w14:textId="77777777" w:rsidTr="006876EC">
        <w:trPr>
          <w:trHeight w:val="260"/>
        </w:trPr>
        <w:tc>
          <w:tcPr>
            <w:tcW w:w="2597" w:type="pct"/>
            <w:tcBorders>
              <w:top w:val="nil"/>
              <w:left w:val="nil"/>
              <w:bottom w:val="nil"/>
              <w:right w:val="nil"/>
            </w:tcBorders>
            <w:noWrap/>
            <w:vAlign w:val="bottom"/>
            <w:hideMark/>
          </w:tcPr>
          <w:p w14:paraId="69A4C1A4"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Obchodné spoločnosti štátu</w:t>
            </w:r>
          </w:p>
        </w:tc>
        <w:tc>
          <w:tcPr>
            <w:tcW w:w="603" w:type="pct"/>
            <w:gridSpan w:val="2"/>
            <w:tcBorders>
              <w:top w:val="nil"/>
              <w:left w:val="nil"/>
              <w:bottom w:val="nil"/>
              <w:right w:val="nil"/>
            </w:tcBorders>
            <w:noWrap/>
            <w:vAlign w:val="bottom"/>
            <w:hideMark/>
          </w:tcPr>
          <w:p w14:paraId="70A58D69" w14:textId="7EC51BDB" w:rsidR="006876EC" w:rsidRPr="006876EC" w:rsidRDefault="006876EC" w:rsidP="000851CB">
            <w:pPr>
              <w:spacing w:after="0" w:line="240" w:lineRule="auto"/>
              <w:jc w:val="right"/>
              <w:rPr>
                <w:sz w:val="20"/>
                <w:szCs w:val="20"/>
                <w:lang w:eastAsia="sk-SK"/>
              </w:rPr>
            </w:pPr>
            <w:r w:rsidRPr="006876EC">
              <w:rPr>
                <w:sz w:val="20"/>
                <w:szCs w:val="20"/>
              </w:rPr>
              <w:t>480 613</w:t>
            </w:r>
          </w:p>
        </w:tc>
        <w:tc>
          <w:tcPr>
            <w:tcW w:w="601" w:type="pct"/>
            <w:gridSpan w:val="3"/>
            <w:tcBorders>
              <w:top w:val="nil"/>
              <w:left w:val="nil"/>
              <w:bottom w:val="nil"/>
              <w:right w:val="nil"/>
            </w:tcBorders>
            <w:noWrap/>
            <w:vAlign w:val="bottom"/>
            <w:hideMark/>
          </w:tcPr>
          <w:p w14:paraId="1A2EF75F" w14:textId="7780ED72" w:rsidR="006876EC" w:rsidRPr="006876EC" w:rsidRDefault="006876EC" w:rsidP="000851CB">
            <w:pPr>
              <w:spacing w:after="0" w:line="240" w:lineRule="auto"/>
              <w:jc w:val="right"/>
              <w:rPr>
                <w:sz w:val="20"/>
                <w:szCs w:val="20"/>
                <w:lang w:eastAsia="sk-SK"/>
              </w:rPr>
            </w:pPr>
            <w:r w:rsidRPr="006876EC">
              <w:rPr>
                <w:sz w:val="20"/>
                <w:szCs w:val="20"/>
              </w:rPr>
              <w:t>491 495</w:t>
            </w:r>
          </w:p>
        </w:tc>
        <w:tc>
          <w:tcPr>
            <w:tcW w:w="597" w:type="pct"/>
            <w:gridSpan w:val="3"/>
            <w:tcBorders>
              <w:top w:val="nil"/>
              <w:left w:val="nil"/>
              <w:bottom w:val="nil"/>
              <w:right w:val="nil"/>
            </w:tcBorders>
            <w:noWrap/>
            <w:vAlign w:val="bottom"/>
            <w:hideMark/>
          </w:tcPr>
          <w:p w14:paraId="16D4C5AA" w14:textId="43D32497" w:rsidR="006876EC" w:rsidRPr="006876EC" w:rsidRDefault="006876EC" w:rsidP="000851CB">
            <w:pPr>
              <w:spacing w:after="0" w:line="240" w:lineRule="auto"/>
              <w:jc w:val="right"/>
              <w:rPr>
                <w:sz w:val="20"/>
                <w:szCs w:val="20"/>
                <w:lang w:eastAsia="sk-SK"/>
              </w:rPr>
            </w:pPr>
            <w:r w:rsidRPr="006876EC">
              <w:rPr>
                <w:sz w:val="20"/>
                <w:szCs w:val="20"/>
              </w:rPr>
              <w:t>445 097</w:t>
            </w:r>
          </w:p>
        </w:tc>
        <w:tc>
          <w:tcPr>
            <w:tcW w:w="602" w:type="pct"/>
            <w:tcBorders>
              <w:top w:val="nil"/>
              <w:left w:val="nil"/>
              <w:bottom w:val="nil"/>
              <w:right w:val="nil"/>
            </w:tcBorders>
            <w:noWrap/>
            <w:vAlign w:val="bottom"/>
            <w:hideMark/>
          </w:tcPr>
          <w:p w14:paraId="7BAFCF8A" w14:textId="3BEC1888" w:rsidR="006876EC" w:rsidRPr="006876EC" w:rsidRDefault="006876EC" w:rsidP="000851CB">
            <w:pPr>
              <w:spacing w:after="0" w:line="240" w:lineRule="auto"/>
              <w:jc w:val="right"/>
              <w:rPr>
                <w:sz w:val="20"/>
                <w:szCs w:val="20"/>
                <w:lang w:eastAsia="sk-SK"/>
              </w:rPr>
            </w:pPr>
            <w:r w:rsidRPr="006876EC">
              <w:rPr>
                <w:sz w:val="20"/>
                <w:szCs w:val="20"/>
              </w:rPr>
              <w:t>-46 398</w:t>
            </w:r>
          </w:p>
        </w:tc>
      </w:tr>
      <w:tr w:rsidR="006876EC" w:rsidRPr="006876EC" w14:paraId="789A9878" w14:textId="77777777" w:rsidTr="006876EC">
        <w:trPr>
          <w:trHeight w:val="260"/>
        </w:trPr>
        <w:tc>
          <w:tcPr>
            <w:tcW w:w="2597" w:type="pct"/>
            <w:tcBorders>
              <w:top w:val="nil"/>
              <w:left w:val="nil"/>
              <w:bottom w:val="nil"/>
              <w:right w:val="nil"/>
            </w:tcBorders>
            <w:noWrap/>
            <w:vAlign w:val="bottom"/>
            <w:hideMark/>
          </w:tcPr>
          <w:p w14:paraId="4E90C2CD" w14:textId="77777777" w:rsidR="006876EC" w:rsidRPr="006876EC" w:rsidRDefault="006876EC" w:rsidP="000851CB">
            <w:pPr>
              <w:spacing w:after="0" w:line="240" w:lineRule="auto"/>
              <w:ind w:firstLineChars="300" w:firstLine="600"/>
              <w:rPr>
                <w:sz w:val="20"/>
                <w:szCs w:val="20"/>
                <w:lang w:eastAsia="sk-SK"/>
              </w:rPr>
            </w:pPr>
            <w:r w:rsidRPr="006876EC">
              <w:rPr>
                <w:sz w:val="20"/>
                <w:szCs w:val="20"/>
                <w:lang w:eastAsia="sk-SK"/>
              </w:rPr>
              <w:t>z toho:</w:t>
            </w:r>
          </w:p>
        </w:tc>
        <w:tc>
          <w:tcPr>
            <w:tcW w:w="603" w:type="pct"/>
            <w:gridSpan w:val="2"/>
            <w:tcBorders>
              <w:top w:val="nil"/>
              <w:left w:val="nil"/>
              <w:bottom w:val="nil"/>
              <w:right w:val="nil"/>
            </w:tcBorders>
            <w:noWrap/>
            <w:vAlign w:val="bottom"/>
            <w:hideMark/>
          </w:tcPr>
          <w:p w14:paraId="228E117C" w14:textId="77777777" w:rsidR="006876EC" w:rsidRPr="006876EC" w:rsidRDefault="006876EC" w:rsidP="000851CB">
            <w:pPr>
              <w:spacing w:after="0" w:line="240" w:lineRule="auto"/>
              <w:ind w:firstLineChars="300" w:firstLine="600"/>
              <w:rPr>
                <w:sz w:val="20"/>
                <w:szCs w:val="20"/>
                <w:lang w:eastAsia="sk-SK"/>
              </w:rPr>
            </w:pPr>
          </w:p>
        </w:tc>
        <w:tc>
          <w:tcPr>
            <w:tcW w:w="601" w:type="pct"/>
            <w:gridSpan w:val="3"/>
            <w:tcBorders>
              <w:top w:val="nil"/>
              <w:left w:val="nil"/>
              <w:bottom w:val="nil"/>
              <w:right w:val="nil"/>
            </w:tcBorders>
            <w:noWrap/>
            <w:vAlign w:val="bottom"/>
            <w:hideMark/>
          </w:tcPr>
          <w:p w14:paraId="3F4181D0" w14:textId="77777777" w:rsidR="006876EC" w:rsidRPr="006876EC" w:rsidRDefault="006876EC" w:rsidP="000851CB">
            <w:pPr>
              <w:spacing w:after="0" w:line="240" w:lineRule="auto"/>
              <w:rPr>
                <w:sz w:val="20"/>
                <w:szCs w:val="20"/>
                <w:lang w:eastAsia="sk-SK"/>
              </w:rPr>
            </w:pPr>
          </w:p>
        </w:tc>
        <w:tc>
          <w:tcPr>
            <w:tcW w:w="597" w:type="pct"/>
            <w:gridSpan w:val="3"/>
            <w:tcBorders>
              <w:top w:val="nil"/>
              <w:left w:val="nil"/>
              <w:bottom w:val="nil"/>
              <w:right w:val="nil"/>
            </w:tcBorders>
            <w:noWrap/>
            <w:vAlign w:val="bottom"/>
            <w:hideMark/>
          </w:tcPr>
          <w:p w14:paraId="4F1DD224" w14:textId="77777777" w:rsidR="006876EC" w:rsidRPr="006876EC" w:rsidRDefault="006876EC" w:rsidP="000851CB">
            <w:pPr>
              <w:spacing w:after="0" w:line="240" w:lineRule="auto"/>
              <w:rPr>
                <w:sz w:val="20"/>
                <w:szCs w:val="20"/>
                <w:lang w:eastAsia="sk-SK"/>
              </w:rPr>
            </w:pPr>
          </w:p>
        </w:tc>
        <w:tc>
          <w:tcPr>
            <w:tcW w:w="602" w:type="pct"/>
            <w:tcBorders>
              <w:top w:val="nil"/>
              <w:left w:val="nil"/>
              <w:bottom w:val="nil"/>
              <w:right w:val="nil"/>
            </w:tcBorders>
            <w:noWrap/>
            <w:vAlign w:val="bottom"/>
            <w:hideMark/>
          </w:tcPr>
          <w:p w14:paraId="46139727" w14:textId="77777777" w:rsidR="006876EC" w:rsidRPr="006876EC" w:rsidRDefault="006876EC" w:rsidP="000851CB">
            <w:pPr>
              <w:spacing w:after="0" w:line="240" w:lineRule="auto"/>
              <w:rPr>
                <w:sz w:val="20"/>
                <w:szCs w:val="20"/>
                <w:lang w:eastAsia="sk-SK"/>
              </w:rPr>
            </w:pPr>
          </w:p>
        </w:tc>
      </w:tr>
      <w:tr w:rsidR="006876EC" w:rsidRPr="006876EC" w14:paraId="758E1C70" w14:textId="77777777" w:rsidTr="006876EC">
        <w:trPr>
          <w:trHeight w:val="260"/>
        </w:trPr>
        <w:tc>
          <w:tcPr>
            <w:tcW w:w="2597" w:type="pct"/>
            <w:tcBorders>
              <w:top w:val="nil"/>
              <w:left w:val="nil"/>
              <w:bottom w:val="nil"/>
              <w:right w:val="nil"/>
            </w:tcBorders>
            <w:noWrap/>
            <w:vAlign w:val="bottom"/>
            <w:hideMark/>
          </w:tcPr>
          <w:p w14:paraId="5DD8239C" w14:textId="77777777"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Železničná spoločnosť Slovensko, a. s.</w:t>
            </w:r>
          </w:p>
        </w:tc>
        <w:tc>
          <w:tcPr>
            <w:tcW w:w="603" w:type="pct"/>
            <w:gridSpan w:val="2"/>
            <w:tcBorders>
              <w:top w:val="nil"/>
              <w:left w:val="nil"/>
              <w:bottom w:val="nil"/>
              <w:right w:val="nil"/>
            </w:tcBorders>
            <w:noWrap/>
            <w:vAlign w:val="bottom"/>
            <w:hideMark/>
          </w:tcPr>
          <w:p w14:paraId="47DB06CA" w14:textId="266370AC" w:rsidR="006876EC" w:rsidRPr="006876EC" w:rsidRDefault="006876EC" w:rsidP="000851CB">
            <w:pPr>
              <w:spacing w:after="0" w:line="240" w:lineRule="auto"/>
              <w:jc w:val="right"/>
              <w:rPr>
                <w:sz w:val="20"/>
                <w:szCs w:val="20"/>
                <w:lang w:eastAsia="sk-SK"/>
              </w:rPr>
            </w:pPr>
            <w:r w:rsidRPr="006876EC">
              <w:rPr>
                <w:sz w:val="20"/>
                <w:szCs w:val="20"/>
              </w:rPr>
              <w:t>335 407</w:t>
            </w:r>
          </w:p>
        </w:tc>
        <w:tc>
          <w:tcPr>
            <w:tcW w:w="601" w:type="pct"/>
            <w:gridSpan w:val="3"/>
            <w:tcBorders>
              <w:top w:val="nil"/>
              <w:left w:val="nil"/>
              <w:bottom w:val="nil"/>
              <w:right w:val="nil"/>
            </w:tcBorders>
            <w:noWrap/>
            <w:vAlign w:val="bottom"/>
            <w:hideMark/>
          </w:tcPr>
          <w:p w14:paraId="38A05B89" w14:textId="510ED88C" w:rsidR="006876EC" w:rsidRPr="006876EC" w:rsidRDefault="006876EC" w:rsidP="000851CB">
            <w:pPr>
              <w:spacing w:after="0" w:line="240" w:lineRule="auto"/>
              <w:jc w:val="right"/>
              <w:rPr>
                <w:sz w:val="20"/>
                <w:szCs w:val="20"/>
                <w:lang w:eastAsia="sk-SK"/>
              </w:rPr>
            </w:pPr>
            <w:r w:rsidRPr="006876EC">
              <w:rPr>
                <w:sz w:val="20"/>
                <w:szCs w:val="20"/>
              </w:rPr>
              <w:t>339 672</w:t>
            </w:r>
          </w:p>
        </w:tc>
        <w:tc>
          <w:tcPr>
            <w:tcW w:w="597" w:type="pct"/>
            <w:gridSpan w:val="3"/>
            <w:tcBorders>
              <w:top w:val="nil"/>
              <w:left w:val="nil"/>
              <w:bottom w:val="nil"/>
              <w:right w:val="nil"/>
            </w:tcBorders>
            <w:noWrap/>
            <w:vAlign w:val="bottom"/>
            <w:hideMark/>
          </w:tcPr>
          <w:p w14:paraId="7AE45CAD" w14:textId="41565AAD" w:rsidR="006876EC" w:rsidRPr="006876EC" w:rsidRDefault="006876EC" w:rsidP="000851CB">
            <w:pPr>
              <w:spacing w:after="0" w:line="240" w:lineRule="auto"/>
              <w:jc w:val="right"/>
              <w:rPr>
                <w:sz w:val="20"/>
                <w:szCs w:val="20"/>
                <w:lang w:eastAsia="sk-SK"/>
              </w:rPr>
            </w:pPr>
            <w:r w:rsidRPr="006876EC">
              <w:rPr>
                <w:sz w:val="20"/>
                <w:szCs w:val="20"/>
              </w:rPr>
              <w:t>306 702</w:t>
            </w:r>
          </w:p>
        </w:tc>
        <w:tc>
          <w:tcPr>
            <w:tcW w:w="602" w:type="pct"/>
            <w:tcBorders>
              <w:top w:val="nil"/>
              <w:left w:val="nil"/>
              <w:bottom w:val="nil"/>
              <w:right w:val="nil"/>
            </w:tcBorders>
            <w:noWrap/>
            <w:vAlign w:val="bottom"/>
            <w:hideMark/>
          </w:tcPr>
          <w:p w14:paraId="25C444BF" w14:textId="6F35AEB5" w:rsidR="006876EC" w:rsidRPr="006876EC" w:rsidRDefault="006876EC" w:rsidP="000851CB">
            <w:pPr>
              <w:spacing w:after="0" w:line="240" w:lineRule="auto"/>
              <w:jc w:val="right"/>
              <w:rPr>
                <w:sz w:val="20"/>
                <w:szCs w:val="20"/>
                <w:lang w:eastAsia="sk-SK"/>
              </w:rPr>
            </w:pPr>
            <w:r w:rsidRPr="006876EC">
              <w:rPr>
                <w:sz w:val="20"/>
                <w:szCs w:val="20"/>
              </w:rPr>
              <w:t>-32 970</w:t>
            </w:r>
          </w:p>
        </w:tc>
      </w:tr>
      <w:tr w:rsidR="006876EC" w:rsidRPr="006876EC" w14:paraId="1A3CF2D5" w14:textId="77777777" w:rsidTr="006876EC">
        <w:trPr>
          <w:trHeight w:val="260"/>
        </w:trPr>
        <w:tc>
          <w:tcPr>
            <w:tcW w:w="2597" w:type="pct"/>
            <w:tcBorders>
              <w:top w:val="nil"/>
              <w:left w:val="nil"/>
              <w:bottom w:val="nil"/>
              <w:right w:val="nil"/>
            </w:tcBorders>
            <w:noWrap/>
            <w:vAlign w:val="bottom"/>
            <w:hideMark/>
          </w:tcPr>
          <w:p w14:paraId="67E5F8B6" w14:textId="77777777"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Železnice Slovenskej republiky</w:t>
            </w:r>
          </w:p>
        </w:tc>
        <w:tc>
          <w:tcPr>
            <w:tcW w:w="603" w:type="pct"/>
            <w:gridSpan w:val="2"/>
            <w:tcBorders>
              <w:top w:val="nil"/>
              <w:left w:val="nil"/>
              <w:bottom w:val="nil"/>
              <w:right w:val="nil"/>
            </w:tcBorders>
            <w:noWrap/>
            <w:vAlign w:val="bottom"/>
            <w:hideMark/>
          </w:tcPr>
          <w:p w14:paraId="7C833A0D" w14:textId="2FEF414A" w:rsidR="006876EC" w:rsidRPr="006876EC" w:rsidRDefault="006876EC" w:rsidP="000851CB">
            <w:pPr>
              <w:spacing w:after="0" w:line="240" w:lineRule="auto"/>
              <w:jc w:val="right"/>
              <w:rPr>
                <w:sz w:val="20"/>
                <w:szCs w:val="20"/>
                <w:lang w:eastAsia="sk-SK"/>
              </w:rPr>
            </w:pPr>
            <w:r w:rsidRPr="006876EC">
              <w:rPr>
                <w:sz w:val="20"/>
                <w:szCs w:val="20"/>
              </w:rPr>
              <w:t>114 322</w:t>
            </w:r>
          </w:p>
        </w:tc>
        <w:tc>
          <w:tcPr>
            <w:tcW w:w="601" w:type="pct"/>
            <w:gridSpan w:val="3"/>
            <w:tcBorders>
              <w:top w:val="nil"/>
              <w:left w:val="nil"/>
              <w:bottom w:val="nil"/>
              <w:right w:val="nil"/>
            </w:tcBorders>
            <w:noWrap/>
            <w:vAlign w:val="bottom"/>
            <w:hideMark/>
          </w:tcPr>
          <w:p w14:paraId="5157000E" w14:textId="43B9963E" w:rsidR="006876EC" w:rsidRPr="006876EC" w:rsidRDefault="006876EC" w:rsidP="000851CB">
            <w:pPr>
              <w:spacing w:after="0" w:line="240" w:lineRule="auto"/>
              <w:jc w:val="right"/>
              <w:rPr>
                <w:sz w:val="20"/>
                <w:szCs w:val="20"/>
                <w:lang w:eastAsia="sk-SK"/>
              </w:rPr>
            </w:pPr>
            <w:r w:rsidRPr="006876EC">
              <w:rPr>
                <w:sz w:val="20"/>
                <w:szCs w:val="20"/>
              </w:rPr>
              <w:t>118 831</w:t>
            </w:r>
          </w:p>
        </w:tc>
        <w:tc>
          <w:tcPr>
            <w:tcW w:w="597" w:type="pct"/>
            <w:gridSpan w:val="3"/>
            <w:tcBorders>
              <w:top w:val="nil"/>
              <w:left w:val="nil"/>
              <w:bottom w:val="nil"/>
              <w:right w:val="nil"/>
            </w:tcBorders>
            <w:noWrap/>
            <w:vAlign w:val="bottom"/>
            <w:hideMark/>
          </w:tcPr>
          <w:p w14:paraId="11A9F254" w14:textId="57570B6B" w:rsidR="006876EC" w:rsidRPr="006876EC" w:rsidRDefault="006876EC" w:rsidP="000851CB">
            <w:pPr>
              <w:spacing w:after="0" w:line="240" w:lineRule="auto"/>
              <w:jc w:val="right"/>
              <w:rPr>
                <w:sz w:val="20"/>
                <w:szCs w:val="20"/>
                <w:lang w:eastAsia="sk-SK"/>
              </w:rPr>
            </w:pPr>
            <w:r w:rsidRPr="006876EC">
              <w:rPr>
                <w:sz w:val="20"/>
                <w:szCs w:val="20"/>
              </w:rPr>
              <w:t>108 557</w:t>
            </w:r>
          </w:p>
        </w:tc>
        <w:tc>
          <w:tcPr>
            <w:tcW w:w="602" w:type="pct"/>
            <w:tcBorders>
              <w:top w:val="nil"/>
              <w:left w:val="nil"/>
              <w:bottom w:val="nil"/>
              <w:right w:val="nil"/>
            </w:tcBorders>
            <w:noWrap/>
            <w:vAlign w:val="bottom"/>
            <w:hideMark/>
          </w:tcPr>
          <w:p w14:paraId="3FC240CE" w14:textId="4D7FE88F" w:rsidR="006876EC" w:rsidRPr="006876EC" w:rsidRDefault="006876EC" w:rsidP="000851CB">
            <w:pPr>
              <w:spacing w:after="0" w:line="240" w:lineRule="auto"/>
              <w:jc w:val="right"/>
              <w:rPr>
                <w:sz w:val="20"/>
                <w:szCs w:val="20"/>
                <w:lang w:eastAsia="sk-SK"/>
              </w:rPr>
            </w:pPr>
            <w:r w:rsidRPr="006876EC">
              <w:rPr>
                <w:sz w:val="20"/>
                <w:szCs w:val="20"/>
              </w:rPr>
              <w:t>-10 274</w:t>
            </w:r>
          </w:p>
        </w:tc>
      </w:tr>
      <w:tr w:rsidR="006876EC" w:rsidRPr="006876EC" w14:paraId="53625517" w14:textId="77777777" w:rsidTr="006876EC">
        <w:trPr>
          <w:trHeight w:val="260"/>
        </w:trPr>
        <w:tc>
          <w:tcPr>
            <w:tcW w:w="2597" w:type="pct"/>
            <w:tcBorders>
              <w:top w:val="nil"/>
              <w:left w:val="nil"/>
              <w:bottom w:val="nil"/>
              <w:right w:val="nil"/>
            </w:tcBorders>
            <w:noWrap/>
            <w:vAlign w:val="bottom"/>
            <w:hideMark/>
          </w:tcPr>
          <w:p w14:paraId="2F3CA09C" w14:textId="77777777"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Národná diaľničná spoločnosť, a. s.</w:t>
            </w:r>
          </w:p>
        </w:tc>
        <w:tc>
          <w:tcPr>
            <w:tcW w:w="603" w:type="pct"/>
            <w:gridSpan w:val="2"/>
            <w:tcBorders>
              <w:top w:val="nil"/>
              <w:left w:val="nil"/>
              <w:bottom w:val="nil"/>
              <w:right w:val="nil"/>
            </w:tcBorders>
            <w:noWrap/>
            <w:vAlign w:val="bottom"/>
            <w:hideMark/>
          </w:tcPr>
          <w:p w14:paraId="43EA423C" w14:textId="6E4DF980" w:rsidR="006876EC" w:rsidRPr="006876EC" w:rsidRDefault="006876EC" w:rsidP="000851CB">
            <w:pPr>
              <w:spacing w:after="0" w:line="240" w:lineRule="auto"/>
              <w:jc w:val="right"/>
              <w:rPr>
                <w:sz w:val="20"/>
                <w:szCs w:val="20"/>
                <w:lang w:eastAsia="sk-SK"/>
              </w:rPr>
            </w:pPr>
            <w:r w:rsidRPr="006876EC">
              <w:rPr>
                <w:sz w:val="20"/>
                <w:szCs w:val="20"/>
              </w:rPr>
              <w:t>24 884</w:t>
            </w:r>
          </w:p>
        </w:tc>
        <w:tc>
          <w:tcPr>
            <w:tcW w:w="601" w:type="pct"/>
            <w:gridSpan w:val="3"/>
            <w:tcBorders>
              <w:top w:val="nil"/>
              <w:left w:val="nil"/>
              <w:bottom w:val="nil"/>
              <w:right w:val="nil"/>
            </w:tcBorders>
            <w:noWrap/>
            <w:vAlign w:val="bottom"/>
            <w:hideMark/>
          </w:tcPr>
          <w:p w14:paraId="0CFBCF2B" w14:textId="2B58F493" w:rsidR="006876EC" w:rsidRPr="006876EC" w:rsidRDefault="006876EC" w:rsidP="000851CB">
            <w:pPr>
              <w:spacing w:after="0" w:line="240" w:lineRule="auto"/>
              <w:jc w:val="right"/>
              <w:rPr>
                <w:sz w:val="20"/>
                <w:szCs w:val="20"/>
                <w:lang w:eastAsia="sk-SK"/>
              </w:rPr>
            </w:pPr>
            <w:r w:rsidRPr="006876EC">
              <w:rPr>
                <w:sz w:val="20"/>
                <w:szCs w:val="20"/>
              </w:rPr>
              <w:t>24 614</w:t>
            </w:r>
          </w:p>
        </w:tc>
        <w:tc>
          <w:tcPr>
            <w:tcW w:w="597" w:type="pct"/>
            <w:gridSpan w:val="3"/>
            <w:tcBorders>
              <w:top w:val="nil"/>
              <w:left w:val="nil"/>
              <w:bottom w:val="nil"/>
              <w:right w:val="nil"/>
            </w:tcBorders>
            <w:noWrap/>
            <w:vAlign w:val="bottom"/>
            <w:hideMark/>
          </w:tcPr>
          <w:p w14:paraId="33475028" w14:textId="658248ED" w:rsidR="006876EC" w:rsidRPr="006876EC" w:rsidRDefault="006876EC" w:rsidP="000851CB">
            <w:pPr>
              <w:spacing w:after="0" w:line="240" w:lineRule="auto"/>
              <w:jc w:val="right"/>
              <w:rPr>
                <w:sz w:val="20"/>
                <w:szCs w:val="20"/>
                <w:lang w:eastAsia="sk-SK"/>
              </w:rPr>
            </w:pPr>
            <w:r w:rsidRPr="006876EC">
              <w:rPr>
                <w:sz w:val="20"/>
                <w:szCs w:val="20"/>
              </w:rPr>
              <w:t>24 575</w:t>
            </w:r>
          </w:p>
        </w:tc>
        <w:tc>
          <w:tcPr>
            <w:tcW w:w="602" w:type="pct"/>
            <w:tcBorders>
              <w:top w:val="nil"/>
              <w:left w:val="nil"/>
              <w:bottom w:val="nil"/>
              <w:right w:val="nil"/>
            </w:tcBorders>
            <w:noWrap/>
            <w:vAlign w:val="bottom"/>
            <w:hideMark/>
          </w:tcPr>
          <w:p w14:paraId="51DAD676" w14:textId="468F9C81" w:rsidR="006876EC" w:rsidRPr="006876EC" w:rsidRDefault="006876EC" w:rsidP="000851CB">
            <w:pPr>
              <w:spacing w:after="0" w:line="240" w:lineRule="auto"/>
              <w:jc w:val="right"/>
              <w:rPr>
                <w:sz w:val="20"/>
                <w:szCs w:val="20"/>
                <w:lang w:eastAsia="sk-SK"/>
              </w:rPr>
            </w:pPr>
            <w:r w:rsidRPr="006876EC">
              <w:rPr>
                <w:sz w:val="20"/>
                <w:szCs w:val="20"/>
              </w:rPr>
              <w:t>-39</w:t>
            </w:r>
          </w:p>
        </w:tc>
      </w:tr>
      <w:tr w:rsidR="006876EC" w:rsidRPr="006876EC" w14:paraId="74C46DC7" w14:textId="77777777" w:rsidTr="006876EC">
        <w:trPr>
          <w:trHeight w:val="260"/>
        </w:trPr>
        <w:tc>
          <w:tcPr>
            <w:tcW w:w="2597" w:type="pct"/>
            <w:tcBorders>
              <w:top w:val="nil"/>
              <w:left w:val="nil"/>
              <w:bottom w:val="nil"/>
              <w:right w:val="nil"/>
            </w:tcBorders>
            <w:noWrap/>
            <w:vAlign w:val="bottom"/>
            <w:hideMark/>
          </w:tcPr>
          <w:p w14:paraId="7E674697" w14:textId="2D70904D"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JAVYS</w:t>
            </w:r>
          </w:p>
        </w:tc>
        <w:tc>
          <w:tcPr>
            <w:tcW w:w="603" w:type="pct"/>
            <w:gridSpan w:val="2"/>
            <w:tcBorders>
              <w:top w:val="nil"/>
              <w:left w:val="nil"/>
              <w:bottom w:val="nil"/>
              <w:right w:val="nil"/>
            </w:tcBorders>
            <w:noWrap/>
            <w:vAlign w:val="bottom"/>
            <w:hideMark/>
          </w:tcPr>
          <w:p w14:paraId="5B0C1CFE" w14:textId="0B527752" w:rsidR="006876EC" w:rsidRPr="006876EC" w:rsidRDefault="006876EC" w:rsidP="000851CB">
            <w:pPr>
              <w:spacing w:after="0" w:line="240" w:lineRule="auto"/>
              <w:jc w:val="right"/>
              <w:rPr>
                <w:sz w:val="20"/>
                <w:szCs w:val="20"/>
                <w:lang w:eastAsia="sk-SK"/>
              </w:rPr>
            </w:pPr>
            <w:r w:rsidRPr="006876EC">
              <w:rPr>
                <w:sz w:val="20"/>
                <w:szCs w:val="20"/>
              </w:rPr>
              <w:t>5 048</w:t>
            </w:r>
          </w:p>
        </w:tc>
        <w:tc>
          <w:tcPr>
            <w:tcW w:w="601" w:type="pct"/>
            <w:gridSpan w:val="3"/>
            <w:tcBorders>
              <w:top w:val="nil"/>
              <w:left w:val="nil"/>
              <w:bottom w:val="nil"/>
              <w:right w:val="nil"/>
            </w:tcBorders>
            <w:noWrap/>
            <w:vAlign w:val="bottom"/>
            <w:hideMark/>
          </w:tcPr>
          <w:p w14:paraId="7AC12C23" w14:textId="362587F5" w:rsidR="006876EC" w:rsidRPr="006876EC" w:rsidRDefault="006876EC" w:rsidP="000851CB">
            <w:pPr>
              <w:spacing w:after="0" w:line="240" w:lineRule="auto"/>
              <w:jc w:val="right"/>
              <w:rPr>
                <w:sz w:val="20"/>
                <w:szCs w:val="20"/>
                <w:lang w:eastAsia="sk-SK"/>
              </w:rPr>
            </w:pPr>
            <w:r w:rsidRPr="006876EC">
              <w:rPr>
                <w:sz w:val="20"/>
                <w:szCs w:val="20"/>
              </w:rPr>
              <w:t>4 464</w:t>
            </w:r>
          </w:p>
        </w:tc>
        <w:tc>
          <w:tcPr>
            <w:tcW w:w="597" w:type="pct"/>
            <w:gridSpan w:val="3"/>
            <w:tcBorders>
              <w:top w:val="nil"/>
              <w:left w:val="nil"/>
              <w:bottom w:val="nil"/>
              <w:right w:val="nil"/>
            </w:tcBorders>
            <w:noWrap/>
            <w:vAlign w:val="bottom"/>
            <w:hideMark/>
          </w:tcPr>
          <w:p w14:paraId="5FC7422F" w14:textId="447D6F82" w:rsidR="006876EC" w:rsidRPr="006876EC" w:rsidRDefault="006876EC" w:rsidP="000851CB">
            <w:pPr>
              <w:spacing w:after="0" w:line="240" w:lineRule="auto"/>
              <w:jc w:val="right"/>
              <w:rPr>
                <w:sz w:val="20"/>
                <w:szCs w:val="20"/>
                <w:lang w:eastAsia="sk-SK"/>
              </w:rPr>
            </w:pPr>
            <w:r w:rsidRPr="006876EC">
              <w:rPr>
                <w:sz w:val="20"/>
                <w:szCs w:val="20"/>
              </w:rPr>
              <w:t>4 099</w:t>
            </w:r>
          </w:p>
        </w:tc>
        <w:tc>
          <w:tcPr>
            <w:tcW w:w="602" w:type="pct"/>
            <w:tcBorders>
              <w:top w:val="nil"/>
              <w:left w:val="nil"/>
              <w:bottom w:val="nil"/>
              <w:right w:val="nil"/>
            </w:tcBorders>
            <w:noWrap/>
            <w:vAlign w:val="bottom"/>
            <w:hideMark/>
          </w:tcPr>
          <w:p w14:paraId="7A42EE7F" w14:textId="75CCDAFB" w:rsidR="006876EC" w:rsidRPr="006876EC" w:rsidRDefault="006876EC" w:rsidP="000851CB">
            <w:pPr>
              <w:spacing w:after="0" w:line="240" w:lineRule="auto"/>
              <w:jc w:val="right"/>
              <w:rPr>
                <w:sz w:val="20"/>
                <w:szCs w:val="20"/>
                <w:lang w:eastAsia="sk-SK"/>
              </w:rPr>
            </w:pPr>
            <w:r w:rsidRPr="006876EC">
              <w:rPr>
                <w:sz w:val="20"/>
                <w:szCs w:val="20"/>
              </w:rPr>
              <w:t>-365</w:t>
            </w:r>
          </w:p>
        </w:tc>
      </w:tr>
      <w:tr w:rsidR="006876EC" w:rsidRPr="006876EC" w14:paraId="076089CB" w14:textId="77777777" w:rsidTr="006876EC">
        <w:trPr>
          <w:trHeight w:val="260"/>
        </w:trPr>
        <w:tc>
          <w:tcPr>
            <w:tcW w:w="2597" w:type="pct"/>
            <w:tcBorders>
              <w:top w:val="nil"/>
              <w:left w:val="nil"/>
              <w:bottom w:val="nil"/>
              <w:right w:val="nil"/>
            </w:tcBorders>
            <w:noWrap/>
            <w:vAlign w:val="bottom"/>
            <w:hideMark/>
          </w:tcPr>
          <w:p w14:paraId="2EB45E02" w14:textId="3876C087"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SIH a investičné fondy SIH-u</w:t>
            </w:r>
          </w:p>
        </w:tc>
        <w:tc>
          <w:tcPr>
            <w:tcW w:w="603" w:type="pct"/>
            <w:gridSpan w:val="2"/>
            <w:tcBorders>
              <w:top w:val="nil"/>
              <w:left w:val="nil"/>
              <w:bottom w:val="nil"/>
              <w:right w:val="nil"/>
            </w:tcBorders>
            <w:noWrap/>
            <w:vAlign w:val="bottom"/>
            <w:hideMark/>
          </w:tcPr>
          <w:p w14:paraId="58875029" w14:textId="5DC2B8CF" w:rsidR="006876EC" w:rsidRPr="006876EC" w:rsidRDefault="006876EC" w:rsidP="000851CB">
            <w:pPr>
              <w:spacing w:after="0" w:line="240" w:lineRule="auto"/>
              <w:jc w:val="right"/>
              <w:rPr>
                <w:sz w:val="20"/>
                <w:szCs w:val="20"/>
                <w:lang w:eastAsia="sk-SK"/>
              </w:rPr>
            </w:pPr>
            <w:r w:rsidRPr="006876EC">
              <w:rPr>
                <w:sz w:val="20"/>
                <w:szCs w:val="20"/>
              </w:rPr>
              <w:t>0</w:t>
            </w:r>
          </w:p>
        </w:tc>
        <w:tc>
          <w:tcPr>
            <w:tcW w:w="601" w:type="pct"/>
            <w:gridSpan w:val="3"/>
            <w:tcBorders>
              <w:top w:val="nil"/>
              <w:left w:val="nil"/>
              <w:bottom w:val="nil"/>
              <w:right w:val="nil"/>
            </w:tcBorders>
            <w:noWrap/>
            <w:vAlign w:val="bottom"/>
            <w:hideMark/>
          </w:tcPr>
          <w:p w14:paraId="5A1B2224" w14:textId="248AEF8A" w:rsidR="006876EC" w:rsidRPr="006876EC" w:rsidRDefault="006876EC" w:rsidP="000851CB">
            <w:pPr>
              <w:spacing w:after="0" w:line="240" w:lineRule="auto"/>
              <w:jc w:val="right"/>
              <w:rPr>
                <w:sz w:val="20"/>
                <w:szCs w:val="20"/>
                <w:lang w:eastAsia="sk-SK"/>
              </w:rPr>
            </w:pPr>
            <w:r w:rsidRPr="006876EC">
              <w:rPr>
                <w:sz w:val="20"/>
                <w:szCs w:val="20"/>
              </w:rPr>
              <w:t>3 314</w:t>
            </w:r>
          </w:p>
        </w:tc>
        <w:tc>
          <w:tcPr>
            <w:tcW w:w="597" w:type="pct"/>
            <w:gridSpan w:val="3"/>
            <w:tcBorders>
              <w:top w:val="nil"/>
              <w:left w:val="nil"/>
              <w:bottom w:val="nil"/>
              <w:right w:val="nil"/>
            </w:tcBorders>
            <w:noWrap/>
            <w:vAlign w:val="bottom"/>
            <w:hideMark/>
          </w:tcPr>
          <w:p w14:paraId="5DF99279" w14:textId="0312C9BB" w:rsidR="006876EC" w:rsidRPr="006876EC" w:rsidRDefault="006876EC" w:rsidP="000851CB">
            <w:pPr>
              <w:spacing w:after="0" w:line="240" w:lineRule="auto"/>
              <w:jc w:val="right"/>
              <w:rPr>
                <w:sz w:val="20"/>
                <w:szCs w:val="20"/>
                <w:lang w:eastAsia="sk-SK"/>
              </w:rPr>
            </w:pPr>
            <w:r w:rsidRPr="006876EC">
              <w:rPr>
                <w:sz w:val="20"/>
                <w:szCs w:val="20"/>
              </w:rPr>
              <w:t>1 164</w:t>
            </w:r>
          </w:p>
        </w:tc>
        <w:tc>
          <w:tcPr>
            <w:tcW w:w="602" w:type="pct"/>
            <w:tcBorders>
              <w:top w:val="nil"/>
              <w:left w:val="nil"/>
              <w:bottom w:val="nil"/>
              <w:right w:val="nil"/>
            </w:tcBorders>
            <w:noWrap/>
            <w:vAlign w:val="bottom"/>
            <w:hideMark/>
          </w:tcPr>
          <w:p w14:paraId="4A750C2A" w14:textId="4318441A" w:rsidR="006876EC" w:rsidRPr="006876EC" w:rsidRDefault="006876EC" w:rsidP="000851CB">
            <w:pPr>
              <w:spacing w:after="0" w:line="240" w:lineRule="auto"/>
              <w:jc w:val="right"/>
              <w:rPr>
                <w:sz w:val="20"/>
                <w:szCs w:val="20"/>
                <w:lang w:eastAsia="sk-SK"/>
              </w:rPr>
            </w:pPr>
            <w:r w:rsidRPr="006876EC">
              <w:rPr>
                <w:sz w:val="20"/>
                <w:szCs w:val="20"/>
              </w:rPr>
              <w:t>-2 150</w:t>
            </w:r>
          </w:p>
        </w:tc>
      </w:tr>
      <w:tr w:rsidR="006876EC" w:rsidRPr="006876EC" w14:paraId="108AE57B" w14:textId="77777777" w:rsidTr="006876EC">
        <w:trPr>
          <w:trHeight w:val="260"/>
        </w:trPr>
        <w:tc>
          <w:tcPr>
            <w:tcW w:w="2673" w:type="pct"/>
            <w:gridSpan w:val="2"/>
            <w:tcBorders>
              <w:top w:val="nil"/>
              <w:left w:val="nil"/>
              <w:bottom w:val="nil"/>
              <w:right w:val="nil"/>
            </w:tcBorders>
            <w:noWrap/>
            <w:vAlign w:val="bottom"/>
            <w:hideMark/>
          </w:tcPr>
          <w:p w14:paraId="1D92DEC1" w14:textId="77777777"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MH Invest II., s. r. o.</w:t>
            </w:r>
          </w:p>
        </w:tc>
        <w:tc>
          <w:tcPr>
            <w:tcW w:w="612" w:type="pct"/>
            <w:gridSpan w:val="3"/>
            <w:tcBorders>
              <w:top w:val="nil"/>
              <w:left w:val="nil"/>
              <w:bottom w:val="nil"/>
              <w:right w:val="nil"/>
            </w:tcBorders>
            <w:noWrap/>
            <w:vAlign w:val="bottom"/>
            <w:hideMark/>
          </w:tcPr>
          <w:p w14:paraId="267859D2" w14:textId="020AA326" w:rsidR="006876EC" w:rsidRPr="006876EC" w:rsidRDefault="006876EC" w:rsidP="000851CB">
            <w:pPr>
              <w:spacing w:after="0" w:line="240" w:lineRule="auto"/>
              <w:jc w:val="right"/>
              <w:rPr>
                <w:sz w:val="20"/>
                <w:szCs w:val="20"/>
                <w:lang w:eastAsia="sk-SK"/>
              </w:rPr>
            </w:pPr>
            <w:r w:rsidRPr="006876EC">
              <w:rPr>
                <w:sz w:val="20"/>
                <w:szCs w:val="20"/>
              </w:rPr>
              <w:t>610</w:t>
            </w:r>
          </w:p>
        </w:tc>
        <w:tc>
          <w:tcPr>
            <w:tcW w:w="557" w:type="pct"/>
            <w:gridSpan w:val="2"/>
            <w:tcBorders>
              <w:top w:val="nil"/>
              <w:left w:val="nil"/>
              <w:bottom w:val="nil"/>
              <w:right w:val="nil"/>
            </w:tcBorders>
            <w:noWrap/>
            <w:vAlign w:val="bottom"/>
            <w:hideMark/>
          </w:tcPr>
          <w:p w14:paraId="721AA09B" w14:textId="3B532067" w:rsidR="006876EC" w:rsidRPr="006876EC" w:rsidRDefault="006876EC" w:rsidP="000851CB">
            <w:pPr>
              <w:spacing w:after="0" w:line="240" w:lineRule="auto"/>
              <w:jc w:val="right"/>
              <w:rPr>
                <w:sz w:val="20"/>
                <w:szCs w:val="20"/>
                <w:lang w:eastAsia="sk-SK"/>
              </w:rPr>
            </w:pPr>
            <w:r w:rsidRPr="006876EC">
              <w:rPr>
                <w:sz w:val="20"/>
                <w:szCs w:val="20"/>
              </w:rPr>
              <w:t>600</w:t>
            </w:r>
          </w:p>
        </w:tc>
        <w:tc>
          <w:tcPr>
            <w:tcW w:w="556" w:type="pct"/>
            <w:gridSpan w:val="2"/>
            <w:tcBorders>
              <w:top w:val="nil"/>
              <w:left w:val="nil"/>
              <w:bottom w:val="nil"/>
              <w:right w:val="nil"/>
            </w:tcBorders>
            <w:noWrap/>
            <w:vAlign w:val="bottom"/>
            <w:hideMark/>
          </w:tcPr>
          <w:p w14:paraId="029059EA" w14:textId="7A175AA5" w:rsidR="006876EC" w:rsidRPr="006876EC" w:rsidRDefault="006876EC" w:rsidP="000851CB">
            <w:pPr>
              <w:spacing w:after="0" w:line="240" w:lineRule="auto"/>
              <w:jc w:val="right"/>
              <w:rPr>
                <w:sz w:val="20"/>
                <w:szCs w:val="20"/>
                <w:lang w:eastAsia="sk-SK"/>
              </w:rPr>
            </w:pPr>
            <w:r w:rsidRPr="006876EC">
              <w:rPr>
                <w:sz w:val="20"/>
                <w:szCs w:val="20"/>
              </w:rPr>
              <w:t>0</w:t>
            </w:r>
          </w:p>
        </w:tc>
        <w:tc>
          <w:tcPr>
            <w:tcW w:w="602" w:type="pct"/>
            <w:tcBorders>
              <w:top w:val="nil"/>
              <w:left w:val="nil"/>
              <w:bottom w:val="nil"/>
              <w:right w:val="nil"/>
            </w:tcBorders>
            <w:noWrap/>
            <w:vAlign w:val="bottom"/>
            <w:hideMark/>
          </w:tcPr>
          <w:p w14:paraId="76D6265E" w14:textId="511F19B4" w:rsidR="006876EC" w:rsidRPr="006876EC" w:rsidRDefault="006876EC" w:rsidP="000851CB">
            <w:pPr>
              <w:spacing w:after="0" w:line="240" w:lineRule="auto"/>
              <w:jc w:val="right"/>
              <w:rPr>
                <w:sz w:val="20"/>
                <w:szCs w:val="20"/>
                <w:lang w:eastAsia="sk-SK"/>
              </w:rPr>
            </w:pPr>
            <w:r w:rsidRPr="006876EC">
              <w:rPr>
                <w:sz w:val="20"/>
                <w:szCs w:val="20"/>
              </w:rPr>
              <w:t>-600</w:t>
            </w:r>
          </w:p>
        </w:tc>
      </w:tr>
      <w:tr w:rsidR="006876EC" w:rsidRPr="006876EC" w14:paraId="3D37804C" w14:textId="77777777" w:rsidTr="006876EC">
        <w:trPr>
          <w:trHeight w:val="260"/>
        </w:trPr>
        <w:tc>
          <w:tcPr>
            <w:tcW w:w="2673" w:type="pct"/>
            <w:gridSpan w:val="2"/>
            <w:tcBorders>
              <w:top w:val="nil"/>
              <w:left w:val="nil"/>
              <w:bottom w:val="nil"/>
              <w:right w:val="nil"/>
            </w:tcBorders>
            <w:noWrap/>
            <w:vAlign w:val="bottom"/>
            <w:hideMark/>
          </w:tcPr>
          <w:p w14:paraId="3B925781" w14:textId="77777777"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MH Manažment, a. s.</w:t>
            </w:r>
          </w:p>
        </w:tc>
        <w:tc>
          <w:tcPr>
            <w:tcW w:w="612" w:type="pct"/>
            <w:gridSpan w:val="3"/>
            <w:tcBorders>
              <w:top w:val="nil"/>
              <w:left w:val="nil"/>
              <w:bottom w:val="nil"/>
              <w:right w:val="nil"/>
            </w:tcBorders>
            <w:noWrap/>
            <w:vAlign w:val="bottom"/>
            <w:hideMark/>
          </w:tcPr>
          <w:p w14:paraId="7833D610" w14:textId="33344946" w:rsidR="006876EC" w:rsidRPr="006876EC" w:rsidRDefault="006876EC" w:rsidP="000851CB">
            <w:pPr>
              <w:spacing w:after="0" w:line="240" w:lineRule="auto"/>
              <w:jc w:val="right"/>
              <w:rPr>
                <w:sz w:val="20"/>
                <w:szCs w:val="20"/>
                <w:lang w:eastAsia="sk-SK"/>
              </w:rPr>
            </w:pPr>
            <w:r w:rsidRPr="006876EC">
              <w:rPr>
                <w:sz w:val="20"/>
                <w:szCs w:val="20"/>
              </w:rPr>
              <w:t>342</w:t>
            </w:r>
          </w:p>
        </w:tc>
        <w:tc>
          <w:tcPr>
            <w:tcW w:w="557" w:type="pct"/>
            <w:gridSpan w:val="2"/>
            <w:tcBorders>
              <w:top w:val="nil"/>
              <w:left w:val="nil"/>
              <w:bottom w:val="nil"/>
              <w:right w:val="nil"/>
            </w:tcBorders>
            <w:noWrap/>
            <w:vAlign w:val="bottom"/>
            <w:hideMark/>
          </w:tcPr>
          <w:p w14:paraId="77A81AB8" w14:textId="2DDE5B35" w:rsidR="006876EC" w:rsidRPr="006876EC" w:rsidRDefault="006876EC" w:rsidP="000851CB">
            <w:pPr>
              <w:spacing w:after="0" w:line="240" w:lineRule="auto"/>
              <w:jc w:val="right"/>
              <w:rPr>
                <w:sz w:val="20"/>
                <w:szCs w:val="20"/>
                <w:lang w:eastAsia="sk-SK"/>
              </w:rPr>
            </w:pPr>
            <w:r w:rsidRPr="006876EC">
              <w:rPr>
                <w:sz w:val="20"/>
                <w:szCs w:val="20"/>
              </w:rPr>
              <w:t>0</w:t>
            </w:r>
          </w:p>
        </w:tc>
        <w:tc>
          <w:tcPr>
            <w:tcW w:w="556" w:type="pct"/>
            <w:gridSpan w:val="2"/>
            <w:tcBorders>
              <w:top w:val="nil"/>
              <w:left w:val="nil"/>
              <w:bottom w:val="nil"/>
              <w:right w:val="nil"/>
            </w:tcBorders>
            <w:noWrap/>
            <w:vAlign w:val="bottom"/>
            <w:hideMark/>
          </w:tcPr>
          <w:p w14:paraId="07160F3D" w14:textId="15D5C6D0" w:rsidR="006876EC" w:rsidRPr="006876EC" w:rsidRDefault="006876EC" w:rsidP="000851CB">
            <w:pPr>
              <w:spacing w:after="0" w:line="240" w:lineRule="auto"/>
              <w:jc w:val="right"/>
              <w:rPr>
                <w:sz w:val="20"/>
                <w:szCs w:val="20"/>
                <w:lang w:eastAsia="sk-SK"/>
              </w:rPr>
            </w:pPr>
            <w:r w:rsidRPr="006876EC">
              <w:rPr>
                <w:sz w:val="20"/>
                <w:szCs w:val="20"/>
              </w:rPr>
              <w:t>0</w:t>
            </w:r>
          </w:p>
        </w:tc>
        <w:tc>
          <w:tcPr>
            <w:tcW w:w="602" w:type="pct"/>
            <w:tcBorders>
              <w:top w:val="nil"/>
              <w:left w:val="nil"/>
              <w:bottom w:val="nil"/>
              <w:right w:val="nil"/>
            </w:tcBorders>
            <w:noWrap/>
            <w:vAlign w:val="bottom"/>
            <w:hideMark/>
          </w:tcPr>
          <w:p w14:paraId="74535D84" w14:textId="30667B90" w:rsidR="006876EC" w:rsidRPr="006876EC" w:rsidRDefault="006876EC" w:rsidP="000851CB">
            <w:pPr>
              <w:spacing w:after="0" w:line="240" w:lineRule="auto"/>
              <w:jc w:val="right"/>
              <w:rPr>
                <w:sz w:val="20"/>
                <w:szCs w:val="20"/>
                <w:lang w:eastAsia="sk-SK"/>
              </w:rPr>
            </w:pPr>
            <w:r w:rsidRPr="006876EC">
              <w:rPr>
                <w:sz w:val="20"/>
                <w:szCs w:val="20"/>
              </w:rPr>
              <w:t>0</w:t>
            </w:r>
          </w:p>
        </w:tc>
      </w:tr>
      <w:tr w:rsidR="006876EC" w:rsidRPr="006876EC" w14:paraId="79885835" w14:textId="77777777" w:rsidTr="006876EC">
        <w:trPr>
          <w:trHeight w:val="260"/>
        </w:trPr>
        <w:tc>
          <w:tcPr>
            <w:tcW w:w="2673" w:type="pct"/>
            <w:gridSpan w:val="2"/>
            <w:tcBorders>
              <w:top w:val="nil"/>
              <w:left w:val="nil"/>
              <w:bottom w:val="nil"/>
              <w:right w:val="nil"/>
            </w:tcBorders>
            <w:noWrap/>
            <w:vAlign w:val="bottom"/>
            <w:hideMark/>
          </w:tcPr>
          <w:p w14:paraId="1541BA74" w14:textId="72EE09EE" w:rsidR="006876EC" w:rsidRPr="006876EC" w:rsidRDefault="006876EC" w:rsidP="000851CB">
            <w:pPr>
              <w:spacing w:after="0" w:line="240" w:lineRule="auto"/>
              <w:ind w:firstLineChars="400" w:firstLine="800"/>
              <w:rPr>
                <w:sz w:val="20"/>
                <w:szCs w:val="20"/>
                <w:lang w:eastAsia="sk-SK"/>
              </w:rPr>
            </w:pPr>
            <w:r w:rsidRPr="006876EC">
              <w:rPr>
                <w:sz w:val="20"/>
                <w:szCs w:val="20"/>
                <w:lang w:eastAsia="sk-SK"/>
              </w:rPr>
              <w:t>MH Invest, s. r.</w:t>
            </w:r>
            <w:r w:rsidR="00A17BD9">
              <w:rPr>
                <w:sz w:val="20"/>
                <w:szCs w:val="20"/>
                <w:lang w:eastAsia="sk-SK"/>
              </w:rPr>
              <w:t> </w:t>
            </w:r>
            <w:r w:rsidRPr="006876EC">
              <w:rPr>
                <w:sz w:val="20"/>
                <w:szCs w:val="20"/>
                <w:lang w:eastAsia="sk-SK"/>
              </w:rPr>
              <w:t>o.</w:t>
            </w:r>
          </w:p>
        </w:tc>
        <w:tc>
          <w:tcPr>
            <w:tcW w:w="612" w:type="pct"/>
            <w:gridSpan w:val="3"/>
            <w:tcBorders>
              <w:top w:val="nil"/>
              <w:left w:val="nil"/>
              <w:bottom w:val="nil"/>
              <w:right w:val="nil"/>
            </w:tcBorders>
            <w:noWrap/>
            <w:vAlign w:val="bottom"/>
            <w:hideMark/>
          </w:tcPr>
          <w:p w14:paraId="159ABBA0" w14:textId="7FB2C3E8" w:rsidR="006876EC" w:rsidRPr="006876EC" w:rsidRDefault="006876EC" w:rsidP="000851CB">
            <w:pPr>
              <w:spacing w:after="0" w:line="240" w:lineRule="auto"/>
              <w:jc w:val="right"/>
              <w:rPr>
                <w:sz w:val="20"/>
                <w:szCs w:val="20"/>
                <w:lang w:eastAsia="sk-SK"/>
              </w:rPr>
            </w:pPr>
            <w:r w:rsidRPr="006876EC">
              <w:rPr>
                <w:sz w:val="20"/>
                <w:szCs w:val="20"/>
              </w:rPr>
              <w:t>0</w:t>
            </w:r>
          </w:p>
        </w:tc>
        <w:tc>
          <w:tcPr>
            <w:tcW w:w="557" w:type="pct"/>
            <w:gridSpan w:val="2"/>
            <w:tcBorders>
              <w:top w:val="nil"/>
              <w:left w:val="nil"/>
              <w:bottom w:val="nil"/>
              <w:right w:val="nil"/>
            </w:tcBorders>
            <w:noWrap/>
            <w:vAlign w:val="bottom"/>
            <w:hideMark/>
          </w:tcPr>
          <w:p w14:paraId="6C1CA78A" w14:textId="4DDAEAAC" w:rsidR="006876EC" w:rsidRPr="006876EC" w:rsidRDefault="006876EC" w:rsidP="000851CB">
            <w:pPr>
              <w:spacing w:after="0" w:line="240" w:lineRule="auto"/>
              <w:jc w:val="right"/>
              <w:rPr>
                <w:sz w:val="20"/>
                <w:szCs w:val="20"/>
                <w:lang w:eastAsia="sk-SK"/>
              </w:rPr>
            </w:pPr>
            <w:r w:rsidRPr="006876EC">
              <w:rPr>
                <w:sz w:val="20"/>
                <w:szCs w:val="20"/>
              </w:rPr>
              <w:t>0</w:t>
            </w:r>
          </w:p>
        </w:tc>
        <w:tc>
          <w:tcPr>
            <w:tcW w:w="556" w:type="pct"/>
            <w:gridSpan w:val="2"/>
            <w:tcBorders>
              <w:top w:val="nil"/>
              <w:left w:val="nil"/>
              <w:bottom w:val="nil"/>
              <w:right w:val="nil"/>
            </w:tcBorders>
            <w:noWrap/>
            <w:vAlign w:val="bottom"/>
            <w:hideMark/>
          </w:tcPr>
          <w:p w14:paraId="22543EBD" w14:textId="0920805B" w:rsidR="006876EC" w:rsidRPr="006876EC" w:rsidRDefault="006876EC" w:rsidP="000851CB">
            <w:pPr>
              <w:spacing w:after="0" w:line="240" w:lineRule="auto"/>
              <w:jc w:val="right"/>
              <w:rPr>
                <w:sz w:val="20"/>
                <w:szCs w:val="20"/>
                <w:lang w:eastAsia="sk-SK"/>
              </w:rPr>
            </w:pPr>
            <w:r w:rsidRPr="006876EC">
              <w:rPr>
                <w:sz w:val="20"/>
                <w:szCs w:val="20"/>
              </w:rPr>
              <w:t>0</w:t>
            </w:r>
          </w:p>
        </w:tc>
        <w:tc>
          <w:tcPr>
            <w:tcW w:w="602" w:type="pct"/>
            <w:tcBorders>
              <w:top w:val="nil"/>
              <w:left w:val="nil"/>
              <w:bottom w:val="nil"/>
              <w:right w:val="nil"/>
            </w:tcBorders>
            <w:noWrap/>
            <w:vAlign w:val="bottom"/>
            <w:hideMark/>
          </w:tcPr>
          <w:p w14:paraId="14F797D4" w14:textId="04084821" w:rsidR="006876EC" w:rsidRPr="006876EC" w:rsidRDefault="006876EC" w:rsidP="000851CB">
            <w:pPr>
              <w:spacing w:after="0" w:line="240" w:lineRule="auto"/>
              <w:jc w:val="right"/>
              <w:rPr>
                <w:sz w:val="20"/>
                <w:szCs w:val="20"/>
                <w:lang w:eastAsia="sk-SK"/>
              </w:rPr>
            </w:pPr>
            <w:r w:rsidRPr="006876EC">
              <w:rPr>
                <w:sz w:val="20"/>
                <w:szCs w:val="20"/>
              </w:rPr>
              <w:t>0</w:t>
            </w:r>
          </w:p>
        </w:tc>
      </w:tr>
      <w:tr w:rsidR="006876EC" w:rsidRPr="006876EC" w14:paraId="6A7800DA" w14:textId="77777777" w:rsidTr="006876EC">
        <w:trPr>
          <w:trHeight w:val="260"/>
        </w:trPr>
        <w:tc>
          <w:tcPr>
            <w:tcW w:w="2673" w:type="pct"/>
            <w:gridSpan w:val="2"/>
            <w:tcBorders>
              <w:top w:val="nil"/>
              <w:left w:val="nil"/>
              <w:bottom w:val="nil"/>
              <w:right w:val="nil"/>
            </w:tcBorders>
            <w:noWrap/>
            <w:vAlign w:val="bottom"/>
            <w:hideMark/>
          </w:tcPr>
          <w:p w14:paraId="7EACF24B"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Verejné vysoké školy</w:t>
            </w:r>
          </w:p>
        </w:tc>
        <w:tc>
          <w:tcPr>
            <w:tcW w:w="612" w:type="pct"/>
            <w:gridSpan w:val="3"/>
            <w:tcBorders>
              <w:top w:val="nil"/>
              <w:left w:val="nil"/>
              <w:bottom w:val="nil"/>
              <w:right w:val="nil"/>
            </w:tcBorders>
            <w:noWrap/>
            <w:vAlign w:val="bottom"/>
            <w:hideMark/>
          </w:tcPr>
          <w:p w14:paraId="4BD82FFD" w14:textId="0DCB0A1F" w:rsidR="006876EC" w:rsidRPr="006876EC" w:rsidRDefault="006876EC" w:rsidP="000851CB">
            <w:pPr>
              <w:spacing w:after="0" w:line="240" w:lineRule="auto"/>
              <w:jc w:val="right"/>
              <w:rPr>
                <w:sz w:val="20"/>
                <w:szCs w:val="20"/>
                <w:lang w:eastAsia="sk-SK"/>
              </w:rPr>
            </w:pPr>
            <w:r w:rsidRPr="006876EC">
              <w:rPr>
                <w:sz w:val="20"/>
                <w:szCs w:val="20"/>
              </w:rPr>
              <w:t>12 060</w:t>
            </w:r>
          </w:p>
        </w:tc>
        <w:tc>
          <w:tcPr>
            <w:tcW w:w="557" w:type="pct"/>
            <w:gridSpan w:val="2"/>
            <w:tcBorders>
              <w:top w:val="nil"/>
              <w:left w:val="nil"/>
              <w:bottom w:val="nil"/>
              <w:right w:val="nil"/>
            </w:tcBorders>
            <w:noWrap/>
            <w:vAlign w:val="bottom"/>
            <w:hideMark/>
          </w:tcPr>
          <w:p w14:paraId="3FB5E9C8" w14:textId="370D76E8" w:rsidR="006876EC" w:rsidRPr="006876EC" w:rsidRDefault="006876EC" w:rsidP="000851CB">
            <w:pPr>
              <w:spacing w:after="0" w:line="240" w:lineRule="auto"/>
              <w:jc w:val="right"/>
              <w:rPr>
                <w:sz w:val="20"/>
                <w:szCs w:val="20"/>
                <w:lang w:eastAsia="sk-SK"/>
              </w:rPr>
            </w:pPr>
            <w:r w:rsidRPr="006876EC">
              <w:rPr>
                <w:sz w:val="20"/>
                <w:szCs w:val="20"/>
              </w:rPr>
              <w:t>10 936</w:t>
            </w:r>
          </w:p>
        </w:tc>
        <w:tc>
          <w:tcPr>
            <w:tcW w:w="556" w:type="pct"/>
            <w:gridSpan w:val="2"/>
            <w:tcBorders>
              <w:top w:val="nil"/>
              <w:left w:val="nil"/>
              <w:bottom w:val="nil"/>
              <w:right w:val="nil"/>
            </w:tcBorders>
            <w:noWrap/>
            <w:vAlign w:val="bottom"/>
            <w:hideMark/>
          </w:tcPr>
          <w:p w14:paraId="40D67493" w14:textId="3FD7EA90" w:rsidR="006876EC" w:rsidRPr="006876EC" w:rsidRDefault="006876EC" w:rsidP="000851CB">
            <w:pPr>
              <w:spacing w:after="0" w:line="240" w:lineRule="auto"/>
              <w:jc w:val="right"/>
              <w:rPr>
                <w:sz w:val="20"/>
                <w:szCs w:val="20"/>
                <w:lang w:eastAsia="sk-SK"/>
              </w:rPr>
            </w:pPr>
            <w:r w:rsidRPr="006876EC">
              <w:rPr>
                <w:sz w:val="20"/>
                <w:szCs w:val="20"/>
              </w:rPr>
              <w:t>10 633</w:t>
            </w:r>
          </w:p>
        </w:tc>
        <w:tc>
          <w:tcPr>
            <w:tcW w:w="602" w:type="pct"/>
            <w:tcBorders>
              <w:top w:val="nil"/>
              <w:left w:val="nil"/>
              <w:bottom w:val="nil"/>
              <w:right w:val="nil"/>
            </w:tcBorders>
            <w:noWrap/>
            <w:vAlign w:val="bottom"/>
            <w:hideMark/>
          </w:tcPr>
          <w:p w14:paraId="7E42F9D9" w14:textId="3311643E" w:rsidR="006876EC" w:rsidRPr="006876EC" w:rsidRDefault="006876EC" w:rsidP="000851CB">
            <w:pPr>
              <w:spacing w:after="0" w:line="240" w:lineRule="auto"/>
              <w:jc w:val="right"/>
              <w:rPr>
                <w:sz w:val="20"/>
                <w:szCs w:val="20"/>
                <w:lang w:eastAsia="sk-SK"/>
              </w:rPr>
            </w:pPr>
            <w:r w:rsidRPr="006876EC">
              <w:rPr>
                <w:sz w:val="20"/>
                <w:szCs w:val="20"/>
              </w:rPr>
              <w:t>-303</w:t>
            </w:r>
          </w:p>
        </w:tc>
      </w:tr>
      <w:tr w:rsidR="006876EC" w:rsidRPr="006876EC" w14:paraId="5ED200E2" w14:textId="77777777" w:rsidTr="006876EC">
        <w:trPr>
          <w:trHeight w:val="260"/>
        </w:trPr>
        <w:tc>
          <w:tcPr>
            <w:tcW w:w="2673" w:type="pct"/>
            <w:gridSpan w:val="2"/>
            <w:tcBorders>
              <w:top w:val="nil"/>
              <w:left w:val="nil"/>
              <w:bottom w:val="nil"/>
              <w:right w:val="nil"/>
            </w:tcBorders>
            <w:noWrap/>
            <w:vAlign w:val="bottom"/>
            <w:hideMark/>
          </w:tcPr>
          <w:p w14:paraId="18C59153"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Verejné výskumné inštitúcie</w:t>
            </w:r>
          </w:p>
        </w:tc>
        <w:tc>
          <w:tcPr>
            <w:tcW w:w="612" w:type="pct"/>
            <w:gridSpan w:val="3"/>
            <w:tcBorders>
              <w:top w:val="nil"/>
              <w:left w:val="nil"/>
              <w:bottom w:val="nil"/>
              <w:right w:val="nil"/>
            </w:tcBorders>
            <w:noWrap/>
            <w:vAlign w:val="bottom"/>
            <w:hideMark/>
          </w:tcPr>
          <w:p w14:paraId="6E64E6BB" w14:textId="3D3F7A3C" w:rsidR="006876EC" w:rsidRPr="006876EC" w:rsidRDefault="006876EC" w:rsidP="000851CB">
            <w:pPr>
              <w:spacing w:after="0" w:line="240" w:lineRule="auto"/>
              <w:ind w:firstLineChars="200" w:firstLine="400"/>
              <w:rPr>
                <w:sz w:val="20"/>
                <w:szCs w:val="20"/>
                <w:lang w:eastAsia="sk-SK"/>
              </w:rPr>
            </w:pPr>
            <w:r w:rsidRPr="006876EC">
              <w:rPr>
                <w:sz w:val="20"/>
                <w:szCs w:val="20"/>
              </w:rPr>
              <w:t>2 563</w:t>
            </w:r>
          </w:p>
        </w:tc>
        <w:tc>
          <w:tcPr>
            <w:tcW w:w="557" w:type="pct"/>
            <w:gridSpan w:val="2"/>
            <w:tcBorders>
              <w:top w:val="nil"/>
              <w:left w:val="nil"/>
              <w:bottom w:val="nil"/>
              <w:right w:val="nil"/>
            </w:tcBorders>
            <w:noWrap/>
            <w:vAlign w:val="bottom"/>
            <w:hideMark/>
          </w:tcPr>
          <w:p w14:paraId="2FF47C03" w14:textId="2BCA0E29" w:rsidR="006876EC" w:rsidRPr="006876EC" w:rsidRDefault="006876EC" w:rsidP="000851CB">
            <w:pPr>
              <w:spacing w:after="0" w:line="240" w:lineRule="auto"/>
              <w:jc w:val="right"/>
              <w:rPr>
                <w:sz w:val="20"/>
                <w:szCs w:val="20"/>
                <w:lang w:eastAsia="sk-SK"/>
              </w:rPr>
            </w:pPr>
            <w:r w:rsidRPr="006876EC">
              <w:rPr>
                <w:sz w:val="20"/>
                <w:szCs w:val="20"/>
              </w:rPr>
              <w:t>2 424</w:t>
            </w:r>
          </w:p>
        </w:tc>
        <w:tc>
          <w:tcPr>
            <w:tcW w:w="556" w:type="pct"/>
            <w:gridSpan w:val="2"/>
            <w:tcBorders>
              <w:top w:val="nil"/>
              <w:left w:val="nil"/>
              <w:bottom w:val="nil"/>
              <w:right w:val="nil"/>
            </w:tcBorders>
            <w:noWrap/>
            <w:vAlign w:val="bottom"/>
            <w:hideMark/>
          </w:tcPr>
          <w:p w14:paraId="51463E1B" w14:textId="426805D9" w:rsidR="006876EC" w:rsidRPr="006876EC" w:rsidRDefault="006876EC" w:rsidP="000851CB">
            <w:pPr>
              <w:spacing w:after="0" w:line="240" w:lineRule="auto"/>
              <w:jc w:val="right"/>
              <w:rPr>
                <w:sz w:val="20"/>
                <w:szCs w:val="20"/>
                <w:lang w:eastAsia="sk-SK"/>
              </w:rPr>
            </w:pPr>
            <w:r w:rsidRPr="006876EC">
              <w:rPr>
                <w:sz w:val="20"/>
                <w:szCs w:val="20"/>
              </w:rPr>
              <w:t>116</w:t>
            </w:r>
          </w:p>
        </w:tc>
        <w:tc>
          <w:tcPr>
            <w:tcW w:w="602" w:type="pct"/>
            <w:tcBorders>
              <w:top w:val="nil"/>
              <w:left w:val="nil"/>
              <w:bottom w:val="nil"/>
              <w:right w:val="nil"/>
            </w:tcBorders>
            <w:noWrap/>
            <w:vAlign w:val="bottom"/>
            <w:hideMark/>
          </w:tcPr>
          <w:p w14:paraId="0EC9626F" w14:textId="622928A7" w:rsidR="006876EC" w:rsidRPr="006876EC" w:rsidRDefault="006876EC" w:rsidP="000851CB">
            <w:pPr>
              <w:spacing w:after="0" w:line="240" w:lineRule="auto"/>
              <w:jc w:val="right"/>
              <w:rPr>
                <w:sz w:val="20"/>
                <w:szCs w:val="20"/>
                <w:lang w:eastAsia="sk-SK"/>
              </w:rPr>
            </w:pPr>
            <w:r w:rsidRPr="006876EC">
              <w:rPr>
                <w:sz w:val="20"/>
                <w:szCs w:val="20"/>
              </w:rPr>
              <w:t>-2 308</w:t>
            </w:r>
          </w:p>
        </w:tc>
      </w:tr>
      <w:tr w:rsidR="006876EC" w:rsidRPr="006876EC" w14:paraId="1126267C" w14:textId="77777777" w:rsidTr="006876EC">
        <w:trPr>
          <w:trHeight w:val="260"/>
        </w:trPr>
        <w:tc>
          <w:tcPr>
            <w:tcW w:w="2673" w:type="pct"/>
            <w:gridSpan w:val="2"/>
            <w:tcBorders>
              <w:top w:val="nil"/>
              <w:left w:val="nil"/>
              <w:bottom w:val="nil"/>
              <w:right w:val="nil"/>
            </w:tcBorders>
            <w:noWrap/>
            <w:vAlign w:val="bottom"/>
            <w:hideMark/>
          </w:tcPr>
          <w:p w14:paraId="3978BFA9"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Zdravotnícke zariadenia ústrednej správy</w:t>
            </w:r>
          </w:p>
        </w:tc>
        <w:tc>
          <w:tcPr>
            <w:tcW w:w="612" w:type="pct"/>
            <w:gridSpan w:val="3"/>
            <w:tcBorders>
              <w:top w:val="nil"/>
              <w:left w:val="nil"/>
              <w:bottom w:val="nil"/>
              <w:right w:val="nil"/>
            </w:tcBorders>
            <w:noWrap/>
            <w:vAlign w:val="bottom"/>
            <w:hideMark/>
          </w:tcPr>
          <w:p w14:paraId="685D7CE6" w14:textId="6500A921" w:rsidR="006876EC" w:rsidRPr="006876EC" w:rsidRDefault="006876EC" w:rsidP="000851CB">
            <w:pPr>
              <w:spacing w:after="0" w:line="240" w:lineRule="auto"/>
              <w:jc w:val="right"/>
              <w:rPr>
                <w:sz w:val="20"/>
                <w:szCs w:val="20"/>
                <w:lang w:eastAsia="sk-SK"/>
              </w:rPr>
            </w:pPr>
            <w:r w:rsidRPr="006876EC">
              <w:rPr>
                <w:sz w:val="20"/>
                <w:szCs w:val="20"/>
              </w:rPr>
              <w:t>193 531</w:t>
            </w:r>
          </w:p>
        </w:tc>
        <w:tc>
          <w:tcPr>
            <w:tcW w:w="557" w:type="pct"/>
            <w:gridSpan w:val="2"/>
            <w:tcBorders>
              <w:top w:val="nil"/>
              <w:left w:val="nil"/>
              <w:bottom w:val="nil"/>
              <w:right w:val="nil"/>
            </w:tcBorders>
            <w:noWrap/>
            <w:vAlign w:val="bottom"/>
            <w:hideMark/>
          </w:tcPr>
          <w:p w14:paraId="658D80D5" w14:textId="77485897" w:rsidR="006876EC" w:rsidRPr="006876EC" w:rsidRDefault="006876EC" w:rsidP="000851CB">
            <w:pPr>
              <w:spacing w:after="0" w:line="240" w:lineRule="auto"/>
              <w:jc w:val="right"/>
              <w:rPr>
                <w:sz w:val="20"/>
                <w:szCs w:val="20"/>
                <w:lang w:eastAsia="sk-SK"/>
              </w:rPr>
            </w:pPr>
            <w:r w:rsidRPr="006876EC">
              <w:rPr>
                <w:sz w:val="20"/>
                <w:szCs w:val="20"/>
              </w:rPr>
              <w:t>187 057</w:t>
            </w:r>
          </w:p>
        </w:tc>
        <w:tc>
          <w:tcPr>
            <w:tcW w:w="556" w:type="pct"/>
            <w:gridSpan w:val="2"/>
            <w:tcBorders>
              <w:top w:val="nil"/>
              <w:left w:val="nil"/>
              <w:bottom w:val="nil"/>
              <w:right w:val="nil"/>
            </w:tcBorders>
            <w:noWrap/>
            <w:vAlign w:val="bottom"/>
            <w:hideMark/>
          </w:tcPr>
          <w:p w14:paraId="00946032" w14:textId="7586F5FD" w:rsidR="006876EC" w:rsidRPr="006876EC" w:rsidRDefault="006876EC" w:rsidP="000851CB">
            <w:pPr>
              <w:spacing w:after="0" w:line="240" w:lineRule="auto"/>
              <w:jc w:val="right"/>
              <w:rPr>
                <w:sz w:val="20"/>
                <w:szCs w:val="20"/>
                <w:lang w:eastAsia="sk-SK"/>
              </w:rPr>
            </w:pPr>
            <w:r w:rsidRPr="006876EC">
              <w:rPr>
                <w:sz w:val="20"/>
                <w:szCs w:val="20"/>
              </w:rPr>
              <w:t>150 056</w:t>
            </w:r>
          </w:p>
        </w:tc>
        <w:tc>
          <w:tcPr>
            <w:tcW w:w="602" w:type="pct"/>
            <w:tcBorders>
              <w:top w:val="nil"/>
              <w:left w:val="nil"/>
              <w:bottom w:val="nil"/>
              <w:right w:val="nil"/>
            </w:tcBorders>
            <w:noWrap/>
            <w:vAlign w:val="bottom"/>
            <w:hideMark/>
          </w:tcPr>
          <w:p w14:paraId="573B1875" w14:textId="40152A01" w:rsidR="006876EC" w:rsidRPr="006876EC" w:rsidRDefault="006876EC" w:rsidP="000851CB">
            <w:pPr>
              <w:spacing w:after="0" w:line="240" w:lineRule="auto"/>
              <w:jc w:val="right"/>
              <w:rPr>
                <w:sz w:val="20"/>
                <w:szCs w:val="20"/>
                <w:lang w:eastAsia="sk-SK"/>
              </w:rPr>
            </w:pPr>
            <w:r w:rsidRPr="006876EC">
              <w:rPr>
                <w:sz w:val="20"/>
                <w:szCs w:val="20"/>
              </w:rPr>
              <w:t>-37 001</w:t>
            </w:r>
          </w:p>
        </w:tc>
      </w:tr>
      <w:tr w:rsidR="006876EC" w:rsidRPr="006876EC" w14:paraId="45EAB08C" w14:textId="77777777" w:rsidTr="006876EC">
        <w:trPr>
          <w:trHeight w:val="260"/>
        </w:trPr>
        <w:tc>
          <w:tcPr>
            <w:tcW w:w="2673" w:type="pct"/>
            <w:gridSpan w:val="2"/>
            <w:tcBorders>
              <w:top w:val="nil"/>
              <w:left w:val="nil"/>
              <w:bottom w:val="nil"/>
              <w:right w:val="nil"/>
            </w:tcBorders>
            <w:noWrap/>
            <w:vAlign w:val="bottom"/>
            <w:hideMark/>
          </w:tcPr>
          <w:p w14:paraId="7F9F2A26"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Agentúra pre núdzové zásoby ropy a ropných výrobkov</w:t>
            </w:r>
          </w:p>
        </w:tc>
        <w:tc>
          <w:tcPr>
            <w:tcW w:w="612" w:type="pct"/>
            <w:gridSpan w:val="3"/>
            <w:tcBorders>
              <w:top w:val="nil"/>
              <w:left w:val="nil"/>
              <w:bottom w:val="nil"/>
              <w:right w:val="nil"/>
            </w:tcBorders>
            <w:noWrap/>
            <w:vAlign w:val="bottom"/>
            <w:hideMark/>
          </w:tcPr>
          <w:p w14:paraId="18210279" w14:textId="22C9BDF0" w:rsidR="006876EC" w:rsidRPr="006876EC" w:rsidRDefault="006876EC" w:rsidP="000851CB">
            <w:pPr>
              <w:spacing w:after="0" w:line="240" w:lineRule="auto"/>
              <w:jc w:val="right"/>
              <w:rPr>
                <w:sz w:val="20"/>
                <w:szCs w:val="20"/>
                <w:lang w:eastAsia="sk-SK"/>
              </w:rPr>
            </w:pPr>
            <w:r w:rsidRPr="006876EC">
              <w:rPr>
                <w:sz w:val="20"/>
                <w:szCs w:val="20"/>
              </w:rPr>
              <w:t>241 357</w:t>
            </w:r>
          </w:p>
        </w:tc>
        <w:tc>
          <w:tcPr>
            <w:tcW w:w="557" w:type="pct"/>
            <w:gridSpan w:val="2"/>
            <w:tcBorders>
              <w:top w:val="nil"/>
              <w:left w:val="nil"/>
              <w:bottom w:val="nil"/>
              <w:right w:val="nil"/>
            </w:tcBorders>
            <w:noWrap/>
            <w:vAlign w:val="bottom"/>
            <w:hideMark/>
          </w:tcPr>
          <w:p w14:paraId="45688970" w14:textId="79A24B0E" w:rsidR="006876EC" w:rsidRPr="006876EC" w:rsidRDefault="006876EC" w:rsidP="000851CB">
            <w:pPr>
              <w:spacing w:after="0" w:line="240" w:lineRule="auto"/>
              <w:jc w:val="right"/>
              <w:rPr>
                <w:sz w:val="20"/>
                <w:szCs w:val="20"/>
                <w:lang w:eastAsia="sk-SK"/>
              </w:rPr>
            </w:pPr>
            <w:r w:rsidRPr="006876EC">
              <w:rPr>
                <w:sz w:val="20"/>
                <w:szCs w:val="20"/>
              </w:rPr>
              <w:t>220 348</w:t>
            </w:r>
          </w:p>
        </w:tc>
        <w:tc>
          <w:tcPr>
            <w:tcW w:w="556" w:type="pct"/>
            <w:gridSpan w:val="2"/>
            <w:tcBorders>
              <w:top w:val="nil"/>
              <w:left w:val="nil"/>
              <w:bottom w:val="nil"/>
              <w:right w:val="nil"/>
            </w:tcBorders>
            <w:noWrap/>
            <w:vAlign w:val="bottom"/>
            <w:hideMark/>
          </w:tcPr>
          <w:p w14:paraId="566D7157" w14:textId="734F89A0" w:rsidR="006876EC" w:rsidRPr="006876EC" w:rsidRDefault="006876EC" w:rsidP="000851CB">
            <w:pPr>
              <w:spacing w:after="0" w:line="240" w:lineRule="auto"/>
              <w:jc w:val="right"/>
              <w:rPr>
                <w:sz w:val="20"/>
                <w:szCs w:val="20"/>
                <w:lang w:eastAsia="sk-SK"/>
              </w:rPr>
            </w:pPr>
            <w:r w:rsidRPr="006876EC">
              <w:rPr>
                <w:sz w:val="20"/>
                <w:szCs w:val="20"/>
              </w:rPr>
              <w:t>147 253</w:t>
            </w:r>
          </w:p>
        </w:tc>
        <w:tc>
          <w:tcPr>
            <w:tcW w:w="602" w:type="pct"/>
            <w:tcBorders>
              <w:top w:val="nil"/>
              <w:left w:val="nil"/>
              <w:bottom w:val="nil"/>
              <w:right w:val="nil"/>
            </w:tcBorders>
            <w:noWrap/>
            <w:vAlign w:val="bottom"/>
            <w:hideMark/>
          </w:tcPr>
          <w:p w14:paraId="3FA206C6" w14:textId="6BDFFAFC" w:rsidR="006876EC" w:rsidRPr="006876EC" w:rsidRDefault="006876EC" w:rsidP="000851CB">
            <w:pPr>
              <w:spacing w:after="0" w:line="240" w:lineRule="auto"/>
              <w:jc w:val="right"/>
              <w:rPr>
                <w:sz w:val="20"/>
                <w:szCs w:val="20"/>
                <w:lang w:eastAsia="sk-SK"/>
              </w:rPr>
            </w:pPr>
            <w:r w:rsidRPr="006876EC">
              <w:rPr>
                <w:sz w:val="20"/>
                <w:szCs w:val="20"/>
              </w:rPr>
              <w:t>-73 095</w:t>
            </w:r>
          </w:p>
        </w:tc>
      </w:tr>
      <w:tr w:rsidR="006876EC" w:rsidRPr="006876EC" w14:paraId="54F1C9BB" w14:textId="77777777" w:rsidTr="006876EC">
        <w:trPr>
          <w:trHeight w:val="260"/>
        </w:trPr>
        <w:tc>
          <w:tcPr>
            <w:tcW w:w="2673" w:type="pct"/>
            <w:gridSpan w:val="2"/>
            <w:tcBorders>
              <w:top w:val="nil"/>
              <w:left w:val="nil"/>
              <w:bottom w:val="nil"/>
              <w:right w:val="nil"/>
            </w:tcBorders>
            <w:noWrap/>
            <w:vAlign w:val="bottom"/>
            <w:hideMark/>
          </w:tcPr>
          <w:p w14:paraId="5783C3CC"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Ostatné subjekty ústrednej správy</w:t>
            </w:r>
          </w:p>
        </w:tc>
        <w:tc>
          <w:tcPr>
            <w:tcW w:w="612" w:type="pct"/>
            <w:gridSpan w:val="3"/>
            <w:tcBorders>
              <w:top w:val="nil"/>
              <w:left w:val="nil"/>
              <w:bottom w:val="nil"/>
              <w:right w:val="nil"/>
            </w:tcBorders>
            <w:noWrap/>
            <w:vAlign w:val="bottom"/>
            <w:hideMark/>
          </w:tcPr>
          <w:p w14:paraId="74FB5A40" w14:textId="163C83A4" w:rsidR="006876EC" w:rsidRPr="006876EC" w:rsidRDefault="006876EC" w:rsidP="000851CB">
            <w:pPr>
              <w:spacing w:after="0" w:line="240" w:lineRule="auto"/>
              <w:jc w:val="right"/>
              <w:rPr>
                <w:sz w:val="20"/>
                <w:szCs w:val="20"/>
                <w:lang w:eastAsia="sk-SK"/>
              </w:rPr>
            </w:pPr>
            <w:r w:rsidRPr="006876EC">
              <w:rPr>
                <w:sz w:val="20"/>
                <w:szCs w:val="20"/>
              </w:rPr>
              <w:t>25 171</w:t>
            </w:r>
          </w:p>
        </w:tc>
        <w:tc>
          <w:tcPr>
            <w:tcW w:w="557" w:type="pct"/>
            <w:gridSpan w:val="2"/>
            <w:tcBorders>
              <w:top w:val="nil"/>
              <w:left w:val="nil"/>
              <w:bottom w:val="nil"/>
              <w:right w:val="nil"/>
            </w:tcBorders>
            <w:noWrap/>
            <w:vAlign w:val="bottom"/>
            <w:hideMark/>
          </w:tcPr>
          <w:p w14:paraId="69C22DBA" w14:textId="6012A89C" w:rsidR="006876EC" w:rsidRPr="006876EC" w:rsidRDefault="006876EC" w:rsidP="000851CB">
            <w:pPr>
              <w:spacing w:after="0" w:line="240" w:lineRule="auto"/>
              <w:jc w:val="right"/>
              <w:rPr>
                <w:sz w:val="20"/>
                <w:szCs w:val="20"/>
                <w:lang w:eastAsia="sk-SK"/>
              </w:rPr>
            </w:pPr>
            <w:r w:rsidRPr="006876EC">
              <w:rPr>
                <w:sz w:val="20"/>
                <w:szCs w:val="20"/>
              </w:rPr>
              <w:t>13 809</w:t>
            </w:r>
          </w:p>
        </w:tc>
        <w:tc>
          <w:tcPr>
            <w:tcW w:w="556" w:type="pct"/>
            <w:gridSpan w:val="2"/>
            <w:tcBorders>
              <w:top w:val="nil"/>
              <w:left w:val="nil"/>
              <w:bottom w:val="nil"/>
              <w:right w:val="nil"/>
            </w:tcBorders>
            <w:noWrap/>
            <w:vAlign w:val="bottom"/>
            <w:hideMark/>
          </w:tcPr>
          <w:p w14:paraId="596128BD" w14:textId="65D83EA5" w:rsidR="006876EC" w:rsidRPr="006876EC" w:rsidRDefault="006876EC" w:rsidP="000851CB">
            <w:pPr>
              <w:spacing w:after="0" w:line="240" w:lineRule="auto"/>
              <w:jc w:val="right"/>
              <w:rPr>
                <w:sz w:val="20"/>
                <w:szCs w:val="20"/>
                <w:lang w:eastAsia="sk-SK"/>
              </w:rPr>
            </w:pPr>
            <w:r w:rsidRPr="006876EC">
              <w:rPr>
                <w:sz w:val="20"/>
                <w:szCs w:val="20"/>
              </w:rPr>
              <w:t>11 998</w:t>
            </w:r>
          </w:p>
        </w:tc>
        <w:tc>
          <w:tcPr>
            <w:tcW w:w="602" w:type="pct"/>
            <w:tcBorders>
              <w:top w:val="nil"/>
              <w:left w:val="nil"/>
              <w:bottom w:val="nil"/>
              <w:right w:val="nil"/>
            </w:tcBorders>
            <w:noWrap/>
            <w:vAlign w:val="bottom"/>
            <w:hideMark/>
          </w:tcPr>
          <w:p w14:paraId="7F64B146" w14:textId="6F144712" w:rsidR="006876EC" w:rsidRPr="006876EC" w:rsidRDefault="006876EC" w:rsidP="000851CB">
            <w:pPr>
              <w:spacing w:after="0" w:line="240" w:lineRule="auto"/>
              <w:jc w:val="right"/>
              <w:rPr>
                <w:sz w:val="20"/>
                <w:szCs w:val="20"/>
                <w:lang w:eastAsia="sk-SK"/>
              </w:rPr>
            </w:pPr>
            <w:r w:rsidRPr="006876EC">
              <w:rPr>
                <w:sz w:val="20"/>
                <w:szCs w:val="20"/>
              </w:rPr>
              <w:t>-1 811</w:t>
            </w:r>
          </w:p>
        </w:tc>
      </w:tr>
      <w:tr w:rsidR="006876EC" w:rsidRPr="006876EC" w14:paraId="4DAAB31E" w14:textId="77777777" w:rsidTr="006876EC">
        <w:trPr>
          <w:trHeight w:val="260"/>
        </w:trPr>
        <w:tc>
          <w:tcPr>
            <w:tcW w:w="2673" w:type="pct"/>
            <w:gridSpan w:val="2"/>
            <w:tcBorders>
              <w:top w:val="nil"/>
              <w:left w:val="nil"/>
              <w:bottom w:val="nil"/>
              <w:right w:val="nil"/>
            </w:tcBorders>
            <w:noWrap/>
            <w:vAlign w:val="bottom"/>
            <w:hideMark/>
          </w:tcPr>
          <w:p w14:paraId="5AD4FC26" w14:textId="77777777" w:rsidR="006876EC" w:rsidRPr="006876EC" w:rsidRDefault="006876EC" w:rsidP="000851CB">
            <w:pPr>
              <w:spacing w:after="0" w:line="240" w:lineRule="auto"/>
              <w:rPr>
                <w:b/>
                <w:bCs/>
                <w:sz w:val="20"/>
                <w:szCs w:val="20"/>
                <w:lang w:eastAsia="sk-SK"/>
              </w:rPr>
            </w:pPr>
            <w:r w:rsidRPr="006876EC">
              <w:rPr>
                <w:b/>
                <w:bCs/>
                <w:sz w:val="20"/>
                <w:szCs w:val="20"/>
                <w:lang w:eastAsia="sk-SK"/>
              </w:rPr>
              <w:t>Územná samospráva</w:t>
            </w:r>
          </w:p>
        </w:tc>
        <w:tc>
          <w:tcPr>
            <w:tcW w:w="612" w:type="pct"/>
            <w:gridSpan w:val="3"/>
            <w:tcBorders>
              <w:top w:val="nil"/>
              <w:left w:val="nil"/>
              <w:bottom w:val="nil"/>
              <w:right w:val="nil"/>
            </w:tcBorders>
            <w:noWrap/>
            <w:vAlign w:val="bottom"/>
            <w:hideMark/>
          </w:tcPr>
          <w:p w14:paraId="37DA2941" w14:textId="685E44B5" w:rsidR="006876EC" w:rsidRPr="006876EC" w:rsidRDefault="006876EC" w:rsidP="000851CB">
            <w:pPr>
              <w:spacing w:after="0" w:line="240" w:lineRule="auto"/>
              <w:jc w:val="right"/>
              <w:rPr>
                <w:b/>
                <w:bCs/>
                <w:sz w:val="20"/>
                <w:szCs w:val="20"/>
                <w:lang w:eastAsia="sk-SK"/>
              </w:rPr>
            </w:pPr>
            <w:r w:rsidRPr="006876EC">
              <w:rPr>
                <w:b/>
                <w:bCs/>
                <w:sz w:val="20"/>
                <w:szCs w:val="20"/>
              </w:rPr>
              <w:t>2 449 309</w:t>
            </w:r>
          </w:p>
        </w:tc>
        <w:tc>
          <w:tcPr>
            <w:tcW w:w="557" w:type="pct"/>
            <w:gridSpan w:val="2"/>
            <w:tcBorders>
              <w:top w:val="nil"/>
              <w:left w:val="nil"/>
              <w:bottom w:val="nil"/>
              <w:right w:val="nil"/>
            </w:tcBorders>
            <w:noWrap/>
            <w:vAlign w:val="bottom"/>
            <w:hideMark/>
          </w:tcPr>
          <w:p w14:paraId="476D6839" w14:textId="31E14356" w:rsidR="006876EC" w:rsidRPr="006876EC" w:rsidRDefault="006876EC" w:rsidP="000851CB">
            <w:pPr>
              <w:spacing w:after="0" w:line="240" w:lineRule="auto"/>
              <w:jc w:val="right"/>
              <w:rPr>
                <w:b/>
                <w:bCs/>
                <w:sz w:val="20"/>
                <w:szCs w:val="20"/>
                <w:lang w:eastAsia="sk-SK"/>
              </w:rPr>
            </w:pPr>
            <w:r w:rsidRPr="006876EC">
              <w:rPr>
                <w:b/>
                <w:bCs/>
                <w:sz w:val="20"/>
                <w:szCs w:val="20"/>
              </w:rPr>
              <w:t>2 662 238</w:t>
            </w:r>
          </w:p>
        </w:tc>
        <w:tc>
          <w:tcPr>
            <w:tcW w:w="556" w:type="pct"/>
            <w:gridSpan w:val="2"/>
            <w:tcBorders>
              <w:top w:val="nil"/>
              <w:left w:val="nil"/>
              <w:bottom w:val="nil"/>
              <w:right w:val="nil"/>
            </w:tcBorders>
            <w:noWrap/>
            <w:vAlign w:val="bottom"/>
            <w:hideMark/>
          </w:tcPr>
          <w:p w14:paraId="4B4422BB" w14:textId="36DE2891" w:rsidR="006876EC" w:rsidRPr="006876EC" w:rsidRDefault="006876EC" w:rsidP="000851CB">
            <w:pPr>
              <w:spacing w:after="0" w:line="240" w:lineRule="auto"/>
              <w:jc w:val="right"/>
              <w:rPr>
                <w:b/>
                <w:bCs/>
                <w:sz w:val="20"/>
                <w:szCs w:val="20"/>
                <w:lang w:eastAsia="sk-SK"/>
              </w:rPr>
            </w:pPr>
            <w:r w:rsidRPr="006876EC">
              <w:rPr>
                <w:b/>
                <w:bCs/>
                <w:sz w:val="20"/>
                <w:szCs w:val="20"/>
              </w:rPr>
              <w:t>2 637 402</w:t>
            </w:r>
          </w:p>
        </w:tc>
        <w:tc>
          <w:tcPr>
            <w:tcW w:w="602" w:type="pct"/>
            <w:tcBorders>
              <w:top w:val="nil"/>
              <w:left w:val="nil"/>
              <w:bottom w:val="nil"/>
              <w:right w:val="nil"/>
            </w:tcBorders>
            <w:noWrap/>
            <w:vAlign w:val="bottom"/>
            <w:hideMark/>
          </w:tcPr>
          <w:p w14:paraId="0FF5397A" w14:textId="063C610C" w:rsidR="006876EC" w:rsidRPr="006876EC" w:rsidRDefault="006876EC" w:rsidP="000851CB">
            <w:pPr>
              <w:spacing w:after="0" w:line="240" w:lineRule="auto"/>
              <w:jc w:val="right"/>
              <w:rPr>
                <w:b/>
                <w:bCs/>
                <w:sz w:val="20"/>
                <w:szCs w:val="20"/>
                <w:lang w:eastAsia="sk-SK"/>
              </w:rPr>
            </w:pPr>
            <w:r w:rsidRPr="006876EC">
              <w:rPr>
                <w:b/>
                <w:bCs/>
                <w:sz w:val="20"/>
                <w:szCs w:val="20"/>
              </w:rPr>
              <w:t>-24 836</w:t>
            </w:r>
          </w:p>
        </w:tc>
      </w:tr>
      <w:tr w:rsidR="006876EC" w:rsidRPr="006876EC" w14:paraId="42A350F5" w14:textId="77777777" w:rsidTr="006876EC">
        <w:trPr>
          <w:trHeight w:val="260"/>
        </w:trPr>
        <w:tc>
          <w:tcPr>
            <w:tcW w:w="2673" w:type="pct"/>
            <w:gridSpan w:val="2"/>
            <w:tcBorders>
              <w:top w:val="nil"/>
              <w:left w:val="nil"/>
              <w:bottom w:val="nil"/>
              <w:right w:val="nil"/>
            </w:tcBorders>
            <w:noWrap/>
            <w:vAlign w:val="bottom"/>
            <w:hideMark/>
          </w:tcPr>
          <w:p w14:paraId="28A66FC6" w14:textId="77777777" w:rsidR="006876EC" w:rsidRPr="006876EC" w:rsidRDefault="006876EC" w:rsidP="000851CB">
            <w:pPr>
              <w:spacing w:after="0" w:line="240" w:lineRule="auto"/>
              <w:ind w:firstLineChars="200" w:firstLine="400"/>
              <w:rPr>
                <w:sz w:val="20"/>
                <w:szCs w:val="20"/>
                <w:lang w:eastAsia="sk-SK"/>
              </w:rPr>
            </w:pPr>
            <w:r w:rsidRPr="006876EC">
              <w:rPr>
                <w:sz w:val="20"/>
                <w:szCs w:val="20"/>
                <w:lang w:eastAsia="sk-SK"/>
              </w:rPr>
              <w:t>Obce a ich rozpočtové organizácie</w:t>
            </w:r>
          </w:p>
        </w:tc>
        <w:tc>
          <w:tcPr>
            <w:tcW w:w="612" w:type="pct"/>
            <w:gridSpan w:val="3"/>
            <w:tcBorders>
              <w:top w:val="nil"/>
              <w:left w:val="nil"/>
              <w:bottom w:val="nil"/>
              <w:right w:val="nil"/>
            </w:tcBorders>
            <w:noWrap/>
            <w:vAlign w:val="bottom"/>
            <w:hideMark/>
          </w:tcPr>
          <w:p w14:paraId="141ACBA9" w14:textId="6CF17F30" w:rsidR="006876EC" w:rsidRPr="006876EC" w:rsidRDefault="006876EC" w:rsidP="000851CB">
            <w:pPr>
              <w:spacing w:after="0" w:line="240" w:lineRule="auto"/>
              <w:jc w:val="right"/>
              <w:rPr>
                <w:sz w:val="20"/>
                <w:szCs w:val="20"/>
                <w:lang w:eastAsia="sk-SK"/>
              </w:rPr>
            </w:pPr>
            <w:r w:rsidRPr="006876EC">
              <w:rPr>
                <w:sz w:val="20"/>
                <w:szCs w:val="20"/>
              </w:rPr>
              <w:t>1 751 497</w:t>
            </w:r>
          </w:p>
        </w:tc>
        <w:tc>
          <w:tcPr>
            <w:tcW w:w="557" w:type="pct"/>
            <w:gridSpan w:val="2"/>
            <w:tcBorders>
              <w:top w:val="nil"/>
              <w:left w:val="nil"/>
              <w:bottom w:val="nil"/>
              <w:right w:val="nil"/>
            </w:tcBorders>
            <w:noWrap/>
            <w:vAlign w:val="bottom"/>
            <w:hideMark/>
          </w:tcPr>
          <w:p w14:paraId="6303C5DE" w14:textId="06AAE31F" w:rsidR="006876EC" w:rsidRPr="006876EC" w:rsidRDefault="006876EC" w:rsidP="000851CB">
            <w:pPr>
              <w:spacing w:after="0" w:line="240" w:lineRule="auto"/>
              <w:jc w:val="right"/>
              <w:rPr>
                <w:sz w:val="20"/>
                <w:szCs w:val="20"/>
                <w:lang w:eastAsia="sk-SK"/>
              </w:rPr>
            </w:pPr>
            <w:r w:rsidRPr="006876EC">
              <w:rPr>
                <w:sz w:val="20"/>
                <w:szCs w:val="20"/>
              </w:rPr>
              <w:t>1 833 794</w:t>
            </w:r>
          </w:p>
        </w:tc>
        <w:tc>
          <w:tcPr>
            <w:tcW w:w="556" w:type="pct"/>
            <w:gridSpan w:val="2"/>
            <w:tcBorders>
              <w:top w:val="nil"/>
              <w:left w:val="nil"/>
              <w:bottom w:val="nil"/>
              <w:right w:val="nil"/>
            </w:tcBorders>
            <w:noWrap/>
            <w:vAlign w:val="bottom"/>
            <w:hideMark/>
          </w:tcPr>
          <w:p w14:paraId="22CACDB0" w14:textId="465D766D" w:rsidR="006876EC" w:rsidRPr="006876EC" w:rsidRDefault="006876EC" w:rsidP="000851CB">
            <w:pPr>
              <w:spacing w:after="0" w:line="240" w:lineRule="auto"/>
              <w:jc w:val="right"/>
              <w:rPr>
                <w:sz w:val="20"/>
                <w:szCs w:val="20"/>
                <w:lang w:eastAsia="sk-SK"/>
              </w:rPr>
            </w:pPr>
            <w:r w:rsidRPr="006876EC">
              <w:rPr>
                <w:sz w:val="20"/>
                <w:szCs w:val="20"/>
              </w:rPr>
              <w:t>1 855 142</w:t>
            </w:r>
          </w:p>
        </w:tc>
        <w:tc>
          <w:tcPr>
            <w:tcW w:w="602" w:type="pct"/>
            <w:tcBorders>
              <w:top w:val="nil"/>
              <w:left w:val="nil"/>
              <w:bottom w:val="nil"/>
              <w:right w:val="nil"/>
            </w:tcBorders>
            <w:noWrap/>
            <w:vAlign w:val="bottom"/>
            <w:hideMark/>
          </w:tcPr>
          <w:p w14:paraId="59418BF6" w14:textId="148D23B7" w:rsidR="006876EC" w:rsidRPr="006876EC" w:rsidRDefault="006876EC" w:rsidP="000851CB">
            <w:pPr>
              <w:spacing w:after="0" w:line="240" w:lineRule="auto"/>
              <w:jc w:val="right"/>
              <w:rPr>
                <w:sz w:val="20"/>
                <w:szCs w:val="20"/>
                <w:lang w:eastAsia="sk-SK"/>
              </w:rPr>
            </w:pPr>
            <w:r w:rsidRPr="006876EC">
              <w:rPr>
                <w:sz w:val="20"/>
                <w:szCs w:val="20"/>
              </w:rPr>
              <w:t>21 348</w:t>
            </w:r>
          </w:p>
        </w:tc>
      </w:tr>
      <w:tr w:rsidR="006876EC" w:rsidRPr="006876EC" w14:paraId="53475A90" w14:textId="77777777" w:rsidTr="006876EC">
        <w:trPr>
          <w:trHeight w:val="260"/>
        </w:trPr>
        <w:tc>
          <w:tcPr>
            <w:tcW w:w="2673" w:type="pct"/>
            <w:gridSpan w:val="2"/>
            <w:tcBorders>
              <w:top w:val="nil"/>
              <w:left w:val="nil"/>
              <w:bottom w:val="nil"/>
              <w:right w:val="nil"/>
            </w:tcBorders>
            <w:noWrap/>
            <w:vAlign w:val="bottom"/>
            <w:hideMark/>
          </w:tcPr>
          <w:p w14:paraId="0E6592C2"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t>Vyššie územné celky a ich rozpočtové organizácie</w:t>
            </w:r>
          </w:p>
        </w:tc>
        <w:tc>
          <w:tcPr>
            <w:tcW w:w="612" w:type="pct"/>
            <w:gridSpan w:val="3"/>
            <w:tcBorders>
              <w:top w:val="nil"/>
              <w:left w:val="nil"/>
              <w:bottom w:val="nil"/>
              <w:right w:val="nil"/>
            </w:tcBorders>
            <w:noWrap/>
            <w:vAlign w:val="bottom"/>
            <w:hideMark/>
          </w:tcPr>
          <w:p w14:paraId="69BBE874" w14:textId="5FF7E752" w:rsidR="006876EC" w:rsidRPr="006876EC" w:rsidRDefault="006876EC" w:rsidP="006876EC">
            <w:pPr>
              <w:spacing w:after="0" w:line="240" w:lineRule="auto"/>
              <w:jc w:val="right"/>
              <w:rPr>
                <w:sz w:val="20"/>
                <w:szCs w:val="20"/>
                <w:lang w:eastAsia="sk-SK"/>
              </w:rPr>
            </w:pPr>
            <w:r w:rsidRPr="006876EC">
              <w:rPr>
                <w:sz w:val="20"/>
                <w:szCs w:val="20"/>
              </w:rPr>
              <w:t>565 287</w:t>
            </w:r>
          </w:p>
        </w:tc>
        <w:tc>
          <w:tcPr>
            <w:tcW w:w="557" w:type="pct"/>
            <w:gridSpan w:val="2"/>
            <w:tcBorders>
              <w:top w:val="nil"/>
              <w:left w:val="nil"/>
              <w:bottom w:val="nil"/>
              <w:right w:val="nil"/>
            </w:tcBorders>
            <w:noWrap/>
            <w:vAlign w:val="bottom"/>
            <w:hideMark/>
          </w:tcPr>
          <w:p w14:paraId="68D18B05" w14:textId="69AD455F" w:rsidR="006876EC" w:rsidRPr="006876EC" w:rsidRDefault="006876EC" w:rsidP="006876EC">
            <w:pPr>
              <w:spacing w:after="0" w:line="240" w:lineRule="auto"/>
              <w:jc w:val="right"/>
              <w:rPr>
                <w:sz w:val="20"/>
                <w:szCs w:val="20"/>
                <w:lang w:eastAsia="sk-SK"/>
              </w:rPr>
            </w:pPr>
            <w:r w:rsidRPr="006876EC">
              <w:rPr>
                <w:sz w:val="20"/>
                <w:szCs w:val="20"/>
              </w:rPr>
              <w:t>701 738</w:t>
            </w:r>
          </w:p>
        </w:tc>
        <w:tc>
          <w:tcPr>
            <w:tcW w:w="556" w:type="pct"/>
            <w:gridSpan w:val="2"/>
            <w:tcBorders>
              <w:top w:val="nil"/>
              <w:left w:val="nil"/>
              <w:bottom w:val="nil"/>
              <w:right w:val="nil"/>
            </w:tcBorders>
            <w:noWrap/>
            <w:vAlign w:val="bottom"/>
            <w:hideMark/>
          </w:tcPr>
          <w:p w14:paraId="49CF39B3" w14:textId="59B8934A" w:rsidR="006876EC" w:rsidRPr="006876EC" w:rsidRDefault="006876EC" w:rsidP="006876EC">
            <w:pPr>
              <w:spacing w:after="0" w:line="240" w:lineRule="auto"/>
              <w:jc w:val="right"/>
              <w:rPr>
                <w:sz w:val="20"/>
                <w:szCs w:val="20"/>
                <w:lang w:eastAsia="sk-SK"/>
              </w:rPr>
            </w:pPr>
            <w:r w:rsidRPr="006876EC">
              <w:rPr>
                <w:sz w:val="20"/>
                <w:szCs w:val="20"/>
              </w:rPr>
              <w:t>652 244</w:t>
            </w:r>
          </w:p>
        </w:tc>
        <w:tc>
          <w:tcPr>
            <w:tcW w:w="602" w:type="pct"/>
            <w:tcBorders>
              <w:top w:val="nil"/>
              <w:left w:val="nil"/>
              <w:bottom w:val="nil"/>
              <w:right w:val="nil"/>
            </w:tcBorders>
            <w:noWrap/>
            <w:vAlign w:val="bottom"/>
            <w:hideMark/>
          </w:tcPr>
          <w:p w14:paraId="2DE55DAC" w14:textId="639409E3" w:rsidR="006876EC" w:rsidRPr="006876EC" w:rsidRDefault="006876EC" w:rsidP="006876EC">
            <w:pPr>
              <w:spacing w:after="0" w:line="240" w:lineRule="auto"/>
              <w:jc w:val="right"/>
              <w:rPr>
                <w:sz w:val="20"/>
                <w:szCs w:val="20"/>
                <w:lang w:eastAsia="sk-SK"/>
              </w:rPr>
            </w:pPr>
            <w:r w:rsidRPr="006876EC">
              <w:rPr>
                <w:sz w:val="20"/>
                <w:szCs w:val="20"/>
              </w:rPr>
              <w:t>-49 494</w:t>
            </w:r>
          </w:p>
        </w:tc>
      </w:tr>
      <w:tr w:rsidR="006876EC" w:rsidRPr="006876EC" w14:paraId="7886E2EB" w14:textId="77777777" w:rsidTr="006876EC">
        <w:trPr>
          <w:trHeight w:val="260"/>
        </w:trPr>
        <w:tc>
          <w:tcPr>
            <w:tcW w:w="2673" w:type="pct"/>
            <w:gridSpan w:val="2"/>
            <w:tcBorders>
              <w:top w:val="nil"/>
              <w:left w:val="nil"/>
              <w:bottom w:val="nil"/>
              <w:right w:val="nil"/>
            </w:tcBorders>
            <w:noWrap/>
            <w:vAlign w:val="bottom"/>
            <w:hideMark/>
          </w:tcPr>
          <w:p w14:paraId="736A204C"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t>Dopravné podniky</w:t>
            </w:r>
          </w:p>
        </w:tc>
        <w:tc>
          <w:tcPr>
            <w:tcW w:w="612" w:type="pct"/>
            <w:gridSpan w:val="3"/>
            <w:tcBorders>
              <w:top w:val="nil"/>
              <w:left w:val="nil"/>
              <w:bottom w:val="nil"/>
              <w:right w:val="nil"/>
            </w:tcBorders>
            <w:noWrap/>
            <w:vAlign w:val="bottom"/>
            <w:hideMark/>
          </w:tcPr>
          <w:p w14:paraId="49660995" w14:textId="22C7C3EE" w:rsidR="006876EC" w:rsidRPr="006876EC" w:rsidRDefault="006876EC" w:rsidP="006876EC">
            <w:pPr>
              <w:spacing w:after="0" w:line="240" w:lineRule="auto"/>
              <w:jc w:val="right"/>
              <w:rPr>
                <w:sz w:val="20"/>
                <w:szCs w:val="20"/>
                <w:lang w:eastAsia="sk-SK"/>
              </w:rPr>
            </w:pPr>
            <w:r w:rsidRPr="006876EC">
              <w:rPr>
                <w:sz w:val="20"/>
                <w:szCs w:val="20"/>
              </w:rPr>
              <w:t>106 800</w:t>
            </w:r>
          </w:p>
        </w:tc>
        <w:tc>
          <w:tcPr>
            <w:tcW w:w="557" w:type="pct"/>
            <w:gridSpan w:val="2"/>
            <w:tcBorders>
              <w:top w:val="nil"/>
              <w:left w:val="nil"/>
              <w:bottom w:val="nil"/>
              <w:right w:val="nil"/>
            </w:tcBorders>
            <w:noWrap/>
            <w:vAlign w:val="bottom"/>
            <w:hideMark/>
          </w:tcPr>
          <w:p w14:paraId="6A8A6A46" w14:textId="731FED2C" w:rsidR="006876EC" w:rsidRPr="006876EC" w:rsidRDefault="006876EC" w:rsidP="006876EC">
            <w:pPr>
              <w:spacing w:after="0" w:line="240" w:lineRule="auto"/>
              <w:jc w:val="right"/>
              <w:rPr>
                <w:sz w:val="20"/>
                <w:szCs w:val="20"/>
                <w:lang w:eastAsia="sk-SK"/>
              </w:rPr>
            </w:pPr>
            <w:r w:rsidRPr="006876EC">
              <w:rPr>
                <w:sz w:val="20"/>
                <w:szCs w:val="20"/>
              </w:rPr>
              <w:t>97 120</w:t>
            </w:r>
          </w:p>
        </w:tc>
        <w:tc>
          <w:tcPr>
            <w:tcW w:w="556" w:type="pct"/>
            <w:gridSpan w:val="2"/>
            <w:tcBorders>
              <w:top w:val="nil"/>
              <w:left w:val="nil"/>
              <w:bottom w:val="nil"/>
              <w:right w:val="nil"/>
            </w:tcBorders>
            <w:noWrap/>
            <w:vAlign w:val="bottom"/>
            <w:hideMark/>
          </w:tcPr>
          <w:p w14:paraId="5B1BF4C4" w14:textId="20E6861E" w:rsidR="006876EC" w:rsidRPr="006876EC" w:rsidRDefault="006876EC" w:rsidP="006876EC">
            <w:pPr>
              <w:spacing w:after="0" w:line="240" w:lineRule="auto"/>
              <w:jc w:val="right"/>
              <w:rPr>
                <w:sz w:val="20"/>
                <w:szCs w:val="20"/>
                <w:lang w:eastAsia="sk-SK"/>
              </w:rPr>
            </w:pPr>
            <w:r w:rsidRPr="006876EC">
              <w:rPr>
                <w:sz w:val="20"/>
                <w:szCs w:val="20"/>
              </w:rPr>
              <w:t>89 640</w:t>
            </w:r>
          </w:p>
        </w:tc>
        <w:tc>
          <w:tcPr>
            <w:tcW w:w="602" w:type="pct"/>
            <w:tcBorders>
              <w:top w:val="nil"/>
              <w:left w:val="nil"/>
              <w:bottom w:val="nil"/>
              <w:right w:val="nil"/>
            </w:tcBorders>
            <w:noWrap/>
            <w:vAlign w:val="bottom"/>
            <w:hideMark/>
          </w:tcPr>
          <w:p w14:paraId="5A89EE46" w14:textId="009C130E" w:rsidR="006876EC" w:rsidRPr="006876EC" w:rsidRDefault="006876EC" w:rsidP="006876EC">
            <w:pPr>
              <w:spacing w:after="0" w:line="240" w:lineRule="auto"/>
              <w:jc w:val="right"/>
              <w:rPr>
                <w:sz w:val="20"/>
                <w:szCs w:val="20"/>
                <w:lang w:eastAsia="sk-SK"/>
              </w:rPr>
            </w:pPr>
            <w:r w:rsidRPr="006876EC">
              <w:rPr>
                <w:sz w:val="20"/>
                <w:szCs w:val="20"/>
              </w:rPr>
              <w:t>-7 480</w:t>
            </w:r>
          </w:p>
        </w:tc>
      </w:tr>
      <w:tr w:rsidR="006876EC" w:rsidRPr="006876EC" w14:paraId="6E38BBEB" w14:textId="77777777" w:rsidTr="006876EC">
        <w:trPr>
          <w:trHeight w:val="260"/>
        </w:trPr>
        <w:tc>
          <w:tcPr>
            <w:tcW w:w="2673" w:type="pct"/>
            <w:gridSpan w:val="2"/>
            <w:tcBorders>
              <w:top w:val="nil"/>
              <w:left w:val="nil"/>
              <w:bottom w:val="nil"/>
              <w:right w:val="nil"/>
            </w:tcBorders>
            <w:noWrap/>
            <w:vAlign w:val="bottom"/>
            <w:hideMark/>
          </w:tcPr>
          <w:p w14:paraId="69BC5C5C"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t>Príspevkové organizácie obcí</w:t>
            </w:r>
          </w:p>
        </w:tc>
        <w:tc>
          <w:tcPr>
            <w:tcW w:w="612" w:type="pct"/>
            <w:gridSpan w:val="3"/>
            <w:tcBorders>
              <w:top w:val="nil"/>
              <w:left w:val="nil"/>
              <w:bottom w:val="nil"/>
              <w:right w:val="nil"/>
            </w:tcBorders>
            <w:noWrap/>
            <w:vAlign w:val="bottom"/>
            <w:hideMark/>
          </w:tcPr>
          <w:p w14:paraId="7A303386" w14:textId="0450C1FF" w:rsidR="006876EC" w:rsidRPr="006876EC" w:rsidRDefault="006876EC" w:rsidP="006876EC">
            <w:pPr>
              <w:spacing w:after="0" w:line="240" w:lineRule="auto"/>
              <w:jc w:val="right"/>
              <w:rPr>
                <w:sz w:val="20"/>
                <w:szCs w:val="20"/>
                <w:lang w:eastAsia="sk-SK"/>
              </w:rPr>
            </w:pPr>
            <w:r w:rsidRPr="006876EC">
              <w:rPr>
                <w:sz w:val="20"/>
                <w:szCs w:val="20"/>
              </w:rPr>
              <w:t>1 722</w:t>
            </w:r>
          </w:p>
        </w:tc>
        <w:tc>
          <w:tcPr>
            <w:tcW w:w="557" w:type="pct"/>
            <w:gridSpan w:val="2"/>
            <w:tcBorders>
              <w:top w:val="nil"/>
              <w:left w:val="nil"/>
              <w:bottom w:val="nil"/>
              <w:right w:val="nil"/>
            </w:tcBorders>
            <w:noWrap/>
            <w:vAlign w:val="bottom"/>
            <w:hideMark/>
          </w:tcPr>
          <w:p w14:paraId="2635906B" w14:textId="0D1C6A9B" w:rsidR="006876EC" w:rsidRPr="006876EC" w:rsidRDefault="006876EC" w:rsidP="006876EC">
            <w:pPr>
              <w:spacing w:after="0" w:line="240" w:lineRule="auto"/>
              <w:jc w:val="right"/>
              <w:rPr>
                <w:sz w:val="20"/>
                <w:szCs w:val="20"/>
                <w:lang w:eastAsia="sk-SK"/>
              </w:rPr>
            </w:pPr>
            <w:r w:rsidRPr="006876EC">
              <w:rPr>
                <w:sz w:val="20"/>
                <w:szCs w:val="20"/>
              </w:rPr>
              <w:t>2 849</w:t>
            </w:r>
          </w:p>
        </w:tc>
        <w:tc>
          <w:tcPr>
            <w:tcW w:w="556" w:type="pct"/>
            <w:gridSpan w:val="2"/>
            <w:tcBorders>
              <w:top w:val="nil"/>
              <w:left w:val="nil"/>
              <w:bottom w:val="nil"/>
              <w:right w:val="nil"/>
            </w:tcBorders>
            <w:noWrap/>
            <w:vAlign w:val="bottom"/>
            <w:hideMark/>
          </w:tcPr>
          <w:p w14:paraId="6FF232B5" w14:textId="28FFB7CC" w:rsidR="006876EC" w:rsidRPr="006876EC" w:rsidRDefault="006876EC" w:rsidP="006876EC">
            <w:pPr>
              <w:spacing w:after="0" w:line="240" w:lineRule="auto"/>
              <w:jc w:val="right"/>
              <w:rPr>
                <w:sz w:val="20"/>
                <w:szCs w:val="20"/>
                <w:lang w:eastAsia="sk-SK"/>
              </w:rPr>
            </w:pPr>
            <w:r w:rsidRPr="006876EC">
              <w:rPr>
                <w:sz w:val="20"/>
                <w:szCs w:val="20"/>
              </w:rPr>
              <w:t>2 686</w:t>
            </w:r>
          </w:p>
        </w:tc>
        <w:tc>
          <w:tcPr>
            <w:tcW w:w="602" w:type="pct"/>
            <w:tcBorders>
              <w:top w:val="nil"/>
              <w:left w:val="nil"/>
              <w:bottom w:val="nil"/>
              <w:right w:val="nil"/>
            </w:tcBorders>
            <w:noWrap/>
            <w:vAlign w:val="bottom"/>
            <w:hideMark/>
          </w:tcPr>
          <w:p w14:paraId="399041CA" w14:textId="6A96452E" w:rsidR="006876EC" w:rsidRPr="006876EC" w:rsidRDefault="006876EC" w:rsidP="006876EC">
            <w:pPr>
              <w:spacing w:after="0" w:line="240" w:lineRule="auto"/>
              <w:jc w:val="right"/>
              <w:rPr>
                <w:sz w:val="20"/>
                <w:szCs w:val="20"/>
                <w:lang w:eastAsia="sk-SK"/>
              </w:rPr>
            </w:pPr>
            <w:r w:rsidRPr="006876EC">
              <w:rPr>
                <w:sz w:val="20"/>
                <w:szCs w:val="20"/>
              </w:rPr>
              <w:t>-163</w:t>
            </w:r>
          </w:p>
        </w:tc>
      </w:tr>
      <w:tr w:rsidR="006876EC" w:rsidRPr="006876EC" w14:paraId="5ED767EE" w14:textId="77777777" w:rsidTr="006876EC">
        <w:trPr>
          <w:trHeight w:val="260"/>
        </w:trPr>
        <w:tc>
          <w:tcPr>
            <w:tcW w:w="2673" w:type="pct"/>
            <w:gridSpan w:val="2"/>
            <w:tcBorders>
              <w:top w:val="nil"/>
              <w:left w:val="nil"/>
              <w:bottom w:val="nil"/>
              <w:right w:val="nil"/>
            </w:tcBorders>
            <w:noWrap/>
            <w:vAlign w:val="bottom"/>
            <w:hideMark/>
          </w:tcPr>
          <w:p w14:paraId="118E28E6"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t>Príspevkové organizácie VÚC</w:t>
            </w:r>
          </w:p>
        </w:tc>
        <w:tc>
          <w:tcPr>
            <w:tcW w:w="612" w:type="pct"/>
            <w:gridSpan w:val="3"/>
            <w:tcBorders>
              <w:top w:val="nil"/>
              <w:left w:val="nil"/>
              <w:bottom w:val="nil"/>
              <w:right w:val="nil"/>
            </w:tcBorders>
            <w:noWrap/>
            <w:vAlign w:val="bottom"/>
            <w:hideMark/>
          </w:tcPr>
          <w:p w14:paraId="15C3C338" w14:textId="7C83197A" w:rsidR="006876EC" w:rsidRPr="006876EC" w:rsidRDefault="006876EC" w:rsidP="006876EC">
            <w:pPr>
              <w:spacing w:after="0" w:line="240" w:lineRule="auto"/>
              <w:jc w:val="right"/>
              <w:rPr>
                <w:sz w:val="20"/>
                <w:szCs w:val="20"/>
                <w:lang w:eastAsia="sk-SK"/>
              </w:rPr>
            </w:pPr>
            <w:r w:rsidRPr="006876EC">
              <w:rPr>
                <w:sz w:val="20"/>
                <w:szCs w:val="20"/>
              </w:rPr>
              <w:t>1 246</w:t>
            </w:r>
          </w:p>
        </w:tc>
        <w:tc>
          <w:tcPr>
            <w:tcW w:w="557" w:type="pct"/>
            <w:gridSpan w:val="2"/>
            <w:tcBorders>
              <w:top w:val="nil"/>
              <w:left w:val="nil"/>
              <w:bottom w:val="nil"/>
              <w:right w:val="nil"/>
            </w:tcBorders>
            <w:noWrap/>
            <w:vAlign w:val="bottom"/>
            <w:hideMark/>
          </w:tcPr>
          <w:p w14:paraId="1224EFA6" w14:textId="4BB484E5" w:rsidR="006876EC" w:rsidRPr="006876EC" w:rsidRDefault="006876EC" w:rsidP="006876EC">
            <w:pPr>
              <w:spacing w:after="0" w:line="240" w:lineRule="auto"/>
              <w:jc w:val="right"/>
              <w:rPr>
                <w:sz w:val="20"/>
                <w:szCs w:val="20"/>
                <w:lang w:eastAsia="sk-SK"/>
              </w:rPr>
            </w:pPr>
            <w:r w:rsidRPr="006876EC">
              <w:rPr>
                <w:sz w:val="20"/>
                <w:szCs w:val="20"/>
              </w:rPr>
              <w:t>1 345</w:t>
            </w:r>
          </w:p>
        </w:tc>
        <w:tc>
          <w:tcPr>
            <w:tcW w:w="556" w:type="pct"/>
            <w:gridSpan w:val="2"/>
            <w:tcBorders>
              <w:top w:val="nil"/>
              <w:left w:val="nil"/>
              <w:bottom w:val="nil"/>
              <w:right w:val="nil"/>
            </w:tcBorders>
            <w:noWrap/>
            <w:vAlign w:val="bottom"/>
            <w:hideMark/>
          </w:tcPr>
          <w:p w14:paraId="2E0A5E8A" w14:textId="2DC52773" w:rsidR="006876EC" w:rsidRPr="006876EC" w:rsidRDefault="006876EC" w:rsidP="006876EC">
            <w:pPr>
              <w:spacing w:after="0" w:line="240" w:lineRule="auto"/>
              <w:jc w:val="right"/>
              <w:rPr>
                <w:sz w:val="20"/>
                <w:szCs w:val="20"/>
                <w:lang w:eastAsia="sk-SK"/>
              </w:rPr>
            </w:pPr>
            <w:r w:rsidRPr="006876EC">
              <w:rPr>
                <w:sz w:val="20"/>
                <w:szCs w:val="20"/>
              </w:rPr>
              <w:t>1 544</w:t>
            </w:r>
          </w:p>
        </w:tc>
        <w:tc>
          <w:tcPr>
            <w:tcW w:w="602" w:type="pct"/>
            <w:tcBorders>
              <w:top w:val="nil"/>
              <w:left w:val="nil"/>
              <w:bottom w:val="nil"/>
              <w:right w:val="nil"/>
            </w:tcBorders>
            <w:noWrap/>
            <w:vAlign w:val="bottom"/>
            <w:hideMark/>
          </w:tcPr>
          <w:p w14:paraId="5ED9A68D" w14:textId="021766F7" w:rsidR="006876EC" w:rsidRPr="006876EC" w:rsidRDefault="006876EC" w:rsidP="006876EC">
            <w:pPr>
              <w:spacing w:after="0" w:line="240" w:lineRule="auto"/>
              <w:jc w:val="right"/>
              <w:rPr>
                <w:sz w:val="20"/>
                <w:szCs w:val="20"/>
                <w:lang w:eastAsia="sk-SK"/>
              </w:rPr>
            </w:pPr>
            <w:r w:rsidRPr="006876EC">
              <w:rPr>
                <w:sz w:val="20"/>
                <w:szCs w:val="20"/>
              </w:rPr>
              <w:t>199</w:t>
            </w:r>
          </w:p>
        </w:tc>
      </w:tr>
      <w:tr w:rsidR="006876EC" w:rsidRPr="006876EC" w14:paraId="24EB6A73" w14:textId="77777777" w:rsidTr="006876EC">
        <w:trPr>
          <w:trHeight w:val="260"/>
        </w:trPr>
        <w:tc>
          <w:tcPr>
            <w:tcW w:w="2673" w:type="pct"/>
            <w:gridSpan w:val="2"/>
            <w:tcBorders>
              <w:top w:val="nil"/>
              <w:left w:val="nil"/>
              <w:bottom w:val="nil"/>
              <w:right w:val="nil"/>
            </w:tcBorders>
            <w:noWrap/>
            <w:vAlign w:val="bottom"/>
            <w:hideMark/>
          </w:tcPr>
          <w:p w14:paraId="08BB0735"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lastRenderedPageBreak/>
              <w:t>Zdravotnícke zariadenia miestnej samosprávy</w:t>
            </w:r>
          </w:p>
        </w:tc>
        <w:tc>
          <w:tcPr>
            <w:tcW w:w="612" w:type="pct"/>
            <w:gridSpan w:val="3"/>
            <w:tcBorders>
              <w:top w:val="nil"/>
              <w:left w:val="nil"/>
              <w:bottom w:val="nil"/>
              <w:right w:val="nil"/>
            </w:tcBorders>
            <w:noWrap/>
            <w:vAlign w:val="bottom"/>
            <w:hideMark/>
          </w:tcPr>
          <w:p w14:paraId="0A102565" w14:textId="5F5AB230" w:rsidR="006876EC" w:rsidRPr="006876EC" w:rsidRDefault="006876EC" w:rsidP="006876EC">
            <w:pPr>
              <w:spacing w:after="0" w:line="240" w:lineRule="auto"/>
              <w:jc w:val="right"/>
              <w:rPr>
                <w:sz w:val="20"/>
                <w:szCs w:val="20"/>
                <w:lang w:eastAsia="sk-SK"/>
              </w:rPr>
            </w:pPr>
            <w:r w:rsidRPr="006876EC">
              <w:rPr>
                <w:sz w:val="20"/>
                <w:szCs w:val="20"/>
              </w:rPr>
              <w:t>3 362</w:t>
            </w:r>
          </w:p>
        </w:tc>
        <w:tc>
          <w:tcPr>
            <w:tcW w:w="557" w:type="pct"/>
            <w:gridSpan w:val="2"/>
            <w:tcBorders>
              <w:top w:val="nil"/>
              <w:left w:val="nil"/>
              <w:bottom w:val="nil"/>
              <w:right w:val="nil"/>
            </w:tcBorders>
            <w:noWrap/>
            <w:vAlign w:val="bottom"/>
            <w:hideMark/>
          </w:tcPr>
          <w:p w14:paraId="28773C74" w14:textId="10CBA67D" w:rsidR="006876EC" w:rsidRPr="006876EC" w:rsidRDefault="006876EC" w:rsidP="006876EC">
            <w:pPr>
              <w:spacing w:after="0" w:line="240" w:lineRule="auto"/>
              <w:jc w:val="right"/>
              <w:rPr>
                <w:sz w:val="20"/>
                <w:szCs w:val="20"/>
                <w:lang w:eastAsia="sk-SK"/>
              </w:rPr>
            </w:pPr>
            <w:r w:rsidRPr="006876EC">
              <w:rPr>
                <w:sz w:val="20"/>
                <w:szCs w:val="20"/>
              </w:rPr>
              <w:t>3 147</w:t>
            </w:r>
          </w:p>
        </w:tc>
        <w:tc>
          <w:tcPr>
            <w:tcW w:w="556" w:type="pct"/>
            <w:gridSpan w:val="2"/>
            <w:tcBorders>
              <w:top w:val="nil"/>
              <w:left w:val="nil"/>
              <w:bottom w:val="nil"/>
              <w:right w:val="nil"/>
            </w:tcBorders>
            <w:noWrap/>
            <w:vAlign w:val="bottom"/>
            <w:hideMark/>
          </w:tcPr>
          <w:p w14:paraId="015700CA" w14:textId="04277938" w:rsidR="006876EC" w:rsidRPr="006876EC" w:rsidRDefault="006876EC" w:rsidP="006876EC">
            <w:pPr>
              <w:spacing w:after="0" w:line="240" w:lineRule="auto"/>
              <w:jc w:val="right"/>
              <w:rPr>
                <w:sz w:val="20"/>
                <w:szCs w:val="20"/>
                <w:lang w:eastAsia="sk-SK"/>
              </w:rPr>
            </w:pPr>
            <w:r w:rsidRPr="006876EC">
              <w:rPr>
                <w:sz w:val="20"/>
                <w:szCs w:val="20"/>
              </w:rPr>
              <w:t>2 988</w:t>
            </w:r>
          </w:p>
        </w:tc>
        <w:tc>
          <w:tcPr>
            <w:tcW w:w="602" w:type="pct"/>
            <w:tcBorders>
              <w:top w:val="nil"/>
              <w:left w:val="nil"/>
              <w:bottom w:val="nil"/>
              <w:right w:val="nil"/>
            </w:tcBorders>
            <w:noWrap/>
            <w:vAlign w:val="bottom"/>
            <w:hideMark/>
          </w:tcPr>
          <w:p w14:paraId="01C60646" w14:textId="3F25C1E5" w:rsidR="006876EC" w:rsidRPr="006876EC" w:rsidRDefault="006876EC" w:rsidP="006876EC">
            <w:pPr>
              <w:spacing w:after="0" w:line="240" w:lineRule="auto"/>
              <w:jc w:val="right"/>
              <w:rPr>
                <w:sz w:val="20"/>
                <w:szCs w:val="20"/>
                <w:lang w:eastAsia="sk-SK"/>
              </w:rPr>
            </w:pPr>
            <w:r w:rsidRPr="006876EC">
              <w:rPr>
                <w:sz w:val="20"/>
                <w:szCs w:val="20"/>
              </w:rPr>
              <w:t>-159</w:t>
            </w:r>
          </w:p>
        </w:tc>
      </w:tr>
      <w:tr w:rsidR="006876EC" w:rsidRPr="006876EC" w14:paraId="750464A5" w14:textId="77777777" w:rsidTr="006876EC">
        <w:trPr>
          <w:trHeight w:val="260"/>
        </w:trPr>
        <w:tc>
          <w:tcPr>
            <w:tcW w:w="2673" w:type="pct"/>
            <w:gridSpan w:val="2"/>
            <w:tcBorders>
              <w:top w:val="nil"/>
              <w:left w:val="nil"/>
              <w:bottom w:val="nil"/>
              <w:right w:val="nil"/>
            </w:tcBorders>
            <w:noWrap/>
            <w:vAlign w:val="bottom"/>
            <w:hideMark/>
          </w:tcPr>
          <w:p w14:paraId="765F7388"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t>Ostatné subjekty miestnej samosprávy</w:t>
            </w:r>
          </w:p>
        </w:tc>
        <w:tc>
          <w:tcPr>
            <w:tcW w:w="612" w:type="pct"/>
            <w:gridSpan w:val="3"/>
            <w:tcBorders>
              <w:top w:val="nil"/>
              <w:left w:val="nil"/>
              <w:bottom w:val="nil"/>
              <w:right w:val="nil"/>
            </w:tcBorders>
            <w:noWrap/>
            <w:vAlign w:val="bottom"/>
            <w:hideMark/>
          </w:tcPr>
          <w:p w14:paraId="46E03156" w14:textId="6FD39FA5" w:rsidR="006876EC" w:rsidRPr="006876EC" w:rsidRDefault="006876EC" w:rsidP="006876EC">
            <w:pPr>
              <w:spacing w:after="0" w:line="240" w:lineRule="auto"/>
              <w:jc w:val="right"/>
              <w:rPr>
                <w:sz w:val="20"/>
                <w:szCs w:val="20"/>
                <w:lang w:eastAsia="sk-SK"/>
              </w:rPr>
            </w:pPr>
            <w:r w:rsidRPr="006876EC">
              <w:rPr>
                <w:sz w:val="20"/>
                <w:szCs w:val="20"/>
              </w:rPr>
              <w:t>19 395</w:t>
            </w:r>
          </w:p>
        </w:tc>
        <w:tc>
          <w:tcPr>
            <w:tcW w:w="557" w:type="pct"/>
            <w:gridSpan w:val="2"/>
            <w:tcBorders>
              <w:top w:val="nil"/>
              <w:left w:val="nil"/>
              <w:bottom w:val="nil"/>
              <w:right w:val="nil"/>
            </w:tcBorders>
            <w:noWrap/>
            <w:vAlign w:val="bottom"/>
            <w:hideMark/>
          </w:tcPr>
          <w:p w14:paraId="21D19B51" w14:textId="3798381C" w:rsidR="006876EC" w:rsidRPr="006876EC" w:rsidRDefault="006876EC" w:rsidP="006876EC">
            <w:pPr>
              <w:spacing w:after="0" w:line="240" w:lineRule="auto"/>
              <w:jc w:val="right"/>
              <w:rPr>
                <w:sz w:val="20"/>
                <w:szCs w:val="20"/>
                <w:lang w:eastAsia="sk-SK"/>
              </w:rPr>
            </w:pPr>
            <w:r w:rsidRPr="006876EC">
              <w:rPr>
                <w:sz w:val="20"/>
                <w:szCs w:val="20"/>
              </w:rPr>
              <w:t>22 245</w:t>
            </w:r>
          </w:p>
        </w:tc>
        <w:tc>
          <w:tcPr>
            <w:tcW w:w="556" w:type="pct"/>
            <w:gridSpan w:val="2"/>
            <w:tcBorders>
              <w:top w:val="nil"/>
              <w:left w:val="nil"/>
              <w:bottom w:val="nil"/>
              <w:right w:val="nil"/>
            </w:tcBorders>
            <w:noWrap/>
            <w:vAlign w:val="bottom"/>
            <w:hideMark/>
          </w:tcPr>
          <w:p w14:paraId="01403B8F" w14:textId="45C910F2" w:rsidR="006876EC" w:rsidRPr="006876EC" w:rsidRDefault="006876EC" w:rsidP="006876EC">
            <w:pPr>
              <w:spacing w:after="0" w:line="240" w:lineRule="auto"/>
              <w:jc w:val="right"/>
              <w:rPr>
                <w:sz w:val="20"/>
                <w:szCs w:val="20"/>
                <w:lang w:eastAsia="sk-SK"/>
              </w:rPr>
            </w:pPr>
            <w:r w:rsidRPr="006876EC">
              <w:rPr>
                <w:sz w:val="20"/>
                <w:szCs w:val="20"/>
              </w:rPr>
              <w:t>33 158</w:t>
            </w:r>
          </w:p>
        </w:tc>
        <w:tc>
          <w:tcPr>
            <w:tcW w:w="602" w:type="pct"/>
            <w:tcBorders>
              <w:top w:val="nil"/>
              <w:left w:val="nil"/>
              <w:bottom w:val="nil"/>
              <w:right w:val="nil"/>
            </w:tcBorders>
            <w:noWrap/>
            <w:vAlign w:val="bottom"/>
            <w:hideMark/>
          </w:tcPr>
          <w:p w14:paraId="18399B38" w14:textId="726CF1BD" w:rsidR="006876EC" w:rsidRPr="006876EC" w:rsidRDefault="006876EC" w:rsidP="006876EC">
            <w:pPr>
              <w:spacing w:after="0" w:line="240" w:lineRule="auto"/>
              <w:jc w:val="right"/>
              <w:rPr>
                <w:sz w:val="20"/>
                <w:szCs w:val="20"/>
                <w:lang w:eastAsia="sk-SK"/>
              </w:rPr>
            </w:pPr>
            <w:r w:rsidRPr="006876EC">
              <w:rPr>
                <w:sz w:val="20"/>
                <w:szCs w:val="20"/>
              </w:rPr>
              <w:t>10 913</w:t>
            </w:r>
          </w:p>
        </w:tc>
      </w:tr>
      <w:tr w:rsidR="006876EC" w:rsidRPr="006876EC" w14:paraId="71CE4F77" w14:textId="77777777" w:rsidTr="006876EC">
        <w:trPr>
          <w:trHeight w:val="260"/>
        </w:trPr>
        <w:tc>
          <w:tcPr>
            <w:tcW w:w="2673" w:type="pct"/>
            <w:gridSpan w:val="2"/>
            <w:tcBorders>
              <w:top w:val="nil"/>
              <w:left w:val="nil"/>
              <w:bottom w:val="nil"/>
              <w:right w:val="nil"/>
            </w:tcBorders>
            <w:noWrap/>
            <w:vAlign w:val="bottom"/>
            <w:hideMark/>
          </w:tcPr>
          <w:p w14:paraId="44960737" w14:textId="77777777" w:rsidR="006876EC" w:rsidRPr="006876EC" w:rsidRDefault="006876EC" w:rsidP="006876EC">
            <w:pPr>
              <w:spacing w:after="0" w:line="240" w:lineRule="auto"/>
              <w:rPr>
                <w:b/>
                <w:bCs/>
                <w:sz w:val="20"/>
                <w:szCs w:val="20"/>
                <w:lang w:eastAsia="sk-SK"/>
              </w:rPr>
            </w:pPr>
            <w:r w:rsidRPr="006876EC">
              <w:rPr>
                <w:b/>
                <w:bCs/>
                <w:sz w:val="20"/>
                <w:szCs w:val="20"/>
                <w:lang w:eastAsia="sk-SK"/>
              </w:rPr>
              <w:t>Fondy sociálneho zabezpečenia</w:t>
            </w:r>
          </w:p>
        </w:tc>
        <w:tc>
          <w:tcPr>
            <w:tcW w:w="612" w:type="pct"/>
            <w:gridSpan w:val="3"/>
            <w:tcBorders>
              <w:top w:val="nil"/>
              <w:left w:val="nil"/>
              <w:bottom w:val="nil"/>
              <w:right w:val="nil"/>
            </w:tcBorders>
            <w:noWrap/>
            <w:vAlign w:val="bottom"/>
            <w:hideMark/>
          </w:tcPr>
          <w:p w14:paraId="4A9F8F30" w14:textId="2EAAE047" w:rsidR="006876EC" w:rsidRPr="006876EC" w:rsidRDefault="006876EC" w:rsidP="006876EC">
            <w:pPr>
              <w:spacing w:after="0" w:line="240" w:lineRule="auto"/>
              <w:jc w:val="right"/>
              <w:rPr>
                <w:b/>
                <w:bCs/>
                <w:sz w:val="20"/>
                <w:szCs w:val="20"/>
                <w:lang w:eastAsia="sk-SK"/>
              </w:rPr>
            </w:pPr>
            <w:r w:rsidRPr="006876EC">
              <w:rPr>
                <w:b/>
                <w:bCs/>
                <w:sz w:val="20"/>
                <w:szCs w:val="20"/>
              </w:rPr>
              <w:t>931</w:t>
            </w:r>
          </w:p>
        </w:tc>
        <w:tc>
          <w:tcPr>
            <w:tcW w:w="557" w:type="pct"/>
            <w:gridSpan w:val="2"/>
            <w:tcBorders>
              <w:top w:val="nil"/>
              <w:left w:val="nil"/>
              <w:bottom w:val="nil"/>
              <w:right w:val="nil"/>
            </w:tcBorders>
            <w:noWrap/>
            <w:vAlign w:val="bottom"/>
            <w:hideMark/>
          </w:tcPr>
          <w:p w14:paraId="664505D8" w14:textId="5B12FE08" w:rsidR="006876EC" w:rsidRPr="006876EC" w:rsidRDefault="006876EC" w:rsidP="006876EC">
            <w:pPr>
              <w:spacing w:after="0" w:line="240" w:lineRule="auto"/>
              <w:jc w:val="right"/>
              <w:rPr>
                <w:b/>
                <w:bCs/>
                <w:sz w:val="20"/>
                <w:szCs w:val="20"/>
                <w:lang w:eastAsia="sk-SK"/>
              </w:rPr>
            </w:pPr>
            <w:r w:rsidRPr="006876EC">
              <w:rPr>
                <w:b/>
                <w:bCs/>
                <w:sz w:val="20"/>
                <w:szCs w:val="20"/>
              </w:rPr>
              <w:t>546</w:t>
            </w:r>
          </w:p>
        </w:tc>
        <w:tc>
          <w:tcPr>
            <w:tcW w:w="556" w:type="pct"/>
            <w:gridSpan w:val="2"/>
            <w:tcBorders>
              <w:top w:val="nil"/>
              <w:left w:val="nil"/>
              <w:bottom w:val="nil"/>
              <w:right w:val="nil"/>
            </w:tcBorders>
            <w:noWrap/>
            <w:vAlign w:val="bottom"/>
            <w:hideMark/>
          </w:tcPr>
          <w:p w14:paraId="00FE0E68" w14:textId="0EFF751D" w:rsidR="006876EC" w:rsidRPr="006876EC" w:rsidRDefault="006876EC" w:rsidP="006876EC">
            <w:pPr>
              <w:spacing w:after="0" w:line="240" w:lineRule="auto"/>
              <w:jc w:val="right"/>
              <w:rPr>
                <w:b/>
                <w:bCs/>
                <w:sz w:val="20"/>
                <w:szCs w:val="20"/>
                <w:lang w:eastAsia="sk-SK"/>
              </w:rPr>
            </w:pPr>
            <w:r w:rsidRPr="006876EC">
              <w:rPr>
                <w:b/>
                <w:bCs/>
                <w:sz w:val="20"/>
                <w:szCs w:val="20"/>
              </w:rPr>
              <w:t>1 132</w:t>
            </w:r>
          </w:p>
        </w:tc>
        <w:tc>
          <w:tcPr>
            <w:tcW w:w="602" w:type="pct"/>
            <w:tcBorders>
              <w:top w:val="nil"/>
              <w:left w:val="nil"/>
              <w:bottom w:val="nil"/>
              <w:right w:val="nil"/>
            </w:tcBorders>
            <w:noWrap/>
            <w:vAlign w:val="bottom"/>
            <w:hideMark/>
          </w:tcPr>
          <w:p w14:paraId="2D7B6494" w14:textId="233F91AA" w:rsidR="006876EC" w:rsidRPr="006876EC" w:rsidRDefault="006876EC" w:rsidP="006876EC">
            <w:pPr>
              <w:spacing w:after="0" w:line="240" w:lineRule="auto"/>
              <w:jc w:val="right"/>
              <w:rPr>
                <w:b/>
                <w:bCs/>
                <w:sz w:val="20"/>
                <w:szCs w:val="20"/>
                <w:lang w:eastAsia="sk-SK"/>
              </w:rPr>
            </w:pPr>
            <w:r w:rsidRPr="006876EC">
              <w:rPr>
                <w:b/>
                <w:bCs/>
                <w:sz w:val="20"/>
                <w:szCs w:val="20"/>
              </w:rPr>
              <w:t>586</w:t>
            </w:r>
          </w:p>
        </w:tc>
      </w:tr>
      <w:tr w:rsidR="006876EC" w:rsidRPr="006876EC" w14:paraId="186EDB30" w14:textId="77777777" w:rsidTr="006876EC">
        <w:trPr>
          <w:trHeight w:val="260"/>
        </w:trPr>
        <w:tc>
          <w:tcPr>
            <w:tcW w:w="2673" w:type="pct"/>
            <w:gridSpan w:val="2"/>
            <w:tcBorders>
              <w:top w:val="nil"/>
              <w:left w:val="nil"/>
              <w:bottom w:val="nil"/>
              <w:right w:val="nil"/>
            </w:tcBorders>
            <w:noWrap/>
            <w:vAlign w:val="bottom"/>
            <w:hideMark/>
          </w:tcPr>
          <w:p w14:paraId="12CB7B70"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t>Sociálna poisťovňa</w:t>
            </w:r>
          </w:p>
        </w:tc>
        <w:tc>
          <w:tcPr>
            <w:tcW w:w="612" w:type="pct"/>
            <w:gridSpan w:val="3"/>
            <w:tcBorders>
              <w:top w:val="nil"/>
              <w:left w:val="nil"/>
              <w:bottom w:val="nil"/>
              <w:right w:val="nil"/>
            </w:tcBorders>
            <w:noWrap/>
            <w:vAlign w:val="bottom"/>
            <w:hideMark/>
          </w:tcPr>
          <w:p w14:paraId="234B2279" w14:textId="6D9AB5D4" w:rsidR="006876EC" w:rsidRPr="006876EC" w:rsidRDefault="006876EC" w:rsidP="006876EC">
            <w:pPr>
              <w:spacing w:after="0" w:line="240" w:lineRule="auto"/>
              <w:jc w:val="right"/>
              <w:rPr>
                <w:sz w:val="20"/>
                <w:szCs w:val="20"/>
                <w:lang w:eastAsia="sk-SK"/>
              </w:rPr>
            </w:pPr>
            <w:r w:rsidRPr="006876EC">
              <w:rPr>
                <w:sz w:val="20"/>
                <w:szCs w:val="20"/>
              </w:rPr>
              <w:t>586</w:t>
            </w:r>
          </w:p>
        </w:tc>
        <w:tc>
          <w:tcPr>
            <w:tcW w:w="557" w:type="pct"/>
            <w:gridSpan w:val="2"/>
            <w:tcBorders>
              <w:top w:val="nil"/>
              <w:left w:val="nil"/>
              <w:bottom w:val="nil"/>
              <w:right w:val="nil"/>
            </w:tcBorders>
            <w:noWrap/>
            <w:vAlign w:val="bottom"/>
            <w:hideMark/>
          </w:tcPr>
          <w:p w14:paraId="14764AEF" w14:textId="6CC79118" w:rsidR="006876EC" w:rsidRPr="006876EC" w:rsidRDefault="006876EC" w:rsidP="006876EC">
            <w:pPr>
              <w:spacing w:after="0" w:line="240" w:lineRule="auto"/>
              <w:jc w:val="right"/>
              <w:rPr>
                <w:sz w:val="20"/>
                <w:szCs w:val="20"/>
                <w:lang w:eastAsia="sk-SK"/>
              </w:rPr>
            </w:pPr>
            <w:r w:rsidRPr="006876EC">
              <w:rPr>
                <w:sz w:val="20"/>
                <w:szCs w:val="20"/>
              </w:rPr>
              <w:t>466</w:t>
            </w:r>
          </w:p>
        </w:tc>
        <w:tc>
          <w:tcPr>
            <w:tcW w:w="556" w:type="pct"/>
            <w:gridSpan w:val="2"/>
            <w:tcBorders>
              <w:top w:val="nil"/>
              <w:left w:val="nil"/>
              <w:bottom w:val="nil"/>
              <w:right w:val="nil"/>
            </w:tcBorders>
            <w:noWrap/>
            <w:vAlign w:val="bottom"/>
            <w:hideMark/>
          </w:tcPr>
          <w:p w14:paraId="19257789" w14:textId="51F2FE2C" w:rsidR="006876EC" w:rsidRPr="006876EC" w:rsidRDefault="006876EC" w:rsidP="006876EC">
            <w:pPr>
              <w:spacing w:after="0" w:line="240" w:lineRule="auto"/>
              <w:jc w:val="right"/>
              <w:rPr>
                <w:sz w:val="20"/>
                <w:szCs w:val="20"/>
                <w:lang w:eastAsia="sk-SK"/>
              </w:rPr>
            </w:pPr>
            <w:r w:rsidRPr="006876EC">
              <w:rPr>
                <w:sz w:val="20"/>
                <w:szCs w:val="20"/>
              </w:rPr>
              <w:t>1 012</w:t>
            </w:r>
          </w:p>
        </w:tc>
        <w:tc>
          <w:tcPr>
            <w:tcW w:w="602" w:type="pct"/>
            <w:tcBorders>
              <w:top w:val="nil"/>
              <w:left w:val="nil"/>
              <w:bottom w:val="nil"/>
              <w:right w:val="nil"/>
            </w:tcBorders>
            <w:noWrap/>
            <w:vAlign w:val="bottom"/>
            <w:hideMark/>
          </w:tcPr>
          <w:p w14:paraId="4D678BE6" w14:textId="130A0E8F" w:rsidR="006876EC" w:rsidRPr="006876EC" w:rsidRDefault="006876EC" w:rsidP="006876EC">
            <w:pPr>
              <w:spacing w:after="0" w:line="240" w:lineRule="auto"/>
              <w:jc w:val="right"/>
              <w:rPr>
                <w:sz w:val="20"/>
                <w:szCs w:val="20"/>
                <w:lang w:eastAsia="sk-SK"/>
              </w:rPr>
            </w:pPr>
            <w:r w:rsidRPr="006876EC">
              <w:rPr>
                <w:sz w:val="20"/>
                <w:szCs w:val="20"/>
              </w:rPr>
              <w:t>546</w:t>
            </w:r>
          </w:p>
        </w:tc>
      </w:tr>
      <w:tr w:rsidR="006876EC" w:rsidRPr="006876EC" w14:paraId="1768D88E" w14:textId="77777777" w:rsidTr="006876EC">
        <w:trPr>
          <w:trHeight w:val="260"/>
        </w:trPr>
        <w:tc>
          <w:tcPr>
            <w:tcW w:w="2673" w:type="pct"/>
            <w:gridSpan w:val="2"/>
            <w:tcBorders>
              <w:top w:val="nil"/>
              <w:left w:val="nil"/>
              <w:bottom w:val="nil"/>
              <w:right w:val="nil"/>
            </w:tcBorders>
            <w:noWrap/>
            <w:vAlign w:val="bottom"/>
            <w:hideMark/>
          </w:tcPr>
          <w:p w14:paraId="6FDB71BD" w14:textId="77777777" w:rsidR="006876EC" w:rsidRPr="006876EC" w:rsidRDefault="006876EC" w:rsidP="006876EC">
            <w:pPr>
              <w:spacing w:after="0" w:line="240" w:lineRule="auto"/>
              <w:ind w:firstLineChars="200" w:firstLine="400"/>
              <w:rPr>
                <w:sz w:val="20"/>
                <w:szCs w:val="20"/>
                <w:lang w:eastAsia="sk-SK"/>
              </w:rPr>
            </w:pPr>
            <w:r w:rsidRPr="006876EC">
              <w:rPr>
                <w:sz w:val="20"/>
                <w:szCs w:val="20"/>
                <w:lang w:eastAsia="sk-SK"/>
              </w:rPr>
              <w:t>Verejné zdravotné poistenie</w:t>
            </w:r>
          </w:p>
        </w:tc>
        <w:tc>
          <w:tcPr>
            <w:tcW w:w="612" w:type="pct"/>
            <w:gridSpan w:val="3"/>
            <w:tcBorders>
              <w:top w:val="nil"/>
              <w:left w:val="nil"/>
              <w:bottom w:val="nil"/>
              <w:right w:val="nil"/>
            </w:tcBorders>
            <w:noWrap/>
            <w:vAlign w:val="bottom"/>
            <w:hideMark/>
          </w:tcPr>
          <w:p w14:paraId="50A74D6E" w14:textId="5C86B585" w:rsidR="006876EC" w:rsidRPr="006876EC" w:rsidRDefault="006876EC" w:rsidP="006876EC">
            <w:pPr>
              <w:spacing w:after="0" w:line="240" w:lineRule="auto"/>
              <w:jc w:val="right"/>
              <w:rPr>
                <w:sz w:val="20"/>
                <w:szCs w:val="20"/>
                <w:lang w:eastAsia="sk-SK"/>
              </w:rPr>
            </w:pPr>
            <w:r w:rsidRPr="006876EC">
              <w:rPr>
                <w:sz w:val="20"/>
                <w:szCs w:val="20"/>
              </w:rPr>
              <w:t>345</w:t>
            </w:r>
          </w:p>
        </w:tc>
        <w:tc>
          <w:tcPr>
            <w:tcW w:w="557" w:type="pct"/>
            <w:gridSpan w:val="2"/>
            <w:tcBorders>
              <w:top w:val="nil"/>
              <w:left w:val="nil"/>
              <w:bottom w:val="nil"/>
              <w:right w:val="nil"/>
            </w:tcBorders>
            <w:noWrap/>
            <w:vAlign w:val="bottom"/>
            <w:hideMark/>
          </w:tcPr>
          <w:p w14:paraId="3D5252D9" w14:textId="7CC7DEE2" w:rsidR="006876EC" w:rsidRPr="006876EC" w:rsidRDefault="006876EC" w:rsidP="006876EC">
            <w:pPr>
              <w:spacing w:after="0" w:line="240" w:lineRule="auto"/>
              <w:jc w:val="right"/>
              <w:rPr>
                <w:sz w:val="20"/>
                <w:szCs w:val="20"/>
                <w:lang w:eastAsia="sk-SK"/>
              </w:rPr>
            </w:pPr>
            <w:r w:rsidRPr="006876EC">
              <w:rPr>
                <w:sz w:val="20"/>
                <w:szCs w:val="20"/>
              </w:rPr>
              <w:t>80</w:t>
            </w:r>
          </w:p>
        </w:tc>
        <w:tc>
          <w:tcPr>
            <w:tcW w:w="556" w:type="pct"/>
            <w:gridSpan w:val="2"/>
            <w:tcBorders>
              <w:top w:val="nil"/>
              <w:left w:val="nil"/>
              <w:bottom w:val="nil"/>
              <w:right w:val="nil"/>
            </w:tcBorders>
            <w:noWrap/>
            <w:vAlign w:val="bottom"/>
            <w:hideMark/>
          </w:tcPr>
          <w:p w14:paraId="1A41192A" w14:textId="1928BE9F" w:rsidR="006876EC" w:rsidRPr="006876EC" w:rsidRDefault="006876EC" w:rsidP="006876EC">
            <w:pPr>
              <w:spacing w:after="0" w:line="240" w:lineRule="auto"/>
              <w:jc w:val="right"/>
              <w:rPr>
                <w:sz w:val="20"/>
                <w:szCs w:val="20"/>
                <w:lang w:eastAsia="sk-SK"/>
              </w:rPr>
            </w:pPr>
            <w:r w:rsidRPr="006876EC">
              <w:rPr>
                <w:sz w:val="20"/>
                <w:szCs w:val="20"/>
              </w:rPr>
              <w:t>120</w:t>
            </w:r>
          </w:p>
        </w:tc>
        <w:tc>
          <w:tcPr>
            <w:tcW w:w="602" w:type="pct"/>
            <w:tcBorders>
              <w:top w:val="nil"/>
              <w:left w:val="nil"/>
              <w:bottom w:val="nil"/>
              <w:right w:val="nil"/>
            </w:tcBorders>
            <w:noWrap/>
            <w:vAlign w:val="bottom"/>
            <w:hideMark/>
          </w:tcPr>
          <w:p w14:paraId="4E6F1AED" w14:textId="7C267DA1" w:rsidR="006876EC" w:rsidRPr="006876EC" w:rsidRDefault="006876EC" w:rsidP="006876EC">
            <w:pPr>
              <w:spacing w:after="0" w:line="240" w:lineRule="auto"/>
              <w:jc w:val="right"/>
              <w:rPr>
                <w:sz w:val="20"/>
                <w:szCs w:val="20"/>
                <w:lang w:eastAsia="sk-SK"/>
              </w:rPr>
            </w:pPr>
            <w:r w:rsidRPr="006876EC">
              <w:rPr>
                <w:sz w:val="20"/>
                <w:szCs w:val="20"/>
              </w:rPr>
              <w:t>40</w:t>
            </w:r>
          </w:p>
        </w:tc>
      </w:tr>
      <w:tr w:rsidR="006876EC" w:rsidRPr="006876EC" w14:paraId="1E4B1257" w14:textId="77777777" w:rsidTr="006876EC">
        <w:trPr>
          <w:trHeight w:val="260"/>
        </w:trPr>
        <w:tc>
          <w:tcPr>
            <w:tcW w:w="2673" w:type="pct"/>
            <w:gridSpan w:val="2"/>
            <w:tcBorders>
              <w:top w:val="nil"/>
              <w:left w:val="nil"/>
              <w:bottom w:val="nil"/>
              <w:right w:val="nil"/>
            </w:tcBorders>
            <w:noWrap/>
            <w:vAlign w:val="bottom"/>
            <w:hideMark/>
          </w:tcPr>
          <w:p w14:paraId="2C488CFD" w14:textId="77777777" w:rsidR="006876EC" w:rsidRPr="006876EC" w:rsidRDefault="006876EC" w:rsidP="006876EC">
            <w:pPr>
              <w:spacing w:after="0" w:line="240" w:lineRule="auto"/>
              <w:rPr>
                <w:b/>
                <w:bCs/>
                <w:sz w:val="20"/>
                <w:szCs w:val="20"/>
                <w:lang w:eastAsia="sk-SK"/>
              </w:rPr>
            </w:pPr>
            <w:r w:rsidRPr="006876EC">
              <w:rPr>
                <w:b/>
                <w:bCs/>
                <w:sz w:val="20"/>
                <w:szCs w:val="20"/>
                <w:lang w:eastAsia="sk-SK"/>
              </w:rPr>
              <w:t>Verejná správa spolu</w:t>
            </w:r>
          </w:p>
        </w:tc>
        <w:tc>
          <w:tcPr>
            <w:tcW w:w="612" w:type="pct"/>
            <w:gridSpan w:val="3"/>
            <w:tcBorders>
              <w:top w:val="nil"/>
              <w:left w:val="nil"/>
              <w:bottom w:val="nil"/>
              <w:right w:val="nil"/>
            </w:tcBorders>
            <w:noWrap/>
            <w:vAlign w:val="bottom"/>
            <w:hideMark/>
          </w:tcPr>
          <w:p w14:paraId="765591BC" w14:textId="202D50E9" w:rsidR="006876EC" w:rsidRPr="006876EC" w:rsidRDefault="006876EC" w:rsidP="006876EC">
            <w:pPr>
              <w:spacing w:after="0" w:line="240" w:lineRule="auto"/>
              <w:jc w:val="right"/>
              <w:rPr>
                <w:b/>
                <w:bCs/>
                <w:sz w:val="20"/>
                <w:szCs w:val="20"/>
                <w:lang w:eastAsia="sk-SK"/>
              </w:rPr>
            </w:pPr>
            <w:r w:rsidRPr="006876EC">
              <w:rPr>
                <w:b/>
                <w:bCs/>
                <w:sz w:val="20"/>
                <w:szCs w:val="20"/>
              </w:rPr>
              <w:t>64 921 033</w:t>
            </w:r>
          </w:p>
        </w:tc>
        <w:tc>
          <w:tcPr>
            <w:tcW w:w="557" w:type="pct"/>
            <w:gridSpan w:val="2"/>
            <w:tcBorders>
              <w:top w:val="nil"/>
              <w:left w:val="nil"/>
              <w:bottom w:val="nil"/>
              <w:right w:val="nil"/>
            </w:tcBorders>
            <w:noWrap/>
            <w:vAlign w:val="bottom"/>
            <w:hideMark/>
          </w:tcPr>
          <w:p w14:paraId="4BC4D29B" w14:textId="78FEF8AF" w:rsidR="006876EC" w:rsidRPr="006876EC" w:rsidRDefault="006876EC" w:rsidP="006876EC">
            <w:pPr>
              <w:spacing w:after="0" w:line="240" w:lineRule="auto"/>
              <w:jc w:val="right"/>
              <w:rPr>
                <w:b/>
                <w:bCs/>
                <w:sz w:val="20"/>
                <w:szCs w:val="20"/>
                <w:lang w:eastAsia="sk-SK"/>
              </w:rPr>
            </w:pPr>
            <w:r w:rsidRPr="006876EC">
              <w:rPr>
                <w:b/>
                <w:bCs/>
                <w:sz w:val="20"/>
                <w:szCs w:val="20"/>
              </w:rPr>
              <w:t>70 558 736</w:t>
            </w:r>
          </w:p>
        </w:tc>
        <w:tc>
          <w:tcPr>
            <w:tcW w:w="556" w:type="pct"/>
            <w:gridSpan w:val="2"/>
            <w:tcBorders>
              <w:top w:val="nil"/>
              <w:left w:val="nil"/>
              <w:bottom w:val="nil"/>
              <w:right w:val="nil"/>
            </w:tcBorders>
            <w:noWrap/>
            <w:vAlign w:val="bottom"/>
            <w:hideMark/>
          </w:tcPr>
          <w:p w14:paraId="58D06125" w14:textId="0DCD6C34" w:rsidR="006876EC" w:rsidRPr="006876EC" w:rsidRDefault="006876EC" w:rsidP="006876EC">
            <w:pPr>
              <w:spacing w:after="0" w:line="240" w:lineRule="auto"/>
              <w:jc w:val="right"/>
              <w:rPr>
                <w:b/>
                <w:bCs/>
                <w:sz w:val="20"/>
                <w:szCs w:val="20"/>
                <w:lang w:eastAsia="sk-SK"/>
              </w:rPr>
            </w:pPr>
            <w:r w:rsidRPr="006876EC">
              <w:rPr>
                <w:b/>
                <w:bCs/>
                <w:sz w:val="20"/>
                <w:szCs w:val="20"/>
              </w:rPr>
              <w:t>79 310 146</w:t>
            </w:r>
          </w:p>
        </w:tc>
        <w:tc>
          <w:tcPr>
            <w:tcW w:w="602" w:type="pct"/>
            <w:tcBorders>
              <w:top w:val="nil"/>
              <w:left w:val="nil"/>
              <w:bottom w:val="nil"/>
              <w:right w:val="nil"/>
            </w:tcBorders>
            <w:noWrap/>
            <w:vAlign w:val="bottom"/>
            <w:hideMark/>
          </w:tcPr>
          <w:p w14:paraId="4D2BA44E" w14:textId="0DB6EBCD" w:rsidR="006876EC" w:rsidRPr="006876EC" w:rsidRDefault="006876EC" w:rsidP="006876EC">
            <w:pPr>
              <w:spacing w:after="0" w:line="240" w:lineRule="auto"/>
              <w:jc w:val="right"/>
              <w:rPr>
                <w:b/>
                <w:bCs/>
                <w:sz w:val="20"/>
                <w:szCs w:val="20"/>
                <w:lang w:eastAsia="sk-SK"/>
              </w:rPr>
            </w:pPr>
            <w:r w:rsidRPr="006876EC">
              <w:rPr>
                <w:b/>
                <w:bCs/>
                <w:sz w:val="20"/>
                <w:szCs w:val="20"/>
              </w:rPr>
              <w:t>8 751 410</w:t>
            </w:r>
          </w:p>
        </w:tc>
      </w:tr>
      <w:tr w:rsidR="006876EC" w:rsidRPr="006876EC" w14:paraId="3C3FF23D" w14:textId="77777777" w:rsidTr="006876EC">
        <w:trPr>
          <w:trHeight w:val="260"/>
        </w:trPr>
        <w:tc>
          <w:tcPr>
            <w:tcW w:w="2673" w:type="pct"/>
            <w:gridSpan w:val="2"/>
            <w:tcBorders>
              <w:top w:val="nil"/>
              <w:left w:val="nil"/>
              <w:bottom w:val="nil"/>
              <w:right w:val="nil"/>
            </w:tcBorders>
            <w:noWrap/>
            <w:vAlign w:val="bottom"/>
            <w:hideMark/>
          </w:tcPr>
          <w:p w14:paraId="410B4A74" w14:textId="77777777" w:rsidR="006876EC" w:rsidRPr="006876EC" w:rsidRDefault="006876EC" w:rsidP="006876EC">
            <w:pPr>
              <w:spacing w:after="0" w:line="240" w:lineRule="auto"/>
              <w:ind w:firstLineChars="200" w:firstLine="400"/>
              <w:rPr>
                <w:i/>
                <w:iCs/>
                <w:sz w:val="20"/>
                <w:szCs w:val="20"/>
                <w:lang w:eastAsia="sk-SK"/>
              </w:rPr>
            </w:pPr>
            <w:r w:rsidRPr="006876EC">
              <w:rPr>
                <w:i/>
                <w:iCs/>
                <w:sz w:val="20"/>
                <w:szCs w:val="20"/>
                <w:lang w:eastAsia="sk-SK"/>
              </w:rPr>
              <w:t>Konsolidácia</w:t>
            </w:r>
          </w:p>
        </w:tc>
        <w:tc>
          <w:tcPr>
            <w:tcW w:w="612" w:type="pct"/>
            <w:gridSpan w:val="3"/>
            <w:tcBorders>
              <w:top w:val="nil"/>
              <w:left w:val="nil"/>
              <w:bottom w:val="nil"/>
              <w:right w:val="nil"/>
            </w:tcBorders>
            <w:noWrap/>
            <w:vAlign w:val="bottom"/>
            <w:hideMark/>
          </w:tcPr>
          <w:p w14:paraId="69341C7B" w14:textId="1080C341" w:rsidR="006876EC" w:rsidRPr="006876EC" w:rsidRDefault="006876EC" w:rsidP="006876EC">
            <w:pPr>
              <w:spacing w:after="0" w:line="240" w:lineRule="auto"/>
              <w:jc w:val="right"/>
              <w:rPr>
                <w:sz w:val="20"/>
                <w:szCs w:val="20"/>
                <w:lang w:eastAsia="sk-SK"/>
              </w:rPr>
            </w:pPr>
            <w:r w:rsidRPr="006876EC">
              <w:rPr>
                <w:sz w:val="20"/>
                <w:szCs w:val="20"/>
              </w:rPr>
              <w:t>1 412 462</w:t>
            </w:r>
          </w:p>
        </w:tc>
        <w:tc>
          <w:tcPr>
            <w:tcW w:w="557" w:type="pct"/>
            <w:gridSpan w:val="2"/>
            <w:tcBorders>
              <w:top w:val="nil"/>
              <w:left w:val="nil"/>
              <w:bottom w:val="nil"/>
              <w:right w:val="nil"/>
            </w:tcBorders>
            <w:noWrap/>
            <w:vAlign w:val="bottom"/>
            <w:hideMark/>
          </w:tcPr>
          <w:p w14:paraId="0F357A72" w14:textId="4B4F3208" w:rsidR="006876EC" w:rsidRPr="006876EC" w:rsidRDefault="006876EC" w:rsidP="006876EC">
            <w:pPr>
              <w:spacing w:after="0" w:line="240" w:lineRule="auto"/>
              <w:jc w:val="right"/>
              <w:rPr>
                <w:sz w:val="20"/>
                <w:szCs w:val="20"/>
                <w:lang w:eastAsia="sk-SK"/>
              </w:rPr>
            </w:pPr>
            <w:r w:rsidRPr="006876EC">
              <w:rPr>
                <w:sz w:val="20"/>
                <w:szCs w:val="20"/>
              </w:rPr>
              <w:t>1 676 490</w:t>
            </w:r>
          </w:p>
        </w:tc>
        <w:tc>
          <w:tcPr>
            <w:tcW w:w="556" w:type="pct"/>
            <w:gridSpan w:val="2"/>
            <w:tcBorders>
              <w:top w:val="nil"/>
              <w:left w:val="nil"/>
              <w:bottom w:val="nil"/>
              <w:right w:val="nil"/>
            </w:tcBorders>
            <w:noWrap/>
            <w:vAlign w:val="bottom"/>
            <w:hideMark/>
          </w:tcPr>
          <w:p w14:paraId="11A72023" w14:textId="6E6B94CE" w:rsidR="006876EC" w:rsidRPr="006876EC" w:rsidRDefault="006876EC" w:rsidP="006876EC">
            <w:pPr>
              <w:spacing w:after="0" w:line="240" w:lineRule="auto"/>
              <w:jc w:val="right"/>
              <w:rPr>
                <w:sz w:val="20"/>
                <w:szCs w:val="20"/>
                <w:lang w:eastAsia="sk-SK"/>
              </w:rPr>
            </w:pPr>
            <w:r w:rsidRPr="006876EC">
              <w:rPr>
                <w:sz w:val="20"/>
                <w:szCs w:val="20"/>
              </w:rPr>
              <w:t>1 575 511</w:t>
            </w:r>
          </w:p>
        </w:tc>
        <w:tc>
          <w:tcPr>
            <w:tcW w:w="602" w:type="pct"/>
            <w:tcBorders>
              <w:top w:val="nil"/>
              <w:left w:val="nil"/>
              <w:bottom w:val="nil"/>
              <w:right w:val="nil"/>
            </w:tcBorders>
            <w:noWrap/>
            <w:vAlign w:val="bottom"/>
            <w:hideMark/>
          </w:tcPr>
          <w:p w14:paraId="5388A572" w14:textId="031F1E7F" w:rsidR="006876EC" w:rsidRPr="006876EC" w:rsidRDefault="006876EC" w:rsidP="006876EC">
            <w:pPr>
              <w:spacing w:after="0" w:line="240" w:lineRule="auto"/>
              <w:jc w:val="right"/>
              <w:rPr>
                <w:sz w:val="20"/>
                <w:szCs w:val="20"/>
                <w:lang w:eastAsia="sk-SK"/>
              </w:rPr>
            </w:pPr>
            <w:r w:rsidRPr="006876EC">
              <w:rPr>
                <w:sz w:val="20"/>
                <w:szCs w:val="20"/>
              </w:rPr>
              <w:t>-100 979</w:t>
            </w:r>
          </w:p>
        </w:tc>
      </w:tr>
      <w:tr w:rsidR="006876EC" w:rsidRPr="006876EC" w14:paraId="1EE0469D" w14:textId="77777777" w:rsidTr="006876EC">
        <w:trPr>
          <w:trHeight w:val="260"/>
        </w:trPr>
        <w:tc>
          <w:tcPr>
            <w:tcW w:w="2673" w:type="pct"/>
            <w:gridSpan w:val="2"/>
            <w:tcBorders>
              <w:top w:val="single" w:sz="4" w:space="0" w:color="auto"/>
              <w:left w:val="nil"/>
              <w:bottom w:val="nil"/>
              <w:right w:val="nil"/>
            </w:tcBorders>
            <w:noWrap/>
            <w:vAlign w:val="bottom"/>
            <w:hideMark/>
          </w:tcPr>
          <w:p w14:paraId="70377685" w14:textId="77777777" w:rsidR="006876EC" w:rsidRPr="006876EC" w:rsidRDefault="006876EC" w:rsidP="006876EC">
            <w:pPr>
              <w:spacing w:after="0" w:line="240" w:lineRule="auto"/>
              <w:rPr>
                <w:b/>
                <w:bCs/>
                <w:sz w:val="20"/>
                <w:szCs w:val="20"/>
                <w:lang w:eastAsia="sk-SK"/>
              </w:rPr>
            </w:pPr>
            <w:r w:rsidRPr="006876EC">
              <w:rPr>
                <w:b/>
                <w:bCs/>
                <w:sz w:val="20"/>
                <w:szCs w:val="20"/>
                <w:lang w:eastAsia="sk-SK"/>
              </w:rPr>
              <w:t>Verejná správa spolu konsolidovaná</w:t>
            </w:r>
          </w:p>
        </w:tc>
        <w:tc>
          <w:tcPr>
            <w:tcW w:w="612" w:type="pct"/>
            <w:gridSpan w:val="3"/>
            <w:tcBorders>
              <w:top w:val="single" w:sz="4" w:space="0" w:color="auto"/>
              <w:left w:val="nil"/>
              <w:bottom w:val="nil"/>
              <w:right w:val="nil"/>
            </w:tcBorders>
            <w:noWrap/>
            <w:vAlign w:val="bottom"/>
            <w:hideMark/>
          </w:tcPr>
          <w:p w14:paraId="1ACAC195" w14:textId="093DE627" w:rsidR="006876EC" w:rsidRPr="006876EC" w:rsidRDefault="006876EC" w:rsidP="006876EC">
            <w:pPr>
              <w:spacing w:after="0" w:line="240" w:lineRule="auto"/>
              <w:jc w:val="right"/>
              <w:rPr>
                <w:b/>
                <w:bCs/>
                <w:sz w:val="20"/>
                <w:szCs w:val="20"/>
                <w:lang w:eastAsia="sk-SK"/>
              </w:rPr>
            </w:pPr>
            <w:r w:rsidRPr="006876EC">
              <w:rPr>
                <w:b/>
                <w:bCs/>
                <w:sz w:val="20"/>
                <w:szCs w:val="20"/>
              </w:rPr>
              <w:t>63 508 571</w:t>
            </w:r>
          </w:p>
        </w:tc>
        <w:tc>
          <w:tcPr>
            <w:tcW w:w="557" w:type="pct"/>
            <w:gridSpan w:val="2"/>
            <w:tcBorders>
              <w:top w:val="single" w:sz="4" w:space="0" w:color="auto"/>
              <w:left w:val="nil"/>
              <w:bottom w:val="nil"/>
              <w:right w:val="nil"/>
            </w:tcBorders>
            <w:noWrap/>
            <w:vAlign w:val="bottom"/>
            <w:hideMark/>
          </w:tcPr>
          <w:p w14:paraId="6F712EF1" w14:textId="3D8D1BE7" w:rsidR="006876EC" w:rsidRPr="006876EC" w:rsidRDefault="006876EC" w:rsidP="006876EC">
            <w:pPr>
              <w:spacing w:after="0" w:line="240" w:lineRule="auto"/>
              <w:jc w:val="right"/>
              <w:rPr>
                <w:b/>
                <w:bCs/>
                <w:sz w:val="20"/>
                <w:szCs w:val="20"/>
                <w:lang w:eastAsia="sk-SK"/>
              </w:rPr>
            </w:pPr>
            <w:r w:rsidRPr="006876EC">
              <w:rPr>
                <w:b/>
                <w:bCs/>
                <w:sz w:val="20"/>
                <w:szCs w:val="20"/>
              </w:rPr>
              <w:t>68 882 246</w:t>
            </w:r>
          </w:p>
        </w:tc>
        <w:tc>
          <w:tcPr>
            <w:tcW w:w="556" w:type="pct"/>
            <w:gridSpan w:val="2"/>
            <w:tcBorders>
              <w:top w:val="single" w:sz="4" w:space="0" w:color="auto"/>
              <w:left w:val="nil"/>
              <w:bottom w:val="nil"/>
              <w:right w:val="nil"/>
            </w:tcBorders>
            <w:noWrap/>
            <w:vAlign w:val="bottom"/>
            <w:hideMark/>
          </w:tcPr>
          <w:p w14:paraId="6422CE22" w14:textId="2ACE890A" w:rsidR="006876EC" w:rsidRPr="006876EC" w:rsidRDefault="006876EC" w:rsidP="006876EC">
            <w:pPr>
              <w:spacing w:after="0" w:line="240" w:lineRule="auto"/>
              <w:jc w:val="right"/>
              <w:rPr>
                <w:b/>
                <w:bCs/>
                <w:sz w:val="20"/>
                <w:szCs w:val="20"/>
                <w:lang w:eastAsia="sk-SK"/>
              </w:rPr>
            </w:pPr>
            <w:r w:rsidRPr="006876EC">
              <w:rPr>
                <w:b/>
                <w:bCs/>
                <w:sz w:val="20"/>
                <w:szCs w:val="20"/>
              </w:rPr>
              <w:t>77 734 635</w:t>
            </w:r>
          </w:p>
        </w:tc>
        <w:tc>
          <w:tcPr>
            <w:tcW w:w="602" w:type="pct"/>
            <w:tcBorders>
              <w:top w:val="single" w:sz="4" w:space="0" w:color="auto"/>
              <w:left w:val="nil"/>
              <w:bottom w:val="nil"/>
              <w:right w:val="nil"/>
            </w:tcBorders>
            <w:noWrap/>
            <w:vAlign w:val="bottom"/>
            <w:hideMark/>
          </w:tcPr>
          <w:p w14:paraId="264ACE7D" w14:textId="5EDCB97F" w:rsidR="006876EC" w:rsidRPr="006876EC" w:rsidRDefault="006876EC" w:rsidP="006876EC">
            <w:pPr>
              <w:spacing w:after="0" w:line="240" w:lineRule="auto"/>
              <w:jc w:val="right"/>
              <w:rPr>
                <w:b/>
                <w:bCs/>
                <w:sz w:val="20"/>
                <w:szCs w:val="20"/>
                <w:lang w:eastAsia="sk-SK"/>
              </w:rPr>
            </w:pPr>
            <w:r w:rsidRPr="006876EC">
              <w:rPr>
                <w:b/>
                <w:bCs/>
                <w:sz w:val="20"/>
                <w:szCs w:val="20"/>
              </w:rPr>
              <w:t>8 852 389</w:t>
            </w:r>
          </w:p>
        </w:tc>
      </w:tr>
      <w:tr w:rsidR="006876EC" w:rsidRPr="006876EC" w14:paraId="247E760B" w14:textId="77777777" w:rsidTr="006876EC">
        <w:trPr>
          <w:trHeight w:val="260"/>
        </w:trPr>
        <w:tc>
          <w:tcPr>
            <w:tcW w:w="2673" w:type="pct"/>
            <w:gridSpan w:val="2"/>
            <w:tcBorders>
              <w:top w:val="nil"/>
              <w:left w:val="nil"/>
              <w:bottom w:val="single" w:sz="4" w:space="0" w:color="auto"/>
              <w:right w:val="nil"/>
            </w:tcBorders>
            <w:noWrap/>
            <w:vAlign w:val="bottom"/>
            <w:hideMark/>
          </w:tcPr>
          <w:p w14:paraId="1D01A72A" w14:textId="77777777" w:rsidR="006876EC" w:rsidRPr="006876EC" w:rsidRDefault="006876EC" w:rsidP="006876EC">
            <w:pPr>
              <w:spacing w:after="0" w:line="240" w:lineRule="auto"/>
              <w:ind w:firstLineChars="200" w:firstLine="402"/>
              <w:rPr>
                <w:b/>
                <w:bCs/>
                <w:sz w:val="20"/>
                <w:szCs w:val="20"/>
                <w:lang w:eastAsia="sk-SK"/>
              </w:rPr>
            </w:pPr>
            <w:r w:rsidRPr="006876EC">
              <w:rPr>
                <w:b/>
                <w:bCs/>
                <w:sz w:val="20"/>
                <w:szCs w:val="20"/>
                <w:lang w:eastAsia="sk-SK"/>
              </w:rPr>
              <w:t>% z HDP</w:t>
            </w:r>
          </w:p>
        </w:tc>
        <w:tc>
          <w:tcPr>
            <w:tcW w:w="612" w:type="pct"/>
            <w:gridSpan w:val="3"/>
            <w:tcBorders>
              <w:top w:val="nil"/>
              <w:left w:val="nil"/>
              <w:bottom w:val="single" w:sz="4" w:space="0" w:color="auto"/>
              <w:right w:val="nil"/>
            </w:tcBorders>
            <w:noWrap/>
            <w:vAlign w:val="bottom"/>
            <w:hideMark/>
          </w:tcPr>
          <w:p w14:paraId="6376BD96" w14:textId="2D1FAC2B" w:rsidR="006876EC" w:rsidRPr="006876EC" w:rsidRDefault="006876EC" w:rsidP="006876EC">
            <w:pPr>
              <w:spacing w:after="0" w:line="240" w:lineRule="auto"/>
              <w:jc w:val="right"/>
              <w:rPr>
                <w:b/>
                <w:bCs/>
                <w:sz w:val="20"/>
                <w:szCs w:val="20"/>
                <w:lang w:eastAsia="sk-SK"/>
              </w:rPr>
            </w:pPr>
            <w:r w:rsidRPr="006876EC">
              <w:rPr>
                <w:b/>
                <w:bCs/>
                <w:sz w:val="20"/>
                <w:szCs w:val="20"/>
              </w:rPr>
              <w:t>57,8</w:t>
            </w:r>
          </w:p>
        </w:tc>
        <w:tc>
          <w:tcPr>
            <w:tcW w:w="557" w:type="pct"/>
            <w:gridSpan w:val="2"/>
            <w:tcBorders>
              <w:top w:val="nil"/>
              <w:left w:val="nil"/>
              <w:bottom w:val="single" w:sz="4" w:space="0" w:color="auto"/>
              <w:right w:val="nil"/>
            </w:tcBorders>
            <w:noWrap/>
            <w:vAlign w:val="bottom"/>
            <w:hideMark/>
          </w:tcPr>
          <w:p w14:paraId="5D5420B2" w14:textId="6F7949EE" w:rsidR="006876EC" w:rsidRPr="006876EC" w:rsidRDefault="006876EC" w:rsidP="006876EC">
            <w:pPr>
              <w:spacing w:after="0" w:line="240" w:lineRule="auto"/>
              <w:jc w:val="right"/>
              <w:rPr>
                <w:b/>
                <w:bCs/>
                <w:sz w:val="20"/>
                <w:szCs w:val="20"/>
                <w:lang w:eastAsia="sk-SK"/>
              </w:rPr>
            </w:pPr>
            <w:r w:rsidRPr="006876EC">
              <w:rPr>
                <w:b/>
                <w:bCs/>
                <w:sz w:val="20"/>
                <w:szCs w:val="20"/>
              </w:rPr>
              <w:t>55,8</w:t>
            </w:r>
          </w:p>
        </w:tc>
        <w:tc>
          <w:tcPr>
            <w:tcW w:w="556" w:type="pct"/>
            <w:gridSpan w:val="2"/>
            <w:tcBorders>
              <w:top w:val="nil"/>
              <w:left w:val="nil"/>
              <w:bottom w:val="single" w:sz="4" w:space="0" w:color="auto"/>
              <w:right w:val="nil"/>
            </w:tcBorders>
            <w:noWrap/>
            <w:vAlign w:val="bottom"/>
            <w:hideMark/>
          </w:tcPr>
          <w:p w14:paraId="7F773A81" w14:textId="38C5B168" w:rsidR="006876EC" w:rsidRPr="006876EC" w:rsidRDefault="006876EC" w:rsidP="006876EC">
            <w:pPr>
              <w:spacing w:after="0" w:line="240" w:lineRule="auto"/>
              <w:jc w:val="right"/>
              <w:rPr>
                <w:b/>
                <w:bCs/>
                <w:sz w:val="20"/>
                <w:szCs w:val="20"/>
                <w:lang w:eastAsia="sk-SK"/>
              </w:rPr>
            </w:pPr>
            <w:r w:rsidRPr="006876EC">
              <w:rPr>
                <w:b/>
                <w:bCs/>
                <w:sz w:val="20"/>
                <w:szCs w:val="20"/>
              </w:rPr>
              <w:t>59,7</w:t>
            </w:r>
          </w:p>
        </w:tc>
        <w:tc>
          <w:tcPr>
            <w:tcW w:w="602" w:type="pct"/>
            <w:tcBorders>
              <w:top w:val="nil"/>
              <w:left w:val="nil"/>
              <w:bottom w:val="single" w:sz="4" w:space="0" w:color="auto"/>
              <w:right w:val="nil"/>
            </w:tcBorders>
            <w:noWrap/>
            <w:vAlign w:val="bottom"/>
            <w:hideMark/>
          </w:tcPr>
          <w:p w14:paraId="1C0C7202" w14:textId="405CAE04" w:rsidR="006876EC" w:rsidRPr="006876EC" w:rsidRDefault="006876EC" w:rsidP="006876EC">
            <w:pPr>
              <w:spacing w:after="0" w:line="240" w:lineRule="auto"/>
              <w:jc w:val="right"/>
              <w:rPr>
                <w:b/>
                <w:bCs/>
                <w:sz w:val="20"/>
                <w:szCs w:val="20"/>
                <w:lang w:eastAsia="sk-SK"/>
              </w:rPr>
            </w:pPr>
            <w:r w:rsidRPr="006876EC">
              <w:rPr>
                <w:b/>
                <w:bCs/>
                <w:sz w:val="20"/>
                <w:szCs w:val="20"/>
              </w:rPr>
              <w:t>3,9</w:t>
            </w:r>
          </w:p>
        </w:tc>
      </w:tr>
    </w:tbl>
    <w:p w14:paraId="17D7EF77" w14:textId="2CF791F6" w:rsidR="00DC0F15" w:rsidRPr="006876EC" w:rsidRDefault="00DC0F15" w:rsidP="006876EC">
      <w:pPr>
        <w:spacing w:after="120" w:line="240" w:lineRule="auto"/>
        <w:ind w:right="-284"/>
        <w:jc w:val="both"/>
        <w:rPr>
          <w:sz w:val="16"/>
          <w:szCs w:val="16"/>
          <w:lang w:eastAsia="sk-SK"/>
        </w:rPr>
      </w:pPr>
      <w:r w:rsidRPr="006876EC">
        <w:rPr>
          <w:color w:val="000000"/>
          <w:sz w:val="16"/>
          <w:szCs w:val="16"/>
          <w:vertAlign w:val="superscript"/>
          <w:lang w:eastAsia="sk-SK"/>
        </w:rPr>
        <w:t xml:space="preserve">1) </w:t>
      </w:r>
      <w:r w:rsidRPr="006876EC">
        <w:rPr>
          <w:color w:val="000000"/>
          <w:sz w:val="16"/>
          <w:szCs w:val="16"/>
          <w:lang w:eastAsia="sk-SK"/>
        </w:rPr>
        <w:t>Bez tzv. refinančného systému a záväzkov z vkladov subjektov verejnej správy v Štátnej pokladnici</w:t>
      </w:r>
      <w:r w:rsidRPr="006876EC">
        <w:rPr>
          <w:color w:val="000000"/>
          <w:sz w:val="16"/>
          <w:szCs w:val="16"/>
          <w:lang w:eastAsia="sk-SK"/>
        </w:rPr>
        <w:tab/>
      </w:r>
      <w:r w:rsidRPr="006876EC">
        <w:rPr>
          <w:color w:val="000000"/>
          <w:sz w:val="16"/>
          <w:szCs w:val="16"/>
          <w:lang w:eastAsia="sk-SK"/>
        </w:rPr>
        <w:tab/>
      </w:r>
      <w:r w:rsidR="0017089D" w:rsidRPr="006876EC">
        <w:rPr>
          <w:color w:val="000000"/>
          <w:sz w:val="16"/>
          <w:szCs w:val="16"/>
          <w:lang w:eastAsia="sk-SK"/>
        </w:rPr>
        <w:t xml:space="preserve">      </w:t>
      </w:r>
      <w:r w:rsidRPr="006876EC">
        <w:rPr>
          <w:color w:val="000000"/>
          <w:sz w:val="16"/>
          <w:szCs w:val="16"/>
          <w:lang w:eastAsia="sk-SK"/>
        </w:rPr>
        <w:t xml:space="preserve">          </w:t>
      </w:r>
      <w:r w:rsidRPr="006876EC">
        <w:rPr>
          <w:sz w:val="16"/>
          <w:szCs w:val="16"/>
          <w:lang w:eastAsia="sk-SK"/>
        </w:rPr>
        <w:t>Zdroj: MF SR</w:t>
      </w:r>
    </w:p>
    <w:p w14:paraId="677EE751" w14:textId="0CB1C303" w:rsidR="00A17BD9" w:rsidRDefault="00A17BD9" w:rsidP="0063539A">
      <w:pPr>
        <w:spacing w:after="120" w:line="240" w:lineRule="auto"/>
        <w:jc w:val="both"/>
      </w:pPr>
      <w:r w:rsidRPr="006046A7">
        <w:t xml:space="preserve">Pri porovnaní medziročného vývoja dlhu za jednotlivé zložky, vzrástol tradične hlavne </w:t>
      </w:r>
      <w:r w:rsidRPr="00A35BD2">
        <w:rPr>
          <w:b/>
          <w:bCs/>
        </w:rPr>
        <w:t>štátny dlh</w:t>
      </w:r>
      <w:r w:rsidRPr="006046A7">
        <w:t>, a</w:t>
      </w:r>
      <w:r>
        <w:t> </w:t>
      </w:r>
      <w:r w:rsidRPr="006046A7">
        <w:t>to</w:t>
      </w:r>
      <w:r>
        <w:t> </w:t>
      </w:r>
      <w:r w:rsidRPr="006046A7">
        <w:t>o 8 869 939 tis. eur</w:t>
      </w:r>
      <w:r>
        <w:t xml:space="preserve">. </w:t>
      </w:r>
      <w:r w:rsidRPr="00A35BD2">
        <w:t>Schodok štátneho rozpočtu na hotovostnej báze a ďalšie požiadavky na cudzie zdroje vyplývajúce z riadenia dlhu a likvidity vyvolali v priebehu roka 2024 potrebu emitovať štátne dlhopisy v menovitej hodnote 13 438 305 tis.</w:t>
      </w:r>
      <w:r w:rsidR="00B83D80">
        <w:t> </w:t>
      </w:r>
      <w:r w:rsidRPr="00A35BD2">
        <w:t>eur, zároveň však prišlo k splateniu štátnych dlhopisov emitovaných v predchádzajúcich rokoch vo výške 4 778 533 tis. eur. Nárast štátneho dlhu spôsobilo tiež čerpanie tretej tranže úverov od Európskej investičnej banky vo výške 72 030 tis. eur a medziročné zvýšenie úrovne záväzkov z tzv. zelenej energie o 127 677 tis. eur.</w:t>
      </w:r>
    </w:p>
    <w:p w14:paraId="0A7CF5C1" w14:textId="6C7CCA94" w:rsidR="00A17BD9" w:rsidRDefault="00A17BD9" w:rsidP="0063539A">
      <w:pPr>
        <w:spacing w:after="120" w:line="240" w:lineRule="auto"/>
        <w:jc w:val="both"/>
      </w:pPr>
      <w:r w:rsidRPr="00A35BD2">
        <w:t xml:space="preserve">Významný podiel na dlhu verejnej správy má </w:t>
      </w:r>
      <w:r w:rsidRPr="00A35BD2">
        <w:rPr>
          <w:b/>
          <w:bCs/>
        </w:rPr>
        <w:t>územná samospráva</w:t>
      </w:r>
      <w:r w:rsidRPr="00A35BD2">
        <w:t xml:space="preserve">. </w:t>
      </w:r>
      <w:r w:rsidRPr="00A35BD2">
        <w:rPr>
          <w:b/>
          <w:bCs/>
        </w:rPr>
        <w:t>Dlh obcí a ich rozpočtových organizácií</w:t>
      </w:r>
      <w:r w:rsidRPr="00A35BD2">
        <w:t xml:space="preserve"> na nekonsolidovanej báze medziročne vzrástol o 21 348 tis. eur, avšak dlh na konsolidovanej báze medziročne klesol o 5 595 tis.</w:t>
      </w:r>
      <w:r w:rsidR="00B83D80">
        <w:t> </w:t>
      </w:r>
      <w:r w:rsidRPr="00A35BD2">
        <w:t xml:space="preserve">eur najmä preto, že splácanie bankových úverov a záväzkov prevyšuje ich čerpanie. Dlh </w:t>
      </w:r>
      <w:r w:rsidRPr="00A35BD2">
        <w:rPr>
          <w:b/>
          <w:bCs/>
        </w:rPr>
        <w:t>vyšších územných celkov a ich rozpočtových organizácií</w:t>
      </w:r>
      <w:r w:rsidRPr="00A35BD2">
        <w:t xml:space="preserve"> klesol na nekonsolidovanej báze o 49 494 tis. eur, po konsolidácii o 27 532 tis. eur najmä vzhľadom na to, že splácanie bankových úverov prevyšuje čerpanie nových</w:t>
      </w:r>
      <w:r w:rsidR="00B1798D">
        <w:t xml:space="preserve"> úverov.</w:t>
      </w:r>
    </w:p>
    <w:p w14:paraId="719F9295" w14:textId="77777777" w:rsidR="00A17BD9" w:rsidRPr="00A35BD2" w:rsidRDefault="00A17BD9" w:rsidP="0063539A">
      <w:pPr>
        <w:spacing w:after="120" w:line="240" w:lineRule="auto"/>
        <w:jc w:val="both"/>
        <w:rPr>
          <w:b/>
          <w:bCs/>
        </w:rPr>
      </w:pPr>
      <w:r w:rsidRPr="00A35BD2">
        <w:t xml:space="preserve">Zadlženie </w:t>
      </w:r>
      <w:r w:rsidRPr="00A35BD2">
        <w:rPr>
          <w:b/>
          <w:bCs/>
        </w:rPr>
        <w:t>obchodných spoločností</w:t>
      </w:r>
      <w:r w:rsidRPr="00A35BD2">
        <w:t xml:space="preserve"> patriacich do sektora verejnej správy na nekonsolidovanej báze kleslo súhrnne o 46 398 tis. eur. Najvýraznejší pokles dlhu spôsobený splácaním bankových úverov nastal pri </w:t>
      </w:r>
      <w:r w:rsidRPr="00A35BD2">
        <w:rPr>
          <w:b/>
          <w:bCs/>
        </w:rPr>
        <w:t>Železničnej spoločnosti Slovensko, a. s.</w:t>
      </w:r>
    </w:p>
    <w:p w14:paraId="255B9895" w14:textId="51A0D4CC" w:rsidR="00A17BD9" w:rsidRPr="00A35BD2" w:rsidRDefault="00F62DF6" w:rsidP="0063539A">
      <w:pPr>
        <w:spacing w:after="120" w:line="240" w:lineRule="auto"/>
        <w:jc w:val="both"/>
      </w:pPr>
      <w:r>
        <w:t>O</w:t>
      </w:r>
      <w:r w:rsidR="00A17BD9" w:rsidRPr="00A35BD2">
        <w:t xml:space="preserve">proti predchádzajúcemu roku vzrástlo zadlženie </w:t>
      </w:r>
      <w:r w:rsidR="00A17BD9" w:rsidRPr="00A35BD2">
        <w:rPr>
          <w:b/>
          <w:bCs/>
        </w:rPr>
        <w:t>Exportno-importnej banky Slovenska</w:t>
      </w:r>
      <w:r w:rsidR="00A17BD9" w:rsidRPr="00A35BD2">
        <w:t xml:space="preserve"> o 57 256 tis. eur, čo bolo spôsobené najmä prevzatím dlhu voči BNC (Kuba) vo výške nesplatenej istiny v hodnote 51 689 tis. eur zaznamenané už pri jarnej notifikácii.</w:t>
      </w:r>
    </w:p>
    <w:p w14:paraId="2600AA6E" w14:textId="263F5051" w:rsidR="00DA437B" w:rsidRDefault="00A17BD9" w:rsidP="0063539A">
      <w:pPr>
        <w:spacing w:after="120" w:line="240" w:lineRule="auto"/>
        <w:contextualSpacing/>
        <w:jc w:val="both"/>
      </w:pPr>
      <w:r w:rsidRPr="00A35BD2">
        <w:t xml:space="preserve">Výrazný medziročný pokles dlhu </w:t>
      </w:r>
      <w:r w:rsidRPr="00A35BD2">
        <w:rPr>
          <w:b/>
          <w:bCs/>
        </w:rPr>
        <w:t>Agentúry pre núdzové zásoby ropy a ropných výrobkov</w:t>
      </w:r>
      <w:r w:rsidRPr="00A35BD2">
        <w:t>, ktorý je takmer celý tvorený návratnou finančnou výpomocou zo štátnych finančných aktív, bol spôsobený splátkou tejto finančnej výpomoci vo výške 73 000 tis. eur.</w:t>
      </w:r>
    </w:p>
    <w:p w14:paraId="10CE38BA" w14:textId="77777777" w:rsidR="00DA437B" w:rsidRDefault="00DA437B">
      <w:r>
        <w:br w:type="page"/>
      </w:r>
    </w:p>
    <w:p w14:paraId="06FAB8CD" w14:textId="61FF4B23" w:rsidR="00DA437B" w:rsidRDefault="00DA437B" w:rsidP="00D162A9">
      <w:pPr>
        <w:pStyle w:val="Popis"/>
      </w:pPr>
      <w:bookmarkStart w:id="21" w:name="_Toc212124627"/>
      <w:r>
        <w:lastRenderedPageBreak/>
        <w:t xml:space="preserve">Tabuľka </w:t>
      </w:r>
      <w:r w:rsidR="00CA4B84">
        <w:fldChar w:fldCharType="begin"/>
      </w:r>
      <w:r w:rsidR="00CA4B84">
        <w:instrText xml:space="preserve"> SEQ Tabuľka \* ARABIC </w:instrText>
      </w:r>
      <w:r w:rsidR="00CA4B84">
        <w:fldChar w:fldCharType="separate"/>
      </w:r>
      <w:r w:rsidR="00076866">
        <w:rPr>
          <w:noProof/>
        </w:rPr>
        <w:t>6</w:t>
      </w:r>
      <w:r w:rsidR="00CA4B84">
        <w:rPr>
          <w:noProof/>
        </w:rPr>
        <w:fldChar w:fldCharType="end"/>
      </w:r>
      <w:r>
        <w:t xml:space="preserve"> - </w:t>
      </w:r>
      <w:r w:rsidRPr="001F2416">
        <w:t>Štruktúra dlhu verejnej správy</w:t>
      </w:r>
      <w:bookmarkEnd w:id="21"/>
    </w:p>
    <w:tbl>
      <w:tblPr>
        <w:tblW w:w="4844" w:type="pct"/>
        <w:tblCellMar>
          <w:left w:w="70" w:type="dxa"/>
          <w:right w:w="70" w:type="dxa"/>
        </w:tblCellMar>
        <w:tblLook w:val="04A0" w:firstRow="1" w:lastRow="0" w:firstColumn="1" w:lastColumn="0" w:noHBand="0" w:noVBand="1"/>
      </w:tblPr>
      <w:tblGrid>
        <w:gridCol w:w="3887"/>
        <w:gridCol w:w="966"/>
        <w:gridCol w:w="762"/>
        <w:gridCol w:w="964"/>
        <w:gridCol w:w="764"/>
        <w:gridCol w:w="929"/>
        <w:gridCol w:w="927"/>
      </w:tblGrid>
      <w:tr w:rsidR="00C30F21" w:rsidRPr="00C30F21" w14:paraId="05CF4987" w14:textId="77777777" w:rsidTr="009E1026">
        <w:trPr>
          <w:trHeight w:val="610"/>
        </w:trPr>
        <w:tc>
          <w:tcPr>
            <w:tcW w:w="2113" w:type="pct"/>
            <w:tcBorders>
              <w:top w:val="single" w:sz="4" w:space="0" w:color="auto"/>
              <w:left w:val="nil"/>
              <w:bottom w:val="nil"/>
              <w:right w:val="nil"/>
            </w:tcBorders>
            <w:noWrap/>
            <w:vAlign w:val="center"/>
            <w:hideMark/>
          </w:tcPr>
          <w:p w14:paraId="0FD86BAF" w14:textId="14796ACF" w:rsidR="00C30F21" w:rsidRPr="00C30F21" w:rsidRDefault="00C30F21" w:rsidP="00C30F21">
            <w:pPr>
              <w:spacing w:after="0" w:line="240" w:lineRule="auto"/>
              <w:rPr>
                <w:b/>
                <w:bCs/>
                <w:sz w:val="18"/>
                <w:szCs w:val="18"/>
                <w:lang w:eastAsia="sk-SK"/>
              </w:rPr>
            </w:pPr>
            <w:r>
              <w:rPr>
                <w:b/>
                <w:bCs/>
                <w:sz w:val="18"/>
                <w:szCs w:val="18"/>
              </w:rPr>
              <w:t>Štruktúra dlhu verejnej správy</w:t>
            </w:r>
          </w:p>
        </w:tc>
        <w:tc>
          <w:tcPr>
            <w:tcW w:w="525" w:type="pct"/>
            <w:tcBorders>
              <w:top w:val="single" w:sz="4" w:space="0" w:color="auto"/>
              <w:left w:val="nil"/>
              <w:bottom w:val="nil"/>
              <w:right w:val="nil"/>
            </w:tcBorders>
            <w:vAlign w:val="center"/>
            <w:hideMark/>
          </w:tcPr>
          <w:p w14:paraId="7CA7E1B3" w14:textId="45420142" w:rsidR="00C30F21" w:rsidRPr="00C30F21" w:rsidRDefault="00C30F21" w:rsidP="00C30F21">
            <w:pPr>
              <w:spacing w:after="0" w:line="240" w:lineRule="auto"/>
              <w:jc w:val="center"/>
              <w:rPr>
                <w:b/>
                <w:bCs/>
                <w:sz w:val="18"/>
                <w:szCs w:val="18"/>
                <w:lang w:eastAsia="sk-SK"/>
              </w:rPr>
            </w:pPr>
            <w:r>
              <w:rPr>
                <w:b/>
                <w:bCs/>
                <w:sz w:val="18"/>
                <w:szCs w:val="18"/>
              </w:rPr>
              <w:t>2023 S</w:t>
            </w:r>
            <w:r>
              <w:rPr>
                <w:b/>
                <w:bCs/>
                <w:sz w:val="18"/>
                <w:szCs w:val="18"/>
              </w:rPr>
              <w:br/>
              <w:t>v tis. eur</w:t>
            </w:r>
          </w:p>
        </w:tc>
        <w:tc>
          <w:tcPr>
            <w:tcW w:w="414" w:type="pct"/>
            <w:tcBorders>
              <w:top w:val="single" w:sz="4" w:space="0" w:color="auto"/>
              <w:left w:val="nil"/>
              <w:bottom w:val="nil"/>
              <w:right w:val="nil"/>
            </w:tcBorders>
            <w:vAlign w:val="center"/>
            <w:hideMark/>
          </w:tcPr>
          <w:p w14:paraId="4F8A9B05" w14:textId="2ED880E8" w:rsidR="00C30F21" w:rsidRPr="00C30F21" w:rsidRDefault="00C30F21" w:rsidP="00C30F21">
            <w:pPr>
              <w:spacing w:after="0" w:line="240" w:lineRule="auto"/>
              <w:jc w:val="center"/>
              <w:rPr>
                <w:b/>
                <w:bCs/>
                <w:sz w:val="18"/>
                <w:szCs w:val="18"/>
                <w:lang w:eastAsia="sk-SK"/>
              </w:rPr>
            </w:pPr>
            <w:r>
              <w:rPr>
                <w:b/>
                <w:bCs/>
                <w:sz w:val="18"/>
                <w:szCs w:val="18"/>
              </w:rPr>
              <w:t>2023 S</w:t>
            </w:r>
            <w:r>
              <w:rPr>
                <w:b/>
                <w:bCs/>
                <w:sz w:val="18"/>
                <w:szCs w:val="18"/>
              </w:rPr>
              <w:br/>
              <w:t>v %</w:t>
            </w:r>
          </w:p>
        </w:tc>
        <w:tc>
          <w:tcPr>
            <w:tcW w:w="524" w:type="pct"/>
            <w:tcBorders>
              <w:top w:val="single" w:sz="4" w:space="0" w:color="auto"/>
              <w:left w:val="nil"/>
              <w:bottom w:val="nil"/>
              <w:right w:val="nil"/>
            </w:tcBorders>
            <w:vAlign w:val="center"/>
            <w:hideMark/>
          </w:tcPr>
          <w:p w14:paraId="1369E68F" w14:textId="2A292A20" w:rsidR="00C30F21" w:rsidRPr="00C30F21" w:rsidRDefault="00C30F21" w:rsidP="00C30F21">
            <w:pPr>
              <w:spacing w:after="0" w:line="240" w:lineRule="auto"/>
              <w:jc w:val="center"/>
              <w:rPr>
                <w:b/>
                <w:bCs/>
                <w:sz w:val="18"/>
                <w:szCs w:val="18"/>
                <w:lang w:eastAsia="sk-SK"/>
              </w:rPr>
            </w:pPr>
            <w:r>
              <w:rPr>
                <w:b/>
                <w:bCs/>
                <w:sz w:val="18"/>
                <w:szCs w:val="18"/>
              </w:rPr>
              <w:t>2024 S</w:t>
            </w:r>
            <w:r>
              <w:rPr>
                <w:b/>
                <w:bCs/>
                <w:sz w:val="18"/>
                <w:szCs w:val="18"/>
              </w:rPr>
              <w:br/>
              <w:t>v tis. eur</w:t>
            </w:r>
          </w:p>
        </w:tc>
        <w:tc>
          <w:tcPr>
            <w:tcW w:w="415" w:type="pct"/>
            <w:tcBorders>
              <w:top w:val="single" w:sz="4" w:space="0" w:color="auto"/>
              <w:left w:val="nil"/>
              <w:bottom w:val="nil"/>
              <w:right w:val="nil"/>
            </w:tcBorders>
            <w:vAlign w:val="center"/>
            <w:hideMark/>
          </w:tcPr>
          <w:p w14:paraId="60BECA53" w14:textId="63091586" w:rsidR="00C30F21" w:rsidRPr="00C30F21" w:rsidRDefault="00C30F21" w:rsidP="00C30F21">
            <w:pPr>
              <w:spacing w:after="0" w:line="240" w:lineRule="auto"/>
              <w:jc w:val="center"/>
              <w:rPr>
                <w:b/>
                <w:bCs/>
                <w:sz w:val="18"/>
                <w:szCs w:val="18"/>
                <w:lang w:eastAsia="sk-SK"/>
              </w:rPr>
            </w:pPr>
            <w:r>
              <w:rPr>
                <w:b/>
                <w:bCs/>
                <w:sz w:val="18"/>
                <w:szCs w:val="18"/>
              </w:rPr>
              <w:t>2024 S</w:t>
            </w:r>
            <w:r>
              <w:rPr>
                <w:b/>
                <w:bCs/>
                <w:sz w:val="18"/>
                <w:szCs w:val="18"/>
              </w:rPr>
              <w:br/>
              <w:t>v %</w:t>
            </w:r>
          </w:p>
        </w:tc>
        <w:tc>
          <w:tcPr>
            <w:tcW w:w="505" w:type="pct"/>
            <w:tcBorders>
              <w:top w:val="single" w:sz="4" w:space="0" w:color="auto"/>
              <w:left w:val="nil"/>
              <w:bottom w:val="nil"/>
              <w:right w:val="nil"/>
            </w:tcBorders>
            <w:vAlign w:val="center"/>
            <w:hideMark/>
          </w:tcPr>
          <w:p w14:paraId="1264ABD8" w14:textId="7B07F33E" w:rsidR="00C30F21" w:rsidRPr="00C30F21" w:rsidRDefault="00C30F21" w:rsidP="00C30F21">
            <w:pPr>
              <w:spacing w:after="0" w:line="240" w:lineRule="auto"/>
              <w:jc w:val="center"/>
              <w:rPr>
                <w:b/>
                <w:bCs/>
                <w:sz w:val="18"/>
                <w:szCs w:val="18"/>
                <w:lang w:eastAsia="sk-SK"/>
              </w:rPr>
            </w:pPr>
            <w:r>
              <w:rPr>
                <w:b/>
                <w:bCs/>
                <w:sz w:val="18"/>
                <w:szCs w:val="18"/>
              </w:rPr>
              <w:t>Medziroč. rozdiel</w:t>
            </w:r>
            <w:r>
              <w:rPr>
                <w:b/>
                <w:bCs/>
                <w:sz w:val="18"/>
                <w:szCs w:val="18"/>
              </w:rPr>
              <w:br/>
              <w:t>v tis. eur</w:t>
            </w:r>
          </w:p>
        </w:tc>
        <w:tc>
          <w:tcPr>
            <w:tcW w:w="504" w:type="pct"/>
            <w:tcBorders>
              <w:top w:val="single" w:sz="4" w:space="0" w:color="auto"/>
              <w:left w:val="nil"/>
              <w:bottom w:val="nil"/>
              <w:right w:val="nil"/>
            </w:tcBorders>
            <w:vAlign w:val="center"/>
            <w:hideMark/>
          </w:tcPr>
          <w:p w14:paraId="3B214134" w14:textId="070D50DF" w:rsidR="00C30F21" w:rsidRPr="00C30F21" w:rsidRDefault="00C30F21" w:rsidP="00C30F21">
            <w:pPr>
              <w:spacing w:after="0" w:line="240" w:lineRule="auto"/>
              <w:jc w:val="center"/>
              <w:rPr>
                <w:b/>
                <w:bCs/>
                <w:sz w:val="18"/>
                <w:szCs w:val="18"/>
                <w:lang w:eastAsia="sk-SK"/>
              </w:rPr>
            </w:pPr>
            <w:r>
              <w:rPr>
                <w:b/>
                <w:bCs/>
                <w:sz w:val="18"/>
                <w:szCs w:val="18"/>
              </w:rPr>
              <w:t>Medziroč. rozdiel</w:t>
            </w:r>
            <w:r>
              <w:rPr>
                <w:b/>
                <w:bCs/>
                <w:sz w:val="18"/>
                <w:szCs w:val="18"/>
              </w:rPr>
              <w:br/>
              <w:t>v %</w:t>
            </w:r>
          </w:p>
        </w:tc>
      </w:tr>
      <w:tr w:rsidR="00C30F21" w:rsidRPr="00C30F21" w14:paraId="220540A7" w14:textId="77777777" w:rsidTr="009E1026">
        <w:trPr>
          <w:trHeight w:val="260"/>
        </w:trPr>
        <w:tc>
          <w:tcPr>
            <w:tcW w:w="2113" w:type="pct"/>
            <w:tcBorders>
              <w:top w:val="nil"/>
              <w:left w:val="nil"/>
              <w:bottom w:val="single" w:sz="4" w:space="0" w:color="auto"/>
              <w:right w:val="nil"/>
            </w:tcBorders>
            <w:noWrap/>
            <w:vAlign w:val="bottom"/>
            <w:hideMark/>
          </w:tcPr>
          <w:p w14:paraId="7C446727" w14:textId="27C7D905" w:rsidR="00C30F21" w:rsidRPr="00C30F21" w:rsidRDefault="00C30F21" w:rsidP="00C30F21">
            <w:pPr>
              <w:spacing w:after="0" w:line="240" w:lineRule="auto"/>
              <w:rPr>
                <w:b/>
                <w:bCs/>
                <w:sz w:val="18"/>
                <w:szCs w:val="18"/>
                <w:lang w:eastAsia="sk-SK"/>
              </w:rPr>
            </w:pPr>
            <w:r>
              <w:rPr>
                <w:b/>
                <w:bCs/>
                <w:sz w:val="18"/>
                <w:szCs w:val="18"/>
              </w:rPr>
              <w:t> </w:t>
            </w:r>
          </w:p>
        </w:tc>
        <w:tc>
          <w:tcPr>
            <w:tcW w:w="525" w:type="pct"/>
            <w:tcBorders>
              <w:top w:val="nil"/>
              <w:left w:val="nil"/>
              <w:bottom w:val="single" w:sz="4" w:space="0" w:color="auto"/>
              <w:right w:val="nil"/>
            </w:tcBorders>
            <w:noWrap/>
            <w:vAlign w:val="bottom"/>
            <w:hideMark/>
          </w:tcPr>
          <w:p w14:paraId="67363C53" w14:textId="1F1F34E8" w:rsidR="00C30F21" w:rsidRPr="00C30F21" w:rsidRDefault="00C30F21" w:rsidP="00C30F21">
            <w:pPr>
              <w:spacing w:after="0" w:line="240" w:lineRule="auto"/>
              <w:jc w:val="center"/>
              <w:rPr>
                <w:b/>
                <w:bCs/>
                <w:sz w:val="18"/>
                <w:szCs w:val="18"/>
                <w:lang w:eastAsia="sk-SK"/>
              </w:rPr>
            </w:pPr>
            <w:r>
              <w:rPr>
                <w:b/>
                <w:bCs/>
                <w:sz w:val="18"/>
                <w:szCs w:val="18"/>
              </w:rPr>
              <w:t>1</w:t>
            </w:r>
          </w:p>
        </w:tc>
        <w:tc>
          <w:tcPr>
            <w:tcW w:w="414" w:type="pct"/>
            <w:tcBorders>
              <w:top w:val="nil"/>
              <w:left w:val="nil"/>
              <w:bottom w:val="single" w:sz="4" w:space="0" w:color="auto"/>
              <w:right w:val="nil"/>
            </w:tcBorders>
            <w:noWrap/>
            <w:vAlign w:val="bottom"/>
            <w:hideMark/>
          </w:tcPr>
          <w:p w14:paraId="26B5316B" w14:textId="5031A264" w:rsidR="00C30F21" w:rsidRPr="00C30F21" w:rsidRDefault="00C30F21" w:rsidP="00C30F21">
            <w:pPr>
              <w:spacing w:after="0" w:line="240" w:lineRule="auto"/>
              <w:jc w:val="center"/>
              <w:rPr>
                <w:b/>
                <w:bCs/>
                <w:sz w:val="18"/>
                <w:szCs w:val="18"/>
                <w:lang w:eastAsia="sk-SK"/>
              </w:rPr>
            </w:pPr>
            <w:r>
              <w:rPr>
                <w:b/>
                <w:bCs/>
                <w:sz w:val="18"/>
                <w:szCs w:val="18"/>
              </w:rPr>
              <w:t>2</w:t>
            </w:r>
          </w:p>
        </w:tc>
        <w:tc>
          <w:tcPr>
            <w:tcW w:w="524" w:type="pct"/>
            <w:tcBorders>
              <w:top w:val="nil"/>
              <w:left w:val="nil"/>
              <w:bottom w:val="single" w:sz="4" w:space="0" w:color="auto"/>
              <w:right w:val="nil"/>
            </w:tcBorders>
            <w:noWrap/>
            <w:vAlign w:val="bottom"/>
            <w:hideMark/>
          </w:tcPr>
          <w:p w14:paraId="1035939E" w14:textId="1257B2D6" w:rsidR="00C30F21" w:rsidRPr="00C30F21" w:rsidRDefault="00C30F21" w:rsidP="00C30F21">
            <w:pPr>
              <w:spacing w:after="0" w:line="240" w:lineRule="auto"/>
              <w:jc w:val="center"/>
              <w:rPr>
                <w:b/>
                <w:bCs/>
                <w:sz w:val="18"/>
                <w:szCs w:val="18"/>
                <w:lang w:eastAsia="sk-SK"/>
              </w:rPr>
            </w:pPr>
            <w:r>
              <w:rPr>
                <w:b/>
                <w:bCs/>
                <w:sz w:val="18"/>
                <w:szCs w:val="18"/>
              </w:rPr>
              <w:t>3</w:t>
            </w:r>
          </w:p>
        </w:tc>
        <w:tc>
          <w:tcPr>
            <w:tcW w:w="415" w:type="pct"/>
            <w:tcBorders>
              <w:top w:val="nil"/>
              <w:left w:val="nil"/>
              <w:bottom w:val="single" w:sz="4" w:space="0" w:color="auto"/>
              <w:right w:val="nil"/>
            </w:tcBorders>
            <w:noWrap/>
            <w:vAlign w:val="bottom"/>
            <w:hideMark/>
          </w:tcPr>
          <w:p w14:paraId="726CBB49" w14:textId="1300E756" w:rsidR="00C30F21" w:rsidRPr="00C30F21" w:rsidRDefault="00C30F21" w:rsidP="00C30F21">
            <w:pPr>
              <w:spacing w:after="0" w:line="240" w:lineRule="auto"/>
              <w:jc w:val="center"/>
              <w:rPr>
                <w:b/>
                <w:bCs/>
                <w:sz w:val="18"/>
                <w:szCs w:val="18"/>
                <w:lang w:eastAsia="sk-SK"/>
              </w:rPr>
            </w:pPr>
            <w:r>
              <w:rPr>
                <w:b/>
                <w:bCs/>
                <w:sz w:val="18"/>
                <w:szCs w:val="18"/>
              </w:rPr>
              <w:t>4</w:t>
            </w:r>
          </w:p>
        </w:tc>
        <w:tc>
          <w:tcPr>
            <w:tcW w:w="505" w:type="pct"/>
            <w:tcBorders>
              <w:top w:val="nil"/>
              <w:left w:val="nil"/>
              <w:bottom w:val="single" w:sz="4" w:space="0" w:color="auto"/>
              <w:right w:val="nil"/>
            </w:tcBorders>
            <w:noWrap/>
            <w:vAlign w:val="bottom"/>
            <w:hideMark/>
          </w:tcPr>
          <w:p w14:paraId="5059C3C6" w14:textId="6C01477D" w:rsidR="00C30F21" w:rsidRPr="00C30F21" w:rsidRDefault="00C30F21" w:rsidP="00C30F21">
            <w:pPr>
              <w:spacing w:after="0" w:line="240" w:lineRule="auto"/>
              <w:jc w:val="center"/>
              <w:rPr>
                <w:b/>
                <w:bCs/>
                <w:sz w:val="18"/>
                <w:szCs w:val="18"/>
                <w:lang w:eastAsia="sk-SK"/>
              </w:rPr>
            </w:pPr>
            <w:r>
              <w:rPr>
                <w:b/>
                <w:bCs/>
                <w:sz w:val="18"/>
                <w:szCs w:val="18"/>
              </w:rPr>
              <w:t xml:space="preserve">5 =3-1 </w:t>
            </w:r>
          </w:p>
        </w:tc>
        <w:tc>
          <w:tcPr>
            <w:tcW w:w="504" w:type="pct"/>
            <w:tcBorders>
              <w:top w:val="nil"/>
              <w:left w:val="nil"/>
              <w:bottom w:val="single" w:sz="4" w:space="0" w:color="auto"/>
              <w:right w:val="nil"/>
            </w:tcBorders>
            <w:noWrap/>
            <w:vAlign w:val="bottom"/>
            <w:hideMark/>
          </w:tcPr>
          <w:p w14:paraId="1EB85E45" w14:textId="430CF9CD" w:rsidR="00C30F21" w:rsidRPr="00C30F21" w:rsidRDefault="00C30F21" w:rsidP="00C30F21">
            <w:pPr>
              <w:spacing w:after="0" w:line="240" w:lineRule="auto"/>
              <w:jc w:val="center"/>
              <w:rPr>
                <w:b/>
                <w:bCs/>
                <w:sz w:val="18"/>
                <w:szCs w:val="18"/>
                <w:lang w:eastAsia="sk-SK"/>
              </w:rPr>
            </w:pPr>
            <w:r>
              <w:rPr>
                <w:b/>
                <w:bCs/>
                <w:sz w:val="18"/>
                <w:szCs w:val="18"/>
              </w:rPr>
              <w:t xml:space="preserve"> </w:t>
            </w:r>
            <w:r w:rsidR="00D51A25">
              <w:rPr>
                <w:b/>
                <w:bCs/>
                <w:sz w:val="18"/>
                <w:szCs w:val="18"/>
              </w:rPr>
              <w:t>6</w:t>
            </w:r>
            <w:r>
              <w:rPr>
                <w:b/>
                <w:bCs/>
                <w:sz w:val="18"/>
                <w:szCs w:val="18"/>
              </w:rPr>
              <w:t>=4-2</w:t>
            </w:r>
          </w:p>
        </w:tc>
      </w:tr>
      <w:tr w:rsidR="00C30F21" w:rsidRPr="00C30F21" w14:paraId="42C93DAD" w14:textId="77777777" w:rsidTr="009E1026">
        <w:trPr>
          <w:trHeight w:val="260"/>
        </w:trPr>
        <w:tc>
          <w:tcPr>
            <w:tcW w:w="2113" w:type="pct"/>
            <w:tcBorders>
              <w:top w:val="nil"/>
              <w:left w:val="nil"/>
              <w:bottom w:val="nil"/>
              <w:right w:val="nil"/>
            </w:tcBorders>
            <w:noWrap/>
            <w:vAlign w:val="bottom"/>
            <w:hideMark/>
          </w:tcPr>
          <w:p w14:paraId="3E8E1A5D" w14:textId="77777777" w:rsidR="00C30F21" w:rsidRPr="00C30F21" w:rsidRDefault="00C30F21" w:rsidP="00C30F21">
            <w:pPr>
              <w:spacing w:after="0" w:line="240" w:lineRule="auto"/>
              <w:rPr>
                <w:b/>
                <w:bCs/>
                <w:sz w:val="18"/>
                <w:szCs w:val="18"/>
                <w:lang w:eastAsia="sk-SK"/>
              </w:rPr>
            </w:pPr>
            <w:r w:rsidRPr="00C30F21">
              <w:rPr>
                <w:b/>
                <w:bCs/>
                <w:sz w:val="18"/>
                <w:szCs w:val="18"/>
                <w:lang w:eastAsia="sk-SK"/>
              </w:rPr>
              <w:t>Podľa zdrojov financovania</w:t>
            </w:r>
          </w:p>
        </w:tc>
        <w:tc>
          <w:tcPr>
            <w:tcW w:w="525" w:type="pct"/>
            <w:tcBorders>
              <w:top w:val="nil"/>
              <w:left w:val="nil"/>
              <w:bottom w:val="nil"/>
              <w:right w:val="nil"/>
            </w:tcBorders>
            <w:noWrap/>
            <w:vAlign w:val="bottom"/>
            <w:hideMark/>
          </w:tcPr>
          <w:p w14:paraId="6C963780"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68 882 246</w:t>
            </w:r>
          </w:p>
        </w:tc>
        <w:tc>
          <w:tcPr>
            <w:tcW w:w="414" w:type="pct"/>
            <w:tcBorders>
              <w:top w:val="nil"/>
              <w:left w:val="nil"/>
              <w:bottom w:val="nil"/>
              <w:right w:val="nil"/>
            </w:tcBorders>
            <w:noWrap/>
            <w:vAlign w:val="bottom"/>
            <w:hideMark/>
          </w:tcPr>
          <w:p w14:paraId="59DC21E9"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24" w:type="pct"/>
            <w:tcBorders>
              <w:top w:val="nil"/>
              <w:left w:val="nil"/>
              <w:bottom w:val="nil"/>
              <w:right w:val="nil"/>
            </w:tcBorders>
            <w:noWrap/>
            <w:vAlign w:val="bottom"/>
            <w:hideMark/>
          </w:tcPr>
          <w:p w14:paraId="6D0DBD96"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77 734 635</w:t>
            </w:r>
          </w:p>
        </w:tc>
        <w:tc>
          <w:tcPr>
            <w:tcW w:w="415" w:type="pct"/>
            <w:tcBorders>
              <w:top w:val="nil"/>
              <w:left w:val="nil"/>
              <w:bottom w:val="nil"/>
              <w:right w:val="nil"/>
            </w:tcBorders>
            <w:noWrap/>
            <w:vAlign w:val="bottom"/>
            <w:hideMark/>
          </w:tcPr>
          <w:p w14:paraId="432F0A72"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05" w:type="pct"/>
            <w:tcBorders>
              <w:top w:val="nil"/>
              <w:left w:val="nil"/>
              <w:bottom w:val="nil"/>
              <w:right w:val="nil"/>
            </w:tcBorders>
            <w:noWrap/>
            <w:vAlign w:val="bottom"/>
            <w:hideMark/>
          </w:tcPr>
          <w:p w14:paraId="7EB08111"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8 852 389</w:t>
            </w:r>
          </w:p>
        </w:tc>
        <w:tc>
          <w:tcPr>
            <w:tcW w:w="504" w:type="pct"/>
            <w:tcBorders>
              <w:top w:val="nil"/>
              <w:left w:val="nil"/>
              <w:bottom w:val="nil"/>
              <w:right w:val="nil"/>
            </w:tcBorders>
            <w:noWrap/>
            <w:vAlign w:val="bottom"/>
            <w:hideMark/>
          </w:tcPr>
          <w:p w14:paraId="54545838"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0,0</w:t>
            </w:r>
          </w:p>
        </w:tc>
      </w:tr>
      <w:tr w:rsidR="00C30F21" w:rsidRPr="00C30F21" w14:paraId="1FD618DE" w14:textId="77777777" w:rsidTr="009E1026">
        <w:trPr>
          <w:trHeight w:val="260"/>
        </w:trPr>
        <w:tc>
          <w:tcPr>
            <w:tcW w:w="2113" w:type="pct"/>
            <w:tcBorders>
              <w:top w:val="nil"/>
              <w:left w:val="nil"/>
              <w:bottom w:val="nil"/>
              <w:right w:val="nil"/>
            </w:tcBorders>
            <w:noWrap/>
            <w:vAlign w:val="bottom"/>
            <w:hideMark/>
          </w:tcPr>
          <w:p w14:paraId="3EBF9FE8" w14:textId="77777777" w:rsidR="00C30F21" w:rsidRPr="00C30F21" w:rsidRDefault="00C30F21" w:rsidP="00C30F21">
            <w:pPr>
              <w:spacing w:after="0" w:line="240" w:lineRule="auto"/>
              <w:rPr>
                <w:sz w:val="18"/>
                <w:szCs w:val="18"/>
                <w:lang w:eastAsia="sk-SK"/>
              </w:rPr>
            </w:pPr>
            <w:r w:rsidRPr="00C30F21">
              <w:rPr>
                <w:sz w:val="18"/>
                <w:szCs w:val="18"/>
                <w:lang w:eastAsia="sk-SK"/>
              </w:rPr>
              <w:t>Dlhové cenné papiere</w:t>
            </w:r>
          </w:p>
        </w:tc>
        <w:tc>
          <w:tcPr>
            <w:tcW w:w="525" w:type="pct"/>
            <w:tcBorders>
              <w:top w:val="nil"/>
              <w:left w:val="nil"/>
              <w:bottom w:val="nil"/>
              <w:right w:val="nil"/>
            </w:tcBorders>
            <w:noWrap/>
            <w:vAlign w:val="bottom"/>
            <w:hideMark/>
          </w:tcPr>
          <w:p w14:paraId="58666B0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60 218 296</w:t>
            </w:r>
          </w:p>
        </w:tc>
        <w:tc>
          <w:tcPr>
            <w:tcW w:w="414" w:type="pct"/>
            <w:tcBorders>
              <w:top w:val="nil"/>
              <w:left w:val="nil"/>
              <w:bottom w:val="nil"/>
              <w:right w:val="nil"/>
            </w:tcBorders>
            <w:noWrap/>
            <w:vAlign w:val="bottom"/>
            <w:hideMark/>
          </w:tcPr>
          <w:p w14:paraId="6C2422D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87,4</w:t>
            </w:r>
          </w:p>
        </w:tc>
        <w:tc>
          <w:tcPr>
            <w:tcW w:w="524" w:type="pct"/>
            <w:tcBorders>
              <w:top w:val="nil"/>
              <w:left w:val="nil"/>
              <w:bottom w:val="nil"/>
              <w:right w:val="nil"/>
            </w:tcBorders>
            <w:noWrap/>
            <w:vAlign w:val="bottom"/>
            <w:hideMark/>
          </w:tcPr>
          <w:p w14:paraId="415A4AC8"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68 871 129</w:t>
            </w:r>
          </w:p>
        </w:tc>
        <w:tc>
          <w:tcPr>
            <w:tcW w:w="415" w:type="pct"/>
            <w:tcBorders>
              <w:top w:val="nil"/>
              <w:left w:val="nil"/>
              <w:bottom w:val="nil"/>
              <w:right w:val="nil"/>
            </w:tcBorders>
            <w:noWrap/>
            <w:vAlign w:val="bottom"/>
            <w:hideMark/>
          </w:tcPr>
          <w:p w14:paraId="3FF3B40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88,6</w:t>
            </w:r>
          </w:p>
        </w:tc>
        <w:tc>
          <w:tcPr>
            <w:tcW w:w="505" w:type="pct"/>
            <w:tcBorders>
              <w:top w:val="nil"/>
              <w:left w:val="nil"/>
              <w:bottom w:val="nil"/>
              <w:right w:val="nil"/>
            </w:tcBorders>
            <w:noWrap/>
            <w:vAlign w:val="bottom"/>
            <w:hideMark/>
          </w:tcPr>
          <w:p w14:paraId="034EFE9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8 652 833</w:t>
            </w:r>
          </w:p>
        </w:tc>
        <w:tc>
          <w:tcPr>
            <w:tcW w:w="504" w:type="pct"/>
            <w:tcBorders>
              <w:top w:val="nil"/>
              <w:left w:val="nil"/>
              <w:bottom w:val="nil"/>
              <w:right w:val="nil"/>
            </w:tcBorders>
            <w:noWrap/>
            <w:vAlign w:val="bottom"/>
            <w:hideMark/>
          </w:tcPr>
          <w:p w14:paraId="08898C40"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w:t>
            </w:r>
          </w:p>
        </w:tc>
      </w:tr>
      <w:tr w:rsidR="00C30F21" w:rsidRPr="00C30F21" w14:paraId="03F3E1DF" w14:textId="77777777" w:rsidTr="009E1026">
        <w:trPr>
          <w:trHeight w:val="260"/>
        </w:trPr>
        <w:tc>
          <w:tcPr>
            <w:tcW w:w="2113" w:type="pct"/>
            <w:tcBorders>
              <w:top w:val="nil"/>
              <w:left w:val="nil"/>
              <w:bottom w:val="nil"/>
              <w:right w:val="nil"/>
            </w:tcBorders>
            <w:noWrap/>
            <w:vAlign w:val="bottom"/>
            <w:hideMark/>
          </w:tcPr>
          <w:p w14:paraId="7384CE29" w14:textId="77777777" w:rsidR="00C30F21" w:rsidRPr="00C30F21" w:rsidRDefault="00C30F21" w:rsidP="00C30F21">
            <w:pPr>
              <w:spacing w:after="0" w:line="240" w:lineRule="auto"/>
              <w:rPr>
                <w:sz w:val="18"/>
                <w:szCs w:val="18"/>
                <w:lang w:eastAsia="sk-SK"/>
              </w:rPr>
            </w:pPr>
            <w:r w:rsidRPr="00C30F21">
              <w:rPr>
                <w:sz w:val="18"/>
                <w:szCs w:val="18"/>
                <w:lang w:eastAsia="sk-SK"/>
              </w:rPr>
              <w:t>Bankové úvery a iné záväzky</w:t>
            </w:r>
          </w:p>
        </w:tc>
        <w:tc>
          <w:tcPr>
            <w:tcW w:w="525" w:type="pct"/>
            <w:tcBorders>
              <w:top w:val="nil"/>
              <w:left w:val="nil"/>
              <w:bottom w:val="nil"/>
              <w:right w:val="nil"/>
            </w:tcBorders>
            <w:noWrap/>
            <w:vAlign w:val="bottom"/>
            <w:hideMark/>
          </w:tcPr>
          <w:p w14:paraId="48E5DD7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8 606 238</w:t>
            </w:r>
          </w:p>
        </w:tc>
        <w:tc>
          <w:tcPr>
            <w:tcW w:w="414" w:type="pct"/>
            <w:tcBorders>
              <w:top w:val="nil"/>
              <w:left w:val="nil"/>
              <w:bottom w:val="nil"/>
              <w:right w:val="nil"/>
            </w:tcBorders>
            <w:noWrap/>
            <w:vAlign w:val="bottom"/>
            <w:hideMark/>
          </w:tcPr>
          <w:p w14:paraId="356DE2F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12,5</w:t>
            </w:r>
          </w:p>
        </w:tc>
        <w:tc>
          <w:tcPr>
            <w:tcW w:w="524" w:type="pct"/>
            <w:tcBorders>
              <w:top w:val="nil"/>
              <w:left w:val="nil"/>
              <w:bottom w:val="nil"/>
              <w:right w:val="nil"/>
            </w:tcBorders>
            <w:noWrap/>
            <w:vAlign w:val="bottom"/>
            <w:hideMark/>
          </w:tcPr>
          <w:p w14:paraId="53A800A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8 759 832</w:t>
            </w:r>
          </w:p>
        </w:tc>
        <w:tc>
          <w:tcPr>
            <w:tcW w:w="415" w:type="pct"/>
            <w:tcBorders>
              <w:top w:val="nil"/>
              <w:left w:val="nil"/>
              <w:bottom w:val="nil"/>
              <w:right w:val="nil"/>
            </w:tcBorders>
            <w:noWrap/>
            <w:vAlign w:val="bottom"/>
            <w:hideMark/>
          </w:tcPr>
          <w:p w14:paraId="6F2EF7D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11,3</w:t>
            </w:r>
          </w:p>
        </w:tc>
        <w:tc>
          <w:tcPr>
            <w:tcW w:w="505" w:type="pct"/>
            <w:tcBorders>
              <w:top w:val="nil"/>
              <w:left w:val="nil"/>
              <w:bottom w:val="nil"/>
              <w:right w:val="nil"/>
            </w:tcBorders>
            <w:noWrap/>
            <w:vAlign w:val="bottom"/>
            <w:hideMark/>
          </w:tcPr>
          <w:p w14:paraId="77E6CAC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153 594</w:t>
            </w:r>
          </w:p>
        </w:tc>
        <w:tc>
          <w:tcPr>
            <w:tcW w:w="504" w:type="pct"/>
            <w:tcBorders>
              <w:top w:val="nil"/>
              <w:left w:val="nil"/>
              <w:bottom w:val="nil"/>
              <w:right w:val="nil"/>
            </w:tcBorders>
            <w:noWrap/>
            <w:vAlign w:val="bottom"/>
            <w:hideMark/>
          </w:tcPr>
          <w:p w14:paraId="6BFDD57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w:t>
            </w:r>
          </w:p>
        </w:tc>
      </w:tr>
      <w:tr w:rsidR="00C30F21" w:rsidRPr="00C30F21" w14:paraId="06DA2698" w14:textId="77777777" w:rsidTr="009E1026">
        <w:trPr>
          <w:trHeight w:val="260"/>
        </w:trPr>
        <w:tc>
          <w:tcPr>
            <w:tcW w:w="2113" w:type="pct"/>
            <w:tcBorders>
              <w:top w:val="nil"/>
              <w:left w:val="nil"/>
              <w:bottom w:val="nil"/>
              <w:right w:val="nil"/>
            </w:tcBorders>
            <w:noWrap/>
            <w:vAlign w:val="bottom"/>
            <w:hideMark/>
          </w:tcPr>
          <w:p w14:paraId="3E2CEA2D"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bankové úvery</w:t>
            </w:r>
          </w:p>
        </w:tc>
        <w:tc>
          <w:tcPr>
            <w:tcW w:w="525" w:type="pct"/>
            <w:tcBorders>
              <w:top w:val="nil"/>
              <w:left w:val="nil"/>
              <w:bottom w:val="nil"/>
              <w:right w:val="nil"/>
            </w:tcBorders>
            <w:noWrap/>
            <w:vAlign w:val="bottom"/>
            <w:hideMark/>
          </w:tcPr>
          <w:p w14:paraId="5C2082B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6 150 060</w:t>
            </w:r>
          </w:p>
        </w:tc>
        <w:tc>
          <w:tcPr>
            <w:tcW w:w="414" w:type="pct"/>
            <w:tcBorders>
              <w:top w:val="nil"/>
              <w:left w:val="nil"/>
              <w:bottom w:val="nil"/>
              <w:right w:val="nil"/>
            </w:tcBorders>
            <w:noWrap/>
            <w:vAlign w:val="bottom"/>
            <w:hideMark/>
          </w:tcPr>
          <w:p w14:paraId="66443D9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8,9</w:t>
            </w:r>
          </w:p>
        </w:tc>
        <w:tc>
          <w:tcPr>
            <w:tcW w:w="524" w:type="pct"/>
            <w:tcBorders>
              <w:top w:val="nil"/>
              <w:left w:val="nil"/>
              <w:bottom w:val="nil"/>
              <w:right w:val="nil"/>
            </w:tcBorders>
            <w:noWrap/>
            <w:vAlign w:val="bottom"/>
            <w:hideMark/>
          </w:tcPr>
          <w:p w14:paraId="62FB94C8"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6 196 699</w:t>
            </w:r>
          </w:p>
        </w:tc>
        <w:tc>
          <w:tcPr>
            <w:tcW w:w="415" w:type="pct"/>
            <w:tcBorders>
              <w:top w:val="nil"/>
              <w:left w:val="nil"/>
              <w:bottom w:val="nil"/>
              <w:right w:val="nil"/>
            </w:tcBorders>
            <w:noWrap/>
            <w:vAlign w:val="bottom"/>
            <w:hideMark/>
          </w:tcPr>
          <w:p w14:paraId="6887AF1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8,0</w:t>
            </w:r>
          </w:p>
        </w:tc>
        <w:tc>
          <w:tcPr>
            <w:tcW w:w="505" w:type="pct"/>
            <w:tcBorders>
              <w:top w:val="nil"/>
              <w:left w:val="nil"/>
              <w:bottom w:val="nil"/>
              <w:right w:val="nil"/>
            </w:tcBorders>
            <w:noWrap/>
            <w:vAlign w:val="bottom"/>
            <w:hideMark/>
          </w:tcPr>
          <w:p w14:paraId="38542D6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46 639</w:t>
            </w:r>
          </w:p>
        </w:tc>
        <w:tc>
          <w:tcPr>
            <w:tcW w:w="504" w:type="pct"/>
            <w:tcBorders>
              <w:top w:val="nil"/>
              <w:left w:val="nil"/>
              <w:bottom w:val="nil"/>
              <w:right w:val="nil"/>
            </w:tcBorders>
            <w:noWrap/>
            <w:vAlign w:val="bottom"/>
            <w:hideMark/>
          </w:tcPr>
          <w:p w14:paraId="105E25BB"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-1,0</w:t>
            </w:r>
          </w:p>
        </w:tc>
      </w:tr>
      <w:tr w:rsidR="00C30F21" w:rsidRPr="00C30F21" w14:paraId="7157F4D4" w14:textId="77777777" w:rsidTr="009E1026">
        <w:trPr>
          <w:trHeight w:val="260"/>
        </w:trPr>
        <w:tc>
          <w:tcPr>
            <w:tcW w:w="2113" w:type="pct"/>
            <w:tcBorders>
              <w:top w:val="nil"/>
              <w:left w:val="nil"/>
              <w:bottom w:val="nil"/>
              <w:right w:val="nil"/>
            </w:tcBorders>
            <w:noWrap/>
            <w:vAlign w:val="bottom"/>
            <w:hideMark/>
          </w:tcPr>
          <w:p w14:paraId="7A073669"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dlhod. záv. z obch. styku a prijaté preddavky</w:t>
            </w:r>
          </w:p>
        </w:tc>
        <w:tc>
          <w:tcPr>
            <w:tcW w:w="525" w:type="pct"/>
            <w:tcBorders>
              <w:top w:val="nil"/>
              <w:left w:val="nil"/>
              <w:bottom w:val="nil"/>
              <w:right w:val="nil"/>
            </w:tcBorders>
            <w:noWrap/>
            <w:vAlign w:val="bottom"/>
            <w:hideMark/>
          </w:tcPr>
          <w:p w14:paraId="01BF45E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75 546</w:t>
            </w:r>
          </w:p>
        </w:tc>
        <w:tc>
          <w:tcPr>
            <w:tcW w:w="414" w:type="pct"/>
            <w:tcBorders>
              <w:top w:val="nil"/>
              <w:left w:val="nil"/>
              <w:bottom w:val="nil"/>
              <w:right w:val="nil"/>
            </w:tcBorders>
            <w:noWrap/>
            <w:vAlign w:val="bottom"/>
            <w:hideMark/>
          </w:tcPr>
          <w:p w14:paraId="21E91D7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0,1</w:t>
            </w:r>
          </w:p>
        </w:tc>
        <w:tc>
          <w:tcPr>
            <w:tcW w:w="524" w:type="pct"/>
            <w:tcBorders>
              <w:top w:val="nil"/>
              <w:left w:val="nil"/>
              <w:bottom w:val="nil"/>
              <w:right w:val="nil"/>
            </w:tcBorders>
            <w:noWrap/>
            <w:vAlign w:val="bottom"/>
            <w:hideMark/>
          </w:tcPr>
          <w:p w14:paraId="071C055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76 582</w:t>
            </w:r>
          </w:p>
        </w:tc>
        <w:tc>
          <w:tcPr>
            <w:tcW w:w="415" w:type="pct"/>
            <w:tcBorders>
              <w:top w:val="nil"/>
              <w:left w:val="nil"/>
              <w:bottom w:val="nil"/>
              <w:right w:val="nil"/>
            </w:tcBorders>
            <w:noWrap/>
            <w:vAlign w:val="bottom"/>
            <w:hideMark/>
          </w:tcPr>
          <w:p w14:paraId="5905EAC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0,1</w:t>
            </w:r>
          </w:p>
        </w:tc>
        <w:tc>
          <w:tcPr>
            <w:tcW w:w="505" w:type="pct"/>
            <w:tcBorders>
              <w:top w:val="nil"/>
              <w:left w:val="nil"/>
              <w:bottom w:val="nil"/>
              <w:right w:val="nil"/>
            </w:tcBorders>
            <w:noWrap/>
            <w:vAlign w:val="bottom"/>
            <w:hideMark/>
          </w:tcPr>
          <w:p w14:paraId="530C4D53"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1 036</w:t>
            </w:r>
          </w:p>
        </w:tc>
        <w:tc>
          <w:tcPr>
            <w:tcW w:w="504" w:type="pct"/>
            <w:tcBorders>
              <w:top w:val="nil"/>
              <w:left w:val="nil"/>
              <w:bottom w:val="nil"/>
              <w:right w:val="nil"/>
            </w:tcBorders>
            <w:noWrap/>
            <w:vAlign w:val="bottom"/>
            <w:hideMark/>
          </w:tcPr>
          <w:p w14:paraId="19FF471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r>
      <w:tr w:rsidR="00C30F21" w:rsidRPr="00C30F21" w14:paraId="512BC8D9" w14:textId="77777777" w:rsidTr="009E1026">
        <w:trPr>
          <w:trHeight w:val="260"/>
        </w:trPr>
        <w:tc>
          <w:tcPr>
            <w:tcW w:w="2113" w:type="pct"/>
            <w:tcBorders>
              <w:top w:val="nil"/>
              <w:left w:val="nil"/>
              <w:bottom w:val="nil"/>
              <w:right w:val="nil"/>
            </w:tcBorders>
            <w:noWrap/>
            <w:vAlign w:val="bottom"/>
            <w:hideMark/>
          </w:tcPr>
          <w:p w14:paraId="56586C4A"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iné záväzky</w:t>
            </w:r>
          </w:p>
        </w:tc>
        <w:tc>
          <w:tcPr>
            <w:tcW w:w="525" w:type="pct"/>
            <w:tcBorders>
              <w:top w:val="nil"/>
              <w:left w:val="nil"/>
              <w:bottom w:val="nil"/>
              <w:right w:val="nil"/>
            </w:tcBorders>
            <w:noWrap/>
            <w:vAlign w:val="bottom"/>
            <w:hideMark/>
          </w:tcPr>
          <w:p w14:paraId="193F35B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2 380 632</w:t>
            </w:r>
          </w:p>
        </w:tc>
        <w:tc>
          <w:tcPr>
            <w:tcW w:w="414" w:type="pct"/>
            <w:tcBorders>
              <w:top w:val="nil"/>
              <w:left w:val="nil"/>
              <w:bottom w:val="nil"/>
              <w:right w:val="nil"/>
            </w:tcBorders>
            <w:noWrap/>
            <w:vAlign w:val="bottom"/>
            <w:hideMark/>
          </w:tcPr>
          <w:p w14:paraId="28FC775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3,5</w:t>
            </w:r>
          </w:p>
        </w:tc>
        <w:tc>
          <w:tcPr>
            <w:tcW w:w="524" w:type="pct"/>
            <w:tcBorders>
              <w:top w:val="nil"/>
              <w:left w:val="nil"/>
              <w:bottom w:val="nil"/>
              <w:right w:val="nil"/>
            </w:tcBorders>
            <w:noWrap/>
            <w:vAlign w:val="bottom"/>
            <w:hideMark/>
          </w:tcPr>
          <w:p w14:paraId="787BE20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2 486 551</w:t>
            </w:r>
          </w:p>
        </w:tc>
        <w:tc>
          <w:tcPr>
            <w:tcW w:w="415" w:type="pct"/>
            <w:tcBorders>
              <w:top w:val="nil"/>
              <w:left w:val="nil"/>
              <w:bottom w:val="nil"/>
              <w:right w:val="nil"/>
            </w:tcBorders>
            <w:noWrap/>
            <w:vAlign w:val="bottom"/>
            <w:hideMark/>
          </w:tcPr>
          <w:p w14:paraId="439A3B8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3,2</w:t>
            </w:r>
          </w:p>
        </w:tc>
        <w:tc>
          <w:tcPr>
            <w:tcW w:w="505" w:type="pct"/>
            <w:tcBorders>
              <w:top w:val="nil"/>
              <w:left w:val="nil"/>
              <w:bottom w:val="nil"/>
              <w:right w:val="nil"/>
            </w:tcBorders>
            <w:noWrap/>
            <w:vAlign w:val="bottom"/>
            <w:hideMark/>
          </w:tcPr>
          <w:p w14:paraId="0EEB350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105 919</w:t>
            </w:r>
          </w:p>
        </w:tc>
        <w:tc>
          <w:tcPr>
            <w:tcW w:w="504" w:type="pct"/>
            <w:tcBorders>
              <w:top w:val="nil"/>
              <w:left w:val="nil"/>
              <w:bottom w:val="nil"/>
              <w:right w:val="nil"/>
            </w:tcBorders>
            <w:noWrap/>
            <w:vAlign w:val="bottom"/>
            <w:hideMark/>
          </w:tcPr>
          <w:p w14:paraId="705D950B"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-0,3</w:t>
            </w:r>
          </w:p>
        </w:tc>
      </w:tr>
      <w:tr w:rsidR="00C30F21" w:rsidRPr="00C30F21" w14:paraId="420D5758" w14:textId="77777777" w:rsidTr="009E1026">
        <w:trPr>
          <w:trHeight w:val="260"/>
        </w:trPr>
        <w:tc>
          <w:tcPr>
            <w:tcW w:w="2113" w:type="pct"/>
            <w:tcBorders>
              <w:top w:val="nil"/>
              <w:left w:val="nil"/>
              <w:bottom w:val="nil"/>
              <w:right w:val="nil"/>
            </w:tcBorders>
            <w:noWrap/>
            <w:vAlign w:val="bottom"/>
            <w:hideMark/>
          </w:tcPr>
          <w:p w14:paraId="17C4FE6F" w14:textId="77777777" w:rsidR="00C30F21" w:rsidRPr="00C30F21" w:rsidRDefault="00C30F21" w:rsidP="00C30F21">
            <w:pPr>
              <w:spacing w:after="0" w:line="240" w:lineRule="auto"/>
              <w:ind w:firstLineChars="400" w:firstLine="720"/>
              <w:rPr>
                <w:sz w:val="18"/>
                <w:szCs w:val="18"/>
                <w:lang w:eastAsia="sk-SK"/>
              </w:rPr>
            </w:pPr>
            <w:r w:rsidRPr="00C30F21">
              <w:rPr>
                <w:sz w:val="18"/>
                <w:szCs w:val="18"/>
                <w:lang w:eastAsia="sk-SK"/>
              </w:rPr>
              <w:t xml:space="preserve">z toho: zábezpeky </w:t>
            </w:r>
          </w:p>
        </w:tc>
        <w:tc>
          <w:tcPr>
            <w:tcW w:w="525" w:type="pct"/>
            <w:tcBorders>
              <w:top w:val="nil"/>
              <w:left w:val="nil"/>
              <w:bottom w:val="nil"/>
              <w:right w:val="nil"/>
            </w:tcBorders>
            <w:noWrap/>
            <w:vAlign w:val="bottom"/>
            <w:hideMark/>
          </w:tcPr>
          <w:p w14:paraId="7B61946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242 277</w:t>
            </w:r>
          </w:p>
        </w:tc>
        <w:tc>
          <w:tcPr>
            <w:tcW w:w="414" w:type="pct"/>
            <w:tcBorders>
              <w:top w:val="nil"/>
              <w:left w:val="nil"/>
              <w:bottom w:val="nil"/>
              <w:right w:val="nil"/>
            </w:tcBorders>
            <w:noWrap/>
            <w:vAlign w:val="bottom"/>
            <w:hideMark/>
          </w:tcPr>
          <w:p w14:paraId="698645F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0,4</w:t>
            </w:r>
          </w:p>
        </w:tc>
        <w:tc>
          <w:tcPr>
            <w:tcW w:w="524" w:type="pct"/>
            <w:tcBorders>
              <w:top w:val="nil"/>
              <w:left w:val="nil"/>
              <w:bottom w:val="nil"/>
              <w:right w:val="nil"/>
            </w:tcBorders>
            <w:noWrap/>
            <w:vAlign w:val="bottom"/>
            <w:hideMark/>
          </w:tcPr>
          <w:p w14:paraId="5F3646BB"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255 773</w:t>
            </w:r>
          </w:p>
        </w:tc>
        <w:tc>
          <w:tcPr>
            <w:tcW w:w="415" w:type="pct"/>
            <w:tcBorders>
              <w:top w:val="nil"/>
              <w:left w:val="nil"/>
              <w:bottom w:val="nil"/>
              <w:right w:val="nil"/>
            </w:tcBorders>
            <w:noWrap/>
            <w:vAlign w:val="bottom"/>
            <w:hideMark/>
          </w:tcPr>
          <w:p w14:paraId="40444A6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0,3</w:t>
            </w:r>
          </w:p>
        </w:tc>
        <w:tc>
          <w:tcPr>
            <w:tcW w:w="505" w:type="pct"/>
            <w:tcBorders>
              <w:top w:val="nil"/>
              <w:left w:val="nil"/>
              <w:bottom w:val="nil"/>
              <w:right w:val="nil"/>
            </w:tcBorders>
            <w:noWrap/>
            <w:vAlign w:val="bottom"/>
            <w:hideMark/>
          </w:tcPr>
          <w:p w14:paraId="16E71C6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13 496</w:t>
            </w:r>
          </w:p>
        </w:tc>
        <w:tc>
          <w:tcPr>
            <w:tcW w:w="504" w:type="pct"/>
            <w:tcBorders>
              <w:top w:val="nil"/>
              <w:left w:val="nil"/>
              <w:bottom w:val="nil"/>
              <w:right w:val="nil"/>
            </w:tcBorders>
            <w:noWrap/>
            <w:vAlign w:val="bottom"/>
            <w:hideMark/>
          </w:tcPr>
          <w:p w14:paraId="3B3A2E4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r>
      <w:tr w:rsidR="00C30F21" w:rsidRPr="00C30F21" w14:paraId="3E4927E5" w14:textId="77777777" w:rsidTr="009E1026">
        <w:trPr>
          <w:trHeight w:val="260"/>
        </w:trPr>
        <w:tc>
          <w:tcPr>
            <w:tcW w:w="2113" w:type="pct"/>
            <w:tcBorders>
              <w:top w:val="nil"/>
              <w:left w:val="nil"/>
              <w:right w:val="nil"/>
            </w:tcBorders>
            <w:noWrap/>
            <w:vAlign w:val="bottom"/>
            <w:hideMark/>
          </w:tcPr>
          <w:p w14:paraId="14DC9BBF" w14:textId="77777777" w:rsidR="00C30F21" w:rsidRPr="00C30F21" w:rsidRDefault="00C30F21" w:rsidP="00C30F21">
            <w:pPr>
              <w:spacing w:after="0" w:line="240" w:lineRule="auto"/>
              <w:ind w:firstLineChars="700" w:firstLine="1260"/>
              <w:rPr>
                <w:sz w:val="18"/>
                <w:szCs w:val="18"/>
                <w:lang w:eastAsia="sk-SK"/>
              </w:rPr>
            </w:pPr>
            <w:r w:rsidRPr="00C30F21">
              <w:rPr>
                <w:sz w:val="18"/>
                <w:szCs w:val="18"/>
                <w:lang w:eastAsia="sk-SK"/>
              </w:rPr>
              <w:t>záväzky po zmene veriteľa</w:t>
            </w:r>
          </w:p>
        </w:tc>
        <w:tc>
          <w:tcPr>
            <w:tcW w:w="525" w:type="pct"/>
            <w:tcBorders>
              <w:top w:val="nil"/>
              <w:left w:val="nil"/>
              <w:right w:val="nil"/>
            </w:tcBorders>
            <w:noWrap/>
            <w:vAlign w:val="bottom"/>
            <w:hideMark/>
          </w:tcPr>
          <w:p w14:paraId="6E4F9A8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143 359</w:t>
            </w:r>
          </w:p>
        </w:tc>
        <w:tc>
          <w:tcPr>
            <w:tcW w:w="414" w:type="pct"/>
            <w:tcBorders>
              <w:top w:val="nil"/>
              <w:left w:val="nil"/>
              <w:right w:val="nil"/>
            </w:tcBorders>
            <w:noWrap/>
            <w:vAlign w:val="bottom"/>
            <w:hideMark/>
          </w:tcPr>
          <w:p w14:paraId="7EE7B9A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0,2</w:t>
            </w:r>
          </w:p>
        </w:tc>
        <w:tc>
          <w:tcPr>
            <w:tcW w:w="524" w:type="pct"/>
            <w:tcBorders>
              <w:top w:val="nil"/>
              <w:left w:val="nil"/>
              <w:right w:val="nil"/>
            </w:tcBorders>
            <w:noWrap/>
            <w:vAlign w:val="bottom"/>
            <w:hideMark/>
          </w:tcPr>
          <w:p w14:paraId="1AC9431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121 144</w:t>
            </w:r>
          </w:p>
        </w:tc>
        <w:tc>
          <w:tcPr>
            <w:tcW w:w="415" w:type="pct"/>
            <w:tcBorders>
              <w:top w:val="nil"/>
              <w:left w:val="nil"/>
              <w:right w:val="nil"/>
            </w:tcBorders>
            <w:noWrap/>
            <w:vAlign w:val="bottom"/>
            <w:hideMark/>
          </w:tcPr>
          <w:p w14:paraId="3620591F"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0,2</w:t>
            </w:r>
          </w:p>
        </w:tc>
        <w:tc>
          <w:tcPr>
            <w:tcW w:w="505" w:type="pct"/>
            <w:tcBorders>
              <w:top w:val="nil"/>
              <w:left w:val="nil"/>
              <w:right w:val="nil"/>
            </w:tcBorders>
            <w:noWrap/>
            <w:vAlign w:val="bottom"/>
            <w:hideMark/>
          </w:tcPr>
          <w:p w14:paraId="1207CCD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-22 215</w:t>
            </w:r>
          </w:p>
        </w:tc>
        <w:tc>
          <w:tcPr>
            <w:tcW w:w="504" w:type="pct"/>
            <w:tcBorders>
              <w:top w:val="nil"/>
              <w:left w:val="nil"/>
              <w:right w:val="nil"/>
            </w:tcBorders>
            <w:noWrap/>
            <w:vAlign w:val="bottom"/>
            <w:hideMark/>
          </w:tcPr>
          <w:p w14:paraId="5049E7A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-0,1</w:t>
            </w:r>
          </w:p>
        </w:tc>
      </w:tr>
      <w:tr w:rsidR="00C30F21" w:rsidRPr="00C30F21" w14:paraId="61CA156C" w14:textId="77777777" w:rsidTr="009E1026">
        <w:trPr>
          <w:trHeight w:val="260"/>
        </w:trPr>
        <w:tc>
          <w:tcPr>
            <w:tcW w:w="2113" w:type="pct"/>
            <w:tcBorders>
              <w:top w:val="nil"/>
              <w:left w:val="nil"/>
              <w:bottom w:val="nil"/>
              <w:right w:val="nil"/>
            </w:tcBorders>
            <w:noWrap/>
            <w:vAlign w:val="bottom"/>
            <w:hideMark/>
          </w:tcPr>
          <w:p w14:paraId="178C4C71" w14:textId="77777777" w:rsidR="00C30F21" w:rsidRPr="00C30F21" w:rsidRDefault="00C30F21" w:rsidP="00C30F21">
            <w:pPr>
              <w:spacing w:after="0" w:line="240" w:lineRule="auto"/>
              <w:ind w:firstLineChars="700" w:firstLine="1260"/>
              <w:rPr>
                <w:sz w:val="18"/>
                <w:szCs w:val="18"/>
                <w:lang w:eastAsia="sk-SK"/>
              </w:rPr>
            </w:pPr>
            <w:r w:rsidRPr="00C30F21">
              <w:rPr>
                <w:sz w:val="18"/>
                <w:szCs w:val="18"/>
                <w:lang w:eastAsia="sk-SK"/>
              </w:rPr>
              <w:t>zelená energia</w:t>
            </w:r>
          </w:p>
        </w:tc>
        <w:tc>
          <w:tcPr>
            <w:tcW w:w="525" w:type="pct"/>
            <w:tcBorders>
              <w:top w:val="nil"/>
              <w:left w:val="nil"/>
              <w:bottom w:val="nil"/>
              <w:right w:val="nil"/>
            </w:tcBorders>
            <w:noWrap/>
            <w:vAlign w:val="bottom"/>
            <w:hideMark/>
          </w:tcPr>
          <w:p w14:paraId="7C5D532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w:t>
            </w:r>
          </w:p>
        </w:tc>
        <w:tc>
          <w:tcPr>
            <w:tcW w:w="414" w:type="pct"/>
            <w:tcBorders>
              <w:top w:val="nil"/>
              <w:left w:val="nil"/>
              <w:bottom w:val="nil"/>
              <w:right w:val="nil"/>
            </w:tcBorders>
            <w:noWrap/>
            <w:vAlign w:val="bottom"/>
            <w:hideMark/>
          </w:tcPr>
          <w:p w14:paraId="234B0F2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c>
          <w:tcPr>
            <w:tcW w:w="524" w:type="pct"/>
            <w:tcBorders>
              <w:top w:val="nil"/>
              <w:left w:val="nil"/>
              <w:bottom w:val="nil"/>
              <w:right w:val="nil"/>
            </w:tcBorders>
            <w:noWrap/>
            <w:vAlign w:val="bottom"/>
            <w:hideMark/>
          </w:tcPr>
          <w:p w14:paraId="11910FE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127 677</w:t>
            </w:r>
          </w:p>
        </w:tc>
        <w:tc>
          <w:tcPr>
            <w:tcW w:w="415" w:type="pct"/>
            <w:tcBorders>
              <w:top w:val="nil"/>
              <w:left w:val="nil"/>
              <w:bottom w:val="nil"/>
              <w:right w:val="nil"/>
            </w:tcBorders>
            <w:noWrap/>
            <w:vAlign w:val="bottom"/>
            <w:hideMark/>
          </w:tcPr>
          <w:p w14:paraId="051AF3DF"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0,2</w:t>
            </w:r>
          </w:p>
        </w:tc>
        <w:tc>
          <w:tcPr>
            <w:tcW w:w="505" w:type="pct"/>
            <w:tcBorders>
              <w:top w:val="nil"/>
              <w:left w:val="nil"/>
              <w:bottom w:val="nil"/>
              <w:right w:val="nil"/>
            </w:tcBorders>
            <w:noWrap/>
            <w:vAlign w:val="bottom"/>
            <w:hideMark/>
          </w:tcPr>
          <w:p w14:paraId="760A704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127 677</w:t>
            </w:r>
          </w:p>
        </w:tc>
        <w:tc>
          <w:tcPr>
            <w:tcW w:w="504" w:type="pct"/>
            <w:tcBorders>
              <w:top w:val="nil"/>
              <w:left w:val="nil"/>
              <w:bottom w:val="nil"/>
              <w:right w:val="nil"/>
            </w:tcBorders>
            <w:noWrap/>
            <w:vAlign w:val="bottom"/>
            <w:hideMark/>
          </w:tcPr>
          <w:p w14:paraId="09822B7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0,2</w:t>
            </w:r>
          </w:p>
        </w:tc>
      </w:tr>
      <w:tr w:rsidR="00C30F21" w:rsidRPr="00C30F21" w14:paraId="00106E97" w14:textId="77777777" w:rsidTr="009E1026">
        <w:trPr>
          <w:trHeight w:val="260"/>
        </w:trPr>
        <w:tc>
          <w:tcPr>
            <w:tcW w:w="2113" w:type="pct"/>
            <w:tcBorders>
              <w:top w:val="nil"/>
              <w:left w:val="nil"/>
              <w:right w:val="nil"/>
            </w:tcBorders>
            <w:noWrap/>
            <w:vAlign w:val="bottom"/>
            <w:hideMark/>
          </w:tcPr>
          <w:p w14:paraId="20A4BBFC" w14:textId="77777777" w:rsidR="00C30F21" w:rsidRPr="00C30F21" w:rsidRDefault="00C30F21" w:rsidP="002851E5">
            <w:pPr>
              <w:spacing w:after="0" w:line="240" w:lineRule="auto"/>
              <w:ind w:firstLineChars="700" w:firstLine="1260"/>
              <w:jc w:val="both"/>
              <w:rPr>
                <w:sz w:val="18"/>
                <w:szCs w:val="18"/>
                <w:lang w:eastAsia="sk-SK"/>
              </w:rPr>
            </w:pPr>
            <w:r w:rsidRPr="00C30F21">
              <w:rPr>
                <w:sz w:val="18"/>
                <w:szCs w:val="18"/>
                <w:lang w:eastAsia="sk-SK"/>
              </w:rPr>
              <w:t>EFSF</w:t>
            </w:r>
          </w:p>
        </w:tc>
        <w:tc>
          <w:tcPr>
            <w:tcW w:w="525" w:type="pct"/>
            <w:tcBorders>
              <w:top w:val="nil"/>
              <w:left w:val="nil"/>
              <w:right w:val="nil"/>
            </w:tcBorders>
            <w:noWrap/>
            <w:vAlign w:val="bottom"/>
            <w:hideMark/>
          </w:tcPr>
          <w:p w14:paraId="6ACC6DAA"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1 972 930</w:t>
            </w:r>
          </w:p>
        </w:tc>
        <w:tc>
          <w:tcPr>
            <w:tcW w:w="414" w:type="pct"/>
            <w:tcBorders>
              <w:top w:val="nil"/>
              <w:left w:val="nil"/>
              <w:right w:val="nil"/>
            </w:tcBorders>
            <w:noWrap/>
            <w:vAlign w:val="bottom"/>
            <w:hideMark/>
          </w:tcPr>
          <w:p w14:paraId="3F97F8A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2,9</w:t>
            </w:r>
          </w:p>
        </w:tc>
        <w:tc>
          <w:tcPr>
            <w:tcW w:w="524" w:type="pct"/>
            <w:tcBorders>
              <w:top w:val="nil"/>
              <w:left w:val="nil"/>
              <w:right w:val="nil"/>
            </w:tcBorders>
            <w:noWrap/>
            <w:vAlign w:val="bottom"/>
            <w:hideMark/>
          </w:tcPr>
          <w:p w14:paraId="442B466F"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1 971 228</w:t>
            </w:r>
          </w:p>
        </w:tc>
        <w:tc>
          <w:tcPr>
            <w:tcW w:w="415" w:type="pct"/>
            <w:tcBorders>
              <w:top w:val="nil"/>
              <w:left w:val="nil"/>
              <w:right w:val="nil"/>
            </w:tcBorders>
            <w:noWrap/>
            <w:vAlign w:val="bottom"/>
            <w:hideMark/>
          </w:tcPr>
          <w:p w14:paraId="4B39DE6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2,5</w:t>
            </w:r>
          </w:p>
        </w:tc>
        <w:tc>
          <w:tcPr>
            <w:tcW w:w="505" w:type="pct"/>
            <w:tcBorders>
              <w:top w:val="nil"/>
              <w:left w:val="nil"/>
              <w:right w:val="nil"/>
            </w:tcBorders>
            <w:noWrap/>
            <w:vAlign w:val="bottom"/>
            <w:hideMark/>
          </w:tcPr>
          <w:p w14:paraId="0615D33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-1 702</w:t>
            </w:r>
          </w:p>
        </w:tc>
        <w:tc>
          <w:tcPr>
            <w:tcW w:w="504" w:type="pct"/>
            <w:tcBorders>
              <w:top w:val="nil"/>
              <w:left w:val="nil"/>
              <w:right w:val="nil"/>
            </w:tcBorders>
            <w:noWrap/>
            <w:vAlign w:val="bottom"/>
            <w:hideMark/>
          </w:tcPr>
          <w:p w14:paraId="0E55790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-0,3</w:t>
            </w:r>
          </w:p>
        </w:tc>
      </w:tr>
      <w:tr w:rsidR="00B1798D" w:rsidRPr="00C30F21" w14:paraId="6B8A3391" w14:textId="77777777" w:rsidTr="009E1026">
        <w:trPr>
          <w:trHeight w:val="260"/>
        </w:trPr>
        <w:tc>
          <w:tcPr>
            <w:tcW w:w="2113" w:type="pct"/>
            <w:tcBorders>
              <w:left w:val="nil"/>
              <w:right w:val="nil"/>
            </w:tcBorders>
            <w:noWrap/>
            <w:vAlign w:val="bottom"/>
            <w:hideMark/>
          </w:tcPr>
          <w:p w14:paraId="141D72DF" w14:textId="77777777" w:rsidR="00B1798D" w:rsidRPr="00C30F21" w:rsidRDefault="00B1798D" w:rsidP="00AB154E">
            <w:pPr>
              <w:spacing w:after="0" w:line="240" w:lineRule="auto"/>
              <w:rPr>
                <w:sz w:val="18"/>
                <w:szCs w:val="18"/>
                <w:lang w:eastAsia="sk-SK"/>
              </w:rPr>
            </w:pPr>
            <w:r w:rsidRPr="00C30F21">
              <w:rPr>
                <w:sz w:val="18"/>
                <w:szCs w:val="18"/>
                <w:lang w:eastAsia="sk-SK"/>
              </w:rPr>
              <w:t>Vklady</w:t>
            </w:r>
          </w:p>
        </w:tc>
        <w:tc>
          <w:tcPr>
            <w:tcW w:w="525" w:type="pct"/>
            <w:tcBorders>
              <w:left w:val="nil"/>
              <w:right w:val="nil"/>
            </w:tcBorders>
            <w:noWrap/>
            <w:vAlign w:val="bottom"/>
            <w:hideMark/>
          </w:tcPr>
          <w:p w14:paraId="48CC8258" w14:textId="77777777" w:rsidR="00B1798D" w:rsidRPr="00C30F21" w:rsidRDefault="00B1798D" w:rsidP="00AB154E">
            <w:pPr>
              <w:spacing w:after="0" w:line="240" w:lineRule="auto"/>
              <w:jc w:val="right"/>
              <w:rPr>
                <w:sz w:val="18"/>
                <w:szCs w:val="18"/>
                <w:lang w:eastAsia="sk-SK"/>
              </w:rPr>
            </w:pPr>
            <w:r w:rsidRPr="00C30F21">
              <w:rPr>
                <w:sz w:val="18"/>
                <w:szCs w:val="18"/>
                <w:lang w:eastAsia="sk-SK"/>
              </w:rPr>
              <w:t>57 712</w:t>
            </w:r>
          </w:p>
        </w:tc>
        <w:tc>
          <w:tcPr>
            <w:tcW w:w="414" w:type="pct"/>
            <w:tcBorders>
              <w:left w:val="nil"/>
              <w:right w:val="nil"/>
            </w:tcBorders>
            <w:noWrap/>
            <w:vAlign w:val="bottom"/>
            <w:hideMark/>
          </w:tcPr>
          <w:p w14:paraId="68B13FAF" w14:textId="77777777" w:rsidR="00B1798D" w:rsidRPr="00C30F21" w:rsidRDefault="00B1798D" w:rsidP="00AB154E">
            <w:pPr>
              <w:spacing w:after="0" w:line="240" w:lineRule="auto"/>
              <w:jc w:val="right"/>
              <w:rPr>
                <w:sz w:val="18"/>
                <w:szCs w:val="18"/>
                <w:lang w:eastAsia="sk-SK"/>
              </w:rPr>
            </w:pPr>
            <w:r w:rsidRPr="00C30F21">
              <w:rPr>
                <w:sz w:val="18"/>
                <w:szCs w:val="18"/>
                <w:lang w:eastAsia="sk-SK"/>
              </w:rPr>
              <w:t>0,1</w:t>
            </w:r>
          </w:p>
        </w:tc>
        <w:tc>
          <w:tcPr>
            <w:tcW w:w="524" w:type="pct"/>
            <w:tcBorders>
              <w:left w:val="nil"/>
              <w:right w:val="nil"/>
            </w:tcBorders>
            <w:noWrap/>
            <w:vAlign w:val="bottom"/>
            <w:hideMark/>
          </w:tcPr>
          <w:p w14:paraId="72E514FB" w14:textId="77777777" w:rsidR="00B1798D" w:rsidRPr="00C30F21" w:rsidRDefault="00B1798D" w:rsidP="00AB154E">
            <w:pPr>
              <w:spacing w:after="0" w:line="240" w:lineRule="auto"/>
              <w:jc w:val="right"/>
              <w:rPr>
                <w:sz w:val="18"/>
                <w:szCs w:val="18"/>
                <w:lang w:eastAsia="sk-SK"/>
              </w:rPr>
            </w:pPr>
            <w:r w:rsidRPr="00C30F21">
              <w:rPr>
                <w:sz w:val="18"/>
                <w:szCs w:val="18"/>
                <w:lang w:eastAsia="sk-SK"/>
              </w:rPr>
              <w:t>103 674</w:t>
            </w:r>
          </w:p>
        </w:tc>
        <w:tc>
          <w:tcPr>
            <w:tcW w:w="415" w:type="pct"/>
            <w:tcBorders>
              <w:left w:val="nil"/>
              <w:right w:val="nil"/>
            </w:tcBorders>
            <w:noWrap/>
            <w:vAlign w:val="bottom"/>
            <w:hideMark/>
          </w:tcPr>
          <w:p w14:paraId="5962DD6A" w14:textId="77777777" w:rsidR="00B1798D" w:rsidRPr="00C30F21" w:rsidRDefault="00B1798D" w:rsidP="00AB154E">
            <w:pPr>
              <w:spacing w:after="0" w:line="240" w:lineRule="auto"/>
              <w:jc w:val="right"/>
              <w:rPr>
                <w:sz w:val="18"/>
                <w:szCs w:val="18"/>
                <w:lang w:eastAsia="sk-SK"/>
              </w:rPr>
            </w:pPr>
            <w:r w:rsidRPr="00C30F21">
              <w:rPr>
                <w:sz w:val="18"/>
                <w:szCs w:val="18"/>
                <w:lang w:eastAsia="sk-SK"/>
              </w:rPr>
              <w:t>0,1</w:t>
            </w:r>
          </w:p>
        </w:tc>
        <w:tc>
          <w:tcPr>
            <w:tcW w:w="505" w:type="pct"/>
            <w:tcBorders>
              <w:left w:val="nil"/>
              <w:right w:val="nil"/>
            </w:tcBorders>
            <w:noWrap/>
            <w:vAlign w:val="bottom"/>
            <w:hideMark/>
          </w:tcPr>
          <w:p w14:paraId="40D50BA4" w14:textId="77777777" w:rsidR="00B1798D" w:rsidRPr="00C30F21" w:rsidRDefault="00B1798D" w:rsidP="00AB154E">
            <w:pPr>
              <w:spacing w:after="0" w:line="240" w:lineRule="auto"/>
              <w:jc w:val="right"/>
              <w:rPr>
                <w:sz w:val="18"/>
                <w:szCs w:val="18"/>
                <w:lang w:eastAsia="sk-SK"/>
              </w:rPr>
            </w:pPr>
            <w:r w:rsidRPr="00C30F21">
              <w:rPr>
                <w:sz w:val="18"/>
                <w:szCs w:val="18"/>
                <w:lang w:eastAsia="sk-SK"/>
              </w:rPr>
              <w:t>45 962</w:t>
            </w:r>
          </w:p>
        </w:tc>
        <w:tc>
          <w:tcPr>
            <w:tcW w:w="504" w:type="pct"/>
            <w:tcBorders>
              <w:left w:val="nil"/>
              <w:right w:val="nil"/>
            </w:tcBorders>
            <w:noWrap/>
            <w:vAlign w:val="bottom"/>
            <w:hideMark/>
          </w:tcPr>
          <w:p w14:paraId="482C6E24" w14:textId="77777777" w:rsidR="00B1798D" w:rsidRPr="00C30F21" w:rsidRDefault="00B1798D" w:rsidP="00AB154E">
            <w:pPr>
              <w:spacing w:after="0" w:line="240" w:lineRule="auto"/>
              <w:jc w:val="right"/>
              <w:rPr>
                <w:sz w:val="18"/>
                <w:szCs w:val="18"/>
                <w:lang w:eastAsia="sk-SK"/>
              </w:rPr>
            </w:pPr>
            <w:r w:rsidRPr="00C30F21">
              <w:rPr>
                <w:sz w:val="18"/>
                <w:szCs w:val="18"/>
                <w:lang w:eastAsia="sk-SK"/>
              </w:rPr>
              <w:t>0,0</w:t>
            </w:r>
          </w:p>
        </w:tc>
      </w:tr>
      <w:tr w:rsidR="00C30F21" w:rsidRPr="00C30F21" w14:paraId="35AFCDD6" w14:textId="77777777" w:rsidTr="009E1026">
        <w:trPr>
          <w:trHeight w:val="260"/>
        </w:trPr>
        <w:tc>
          <w:tcPr>
            <w:tcW w:w="2113" w:type="pct"/>
            <w:tcBorders>
              <w:top w:val="nil"/>
              <w:left w:val="nil"/>
              <w:bottom w:val="nil"/>
              <w:right w:val="nil"/>
            </w:tcBorders>
            <w:noWrap/>
            <w:vAlign w:val="bottom"/>
            <w:hideMark/>
          </w:tcPr>
          <w:p w14:paraId="116F4C0F" w14:textId="77777777" w:rsidR="00C30F21" w:rsidRPr="00C30F21" w:rsidRDefault="00C30F21" w:rsidP="00C30F21">
            <w:pPr>
              <w:spacing w:after="0" w:line="240" w:lineRule="auto"/>
              <w:rPr>
                <w:b/>
                <w:bCs/>
                <w:sz w:val="18"/>
                <w:szCs w:val="18"/>
                <w:lang w:eastAsia="sk-SK"/>
              </w:rPr>
            </w:pPr>
            <w:r w:rsidRPr="00C30F21">
              <w:rPr>
                <w:b/>
                <w:bCs/>
                <w:sz w:val="18"/>
                <w:szCs w:val="18"/>
                <w:lang w:eastAsia="sk-SK"/>
              </w:rPr>
              <w:t>Podľa meny</w:t>
            </w:r>
          </w:p>
        </w:tc>
        <w:tc>
          <w:tcPr>
            <w:tcW w:w="525" w:type="pct"/>
            <w:tcBorders>
              <w:top w:val="nil"/>
              <w:left w:val="nil"/>
              <w:bottom w:val="nil"/>
              <w:right w:val="nil"/>
            </w:tcBorders>
            <w:noWrap/>
            <w:vAlign w:val="bottom"/>
            <w:hideMark/>
          </w:tcPr>
          <w:p w14:paraId="75C58D93"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68 882 246</w:t>
            </w:r>
          </w:p>
        </w:tc>
        <w:tc>
          <w:tcPr>
            <w:tcW w:w="414" w:type="pct"/>
            <w:tcBorders>
              <w:top w:val="nil"/>
              <w:left w:val="nil"/>
              <w:bottom w:val="nil"/>
              <w:right w:val="nil"/>
            </w:tcBorders>
            <w:noWrap/>
            <w:vAlign w:val="bottom"/>
            <w:hideMark/>
          </w:tcPr>
          <w:p w14:paraId="36D53BC1"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24" w:type="pct"/>
            <w:tcBorders>
              <w:top w:val="nil"/>
              <w:left w:val="nil"/>
              <w:bottom w:val="nil"/>
              <w:right w:val="nil"/>
            </w:tcBorders>
            <w:noWrap/>
            <w:vAlign w:val="bottom"/>
            <w:hideMark/>
          </w:tcPr>
          <w:p w14:paraId="2D622C69"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77 734 635</w:t>
            </w:r>
          </w:p>
        </w:tc>
        <w:tc>
          <w:tcPr>
            <w:tcW w:w="415" w:type="pct"/>
            <w:tcBorders>
              <w:top w:val="nil"/>
              <w:left w:val="nil"/>
              <w:bottom w:val="nil"/>
              <w:right w:val="nil"/>
            </w:tcBorders>
            <w:noWrap/>
            <w:vAlign w:val="bottom"/>
            <w:hideMark/>
          </w:tcPr>
          <w:p w14:paraId="2A4E950F"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05" w:type="pct"/>
            <w:tcBorders>
              <w:top w:val="nil"/>
              <w:left w:val="nil"/>
              <w:bottom w:val="nil"/>
              <w:right w:val="nil"/>
            </w:tcBorders>
            <w:noWrap/>
            <w:vAlign w:val="bottom"/>
            <w:hideMark/>
          </w:tcPr>
          <w:p w14:paraId="23B91CEB"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8 852 389</w:t>
            </w:r>
          </w:p>
        </w:tc>
        <w:tc>
          <w:tcPr>
            <w:tcW w:w="504" w:type="pct"/>
            <w:tcBorders>
              <w:top w:val="nil"/>
              <w:left w:val="nil"/>
              <w:bottom w:val="nil"/>
              <w:right w:val="nil"/>
            </w:tcBorders>
            <w:noWrap/>
            <w:vAlign w:val="bottom"/>
            <w:hideMark/>
          </w:tcPr>
          <w:p w14:paraId="0F972D41"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0,0</w:t>
            </w:r>
          </w:p>
        </w:tc>
      </w:tr>
      <w:tr w:rsidR="00C30F21" w:rsidRPr="00C30F21" w14:paraId="7DF79B78" w14:textId="77777777" w:rsidTr="009E1026">
        <w:trPr>
          <w:trHeight w:val="260"/>
        </w:trPr>
        <w:tc>
          <w:tcPr>
            <w:tcW w:w="2113" w:type="pct"/>
            <w:tcBorders>
              <w:top w:val="nil"/>
              <w:left w:val="nil"/>
              <w:bottom w:val="nil"/>
              <w:right w:val="nil"/>
            </w:tcBorders>
            <w:noWrap/>
            <w:vAlign w:val="bottom"/>
            <w:hideMark/>
          </w:tcPr>
          <w:p w14:paraId="34785F90" w14:textId="77777777" w:rsidR="00C30F21" w:rsidRPr="00C30F21" w:rsidRDefault="00C30F21" w:rsidP="00C30F21">
            <w:pPr>
              <w:spacing w:after="0" w:line="240" w:lineRule="auto"/>
              <w:rPr>
                <w:sz w:val="18"/>
                <w:szCs w:val="18"/>
                <w:lang w:eastAsia="sk-SK"/>
              </w:rPr>
            </w:pPr>
            <w:r w:rsidRPr="00C30F21">
              <w:rPr>
                <w:sz w:val="18"/>
                <w:szCs w:val="18"/>
                <w:lang w:eastAsia="sk-SK"/>
              </w:rPr>
              <w:t>Domáca</w:t>
            </w:r>
          </w:p>
        </w:tc>
        <w:tc>
          <w:tcPr>
            <w:tcW w:w="525" w:type="pct"/>
            <w:tcBorders>
              <w:top w:val="nil"/>
              <w:left w:val="nil"/>
              <w:bottom w:val="nil"/>
              <w:right w:val="nil"/>
            </w:tcBorders>
            <w:noWrap/>
            <w:vAlign w:val="bottom"/>
            <w:hideMark/>
          </w:tcPr>
          <w:p w14:paraId="08F6E278"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68 468 899</w:t>
            </w:r>
          </w:p>
        </w:tc>
        <w:tc>
          <w:tcPr>
            <w:tcW w:w="414" w:type="pct"/>
            <w:tcBorders>
              <w:top w:val="nil"/>
              <w:left w:val="nil"/>
              <w:bottom w:val="nil"/>
              <w:right w:val="nil"/>
            </w:tcBorders>
            <w:noWrap/>
            <w:vAlign w:val="bottom"/>
            <w:hideMark/>
          </w:tcPr>
          <w:p w14:paraId="025AD03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99,4</w:t>
            </w:r>
          </w:p>
        </w:tc>
        <w:tc>
          <w:tcPr>
            <w:tcW w:w="524" w:type="pct"/>
            <w:tcBorders>
              <w:top w:val="nil"/>
              <w:left w:val="nil"/>
              <w:bottom w:val="nil"/>
              <w:right w:val="nil"/>
            </w:tcBorders>
            <w:noWrap/>
            <w:vAlign w:val="bottom"/>
            <w:hideMark/>
          </w:tcPr>
          <w:p w14:paraId="70F19CE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76 814 603</w:t>
            </w:r>
          </w:p>
        </w:tc>
        <w:tc>
          <w:tcPr>
            <w:tcW w:w="415" w:type="pct"/>
            <w:tcBorders>
              <w:top w:val="nil"/>
              <w:left w:val="nil"/>
              <w:bottom w:val="nil"/>
              <w:right w:val="nil"/>
            </w:tcBorders>
            <w:noWrap/>
            <w:vAlign w:val="bottom"/>
            <w:hideMark/>
          </w:tcPr>
          <w:p w14:paraId="001E01A0"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98,8</w:t>
            </w:r>
          </w:p>
        </w:tc>
        <w:tc>
          <w:tcPr>
            <w:tcW w:w="505" w:type="pct"/>
            <w:tcBorders>
              <w:top w:val="nil"/>
              <w:left w:val="nil"/>
              <w:bottom w:val="nil"/>
              <w:right w:val="nil"/>
            </w:tcBorders>
            <w:noWrap/>
            <w:vAlign w:val="bottom"/>
            <w:hideMark/>
          </w:tcPr>
          <w:p w14:paraId="1A31134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8 345 704</w:t>
            </w:r>
          </w:p>
        </w:tc>
        <w:tc>
          <w:tcPr>
            <w:tcW w:w="504" w:type="pct"/>
            <w:tcBorders>
              <w:top w:val="nil"/>
              <w:left w:val="nil"/>
              <w:bottom w:val="nil"/>
              <w:right w:val="nil"/>
            </w:tcBorders>
            <w:noWrap/>
            <w:vAlign w:val="bottom"/>
            <w:hideMark/>
          </w:tcPr>
          <w:p w14:paraId="67BDF89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-0,6</w:t>
            </w:r>
          </w:p>
        </w:tc>
      </w:tr>
      <w:tr w:rsidR="00C30F21" w:rsidRPr="00C30F21" w14:paraId="39F2F1D5" w14:textId="77777777" w:rsidTr="009E1026">
        <w:trPr>
          <w:trHeight w:val="260"/>
        </w:trPr>
        <w:tc>
          <w:tcPr>
            <w:tcW w:w="2113" w:type="pct"/>
            <w:tcBorders>
              <w:top w:val="nil"/>
              <w:left w:val="nil"/>
              <w:bottom w:val="nil"/>
              <w:right w:val="nil"/>
            </w:tcBorders>
            <w:noWrap/>
            <w:vAlign w:val="bottom"/>
            <w:hideMark/>
          </w:tcPr>
          <w:p w14:paraId="1F14475A" w14:textId="77777777" w:rsidR="00C30F21" w:rsidRPr="00C30F21" w:rsidRDefault="00C30F21" w:rsidP="00C30F21">
            <w:pPr>
              <w:spacing w:after="0" w:line="240" w:lineRule="auto"/>
              <w:rPr>
                <w:sz w:val="18"/>
                <w:szCs w:val="18"/>
                <w:lang w:eastAsia="sk-SK"/>
              </w:rPr>
            </w:pPr>
            <w:r w:rsidRPr="00C30F21">
              <w:rPr>
                <w:sz w:val="18"/>
                <w:szCs w:val="18"/>
                <w:lang w:eastAsia="sk-SK"/>
              </w:rPr>
              <w:t>Zahraničná</w:t>
            </w:r>
          </w:p>
        </w:tc>
        <w:tc>
          <w:tcPr>
            <w:tcW w:w="525" w:type="pct"/>
            <w:tcBorders>
              <w:top w:val="nil"/>
              <w:left w:val="nil"/>
              <w:bottom w:val="nil"/>
              <w:right w:val="nil"/>
            </w:tcBorders>
            <w:noWrap/>
            <w:vAlign w:val="bottom"/>
            <w:hideMark/>
          </w:tcPr>
          <w:p w14:paraId="68020BC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413 347</w:t>
            </w:r>
          </w:p>
        </w:tc>
        <w:tc>
          <w:tcPr>
            <w:tcW w:w="414" w:type="pct"/>
            <w:tcBorders>
              <w:top w:val="nil"/>
              <w:left w:val="nil"/>
              <w:bottom w:val="nil"/>
              <w:right w:val="nil"/>
            </w:tcBorders>
            <w:noWrap/>
            <w:vAlign w:val="bottom"/>
            <w:hideMark/>
          </w:tcPr>
          <w:p w14:paraId="318BBBF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0,6</w:t>
            </w:r>
          </w:p>
        </w:tc>
        <w:tc>
          <w:tcPr>
            <w:tcW w:w="524" w:type="pct"/>
            <w:tcBorders>
              <w:top w:val="nil"/>
              <w:left w:val="nil"/>
              <w:bottom w:val="nil"/>
              <w:right w:val="nil"/>
            </w:tcBorders>
            <w:noWrap/>
            <w:vAlign w:val="bottom"/>
            <w:hideMark/>
          </w:tcPr>
          <w:p w14:paraId="58B6122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920 032</w:t>
            </w:r>
          </w:p>
        </w:tc>
        <w:tc>
          <w:tcPr>
            <w:tcW w:w="415" w:type="pct"/>
            <w:tcBorders>
              <w:top w:val="nil"/>
              <w:left w:val="nil"/>
              <w:bottom w:val="nil"/>
              <w:right w:val="nil"/>
            </w:tcBorders>
            <w:noWrap/>
            <w:vAlign w:val="bottom"/>
            <w:hideMark/>
          </w:tcPr>
          <w:p w14:paraId="5BE3107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w:t>
            </w:r>
          </w:p>
        </w:tc>
        <w:tc>
          <w:tcPr>
            <w:tcW w:w="505" w:type="pct"/>
            <w:tcBorders>
              <w:top w:val="nil"/>
              <w:left w:val="nil"/>
              <w:bottom w:val="nil"/>
              <w:right w:val="nil"/>
            </w:tcBorders>
            <w:noWrap/>
            <w:vAlign w:val="bottom"/>
            <w:hideMark/>
          </w:tcPr>
          <w:p w14:paraId="30FBD58A"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506 685</w:t>
            </w:r>
          </w:p>
        </w:tc>
        <w:tc>
          <w:tcPr>
            <w:tcW w:w="504" w:type="pct"/>
            <w:tcBorders>
              <w:top w:val="nil"/>
              <w:left w:val="nil"/>
              <w:bottom w:val="nil"/>
              <w:right w:val="nil"/>
            </w:tcBorders>
            <w:noWrap/>
            <w:vAlign w:val="bottom"/>
            <w:hideMark/>
          </w:tcPr>
          <w:p w14:paraId="483BD1F8"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0,6</w:t>
            </w:r>
          </w:p>
        </w:tc>
      </w:tr>
      <w:tr w:rsidR="00C30F21" w:rsidRPr="00C30F21" w14:paraId="101C8C17" w14:textId="77777777" w:rsidTr="009E1026">
        <w:trPr>
          <w:trHeight w:val="260"/>
        </w:trPr>
        <w:tc>
          <w:tcPr>
            <w:tcW w:w="2113" w:type="pct"/>
            <w:tcBorders>
              <w:top w:val="nil"/>
              <w:left w:val="nil"/>
              <w:bottom w:val="nil"/>
              <w:right w:val="nil"/>
            </w:tcBorders>
            <w:noWrap/>
            <w:vAlign w:val="bottom"/>
            <w:hideMark/>
          </w:tcPr>
          <w:p w14:paraId="383450F2" w14:textId="19274115"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z toho: NOK</w:t>
            </w:r>
            <w:r w:rsidR="0063539A" w:rsidRPr="0063539A">
              <w:rPr>
                <w:sz w:val="18"/>
                <w:szCs w:val="18"/>
                <w:vertAlign w:val="superscript"/>
                <w:lang w:eastAsia="sk-SK"/>
              </w:rPr>
              <w:t>1)</w:t>
            </w:r>
          </w:p>
        </w:tc>
        <w:tc>
          <w:tcPr>
            <w:tcW w:w="525" w:type="pct"/>
            <w:tcBorders>
              <w:top w:val="nil"/>
              <w:left w:val="nil"/>
              <w:bottom w:val="nil"/>
              <w:right w:val="nil"/>
            </w:tcBorders>
            <w:noWrap/>
            <w:vAlign w:val="bottom"/>
            <w:hideMark/>
          </w:tcPr>
          <w:p w14:paraId="4A12223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407 967</w:t>
            </w:r>
          </w:p>
        </w:tc>
        <w:tc>
          <w:tcPr>
            <w:tcW w:w="414" w:type="pct"/>
            <w:tcBorders>
              <w:top w:val="nil"/>
              <w:left w:val="nil"/>
              <w:bottom w:val="nil"/>
              <w:right w:val="nil"/>
            </w:tcBorders>
            <w:noWrap/>
            <w:vAlign w:val="bottom"/>
            <w:hideMark/>
          </w:tcPr>
          <w:p w14:paraId="34B76AB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0,6</w:t>
            </w:r>
          </w:p>
        </w:tc>
        <w:tc>
          <w:tcPr>
            <w:tcW w:w="524" w:type="pct"/>
            <w:tcBorders>
              <w:top w:val="nil"/>
              <w:left w:val="nil"/>
              <w:bottom w:val="nil"/>
              <w:right w:val="nil"/>
            </w:tcBorders>
            <w:noWrap/>
            <w:vAlign w:val="bottom"/>
            <w:hideMark/>
          </w:tcPr>
          <w:p w14:paraId="7B85433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269 978</w:t>
            </w:r>
          </w:p>
        </w:tc>
        <w:tc>
          <w:tcPr>
            <w:tcW w:w="415" w:type="pct"/>
            <w:tcBorders>
              <w:top w:val="nil"/>
              <w:left w:val="nil"/>
              <w:bottom w:val="nil"/>
              <w:right w:val="nil"/>
            </w:tcBorders>
            <w:noWrap/>
            <w:vAlign w:val="bottom"/>
            <w:hideMark/>
          </w:tcPr>
          <w:p w14:paraId="4271A92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0,3</w:t>
            </w:r>
          </w:p>
        </w:tc>
        <w:tc>
          <w:tcPr>
            <w:tcW w:w="505" w:type="pct"/>
            <w:tcBorders>
              <w:top w:val="nil"/>
              <w:left w:val="nil"/>
              <w:bottom w:val="nil"/>
              <w:right w:val="nil"/>
            </w:tcBorders>
            <w:noWrap/>
            <w:vAlign w:val="bottom"/>
            <w:hideMark/>
          </w:tcPr>
          <w:p w14:paraId="1D72C19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-137 989</w:t>
            </w:r>
          </w:p>
        </w:tc>
        <w:tc>
          <w:tcPr>
            <w:tcW w:w="504" w:type="pct"/>
            <w:tcBorders>
              <w:top w:val="nil"/>
              <w:left w:val="nil"/>
              <w:bottom w:val="nil"/>
              <w:right w:val="nil"/>
            </w:tcBorders>
            <w:noWrap/>
            <w:vAlign w:val="bottom"/>
            <w:hideMark/>
          </w:tcPr>
          <w:p w14:paraId="56798CD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-0,2</w:t>
            </w:r>
          </w:p>
        </w:tc>
      </w:tr>
      <w:tr w:rsidR="00C30F21" w:rsidRPr="00C30F21" w14:paraId="39A8BDF4" w14:textId="77777777" w:rsidTr="009E1026">
        <w:trPr>
          <w:trHeight w:val="260"/>
        </w:trPr>
        <w:tc>
          <w:tcPr>
            <w:tcW w:w="2113" w:type="pct"/>
            <w:tcBorders>
              <w:top w:val="nil"/>
              <w:left w:val="nil"/>
              <w:bottom w:val="single" w:sz="4" w:space="0" w:color="auto"/>
              <w:right w:val="nil"/>
            </w:tcBorders>
            <w:noWrap/>
            <w:vAlign w:val="bottom"/>
            <w:hideMark/>
          </w:tcPr>
          <w:p w14:paraId="3237177D" w14:textId="3528E640" w:rsidR="00C30F21" w:rsidRPr="00C30F21" w:rsidRDefault="00C30F21" w:rsidP="00C30F21">
            <w:pPr>
              <w:spacing w:after="0" w:line="240" w:lineRule="auto"/>
              <w:ind w:firstLineChars="500" w:firstLine="900"/>
              <w:rPr>
                <w:sz w:val="18"/>
                <w:szCs w:val="18"/>
                <w:lang w:eastAsia="sk-SK"/>
              </w:rPr>
            </w:pPr>
            <w:r w:rsidRPr="00C30F21">
              <w:rPr>
                <w:sz w:val="18"/>
                <w:szCs w:val="18"/>
                <w:lang w:eastAsia="sk-SK"/>
              </w:rPr>
              <w:t>CHF</w:t>
            </w:r>
            <w:r w:rsidR="0063539A" w:rsidRPr="0063539A">
              <w:rPr>
                <w:sz w:val="18"/>
                <w:szCs w:val="18"/>
                <w:vertAlign w:val="superscript"/>
                <w:lang w:eastAsia="sk-SK"/>
              </w:rPr>
              <w:t>2)</w:t>
            </w:r>
          </w:p>
        </w:tc>
        <w:tc>
          <w:tcPr>
            <w:tcW w:w="525" w:type="pct"/>
            <w:tcBorders>
              <w:top w:val="nil"/>
              <w:left w:val="nil"/>
              <w:bottom w:val="single" w:sz="4" w:space="0" w:color="auto"/>
              <w:right w:val="nil"/>
            </w:tcBorders>
            <w:noWrap/>
            <w:vAlign w:val="bottom"/>
            <w:hideMark/>
          </w:tcPr>
          <w:p w14:paraId="068CD4A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w:t>
            </w:r>
          </w:p>
        </w:tc>
        <w:tc>
          <w:tcPr>
            <w:tcW w:w="414" w:type="pct"/>
            <w:tcBorders>
              <w:top w:val="nil"/>
              <w:left w:val="nil"/>
              <w:bottom w:val="single" w:sz="4" w:space="0" w:color="auto"/>
              <w:right w:val="nil"/>
            </w:tcBorders>
            <w:noWrap/>
            <w:vAlign w:val="bottom"/>
            <w:hideMark/>
          </w:tcPr>
          <w:p w14:paraId="63C7C883"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c>
          <w:tcPr>
            <w:tcW w:w="524" w:type="pct"/>
            <w:tcBorders>
              <w:top w:val="nil"/>
              <w:left w:val="nil"/>
              <w:bottom w:val="single" w:sz="4" w:space="0" w:color="auto"/>
              <w:right w:val="nil"/>
            </w:tcBorders>
            <w:noWrap/>
            <w:vAlign w:val="bottom"/>
            <w:hideMark/>
          </w:tcPr>
          <w:p w14:paraId="0264375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648 974</w:t>
            </w:r>
          </w:p>
        </w:tc>
        <w:tc>
          <w:tcPr>
            <w:tcW w:w="415" w:type="pct"/>
            <w:tcBorders>
              <w:top w:val="nil"/>
              <w:left w:val="nil"/>
              <w:bottom w:val="single" w:sz="4" w:space="0" w:color="auto"/>
              <w:right w:val="nil"/>
            </w:tcBorders>
            <w:noWrap/>
            <w:vAlign w:val="bottom"/>
            <w:hideMark/>
          </w:tcPr>
          <w:p w14:paraId="59ACA23B"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0,8</w:t>
            </w:r>
          </w:p>
        </w:tc>
        <w:tc>
          <w:tcPr>
            <w:tcW w:w="505" w:type="pct"/>
            <w:tcBorders>
              <w:top w:val="nil"/>
              <w:left w:val="nil"/>
              <w:bottom w:val="single" w:sz="4" w:space="0" w:color="auto"/>
              <w:right w:val="nil"/>
            </w:tcBorders>
            <w:noWrap/>
            <w:vAlign w:val="bottom"/>
            <w:hideMark/>
          </w:tcPr>
          <w:p w14:paraId="4ED89B2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648 974</w:t>
            </w:r>
          </w:p>
        </w:tc>
        <w:tc>
          <w:tcPr>
            <w:tcW w:w="504" w:type="pct"/>
            <w:tcBorders>
              <w:top w:val="nil"/>
              <w:left w:val="nil"/>
              <w:bottom w:val="single" w:sz="4" w:space="0" w:color="auto"/>
              <w:right w:val="nil"/>
            </w:tcBorders>
            <w:noWrap/>
            <w:vAlign w:val="bottom"/>
            <w:hideMark/>
          </w:tcPr>
          <w:p w14:paraId="66C549AF"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0,8</w:t>
            </w:r>
          </w:p>
        </w:tc>
      </w:tr>
      <w:tr w:rsidR="00C30F21" w:rsidRPr="00C30F21" w14:paraId="7253C7CC" w14:textId="77777777" w:rsidTr="009E1026">
        <w:trPr>
          <w:trHeight w:val="260"/>
        </w:trPr>
        <w:tc>
          <w:tcPr>
            <w:tcW w:w="2113" w:type="pct"/>
            <w:tcBorders>
              <w:top w:val="nil"/>
              <w:left w:val="nil"/>
              <w:bottom w:val="nil"/>
              <w:right w:val="nil"/>
            </w:tcBorders>
            <w:noWrap/>
            <w:vAlign w:val="bottom"/>
            <w:hideMark/>
          </w:tcPr>
          <w:p w14:paraId="198C0B64" w14:textId="77777777" w:rsidR="00C30F21" w:rsidRPr="00C30F21" w:rsidRDefault="00C30F21" w:rsidP="00C30F21">
            <w:pPr>
              <w:spacing w:after="0" w:line="240" w:lineRule="auto"/>
              <w:rPr>
                <w:b/>
                <w:bCs/>
                <w:sz w:val="18"/>
                <w:szCs w:val="18"/>
                <w:lang w:eastAsia="sk-SK"/>
              </w:rPr>
            </w:pPr>
            <w:r w:rsidRPr="00C30F21">
              <w:rPr>
                <w:b/>
                <w:bCs/>
                <w:sz w:val="18"/>
                <w:szCs w:val="18"/>
                <w:lang w:eastAsia="sk-SK"/>
              </w:rPr>
              <w:t>Podľa pôvodnej splatnosti</w:t>
            </w:r>
          </w:p>
        </w:tc>
        <w:tc>
          <w:tcPr>
            <w:tcW w:w="525" w:type="pct"/>
            <w:tcBorders>
              <w:top w:val="nil"/>
              <w:left w:val="nil"/>
              <w:bottom w:val="nil"/>
              <w:right w:val="nil"/>
            </w:tcBorders>
            <w:noWrap/>
            <w:vAlign w:val="bottom"/>
            <w:hideMark/>
          </w:tcPr>
          <w:p w14:paraId="2C9DB553"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68 882 246</w:t>
            </w:r>
          </w:p>
        </w:tc>
        <w:tc>
          <w:tcPr>
            <w:tcW w:w="414" w:type="pct"/>
            <w:tcBorders>
              <w:top w:val="nil"/>
              <w:left w:val="nil"/>
              <w:bottom w:val="nil"/>
              <w:right w:val="nil"/>
            </w:tcBorders>
            <w:noWrap/>
            <w:vAlign w:val="bottom"/>
            <w:hideMark/>
          </w:tcPr>
          <w:p w14:paraId="3941FB42"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24" w:type="pct"/>
            <w:tcBorders>
              <w:top w:val="nil"/>
              <w:left w:val="nil"/>
              <w:bottom w:val="nil"/>
              <w:right w:val="nil"/>
            </w:tcBorders>
            <w:noWrap/>
            <w:vAlign w:val="bottom"/>
            <w:hideMark/>
          </w:tcPr>
          <w:p w14:paraId="3350DF1B"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77 734 635</w:t>
            </w:r>
          </w:p>
        </w:tc>
        <w:tc>
          <w:tcPr>
            <w:tcW w:w="415" w:type="pct"/>
            <w:tcBorders>
              <w:top w:val="nil"/>
              <w:left w:val="nil"/>
              <w:bottom w:val="nil"/>
              <w:right w:val="nil"/>
            </w:tcBorders>
            <w:noWrap/>
            <w:vAlign w:val="bottom"/>
            <w:hideMark/>
          </w:tcPr>
          <w:p w14:paraId="408BD744"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05" w:type="pct"/>
            <w:tcBorders>
              <w:top w:val="nil"/>
              <w:left w:val="nil"/>
              <w:bottom w:val="nil"/>
              <w:right w:val="nil"/>
            </w:tcBorders>
            <w:noWrap/>
            <w:vAlign w:val="bottom"/>
            <w:hideMark/>
          </w:tcPr>
          <w:p w14:paraId="4FCE17FB"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8 852 389</w:t>
            </w:r>
          </w:p>
        </w:tc>
        <w:tc>
          <w:tcPr>
            <w:tcW w:w="504" w:type="pct"/>
            <w:tcBorders>
              <w:top w:val="nil"/>
              <w:left w:val="nil"/>
              <w:bottom w:val="nil"/>
              <w:right w:val="nil"/>
            </w:tcBorders>
            <w:noWrap/>
            <w:vAlign w:val="bottom"/>
            <w:hideMark/>
          </w:tcPr>
          <w:p w14:paraId="307ACE94"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0,0</w:t>
            </w:r>
          </w:p>
        </w:tc>
      </w:tr>
      <w:tr w:rsidR="00C30F21" w:rsidRPr="00C30F21" w14:paraId="312553C3" w14:textId="77777777" w:rsidTr="009E1026">
        <w:trPr>
          <w:trHeight w:val="260"/>
        </w:trPr>
        <w:tc>
          <w:tcPr>
            <w:tcW w:w="2113" w:type="pct"/>
            <w:tcBorders>
              <w:top w:val="nil"/>
              <w:left w:val="nil"/>
              <w:bottom w:val="nil"/>
              <w:right w:val="nil"/>
            </w:tcBorders>
            <w:noWrap/>
            <w:vAlign w:val="bottom"/>
            <w:hideMark/>
          </w:tcPr>
          <w:p w14:paraId="1324DA9E" w14:textId="77777777" w:rsidR="00C30F21" w:rsidRPr="00C30F21" w:rsidRDefault="00C30F21" w:rsidP="00C30F21">
            <w:pPr>
              <w:spacing w:after="0" w:line="240" w:lineRule="auto"/>
              <w:rPr>
                <w:sz w:val="18"/>
                <w:szCs w:val="18"/>
                <w:lang w:eastAsia="sk-SK"/>
              </w:rPr>
            </w:pPr>
            <w:r w:rsidRPr="00C30F21">
              <w:rPr>
                <w:sz w:val="18"/>
                <w:szCs w:val="18"/>
                <w:lang w:eastAsia="sk-SK"/>
              </w:rPr>
              <w:t>Krátkodobý (do 1 roka)</w:t>
            </w:r>
          </w:p>
        </w:tc>
        <w:tc>
          <w:tcPr>
            <w:tcW w:w="525" w:type="pct"/>
            <w:tcBorders>
              <w:top w:val="nil"/>
              <w:left w:val="nil"/>
              <w:bottom w:val="nil"/>
              <w:right w:val="nil"/>
            </w:tcBorders>
            <w:noWrap/>
            <w:vAlign w:val="bottom"/>
            <w:hideMark/>
          </w:tcPr>
          <w:p w14:paraId="07E39C78"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411 562</w:t>
            </w:r>
          </w:p>
        </w:tc>
        <w:tc>
          <w:tcPr>
            <w:tcW w:w="414" w:type="pct"/>
            <w:tcBorders>
              <w:top w:val="nil"/>
              <w:left w:val="nil"/>
              <w:bottom w:val="nil"/>
              <w:right w:val="nil"/>
            </w:tcBorders>
            <w:noWrap/>
            <w:vAlign w:val="bottom"/>
            <w:hideMark/>
          </w:tcPr>
          <w:p w14:paraId="41F65C7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0,6</w:t>
            </w:r>
          </w:p>
        </w:tc>
        <w:tc>
          <w:tcPr>
            <w:tcW w:w="524" w:type="pct"/>
            <w:tcBorders>
              <w:top w:val="nil"/>
              <w:left w:val="nil"/>
              <w:bottom w:val="nil"/>
              <w:right w:val="nil"/>
            </w:tcBorders>
            <w:noWrap/>
            <w:vAlign w:val="bottom"/>
            <w:hideMark/>
          </w:tcPr>
          <w:p w14:paraId="234730C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448 459</w:t>
            </w:r>
          </w:p>
        </w:tc>
        <w:tc>
          <w:tcPr>
            <w:tcW w:w="415" w:type="pct"/>
            <w:tcBorders>
              <w:top w:val="nil"/>
              <w:left w:val="nil"/>
              <w:bottom w:val="nil"/>
              <w:right w:val="nil"/>
            </w:tcBorders>
            <w:noWrap/>
            <w:vAlign w:val="bottom"/>
            <w:hideMark/>
          </w:tcPr>
          <w:p w14:paraId="7D2633E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0,6</w:t>
            </w:r>
          </w:p>
        </w:tc>
        <w:tc>
          <w:tcPr>
            <w:tcW w:w="505" w:type="pct"/>
            <w:tcBorders>
              <w:top w:val="nil"/>
              <w:left w:val="nil"/>
              <w:bottom w:val="nil"/>
              <w:right w:val="nil"/>
            </w:tcBorders>
            <w:noWrap/>
            <w:vAlign w:val="bottom"/>
            <w:hideMark/>
          </w:tcPr>
          <w:p w14:paraId="3DA306C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36 897</w:t>
            </w:r>
          </w:p>
        </w:tc>
        <w:tc>
          <w:tcPr>
            <w:tcW w:w="504" w:type="pct"/>
            <w:tcBorders>
              <w:top w:val="nil"/>
              <w:left w:val="nil"/>
              <w:bottom w:val="nil"/>
              <w:right w:val="nil"/>
            </w:tcBorders>
            <w:noWrap/>
            <w:vAlign w:val="bottom"/>
            <w:hideMark/>
          </w:tcPr>
          <w:p w14:paraId="3248E27B"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r>
      <w:tr w:rsidR="00C30F21" w:rsidRPr="00C30F21" w14:paraId="532111C2" w14:textId="77777777" w:rsidTr="009E1026">
        <w:trPr>
          <w:trHeight w:val="260"/>
        </w:trPr>
        <w:tc>
          <w:tcPr>
            <w:tcW w:w="2113" w:type="pct"/>
            <w:tcBorders>
              <w:top w:val="nil"/>
              <w:left w:val="nil"/>
              <w:bottom w:val="nil"/>
              <w:right w:val="nil"/>
            </w:tcBorders>
            <w:noWrap/>
            <w:vAlign w:val="bottom"/>
            <w:hideMark/>
          </w:tcPr>
          <w:p w14:paraId="000B39D5" w14:textId="77777777" w:rsidR="00C30F21" w:rsidRPr="00C30F21" w:rsidRDefault="00C30F21" w:rsidP="00C30F21">
            <w:pPr>
              <w:spacing w:after="0" w:line="240" w:lineRule="auto"/>
              <w:rPr>
                <w:sz w:val="18"/>
                <w:szCs w:val="18"/>
                <w:lang w:eastAsia="sk-SK"/>
              </w:rPr>
            </w:pPr>
            <w:r w:rsidRPr="00C30F21">
              <w:rPr>
                <w:sz w:val="18"/>
                <w:szCs w:val="18"/>
                <w:lang w:eastAsia="sk-SK"/>
              </w:rPr>
              <w:t>Dlhodobý</w:t>
            </w:r>
          </w:p>
        </w:tc>
        <w:tc>
          <w:tcPr>
            <w:tcW w:w="525" w:type="pct"/>
            <w:tcBorders>
              <w:top w:val="nil"/>
              <w:left w:val="nil"/>
              <w:bottom w:val="nil"/>
              <w:right w:val="nil"/>
            </w:tcBorders>
            <w:noWrap/>
            <w:vAlign w:val="bottom"/>
            <w:hideMark/>
          </w:tcPr>
          <w:p w14:paraId="49B659A0"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68 470 684</w:t>
            </w:r>
          </w:p>
        </w:tc>
        <w:tc>
          <w:tcPr>
            <w:tcW w:w="414" w:type="pct"/>
            <w:tcBorders>
              <w:top w:val="nil"/>
              <w:left w:val="nil"/>
              <w:bottom w:val="nil"/>
              <w:right w:val="nil"/>
            </w:tcBorders>
            <w:noWrap/>
            <w:vAlign w:val="bottom"/>
            <w:hideMark/>
          </w:tcPr>
          <w:p w14:paraId="7399204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99,4</w:t>
            </w:r>
          </w:p>
        </w:tc>
        <w:tc>
          <w:tcPr>
            <w:tcW w:w="524" w:type="pct"/>
            <w:tcBorders>
              <w:top w:val="nil"/>
              <w:left w:val="nil"/>
              <w:bottom w:val="nil"/>
              <w:right w:val="nil"/>
            </w:tcBorders>
            <w:noWrap/>
            <w:vAlign w:val="bottom"/>
            <w:hideMark/>
          </w:tcPr>
          <w:p w14:paraId="5477FA0A"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77 286 176</w:t>
            </w:r>
          </w:p>
        </w:tc>
        <w:tc>
          <w:tcPr>
            <w:tcW w:w="415" w:type="pct"/>
            <w:tcBorders>
              <w:top w:val="nil"/>
              <w:left w:val="nil"/>
              <w:bottom w:val="nil"/>
              <w:right w:val="nil"/>
            </w:tcBorders>
            <w:noWrap/>
            <w:vAlign w:val="bottom"/>
            <w:hideMark/>
          </w:tcPr>
          <w:p w14:paraId="19C03EF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99,4</w:t>
            </w:r>
          </w:p>
        </w:tc>
        <w:tc>
          <w:tcPr>
            <w:tcW w:w="505" w:type="pct"/>
            <w:tcBorders>
              <w:top w:val="nil"/>
              <w:left w:val="nil"/>
              <w:bottom w:val="nil"/>
              <w:right w:val="nil"/>
            </w:tcBorders>
            <w:noWrap/>
            <w:vAlign w:val="bottom"/>
            <w:hideMark/>
          </w:tcPr>
          <w:p w14:paraId="7F3BF100"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8 815 492</w:t>
            </w:r>
          </w:p>
        </w:tc>
        <w:tc>
          <w:tcPr>
            <w:tcW w:w="504" w:type="pct"/>
            <w:tcBorders>
              <w:top w:val="nil"/>
              <w:left w:val="nil"/>
              <w:bottom w:val="nil"/>
              <w:right w:val="nil"/>
            </w:tcBorders>
            <w:noWrap/>
            <w:vAlign w:val="bottom"/>
            <w:hideMark/>
          </w:tcPr>
          <w:p w14:paraId="39998F73"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r>
      <w:tr w:rsidR="00C30F21" w:rsidRPr="00C30F21" w14:paraId="524A0320" w14:textId="77777777" w:rsidTr="009E1026">
        <w:trPr>
          <w:trHeight w:val="260"/>
        </w:trPr>
        <w:tc>
          <w:tcPr>
            <w:tcW w:w="2113" w:type="pct"/>
            <w:tcBorders>
              <w:top w:val="nil"/>
              <w:left w:val="nil"/>
              <w:bottom w:val="nil"/>
              <w:right w:val="nil"/>
            </w:tcBorders>
            <w:noWrap/>
            <w:vAlign w:val="bottom"/>
            <w:hideMark/>
          </w:tcPr>
          <w:p w14:paraId="36B3174B"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do 5 rokov</w:t>
            </w:r>
          </w:p>
        </w:tc>
        <w:tc>
          <w:tcPr>
            <w:tcW w:w="525" w:type="pct"/>
            <w:tcBorders>
              <w:top w:val="nil"/>
              <w:left w:val="nil"/>
              <w:bottom w:val="nil"/>
              <w:right w:val="nil"/>
            </w:tcBorders>
            <w:noWrap/>
            <w:vAlign w:val="bottom"/>
            <w:hideMark/>
          </w:tcPr>
          <w:p w14:paraId="0F916D98"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1 852 625</w:t>
            </w:r>
          </w:p>
        </w:tc>
        <w:tc>
          <w:tcPr>
            <w:tcW w:w="414" w:type="pct"/>
            <w:tcBorders>
              <w:top w:val="nil"/>
              <w:left w:val="nil"/>
              <w:bottom w:val="nil"/>
              <w:right w:val="nil"/>
            </w:tcBorders>
            <w:noWrap/>
            <w:vAlign w:val="bottom"/>
            <w:hideMark/>
          </w:tcPr>
          <w:p w14:paraId="59260F6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2,7</w:t>
            </w:r>
          </w:p>
        </w:tc>
        <w:tc>
          <w:tcPr>
            <w:tcW w:w="524" w:type="pct"/>
            <w:tcBorders>
              <w:top w:val="nil"/>
              <w:left w:val="nil"/>
              <w:bottom w:val="nil"/>
              <w:right w:val="nil"/>
            </w:tcBorders>
            <w:noWrap/>
            <w:vAlign w:val="bottom"/>
            <w:hideMark/>
          </w:tcPr>
          <w:p w14:paraId="242A8CB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3 233 521</w:t>
            </w:r>
          </w:p>
        </w:tc>
        <w:tc>
          <w:tcPr>
            <w:tcW w:w="415" w:type="pct"/>
            <w:tcBorders>
              <w:top w:val="nil"/>
              <w:left w:val="nil"/>
              <w:bottom w:val="nil"/>
              <w:right w:val="nil"/>
            </w:tcBorders>
            <w:noWrap/>
            <w:vAlign w:val="bottom"/>
            <w:hideMark/>
          </w:tcPr>
          <w:p w14:paraId="0F64D9D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4,2</w:t>
            </w:r>
          </w:p>
        </w:tc>
        <w:tc>
          <w:tcPr>
            <w:tcW w:w="505" w:type="pct"/>
            <w:tcBorders>
              <w:top w:val="nil"/>
              <w:left w:val="nil"/>
              <w:bottom w:val="nil"/>
              <w:right w:val="nil"/>
            </w:tcBorders>
            <w:noWrap/>
            <w:vAlign w:val="bottom"/>
            <w:hideMark/>
          </w:tcPr>
          <w:p w14:paraId="2B06D28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1 380 896</w:t>
            </w:r>
          </w:p>
        </w:tc>
        <w:tc>
          <w:tcPr>
            <w:tcW w:w="504" w:type="pct"/>
            <w:tcBorders>
              <w:top w:val="nil"/>
              <w:left w:val="nil"/>
              <w:bottom w:val="nil"/>
              <w:right w:val="nil"/>
            </w:tcBorders>
            <w:noWrap/>
            <w:vAlign w:val="bottom"/>
            <w:hideMark/>
          </w:tcPr>
          <w:p w14:paraId="3FC70CF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1,5</w:t>
            </w:r>
          </w:p>
        </w:tc>
      </w:tr>
      <w:tr w:rsidR="00C30F21" w:rsidRPr="00C30F21" w14:paraId="70FA184F" w14:textId="77777777" w:rsidTr="009E1026">
        <w:trPr>
          <w:trHeight w:val="260"/>
        </w:trPr>
        <w:tc>
          <w:tcPr>
            <w:tcW w:w="2113" w:type="pct"/>
            <w:tcBorders>
              <w:top w:val="nil"/>
              <w:left w:val="nil"/>
              <w:bottom w:val="nil"/>
              <w:right w:val="nil"/>
            </w:tcBorders>
            <w:noWrap/>
            <w:vAlign w:val="bottom"/>
            <w:hideMark/>
          </w:tcPr>
          <w:p w14:paraId="7C66CBD2"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od 5 do 10 rokov</w:t>
            </w:r>
          </w:p>
        </w:tc>
        <w:tc>
          <w:tcPr>
            <w:tcW w:w="525" w:type="pct"/>
            <w:tcBorders>
              <w:top w:val="nil"/>
              <w:left w:val="nil"/>
              <w:bottom w:val="nil"/>
              <w:right w:val="nil"/>
            </w:tcBorders>
            <w:noWrap/>
            <w:vAlign w:val="bottom"/>
            <w:hideMark/>
          </w:tcPr>
          <w:p w14:paraId="0EA6386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7 598 376</w:t>
            </w:r>
          </w:p>
        </w:tc>
        <w:tc>
          <w:tcPr>
            <w:tcW w:w="414" w:type="pct"/>
            <w:tcBorders>
              <w:top w:val="nil"/>
              <w:left w:val="nil"/>
              <w:bottom w:val="nil"/>
              <w:right w:val="nil"/>
            </w:tcBorders>
            <w:noWrap/>
            <w:vAlign w:val="bottom"/>
            <w:hideMark/>
          </w:tcPr>
          <w:p w14:paraId="19CE2CF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11,0</w:t>
            </w:r>
          </w:p>
        </w:tc>
        <w:tc>
          <w:tcPr>
            <w:tcW w:w="524" w:type="pct"/>
            <w:tcBorders>
              <w:top w:val="nil"/>
              <w:left w:val="nil"/>
              <w:bottom w:val="nil"/>
              <w:right w:val="nil"/>
            </w:tcBorders>
            <w:noWrap/>
            <w:vAlign w:val="bottom"/>
            <w:hideMark/>
          </w:tcPr>
          <w:p w14:paraId="159FFB5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9 846 736</w:t>
            </w:r>
          </w:p>
        </w:tc>
        <w:tc>
          <w:tcPr>
            <w:tcW w:w="415" w:type="pct"/>
            <w:tcBorders>
              <w:top w:val="nil"/>
              <w:left w:val="nil"/>
              <w:bottom w:val="nil"/>
              <w:right w:val="nil"/>
            </w:tcBorders>
            <w:noWrap/>
            <w:vAlign w:val="bottom"/>
            <w:hideMark/>
          </w:tcPr>
          <w:p w14:paraId="357AED63"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12,7</w:t>
            </w:r>
          </w:p>
        </w:tc>
        <w:tc>
          <w:tcPr>
            <w:tcW w:w="505" w:type="pct"/>
            <w:tcBorders>
              <w:top w:val="nil"/>
              <w:left w:val="nil"/>
              <w:bottom w:val="nil"/>
              <w:right w:val="nil"/>
            </w:tcBorders>
            <w:noWrap/>
            <w:vAlign w:val="bottom"/>
            <w:hideMark/>
          </w:tcPr>
          <w:p w14:paraId="47F1B73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2 248 360</w:t>
            </w:r>
          </w:p>
        </w:tc>
        <w:tc>
          <w:tcPr>
            <w:tcW w:w="504" w:type="pct"/>
            <w:tcBorders>
              <w:top w:val="nil"/>
              <w:left w:val="nil"/>
              <w:bottom w:val="nil"/>
              <w:right w:val="nil"/>
            </w:tcBorders>
            <w:noWrap/>
            <w:vAlign w:val="bottom"/>
            <w:hideMark/>
          </w:tcPr>
          <w:p w14:paraId="1F0DD6E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1,6</w:t>
            </w:r>
          </w:p>
        </w:tc>
      </w:tr>
      <w:tr w:rsidR="00C30F21" w:rsidRPr="00C30F21" w14:paraId="5BAC3D0A" w14:textId="77777777" w:rsidTr="009E1026">
        <w:trPr>
          <w:trHeight w:val="260"/>
        </w:trPr>
        <w:tc>
          <w:tcPr>
            <w:tcW w:w="2113" w:type="pct"/>
            <w:tcBorders>
              <w:top w:val="nil"/>
              <w:left w:val="nil"/>
              <w:bottom w:val="single" w:sz="4" w:space="0" w:color="auto"/>
              <w:right w:val="nil"/>
            </w:tcBorders>
            <w:noWrap/>
            <w:vAlign w:val="bottom"/>
            <w:hideMark/>
          </w:tcPr>
          <w:p w14:paraId="458377F9"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nad 10 rokov</w:t>
            </w:r>
          </w:p>
        </w:tc>
        <w:tc>
          <w:tcPr>
            <w:tcW w:w="525" w:type="pct"/>
            <w:tcBorders>
              <w:top w:val="nil"/>
              <w:left w:val="nil"/>
              <w:bottom w:val="single" w:sz="4" w:space="0" w:color="auto"/>
              <w:right w:val="nil"/>
            </w:tcBorders>
            <w:noWrap/>
            <w:vAlign w:val="bottom"/>
            <w:hideMark/>
          </w:tcPr>
          <w:p w14:paraId="5F9E6D3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59 019 683</w:t>
            </w:r>
          </w:p>
        </w:tc>
        <w:tc>
          <w:tcPr>
            <w:tcW w:w="414" w:type="pct"/>
            <w:tcBorders>
              <w:top w:val="nil"/>
              <w:left w:val="nil"/>
              <w:bottom w:val="single" w:sz="4" w:space="0" w:color="auto"/>
              <w:right w:val="nil"/>
            </w:tcBorders>
            <w:noWrap/>
            <w:vAlign w:val="bottom"/>
            <w:hideMark/>
          </w:tcPr>
          <w:p w14:paraId="5BD1989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85,7</w:t>
            </w:r>
          </w:p>
        </w:tc>
        <w:tc>
          <w:tcPr>
            <w:tcW w:w="524" w:type="pct"/>
            <w:tcBorders>
              <w:top w:val="nil"/>
              <w:left w:val="nil"/>
              <w:bottom w:val="single" w:sz="4" w:space="0" w:color="auto"/>
              <w:right w:val="nil"/>
            </w:tcBorders>
            <w:noWrap/>
            <w:vAlign w:val="bottom"/>
            <w:hideMark/>
          </w:tcPr>
          <w:p w14:paraId="12D709F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64 205 919</w:t>
            </w:r>
          </w:p>
        </w:tc>
        <w:tc>
          <w:tcPr>
            <w:tcW w:w="415" w:type="pct"/>
            <w:tcBorders>
              <w:top w:val="nil"/>
              <w:left w:val="nil"/>
              <w:bottom w:val="single" w:sz="4" w:space="0" w:color="auto"/>
              <w:right w:val="nil"/>
            </w:tcBorders>
            <w:noWrap/>
            <w:vAlign w:val="bottom"/>
            <w:hideMark/>
          </w:tcPr>
          <w:p w14:paraId="5EA5CB9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82,6</w:t>
            </w:r>
          </w:p>
        </w:tc>
        <w:tc>
          <w:tcPr>
            <w:tcW w:w="505" w:type="pct"/>
            <w:tcBorders>
              <w:top w:val="nil"/>
              <w:left w:val="nil"/>
              <w:bottom w:val="single" w:sz="4" w:space="0" w:color="auto"/>
              <w:right w:val="nil"/>
            </w:tcBorders>
            <w:noWrap/>
            <w:vAlign w:val="bottom"/>
            <w:hideMark/>
          </w:tcPr>
          <w:p w14:paraId="197FC2D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5 186 236</w:t>
            </w:r>
          </w:p>
        </w:tc>
        <w:tc>
          <w:tcPr>
            <w:tcW w:w="504" w:type="pct"/>
            <w:tcBorders>
              <w:top w:val="nil"/>
              <w:left w:val="nil"/>
              <w:bottom w:val="single" w:sz="4" w:space="0" w:color="auto"/>
              <w:right w:val="nil"/>
            </w:tcBorders>
            <w:noWrap/>
            <w:vAlign w:val="bottom"/>
            <w:hideMark/>
          </w:tcPr>
          <w:p w14:paraId="5563407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-3,1</w:t>
            </w:r>
          </w:p>
        </w:tc>
      </w:tr>
      <w:tr w:rsidR="00C30F21" w:rsidRPr="00C30F21" w14:paraId="3368BE72" w14:textId="77777777" w:rsidTr="009E1026">
        <w:trPr>
          <w:trHeight w:val="260"/>
        </w:trPr>
        <w:tc>
          <w:tcPr>
            <w:tcW w:w="2113" w:type="pct"/>
            <w:tcBorders>
              <w:top w:val="nil"/>
              <w:left w:val="nil"/>
              <w:bottom w:val="nil"/>
              <w:right w:val="nil"/>
            </w:tcBorders>
            <w:noWrap/>
            <w:vAlign w:val="bottom"/>
            <w:hideMark/>
          </w:tcPr>
          <w:p w14:paraId="79AE8A7C" w14:textId="77777777" w:rsidR="00C30F21" w:rsidRPr="00C30F21" w:rsidRDefault="00C30F21" w:rsidP="00C30F21">
            <w:pPr>
              <w:spacing w:after="0" w:line="240" w:lineRule="auto"/>
              <w:rPr>
                <w:b/>
                <w:bCs/>
                <w:sz w:val="18"/>
                <w:szCs w:val="18"/>
                <w:lang w:eastAsia="sk-SK"/>
              </w:rPr>
            </w:pPr>
            <w:r w:rsidRPr="00C30F21">
              <w:rPr>
                <w:b/>
                <w:bCs/>
                <w:sz w:val="18"/>
                <w:szCs w:val="18"/>
                <w:lang w:eastAsia="sk-SK"/>
              </w:rPr>
              <w:t>Podľa veriteľa</w:t>
            </w:r>
          </w:p>
        </w:tc>
        <w:tc>
          <w:tcPr>
            <w:tcW w:w="525" w:type="pct"/>
            <w:tcBorders>
              <w:top w:val="nil"/>
              <w:left w:val="nil"/>
              <w:bottom w:val="nil"/>
              <w:right w:val="nil"/>
            </w:tcBorders>
            <w:noWrap/>
            <w:vAlign w:val="bottom"/>
            <w:hideMark/>
          </w:tcPr>
          <w:p w14:paraId="3803BFCB"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68 882 246</w:t>
            </w:r>
          </w:p>
        </w:tc>
        <w:tc>
          <w:tcPr>
            <w:tcW w:w="414" w:type="pct"/>
            <w:tcBorders>
              <w:top w:val="nil"/>
              <w:left w:val="nil"/>
              <w:bottom w:val="nil"/>
              <w:right w:val="nil"/>
            </w:tcBorders>
            <w:noWrap/>
            <w:vAlign w:val="bottom"/>
            <w:hideMark/>
          </w:tcPr>
          <w:p w14:paraId="02E19542"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24" w:type="pct"/>
            <w:tcBorders>
              <w:top w:val="nil"/>
              <w:left w:val="nil"/>
              <w:bottom w:val="nil"/>
              <w:right w:val="nil"/>
            </w:tcBorders>
            <w:noWrap/>
            <w:vAlign w:val="bottom"/>
            <w:hideMark/>
          </w:tcPr>
          <w:p w14:paraId="2327B588"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77 734 635</w:t>
            </w:r>
          </w:p>
        </w:tc>
        <w:tc>
          <w:tcPr>
            <w:tcW w:w="415" w:type="pct"/>
            <w:tcBorders>
              <w:top w:val="nil"/>
              <w:left w:val="nil"/>
              <w:bottom w:val="nil"/>
              <w:right w:val="nil"/>
            </w:tcBorders>
            <w:noWrap/>
            <w:vAlign w:val="bottom"/>
            <w:hideMark/>
          </w:tcPr>
          <w:p w14:paraId="456BF0DC"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100,0</w:t>
            </w:r>
          </w:p>
        </w:tc>
        <w:tc>
          <w:tcPr>
            <w:tcW w:w="505" w:type="pct"/>
            <w:tcBorders>
              <w:top w:val="nil"/>
              <w:left w:val="nil"/>
              <w:bottom w:val="nil"/>
              <w:right w:val="nil"/>
            </w:tcBorders>
            <w:noWrap/>
            <w:vAlign w:val="bottom"/>
            <w:hideMark/>
          </w:tcPr>
          <w:p w14:paraId="5903F938"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8 852 389</w:t>
            </w:r>
          </w:p>
        </w:tc>
        <w:tc>
          <w:tcPr>
            <w:tcW w:w="504" w:type="pct"/>
            <w:tcBorders>
              <w:top w:val="nil"/>
              <w:left w:val="nil"/>
              <w:bottom w:val="nil"/>
              <w:right w:val="nil"/>
            </w:tcBorders>
            <w:noWrap/>
            <w:vAlign w:val="bottom"/>
            <w:hideMark/>
          </w:tcPr>
          <w:p w14:paraId="087CB642" w14:textId="77777777" w:rsidR="00C30F21" w:rsidRPr="00C30F21" w:rsidRDefault="00C30F21" w:rsidP="00C30F21">
            <w:pPr>
              <w:spacing w:after="0" w:line="240" w:lineRule="auto"/>
              <w:jc w:val="right"/>
              <w:rPr>
                <w:b/>
                <w:bCs/>
                <w:sz w:val="18"/>
                <w:szCs w:val="18"/>
                <w:lang w:eastAsia="sk-SK"/>
              </w:rPr>
            </w:pPr>
            <w:r w:rsidRPr="00C30F21">
              <w:rPr>
                <w:b/>
                <w:bCs/>
                <w:sz w:val="18"/>
                <w:szCs w:val="18"/>
                <w:lang w:eastAsia="sk-SK"/>
              </w:rPr>
              <w:t>0,0</w:t>
            </w:r>
          </w:p>
        </w:tc>
      </w:tr>
      <w:tr w:rsidR="00C30F21" w:rsidRPr="00C30F21" w14:paraId="28DE7A1E" w14:textId="77777777" w:rsidTr="009E1026">
        <w:trPr>
          <w:trHeight w:val="260"/>
        </w:trPr>
        <w:tc>
          <w:tcPr>
            <w:tcW w:w="2113" w:type="pct"/>
            <w:tcBorders>
              <w:top w:val="nil"/>
              <w:left w:val="nil"/>
              <w:bottom w:val="nil"/>
              <w:right w:val="nil"/>
            </w:tcBorders>
            <w:noWrap/>
            <w:vAlign w:val="bottom"/>
            <w:hideMark/>
          </w:tcPr>
          <w:p w14:paraId="545EE54B" w14:textId="77777777" w:rsidR="00C30F21" w:rsidRPr="00C30F21" w:rsidRDefault="00C30F21" w:rsidP="00C30F21">
            <w:pPr>
              <w:spacing w:after="0" w:line="240" w:lineRule="auto"/>
              <w:rPr>
                <w:sz w:val="18"/>
                <w:szCs w:val="18"/>
                <w:lang w:eastAsia="sk-SK"/>
              </w:rPr>
            </w:pPr>
            <w:r w:rsidRPr="00C30F21">
              <w:rPr>
                <w:sz w:val="18"/>
                <w:szCs w:val="18"/>
                <w:lang w:eastAsia="sk-SK"/>
              </w:rPr>
              <w:t>Národné hospodárstvo spolu</w:t>
            </w:r>
          </w:p>
        </w:tc>
        <w:tc>
          <w:tcPr>
            <w:tcW w:w="525" w:type="pct"/>
            <w:tcBorders>
              <w:top w:val="nil"/>
              <w:left w:val="nil"/>
              <w:bottom w:val="nil"/>
              <w:right w:val="nil"/>
            </w:tcBorders>
            <w:noWrap/>
            <w:vAlign w:val="bottom"/>
            <w:hideMark/>
          </w:tcPr>
          <w:p w14:paraId="578F4BD5"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33 001 772</w:t>
            </w:r>
          </w:p>
        </w:tc>
        <w:tc>
          <w:tcPr>
            <w:tcW w:w="414" w:type="pct"/>
            <w:tcBorders>
              <w:top w:val="nil"/>
              <w:left w:val="nil"/>
              <w:bottom w:val="nil"/>
              <w:right w:val="nil"/>
            </w:tcBorders>
            <w:noWrap/>
            <w:vAlign w:val="bottom"/>
            <w:hideMark/>
          </w:tcPr>
          <w:p w14:paraId="2F5CFF33"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47,9</w:t>
            </w:r>
          </w:p>
        </w:tc>
        <w:tc>
          <w:tcPr>
            <w:tcW w:w="524" w:type="pct"/>
            <w:tcBorders>
              <w:top w:val="nil"/>
              <w:left w:val="nil"/>
              <w:bottom w:val="nil"/>
              <w:right w:val="nil"/>
            </w:tcBorders>
            <w:noWrap/>
            <w:vAlign w:val="bottom"/>
            <w:hideMark/>
          </w:tcPr>
          <w:p w14:paraId="1DB712AF"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32 811 643</w:t>
            </w:r>
          </w:p>
        </w:tc>
        <w:tc>
          <w:tcPr>
            <w:tcW w:w="415" w:type="pct"/>
            <w:tcBorders>
              <w:top w:val="nil"/>
              <w:left w:val="nil"/>
              <w:bottom w:val="nil"/>
              <w:right w:val="nil"/>
            </w:tcBorders>
            <w:noWrap/>
            <w:vAlign w:val="bottom"/>
            <w:hideMark/>
          </w:tcPr>
          <w:p w14:paraId="13547E2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42,2</w:t>
            </w:r>
          </w:p>
        </w:tc>
        <w:tc>
          <w:tcPr>
            <w:tcW w:w="505" w:type="pct"/>
            <w:tcBorders>
              <w:top w:val="nil"/>
              <w:left w:val="nil"/>
              <w:bottom w:val="nil"/>
              <w:right w:val="nil"/>
            </w:tcBorders>
            <w:noWrap/>
            <w:vAlign w:val="bottom"/>
            <w:hideMark/>
          </w:tcPr>
          <w:p w14:paraId="2B79131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-190 129</w:t>
            </w:r>
          </w:p>
        </w:tc>
        <w:tc>
          <w:tcPr>
            <w:tcW w:w="504" w:type="pct"/>
            <w:tcBorders>
              <w:top w:val="nil"/>
              <w:left w:val="nil"/>
              <w:bottom w:val="nil"/>
              <w:right w:val="nil"/>
            </w:tcBorders>
            <w:noWrap/>
            <w:vAlign w:val="bottom"/>
            <w:hideMark/>
          </w:tcPr>
          <w:p w14:paraId="5EDEEAB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-5,7</w:t>
            </w:r>
          </w:p>
        </w:tc>
      </w:tr>
      <w:tr w:rsidR="00C30F21" w:rsidRPr="00C30F21" w14:paraId="6A04C92A" w14:textId="77777777" w:rsidTr="009E1026">
        <w:trPr>
          <w:trHeight w:val="260"/>
        </w:trPr>
        <w:tc>
          <w:tcPr>
            <w:tcW w:w="2113" w:type="pct"/>
            <w:tcBorders>
              <w:top w:val="nil"/>
              <w:left w:val="nil"/>
              <w:bottom w:val="nil"/>
              <w:right w:val="nil"/>
            </w:tcBorders>
            <w:noWrap/>
            <w:vAlign w:val="bottom"/>
            <w:hideMark/>
          </w:tcPr>
          <w:p w14:paraId="79FFA75D"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nefinančné korporácie</w:t>
            </w:r>
          </w:p>
        </w:tc>
        <w:tc>
          <w:tcPr>
            <w:tcW w:w="525" w:type="pct"/>
            <w:tcBorders>
              <w:top w:val="nil"/>
              <w:left w:val="nil"/>
              <w:bottom w:val="nil"/>
              <w:right w:val="nil"/>
            </w:tcBorders>
            <w:noWrap/>
            <w:vAlign w:val="bottom"/>
            <w:hideMark/>
          </w:tcPr>
          <w:p w14:paraId="5FC48C26"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343 071</w:t>
            </w:r>
          </w:p>
        </w:tc>
        <w:tc>
          <w:tcPr>
            <w:tcW w:w="414" w:type="pct"/>
            <w:tcBorders>
              <w:top w:val="nil"/>
              <w:left w:val="nil"/>
              <w:bottom w:val="nil"/>
              <w:right w:val="nil"/>
            </w:tcBorders>
            <w:noWrap/>
            <w:vAlign w:val="bottom"/>
            <w:hideMark/>
          </w:tcPr>
          <w:p w14:paraId="1241874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0,5</w:t>
            </w:r>
          </w:p>
        </w:tc>
        <w:tc>
          <w:tcPr>
            <w:tcW w:w="524" w:type="pct"/>
            <w:tcBorders>
              <w:top w:val="nil"/>
              <w:left w:val="nil"/>
              <w:bottom w:val="nil"/>
              <w:right w:val="nil"/>
            </w:tcBorders>
            <w:noWrap/>
            <w:vAlign w:val="bottom"/>
            <w:hideMark/>
          </w:tcPr>
          <w:p w14:paraId="76EF000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495 430</w:t>
            </w:r>
          </w:p>
        </w:tc>
        <w:tc>
          <w:tcPr>
            <w:tcW w:w="415" w:type="pct"/>
            <w:tcBorders>
              <w:top w:val="nil"/>
              <w:left w:val="nil"/>
              <w:bottom w:val="nil"/>
              <w:right w:val="nil"/>
            </w:tcBorders>
            <w:noWrap/>
            <w:vAlign w:val="bottom"/>
            <w:hideMark/>
          </w:tcPr>
          <w:p w14:paraId="49E14C4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0,6</w:t>
            </w:r>
          </w:p>
        </w:tc>
        <w:tc>
          <w:tcPr>
            <w:tcW w:w="505" w:type="pct"/>
            <w:tcBorders>
              <w:top w:val="nil"/>
              <w:left w:val="nil"/>
              <w:bottom w:val="nil"/>
              <w:right w:val="nil"/>
            </w:tcBorders>
            <w:noWrap/>
            <w:vAlign w:val="bottom"/>
            <w:hideMark/>
          </w:tcPr>
          <w:p w14:paraId="63385F7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152 359</w:t>
            </w:r>
          </w:p>
        </w:tc>
        <w:tc>
          <w:tcPr>
            <w:tcW w:w="504" w:type="pct"/>
            <w:tcBorders>
              <w:top w:val="nil"/>
              <w:left w:val="nil"/>
              <w:bottom w:val="nil"/>
              <w:right w:val="nil"/>
            </w:tcBorders>
            <w:noWrap/>
            <w:vAlign w:val="bottom"/>
            <w:hideMark/>
          </w:tcPr>
          <w:p w14:paraId="04B334FF"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0,1</w:t>
            </w:r>
          </w:p>
        </w:tc>
      </w:tr>
      <w:tr w:rsidR="00C30F21" w:rsidRPr="00C30F21" w14:paraId="0C1A9E02" w14:textId="77777777" w:rsidTr="009E1026">
        <w:trPr>
          <w:trHeight w:val="260"/>
        </w:trPr>
        <w:tc>
          <w:tcPr>
            <w:tcW w:w="2113" w:type="pct"/>
            <w:tcBorders>
              <w:top w:val="nil"/>
              <w:left w:val="nil"/>
              <w:bottom w:val="nil"/>
              <w:right w:val="nil"/>
            </w:tcBorders>
            <w:noWrap/>
            <w:vAlign w:val="bottom"/>
            <w:hideMark/>
          </w:tcPr>
          <w:p w14:paraId="54A648BE"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finančné korporácie</w:t>
            </w:r>
          </w:p>
        </w:tc>
        <w:tc>
          <w:tcPr>
            <w:tcW w:w="525" w:type="pct"/>
            <w:tcBorders>
              <w:top w:val="nil"/>
              <w:left w:val="nil"/>
              <w:bottom w:val="nil"/>
              <w:right w:val="nil"/>
            </w:tcBorders>
            <w:noWrap/>
            <w:vAlign w:val="bottom"/>
            <w:hideMark/>
          </w:tcPr>
          <w:p w14:paraId="0A417DD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32 637 422</w:t>
            </w:r>
          </w:p>
        </w:tc>
        <w:tc>
          <w:tcPr>
            <w:tcW w:w="414" w:type="pct"/>
            <w:tcBorders>
              <w:top w:val="nil"/>
              <w:left w:val="nil"/>
              <w:bottom w:val="nil"/>
              <w:right w:val="nil"/>
            </w:tcBorders>
            <w:noWrap/>
            <w:vAlign w:val="bottom"/>
            <w:hideMark/>
          </w:tcPr>
          <w:p w14:paraId="0D863CCA"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47,4</w:t>
            </w:r>
          </w:p>
        </w:tc>
        <w:tc>
          <w:tcPr>
            <w:tcW w:w="524" w:type="pct"/>
            <w:tcBorders>
              <w:top w:val="nil"/>
              <w:left w:val="nil"/>
              <w:bottom w:val="nil"/>
              <w:right w:val="nil"/>
            </w:tcBorders>
            <w:noWrap/>
            <w:vAlign w:val="bottom"/>
            <w:hideMark/>
          </w:tcPr>
          <w:p w14:paraId="71D6B90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32 280 234</w:t>
            </w:r>
          </w:p>
        </w:tc>
        <w:tc>
          <w:tcPr>
            <w:tcW w:w="415" w:type="pct"/>
            <w:tcBorders>
              <w:top w:val="nil"/>
              <w:left w:val="nil"/>
              <w:bottom w:val="nil"/>
              <w:right w:val="nil"/>
            </w:tcBorders>
            <w:noWrap/>
            <w:vAlign w:val="bottom"/>
            <w:hideMark/>
          </w:tcPr>
          <w:p w14:paraId="5584D20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41,5</w:t>
            </w:r>
          </w:p>
        </w:tc>
        <w:tc>
          <w:tcPr>
            <w:tcW w:w="505" w:type="pct"/>
            <w:tcBorders>
              <w:top w:val="nil"/>
              <w:left w:val="nil"/>
              <w:bottom w:val="nil"/>
              <w:right w:val="nil"/>
            </w:tcBorders>
            <w:noWrap/>
            <w:vAlign w:val="bottom"/>
            <w:hideMark/>
          </w:tcPr>
          <w:p w14:paraId="637A2EE2"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-357 188</w:t>
            </w:r>
          </w:p>
        </w:tc>
        <w:tc>
          <w:tcPr>
            <w:tcW w:w="504" w:type="pct"/>
            <w:tcBorders>
              <w:top w:val="nil"/>
              <w:left w:val="nil"/>
              <w:bottom w:val="nil"/>
              <w:right w:val="nil"/>
            </w:tcBorders>
            <w:noWrap/>
            <w:vAlign w:val="bottom"/>
            <w:hideMark/>
          </w:tcPr>
          <w:p w14:paraId="616573D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-5,9</w:t>
            </w:r>
          </w:p>
        </w:tc>
      </w:tr>
      <w:tr w:rsidR="00C30F21" w:rsidRPr="00C30F21" w14:paraId="264177D1" w14:textId="77777777" w:rsidTr="009E1026">
        <w:trPr>
          <w:trHeight w:val="260"/>
        </w:trPr>
        <w:tc>
          <w:tcPr>
            <w:tcW w:w="2113" w:type="pct"/>
            <w:tcBorders>
              <w:top w:val="nil"/>
              <w:left w:val="nil"/>
              <w:bottom w:val="nil"/>
              <w:right w:val="nil"/>
            </w:tcBorders>
            <w:noWrap/>
            <w:vAlign w:val="bottom"/>
            <w:hideMark/>
          </w:tcPr>
          <w:p w14:paraId="742C7975"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domácnosti</w:t>
            </w:r>
          </w:p>
        </w:tc>
        <w:tc>
          <w:tcPr>
            <w:tcW w:w="525" w:type="pct"/>
            <w:tcBorders>
              <w:top w:val="nil"/>
              <w:left w:val="nil"/>
              <w:bottom w:val="nil"/>
              <w:right w:val="nil"/>
            </w:tcBorders>
            <w:noWrap/>
            <w:vAlign w:val="bottom"/>
            <w:hideMark/>
          </w:tcPr>
          <w:p w14:paraId="693C6953"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417</w:t>
            </w:r>
          </w:p>
        </w:tc>
        <w:tc>
          <w:tcPr>
            <w:tcW w:w="414" w:type="pct"/>
            <w:tcBorders>
              <w:top w:val="nil"/>
              <w:left w:val="nil"/>
              <w:bottom w:val="nil"/>
              <w:right w:val="nil"/>
            </w:tcBorders>
            <w:noWrap/>
            <w:vAlign w:val="bottom"/>
            <w:hideMark/>
          </w:tcPr>
          <w:p w14:paraId="4DA17DA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c>
          <w:tcPr>
            <w:tcW w:w="524" w:type="pct"/>
            <w:tcBorders>
              <w:top w:val="nil"/>
              <w:left w:val="nil"/>
              <w:bottom w:val="nil"/>
              <w:right w:val="nil"/>
            </w:tcBorders>
            <w:noWrap/>
            <w:vAlign w:val="bottom"/>
            <w:hideMark/>
          </w:tcPr>
          <w:p w14:paraId="475F3E99"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34 484</w:t>
            </w:r>
          </w:p>
        </w:tc>
        <w:tc>
          <w:tcPr>
            <w:tcW w:w="415" w:type="pct"/>
            <w:tcBorders>
              <w:top w:val="nil"/>
              <w:left w:val="nil"/>
              <w:bottom w:val="nil"/>
              <w:right w:val="nil"/>
            </w:tcBorders>
            <w:noWrap/>
            <w:vAlign w:val="bottom"/>
            <w:hideMark/>
          </w:tcPr>
          <w:p w14:paraId="2BF14AE0"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c>
          <w:tcPr>
            <w:tcW w:w="505" w:type="pct"/>
            <w:tcBorders>
              <w:top w:val="nil"/>
              <w:left w:val="nil"/>
              <w:bottom w:val="nil"/>
              <w:right w:val="nil"/>
            </w:tcBorders>
            <w:noWrap/>
            <w:vAlign w:val="bottom"/>
            <w:hideMark/>
          </w:tcPr>
          <w:p w14:paraId="62D23E4D"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34 067</w:t>
            </w:r>
          </w:p>
        </w:tc>
        <w:tc>
          <w:tcPr>
            <w:tcW w:w="504" w:type="pct"/>
            <w:tcBorders>
              <w:top w:val="nil"/>
              <w:left w:val="nil"/>
              <w:bottom w:val="nil"/>
              <w:right w:val="nil"/>
            </w:tcBorders>
            <w:noWrap/>
            <w:vAlign w:val="bottom"/>
            <w:hideMark/>
          </w:tcPr>
          <w:p w14:paraId="36AD0264"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r>
      <w:tr w:rsidR="00C30F21" w:rsidRPr="00C30F21" w14:paraId="29CFE557" w14:textId="77777777" w:rsidTr="009E1026">
        <w:trPr>
          <w:trHeight w:val="260"/>
        </w:trPr>
        <w:tc>
          <w:tcPr>
            <w:tcW w:w="2113" w:type="pct"/>
            <w:tcBorders>
              <w:top w:val="nil"/>
              <w:left w:val="nil"/>
              <w:bottom w:val="nil"/>
              <w:right w:val="nil"/>
            </w:tcBorders>
            <w:noWrap/>
            <w:vAlign w:val="bottom"/>
            <w:hideMark/>
          </w:tcPr>
          <w:p w14:paraId="389E5D53" w14:textId="77777777" w:rsidR="00C30F21" w:rsidRPr="00C30F21" w:rsidRDefault="00C30F21" w:rsidP="00C30F21">
            <w:pPr>
              <w:spacing w:after="0" w:line="240" w:lineRule="auto"/>
              <w:ind w:firstLineChars="200" w:firstLine="360"/>
              <w:rPr>
                <w:sz w:val="18"/>
                <w:szCs w:val="18"/>
                <w:lang w:eastAsia="sk-SK"/>
              </w:rPr>
            </w:pPr>
            <w:r w:rsidRPr="00C30F21">
              <w:rPr>
                <w:sz w:val="18"/>
                <w:szCs w:val="18"/>
                <w:lang w:eastAsia="sk-SK"/>
              </w:rPr>
              <w:t>nezisk. inštitúcie slúžiace domácnostiam</w:t>
            </w:r>
          </w:p>
        </w:tc>
        <w:tc>
          <w:tcPr>
            <w:tcW w:w="525" w:type="pct"/>
            <w:tcBorders>
              <w:top w:val="nil"/>
              <w:left w:val="nil"/>
              <w:bottom w:val="nil"/>
              <w:right w:val="nil"/>
            </w:tcBorders>
            <w:noWrap/>
            <w:vAlign w:val="bottom"/>
            <w:hideMark/>
          </w:tcPr>
          <w:p w14:paraId="2E6F0F2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20 862</w:t>
            </w:r>
          </w:p>
        </w:tc>
        <w:tc>
          <w:tcPr>
            <w:tcW w:w="414" w:type="pct"/>
            <w:tcBorders>
              <w:top w:val="nil"/>
              <w:left w:val="nil"/>
              <w:bottom w:val="nil"/>
              <w:right w:val="nil"/>
            </w:tcBorders>
            <w:noWrap/>
            <w:vAlign w:val="bottom"/>
            <w:hideMark/>
          </w:tcPr>
          <w:p w14:paraId="75A5D28A"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c>
          <w:tcPr>
            <w:tcW w:w="524" w:type="pct"/>
            <w:tcBorders>
              <w:top w:val="nil"/>
              <w:left w:val="nil"/>
              <w:bottom w:val="nil"/>
              <w:right w:val="nil"/>
            </w:tcBorders>
            <w:noWrap/>
            <w:vAlign w:val="bottom"/>
            <w:hideMark/>
          </w:tcPr>
          <w:p w14:paraId="758AE3E0"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1 495</w:t>
            </w:r>
          </w:p>
        </w:tc>
        <w:tc>
          <w:tcPr>
            <w:tcW w:w="415" w:type="pct"/>
            <w:tcBorders>
              <w:top w:val="nil"/>
              <w:left w:val="nil"/>
              <w:bottom w:val="nil"/>
              <w:right w:val="nil"/>
            </w:tcBorders>
            <w:noWrap/>
            <w:vAlign w:val="bottom"/>
            <w:hideMark/>
          </w:tcPr>
          <w:p w14:paraId="6C55105E"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c>
          <w:tcPr>
            <w:tcW w:w="505" w:type="pct"/>
            <w:tcBorders>
              <w:top w:val="nil"/>
              <w:left w:val="nil"/>
              <w:bottom w:val="nil"/>
              <w:right w:val="nil"/>
            </w:tcBorders>
            <w:noWrap/>
            <w:vAlign w:val="bottom"/>
            <w:hideMark/>
          </w:tcPr>
          <w:p w14:paraId="1661DA11"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-19 367</w:t>
            </w:r>
          </w:p>
        </w:tc>
        <w:tc>
          <w:tcPr>
            <w:tcW w:w="504" w:type="pct"/>
            <w:tcBorders>
              <w:top w:val="nil"/>
              <w:left w:val="nil"/>
              <w:bottom w:val="nil"/>
              <w:right w:val="nil"/>
            </w:tcBorders>
            <w:noWrap/>
            <w:vAlign w:val="bottom"/>
            <w:hideMark/>
          </w:tcPr>
          <w:p w14:paraId="42F771A7"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0,0</w:t>
            </w:r>
          </w:p>
        </w:tc>
      </w:tr>
      <w:tr w:rsidR="00C30F21" w:rsidRPr="00C30F21" w14:paraId="2179D297" w14:textId="77777777" w:rsidTr="009E1026">
        <w:trPr>
          <w:trHeight w:val="260"/>
        </w:trPr>
        <w:tc>
          <w:tcPr>
            <w:tcW w:w="2113" w:type="pct"/>
            <w:tcBorders>
              <w:top w:val="nil"/>
              <w:left w:val="nil"/>
              <w:bottom w:val="single" w:sz="4" w:space="0" w:color="auto"/>
              <w:right w:val="nil"/>
            </w:tcBorders>
            <w:noWrap/>
            <w:vAlign w:val="bottom"/>
            <w:hideMark/>
          </w:tcPr>
          <w:p w14:paraId="279E13FF" w14:textId="77777777" w:rsidR="00C30F21" w:rsidRPr="00C30F21" w:rsidRDefault="00C30F21" w:rsidP="00C30F21">
            <w:pPr>
              <w:spacing w:after="0" w:line="240" w:lineRule="auto"/>
              <w:rPr>
                <w:sz w:val="18"/>
                <w:szCs w:val="18"/>
                <w:lang w:eastAsia="sk-SK"/>
              </w:rPr>
            </w:pPr>
            <w:r w:rsidRPr="00C30F21">
              <w:rPr>
                <w:sz w:val="18"/>
                <w:szCs w:val="18"/>
                <w:lang w:eastAsia="sk-SK"/>
              </w:rPr>
              <w:t>Zahraničie</w:t>
            </w:r>
          </w:p>
        </w:tc>
        <w:tc>
          <w:tcPr>
            <w:tcW w:w="525" w:type="pct"/>
            <w:tcBorders>
              <w:top w:val="nil"/>
              <w:left w:val="nil"/>
              <w:bottom w:val="single" w:sz="4" w:space="0" w:color="auto"/>
              <w:right w:val="nil"/>
            </w:tcBorders>
            <w:noWrap/>
            <w:vAlign w:val="bottom"/>
            <w:hideMark/>
          </w:tcPr>
          <w:p w14:paraId="7671EBD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35 880 474</w:t>
            </w:r>
          </w:p>
        </w:tc>
        <w:tc>
          <w:tcPr>
            <w:tcW w:w="414" w:type="pct"/>
            <w:tcBorders>
              <w:top w:val="nil"/>
              <w:left w:val="nil"/>
              <w:bottom w:val="single" w:sz="4" w:space="0" w:color="auto"/>
              <w:right w:val="nil"/>
            </w:tcBorders>
            <w:noWrap/>
            <w:vAlign w:val="bottom"/>
            <w:hideMark/>
          </w:tcPr>
          <w:p w14:paraId="0B72490B"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52,1</w:t>
            </w:r>
          </w:p>
        </w:tc>
        <w:tc>
          <w:tcPr>
            <w:tcW w:w="524" w:type="pct"/>
            <w:tcBorders>
              <w:top w:val="nil"/>
              <w:left w:val="nil"/>
              <w:bottom w:val="single" w:sz="4" w:space="0" w:color="auto"/>
              <w:right w:val="nil"/>
            </w:tcBorders>
            <w:noWrap/>
            <w:vAlign w:val="bottom"/>
            <w:hideMark/>
          </w:tcPr>
          <w:p w14:paraId="3A68D0B0"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44 922 992</w:t>
            </w:r>
          </w:p>
        </w:tc>
        <w:tc>
          <w:tcPr>
            <w:tcW w:w="415" w:type="pct"/>
            <w:tcBorders>
              <w:top w:val="nil"/>
              <w:left w:val="nil"/>
              <w:bottom w:val="single" w:sz="4" w:space="0" w:color="auto"/>
              <w:right w:val="nil"/>
            </w:tcBorders>
            <w:noWrap/>
            <w:vAlign w:val="bottom"/>
            <w:hideMark/>
          </w:tcPr>
          <w:p w14:paraId="621AB16C"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57,8</w:t>
            </w:r>
          </w:p>
        </w:tc>
        <w:tc>
          <w:tcPr>
            <w:tcW w:w="505" w:type="pct"/>
            <w:tcBorders>
              <w:top w:val="nil"/>
              <w:left w:val="nil"/>
              <w:bottom w:val="single" w:sz="4" w:space="0" w:color="auto"/>
              <w:right w:val="nil"/>
            </w:tcBorders>
            <w:noWrap/>
            <w:vAlign w:val="bottom"/>
            <w:hideMark/>
          </w:tcPr>
          <w:p w14:paraId="351572FF"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9 042 518</w:t>
            </w:r>
          </w:p>
        </w:tc>
        <w:tc>
          <w:tcPr>
            <w:tcW w:w="504" w:type="pct"/>
            <w:tcBorders>
              <w:top w:val="nil"/>
              <w:left w:val="nil"/>
              <w:bottom w:val="single" w:sz="4" w:space="0" w:color="auto"/>
              <w:right w:val="nil"/>
            </w:tcBorders>
            <w:noWrap/>
            <w:vAlign w:val="bottom"/>
            <w:hideMark/>
          </w:tcPr>
          <w:p w14:paraId="12E976A8" w14:textId="77777777" w:rsidR="00C30F21" w:rsidRPr="00C30F21" w:rsidRDefault="00C30F21" w:rsidP="00C30F21">
            <w:pPr>
              <w:spacing w:after="0" w:line="240" w:lineRule="auto"/>
              <w:jc w:val="right"/>
              <w:rPr>
                <w:sz w:val="18"/>
                <w:szCs w:val="18"/>
                <w:lang w:eastAsia="sk-SK"/>
              </w:rPr>
            </w:pPr>
            <w:r w:rsidRPr="00C30F21">
              <w:rPr>
                <w:sz w:val="18"/>
                <w:szCs w:val="18"/>
                <w:lang w:eastAsia="sk-SK"/>
              </w:rPr>
              <w:t>5,7</w:t>
            </w:r>
          </w:p>
        </w:tc>
      </w:tr>
    </w:tbl>
    <w:p w14:paraId="201C06FE" w14:textId="65F8F283" w:rsidR="00C30F21" w:rsidRDefault="0063539A" w:rsidP="0063539A">
      <w:pPr>
        <w:spacing w:after="0" w:line="240" w:lineRule="auto"/>
        <w:contextualSpacing/>
        <w:rPr>
          <w:sz w:val="16"/>
          <w:szCs w:val="16"/>
          <w:lang w:eastAsia="sk-SK"/>
        </w:rPr>
      </w:pPr>
      <w:r w:rsidRPr="0063539A">
        <w:rPr>
          <w:sz w:val="16"/>
          <w:szCs w:val="16"/>
          <w:vertAlign w:val="superscript"/>
          <w:lang w:eastAsia="sk-SK"/>
        </w:rPr>
        <w:t>1)</w:t>
      </w:r>
      <w:r w:rsidR="00C30F21">
        <w:rPr>
          <w:sz w:val="16"/>
          <w:szCs w:val="16"/>
          <w:lang w:eastAsia="sk-SK"/>
        </w:rPr>
        <w:t xml:space="preserve">  </w:t>
      </w:r>
      <w:r>
        <w:rPr>
          <w:sz w:val="16"/>
          <w:szCs w:val="16"/>
          <w:lang w:eastAsia="sk-SK"/>
        </w:rPr>
        <w:t>NOK – nórska koruna</w:t>
      </w:r>
      <w:r>
        <w:rPr>
          <w:sz w:val="16"/>
          <w:szCs w:val="16"/>
          <w:lang w:eastAsia="sk-SK"/>
        </w:rPr>
        <w:tab/>
      </w:r>
      <w:r>
        <w:rPr>
          <w:sz w:val="16"/>
          <w:szCs w:val="16"/>
          <w:lang w:eastAsia="sk-SK"/>
        </w:rPr>
        <w:tab/>
      </w:r>
      <w:r>
        <w:rPr>
          <w:sz w:val="16"/>
          <w:szCs w:val="16"/>
          <w:lang w:eastAsia="sk-SK"/>
        </w:rPr>
        <w:tab/>
      </w:r>
      <w:r>
        <w:rPr>
          <w:sz w:val="16"/>
          <w:szCs w:val="16"/>
          <w:lang w:eastAsia="sk-SK"/>
        </w:rPr>
        <w:tab/>
      </w:r>
      <w:r>
        <w:rPr>
          <w:sz w:val="16"/>
          <w:szCs w:val="16"/>
          <w:lang w:eastAsia="sk-SK"/>
        </w:rPr>
        <w:tab/>
      </w:r>
      <w:r>
        <w:rPr>
          <w:sz w:val="16"/>
          <w:szCs w:val="16"/>
          <w:lang w:eastAsia="sk-SK"/>
        </w:rPr>
        <w:tab/>
      </w:r>
      <w:r>
        <w:rPr>
          <w:sz w:val="16"/>
          <w:szCs w:val="16"/>
          <w:lang w:eastAsia="sk-SK"/>
        </w:rPr>
        <w:tab/>
      </w:r>
      <w:r>
        <w:rPr>
          <w:sz w:val="16"/>
          <w:szCs w:val="16"/>
          <w:lang w:eastAsia="sk-SK"/>
        </w:rPr>
        <w:tab/>
      </w:r>
      <w:r>
        <w:rPr>
          <w:sz w:val="16"/>
          <w:szCs w:val="16"/>
          <w:lang w:eastAsia="sk-SK"/>
        </w:rPr>
        <w:tab/>
      </w:r>
      <w:r w:rsidR="00C30F21">
        <w:rPr>
          <w:sz w:val="16"/>
          <w:szCs w:val="16"/>
          <w:lang w:eastAsia="sk-SK"/>
        </w:rPr>
        <w:t xml:space="preserve">      </w:t>
      </w:r>
      <w:r w:rsidR="00C30F21" w:rsidRPr="006876EC">
        <w:rPr>
          <w:sz w:val="16"/>
          <w:szCs w:val="16"/>
          <w:lang w:eastAsia="sk-SK"/>
        </w:rPr>
        <w:t>Zdroj: MF SR</w:t>
      </w:r>
    </w:p>
    <w:p w14:paraId="23228EDA" w14:textId="05ABC4B7" w:rsidR="0063539A" w:rsidRDefault="007D4704" w:rsidP="0063539A">
      <w:pPr>
        <w:spacing w:after="0" w:line="240" w:lineRule="auto"/>
        <w:contextualSpacing/>
        <w:rPr>
          <w:b/>
          <w:color w:val="548DD4" w:themeColor="text2" w:themeTint="99"/>
          <w:szCs w:val="22"/>
          <w:highlight w:val="yellow"/>
        </w:rPr>
      </w:pPr>
      <w:r>
        <w:rPr>
          <w:sz w:val="16"/>
          <w:szCs w:val="16"/>
          <w:vertAlign w:val="superscript"/>
          <w:lang w:eastAsia="sk-SK"/>
        </w:rPr>
        <w:t>2</w:t>
      </w:r>
      <w:r w:rsidR="0063539A" w:rsidRPr="0063539A">
        <w:rPr>
          <w:sz w:val="16"/>
          <w:szCs w:val="16"/>
          <w:vertAlign w:val="superscript"/>
          <w:lang w:eastAsia="sk-SK"/>
        </w:rPr>
        <w:t>)</w:t>
      </w:r>
      <w:r w:rsidR="0063539A">
        <w:rPr>
          <w:sz w:val="16"/>
          <w:szCs w:val="16"/>
          <w:lang w:eastAsia="sk-SK"/>
        </w:rPr>
        <w:t xml:space="preserve">  CHF – švajčiarsky frank</w:t>
      </w:r>
    </w:p>
    <w:p w14:paraId="7002882F" w14:textId="77777777" w:rsidR="00DC0F15" w:rsidRPr="00E56465" w:rsidRDefault="00DC0F15" w:rsidP="00AA46C8">
      <w:pPr>
        <w:pStyle w:val="Nadpis2"/>
        <w:numPr>
          <w:ilvl w:val="0"/>
          <w:numId w:val="0"/>
        </w:numPr>
        <w:ind w:left="896"/>
      </w:pPr>
      <w:bookmarkStart w:id="22" w:name="_Toc117251102"/>
      <w:bookmarkStart w:id="23" w:name="_Toc212461596"/>
      <w:r w:rsidRPr="00E56465">
        <w:t>1.4.</w:t>
      </w:r>
      <w:r w:rsidRPr="00E56465">
        <w:tab/>
        <w:t>Čistý dlh verejnej správy</w:t>
      </w:r>
      <w:bookmarkEnd w:id="22"/>
      <w:bookmarkEnd w:id="23"/>
    </w:p>
    <w:p w14:paraId="741DFEEB" w14:textId="0B10E542" w:rsidR="00FD7FD5" w:rsidRPr="00E56465" w:rsidRDefault="00FD7FD5" w:rsidP="00901E59">
      <w:pPr>
        <w:spacing w:after="120" w:line="240" w:lineRule="auto"/>
        <w:jc w:val="both"/>
        <w:rPr>
          <w:szCs w:val="22"/>
        </w:rPr>
      </w:pPr>
      <w:r w:rsidRPr="00E56465">
        <w:rPr>
          <w:szCs w:val="22"/>
        </w:rPr>
        <w:t>Pokým hrubý dlh dosia</w:t>
      </w:r>
      <w:r w:rsidR="00753A62" w:rsidRPr="00E56465">
        <w:rPr>
          <w:szCs w:val="22"/>
        </w:rPr>
        <w:t>hol k 31.12.202</w:t>
      </w:r>
      <w:r w:rsidR="00E06E11">
        <w:rPr>
          <w:szCs w:val="22"/>
        </w:rPr>
        <w:t>4</w:t>
      </w:r>
      <w:r w:rsidR="00753A62" w:rsidRPr="00E56465">
        <w:rPr>
          <w:szCs w:val="22"/>
        </w:rPr>
        <w:t xml:space="preserve"> hodnotu 5</w:t>
      </w:r>
      <w:r w:rsidR="00E56465" w:rsidRPr="00E56465">
        <w:rPr>
          <w:szCs w:val="22"/>
        </w:rPr>
        <w:t>9,7</w:t>
      </w:r>
      <w:r w:rsidR="00753A62" w:rsidRPr="00E56465">
        <w:rPr>
          <w:szCs w:val="22"/>
        </w:rPr>
        <w:t> % </w:t>
      </w:r>
      <w:r w:rsidR="0000175E" w:rsidRPr="00E56465">
        <w:rPr>
          <w:szCs w:val="22"/>
        </w:rPr>
        <w:t xml:space="preserve">HDP a medziročne </w:t>
      </w:r>
      <w:r w:rsidR="00E56465" w:rsidRPr="00E56465">
        <w:rPr>
          <w:szCs w:val="22"/>
        </w:rPr>
        <w:t>vzrástol</w:t>
      </w:r>
      <w:r w:rsidR="0000175E" w:rsidRPr="00E56465">
        <w:rPr>
          <w:szCs w:val="22"/>
        </w:rPr>
        <w:t xml:space="preserve"> o</w:t>
      </w:r>
      <w:r w:rsidR="00E56465" w:rsidRPr="00E56465">
        <w:rPr>
          <w:szCs w:val="22"/>
        </w:rPr>
        <w:t> 3,9</w:t>
      </w:r>
      <w:r w:rsidRPr="00E56465">
        <w:rPr>
          <w:szCs w:val="22"/>
        </w:rPr>
        <w:t> p. b.,</w:t>
      </w:r>
      <w:r w:rsidRPr="00E56465">
        <w:rPr>
          <w:color w:val="4F81BD" w:themeColor="accent1"/>
          <w:szCs w:val="22"/>
        </w:rPr>
        <w:t xml:space="preserve"> </w:t>
      </w:r>
      <w:r w:rsidRPr="00761268">
        <w:rPr>
          <w:b/>
          <w:szCs w:val="22"/>
        </w:rPr>
        <w:t>čistý dlh dosiahol k 31.12.202</w:t>
      </w:r>
      <w:r w:rsidR="00E56465" w:rsidRPr="00761268">
        <w:rPr>
          <w:b/>
          <w:szCs w:val="22"/>
        </w:rPr>
        <w:t>4</w:t>
      </w:r>
      <w:r w:rsidRPr="00761268">
        <w:rPr>
          <w:b/>
          <w:szCs w:val="22"/>
        </w:rPr>
        <w:t xml:space="preserve"> výšku </w:t>
      </w:r>
      <w:r w:rsidR="00E56465" w:rsidRPr="00761268">
        <w:rPr>
          <w:b/>
          <w:szCs w:val="22"/>
        </w:rPr>
        <w:t>66 929 033</w:t>
      </w:r>
      <w:r w:rsidRPr="00761268">
        <w:rPr>
          <w:b/>
          <w:szCs w:val="22"/>
        </w:rPr>
        <w:t> tis. eur (</w:t>
      </w:r>
      <w:r w:rsidR="00E56465" w:rsidRPr="00761268">
        <w:rPr>
          <w:b/>
          <w:szCs w:val="22"/>
        </w:rPr>
        <w:t>51,4</w:t>
      </w:r>
      <w:r w:rsidRPr="00761268">
        <w:rPr>
          <w:b/>
          <w:szCs w:val="22"/>
        </w:rPr>
        <w:t> % HDP) a oproti roku 202</w:t>
      </w:r>
      <w:r w:rsidR="00E56465" w:rsidRPr="00761268">
        <w:rPr>
          <w:b/>
          <w:szCs w:val="22"/>
        </w:rPr>
        <w:t>3</w:t>
      </w:r>
      <w:r w:rsidRPr="00761268">
        <w:rPr>
          <w:b/>
          <w:szCs w:val="22"/>
        </w:rPr>
        <w:t xml:space="preserve"> vzrástol o</w:t>
      </w:r>
      <w:r w:rsidR="00E56465" w:rsidRPr="00761268">
        <w:rPr>
          <w:b/>
          <w:szCs w:val="22"/>
        </w:rPr>
        <w:t> 3,3</w:t>
      </w:r>
      <w:r w:rsidRPr="00761268">
        <w:rPr>
          <w:b/>
          <w:szCs w:val="22"/>
        </w:rPr>
        <w:t xml:space="preserve"> p. b. </w:t>
      </w:r>
      <w:r w:rsidRPr="00E56465">
        <w:rPr>
          <w:szCs w:val="22"/>
        </w:rPr>
        <w:t>Čistý dlh verejnej správy je analyticky vhodnejší ukazovateľ ako hrubý dlh pri pohľade na medziročnú dynamiku dlhu, pretože na rozdiel od ukazovateľa hrubého dlhu eliminuje rozdiely vzniknuté nárastom alebo poklesom finančných aktív a tým vernejšie zobrazuje skutočný vývoj zadlženosti štátu.</w:t>
      </w:r>
    </w:p>
    <w:p w14:paraId="3DC978EE" w14:textId="1A8593FE" w:rsidR="00FD7FD5" w:rsidRDefault="00FD7FD5" w:rsidP="00901E59">
      <w:pPr>
        <w:spacing w:after="120" w:line="240" w:lineRule="auto"/>
        <w:jc w:val="both"/>
        <w:rPr>
          <w:szCs w:val="22"/>
        </w:rPr>
      </w:pPr>
      <w:r w:rsidRPr="00E56465">
        <w:rPr>
          <w:szCs w:val="22"/>
        </w:rPr>
        <w:t>Čistý dlh ukazuje schopnosť štátu splatiť svoj hrubý dlh na základe speňaženia svojich najlikvidnejších finančných aktív</w:t>
      </w:r>
      <w:r w:rsidRPr="00E56465">
        <w:rPr>
          <w:b/>
          <w:szCs w:val="22"/>
        </w:rPr>
        <w:t xml:space="preserve">. Pokiaľ hrubý dlh verejnej správy je </w:t>
      </w:r>
      <w:r w:rsidR="00753A62" w:rsidRPr="00E56465">
        <w:rPr>
          <w:b/>
          <w:szCs w:val="22"/>
        </w:rPr>
        <w:t>presne vymedzený v metodike ESA </w:t>
      </w:r>
      <w:r w:rsidRPr="00E56465">
        <w:rPr>
          <w:b/>
          <w:szCs w:val="22"/>
        </w:rPr>
        <w:t>2010, metodiku čistého dlhu zatiaľ upravuje len definícia v</w:t>
      </w:r>
      <w:r w:rsidR="005E3840">
        <w:rPr>
          <w:b/>
          <w:szCs w:val="22"/>
        </w:rPr>
        <w:t> štatistickom pracovnom dokumente</w:t>
      </w:r>
      <w:r w:rsidRPr="00E56465">
        <w:rPr>
          <w:b/>
          <w:szCs w:val="22"/>
        </w:rPr>
        <w:t xml:space="preserve"> Eur</w:t>
      </w:r>
      <w:r w:rsidR="005E3840">
        <w:rPr>
          <w:b/>
          <w:szCs w:val="22"/>
        </w:rPr>
        <w:t>ostatu</w:t>
      </w:r>
      <w:r w:rsidRPr="00E56465">
        <w:rPr>
          <w:b/>
          <w:szCs w:val="22"/>
        </w:rPr>
        <w:t>.</w:t>
      </w:r>
      <w:r w:rsidR="005E3840">
        <w:rPr>
          <w:rStyle w:val="Odkaznapoznmkupodiarou"/>
          <w:b/>
          <w:szCs w:val="22"/>
        </w:rPr>
        <w:footnoteReference w:id="4"/>
      </w:r>
      <w:r w:rsidRPr="00E56465">
        <w:rPr>
          <w:b/>
          <w:szCs w:val="22"/>
        </w:rPr>
        <w:t xml:space="preserve"> </w:t>
      </w:r>
      <w:r w:rsidRPr="00E56465">
        <w:rPr>
          <w:szCs w:val="22"/>
        </w:rPr>
        <w:t xml:space="preserve">Podľa tejto definície </w:t>
      </w:r>
      <w:r w:rsidRPr="00E56465">
        <w:rPr>
          <w:szCs w:val="22"/>
          <w:u w:val="single"/>
        </w:rPr>
        <w:t>čistý dlh verejnej správy predstavuje rozdiel medzi hrubým maastrichtským dlhom a súčtom menového zlata a špeciálnych práv čerpania (SDR), hotovosti, cenných papierov v trhovej hodnote (okrem akcií) a kótovaných akcií v trhovej hodnote</w:t>
      </w:r>
      <w:r w:rsidRPr="00E56465">
        <w:rPr>
          <w:szCs w:val="22"/>
        </w:rPr>
        <w:t>.</w:t>
      </w:r>
    </w:p>
    <w:p w14:paraId="7B90302E" w14:textId="11F889EF" w:rsidR="00DA437B" w:rsidRDefault="00DA437B" w:rsidP="00D162A9">
      <w:pPr>
        <w:pStyle w:val="Popis"/>
      </w:pPr>
      <w:bookmarkStart w:id="24" w:name="_Toc212124628"/>
      <w:r>
        <w:lastRenderedPageBreak/>
        <w:t xml:space="preserve">Tabuľka </w:t>
      </w:r>
      <w:r w:rsidR="00CA4B84">
        <w:fldChar w:fldCharType="begin"/>
      </w:r>
      <w:r w:rsidR="00CA4B84">
        <w:instrText xml:space="preserve"> SEQ Tabuľka \* ARABIC </w:instrText>
      </w:r>
      <w:r w:rsidR="00CA4B84">
        <w:fldChar w:fldCharType="separate"/>
      </w:r>
      <w:r w:rsidR="00076866">
        <w:rPr>
          <w:noProof/>
        </w:rPr>
        <w:t>7</w:t>
      </w:r>
      <w:r w:rsidR="00CA4B84">
        <w:rPr>
          <w:noProof/>
        </w:rPr>
        <w:fldChar w:fldCharType="end"/>
      </w:r>
      <w:r>
        <w:t xml:space="preserve"> - </w:t>
      </w:r>
      <w:r w:rsidRPr="00086273">
        <w:t>Čistý a hrubý dlh verejnej správy</w:t>
      </w:r>
      <w:bookmarkEnd w:id="24"/>
    </w:p>
    <w:tbl>
      <w:tblPr>
        <w:tblW w:w="5000" w:type="pct"/>
        <w:tblCellMar>
          <w:left w:w="70" w:type="dxa"/>
          <w:right w:w="70" w:type="dxa"/>
        </w:tblCellMar>
        <w:tblLook w:val="04A0" w:firstRow="1" w:lastRow="0" w:firstColumn="1" w:lastColumn="0" w:noHBand="0" w:noVBand="1"/>
      </w:tblPr>
      <w:tblGrid>
        <w:gridCol w:w="2653"/>
        <w:gridCol w:w="549"/>
        <w:gridCol w:w="1183"/>
        <w:gridCol w:w="1183"/>
        <w:gridCol w:w="1172"/>
        <w:gridCol w:w="917"/>
        <w:gridCol w:w="917"/>
        <w:gridCol w:w="921"/>
      </w:tblGrid>
      <w:tr w:rsidR="00E56465" w:rsidRPr="00E56465" w14:paraId="44CB0B82" w14:textId="77777777" w:rsidTr="001B5F32">
        <w:trPr>
          <w:trHeight w:val="255"/>
        </w:trPr>
        <w:tc>
          <w:tcPr>
            <w:tcW w:w="1397" w:type="pct"/>
            <w:tcBorders>
              <w:top w:val="single" w:sz="4" w:space="0" w:color="auto"/>
              <w:left w:val="nil"/>
              <w:bottom w:val="nil"/>
              <w:right w:val="nil"/>
            </w:tcBorders>
            <w:noWrap/>
            <w:vAlign w:val="center"/>
            <w:hideMark/>
          </w:tcPr>
          <w:p w14:paraId="1A5095F6" w14:textId="3083F57B" w:rsidR="00E56465" w:rsidRPr="00E56465" w:rsidRDefault="00E56465" w:rsidP="00E56465">
            <w:pPr>
              <w:spacing w:after="0" w:line="240" w:lineRule="auto"/>
              <w:rPr>
                <w:b/>
                <w:bCs/>
                <w:color w:val="000000"/>
                <w:sz w:val="20"/>
                <w:szCs w:val="20"/>
                <w:lang w:eastAsia="sk-SK"/>
              </w:rPr>
            </w:pPr>
            <w:r w:rsidRPr="00E56465">
              <w:rPr>
                <w:b/>
                <w:bCs/>
                <w:color w:val="000000"/>
                <w:sz w:val="20"/>
                <w:szCs w:val="20"/>
                <w:lang w:eastAsia="sk-SK"/>
              </w:rPr>
              <w:t> </w:t>
            </w:r>
          </w:p>
        </w:tc>
        <w:tc>
          <w:tcPr>
            <w:tcW w:w="289" w:type="pct"/>
            <w:tcBorders>
              <w:top w:val="single" w:sz="4" w:space="0" w:color="auto"/>
              <w:left w:val="nil"/>
              <w:bottom w:val="nil"/>
              <w:right w:val="nil"/>
            </w:tcBorders>
            <w:noWrap/>
            <w:vAlign w:val="center"/>
            <w:hideMark/>
          </w:tcPr>
          <w:p w14:paraId="2095B178" w14:textId="77777777"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lang w:eastAsia="sk-SK"/>
              </w:rPr>
              <w:t> </w:t>
            </w:r>
          </w:p>
        </w:tc>
        <w:tc>
          <w:tcPr>
            <w:tcW w:w="623" w:type="pct"/>
            <w:tcBorders>
              <w:top w:val="single" w:sz="4" w:space="0" w:color="auto"/>
              <w:left w:val="nil"/>
              <w:bottom w:val="nil"/>
              <w:right w:val="nil"/>
            </w:tcBorders>
            <w:vAlign w:val="center"/>
            <w:hideMark/>
          </w:tcPr>
          <w:p w14:paraId="29C61DCA" w14:textId="48CB4BE0"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 </w:t>
            </w:r>
          </w:p>
        </w:tc>
        <w:tc>
          <w:tcPr>
            <w:tcW w:w="623" w:type="pct"/>
            <w:tcBorders>
              <w:top w:val="single" w:sz="4" w:space="0" w:color="auto"/>
              <w:left w:val="nil"/>
              <w:bottom w:val="nil"/>
              <w:right w:val="nil"/>
            </w:tcBorders>
            <w:noWrap/>
            <w:vAlign w:val="center"/>
            <w:hideMark/>
          </w:tcPr>
          <w:p w14:paraId="30719604" w14:textId="104CC31D"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v tis. eur</w:t>
            </w:r>
          </w:p>
        </w:tc>
        <w:tc>
          <w:tcPr>
            <w:tcW w:w="617" w:type="pct"/>
            <w:tcBorders>
              <w:top w:val="single" w:sz="4" w:space="0" w:color="auto"/>
              <w:left w:val="nil"/>
              <w:bottom w:val="nil"/>
              <w:right w:val="single" w:sz="4" w:space="0" w:color="auto"/>
            </w:tcBorders>
            <w:vAlign w:val="center"/>
            <w:hideMark/>
          </w:tcPr>
          <w:p w14:paraId="1094E3CF" w14:textId="70143B4C"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 </w:t>
            </w:r>
          </w:p>
        </w:tc>
        <w:tc>
          <w:tcPr>
            <w:tcW w:w="483" w:type="pct"/>
            <w:tcBorders>
              <w:top w:val="single" w:sz="4" w:space="0" w:color="auto"/>
              <w:left w:val="nil"/>
              <w:bottom w:val="nil"/>
              <w:right w:val="nil"/>
            </w:tcBorders>
            <w:noWrap/>
            <w:vAlign w:val="center"/>
            <w:hideMark/>
          </w:tcPr>
          <w:p w14:paraId="3AF43332" w14:textId="06538581" w:rsidR="00E56465" w:rsidRPr="00E56465" w:rsidRDefault="00E56465" w:rsidP="00E56465">
            <w:pPr>
              <w:spacing w:after="0" w:line="240" w:lineRule="auto"/>
              <w:rPr>
                <w:color w:val="000000"/>
                <w:sz w:val="20"/>
                <w:szCs w:val="20"/>
                <w:lang w:eastAsia="sk-SK"/>
              </w:rPr>
            </w:pPr>
            <w:r w:rsidRPr="00E56465">
              <w:rPr>
                <w:color w:val="000000"/>
                <w:sz w:val="20"/>
                <w:szCs w:val="20"/>
              </w:rPr>
              <w:t> </w:t>
            </w:r>
          </w:p>
        </w:tc>
        <w:tc>
          <w:tcPr>
            <w:tcW w:w="483" w:type="pct"/>
            <w:tcBorders>
              <w:top w:val="single" w:sz="4" w:space="0" w:color="auto"/>
              <w:left w:val="nil"/>
              <w:bottom w:val="nil"/>
              <w:right w:val="nil"/>
            </w:tcBorders>
            <w:noWrap/>
            <w:vAlign w:val="center"/>
            <w:hideMark/>
          </w:tcPr>
          <w:p w14:paraId="455CEB71" w14:textId="10C5A665"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 HDP</w:t>
            </w:r>
          </w:p>
        </w:tc>
        <w:tc>
          <w:tcPr>
            <w:tcW w:w="485" w:type="pct"/>
            <w:tcBorders>
              <w:top w:val="single" w:sz="4" w:space="0" w:color="auto"/>
              <w:left w:val="nil"/>
              <w:bottom w:val="nil"/>
              <w:right w:val="nil"/>
            </w:tcBorders>
            <w:noWrap/>
            <w:vAlign w:val="center"/>
            <w:hideMark/>
          </w:tcPr>
          <w:p w14:paraId="18C12592" w14:textId="08BF5FA1" w:rsidR="00E56465" w:rsidRPr="00E56465" w:rsidRDefault="00E56465" w:rsidP="00E56465">
            <w:pPr>
              <w:spacing w:after="0" w:line="240" w:lineRule="auto"/>
              <w:rPr>
                <w:color w:val="000000"/>
                <w:sz w:val="20"/>
                <w:szCs w:val="20"/>
                <w:lang w:eastAsia="sk-SK"/>
              </w:rPr>
            </w:pPr>
            <w:r w:rsidRPr="00E56465">
              <w:rPr>
                <w:color w:val="000000"/>
                <w:sz w:val="20"/>
                <w:szCs w:val="20"/>
              </w:rPr>
              <w:t> </w:t>
            </w:r>
          </w:p>
        </w:tc>
      </w:tr>
      <w:tr w:rsidR="00E56465" w:rsidRPr="00E56465" w14:paraId="48E24C2A" w14:textId="77777777" w:rsidTr="001B5F32">
        <w:trPr>
          <w:trHeight w:val="255"/>
        </w:trPr>
        <w:tc>
          <w:tcPr>
            <w:tcW w:w="1397" w:type="pct"/>
            <w:tcBorders>
              <w:top w:val="nil"/>
              <w:left w:val="nil"/>
              <w:bottom w:val="single" w:sz="4" w:space="0" w:color="auto"/>
              <w:right w:val="nil"/>
            </w:tcBorders>
            <w:noWrap/>
            <w:vAlign w:val="center"/>
            <w:hideMark/>
          </w:tcPr>
          <w:p w14:paraId="3C856048" w14:textId="77777777"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lang w:eastAsia="sk-SK"/>
              </w:rPr>
              <w:t> </w:t>
            </w:r>
          </w:p>
        </w:tc>
        <w:tc>
          <w:tcPr>
            <w:tcW w:w="289" w:type="pct"/>
            <w:tcBorders>
              <w:top w:val="nil"/>
              <w:left w:val="nil"/>
              <w:bottom w:val="single" w:sz="4" w:space="0" w:color="auto"/>
              <w:right w:val="nil"/>
            </w:tcBorders>
            <w:noWrap/>
            <w:vAlign w:val="center"/>
            <w:hideMark/>
          </w:tcPr>
          <w:p w14:paraId="63CB6CC4" w14:textId="77777777"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lang w:eastAsia="sk-SK"/>
              </w:rPr>
              <w:t> </w:t>
            </w:r>
          </w:p>
        </w:tc>
        <w:tc>
          <w:tcPr>
            <w:tcW w:w="623" w:type="pct"/>
            <w:tcBorders>
              <w:top w:val="nil"/>
              <w:left w:val="nil"/>
              <w:bottom w:val="single" w:sz="4" w:space="0" w:color="auto"/>
              <w:right w:val="nil"/>
            </w:tcBorders>
            <w:noWrap/>
            <w:vAlign w:val="bottom"/>
            <w:hideMark/>
          </w:tcPr>
          <w:p w14:paraId="0E188767" w14:textId="792EDD8B"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2022 S</w:t>
            </w:r>
          </w:p>
        </w:tc>
        <w:tc>
          <w:tcPr>
            <w:tcW w:w="623" w:type="pct"/>
            <w:tcBorders>
              <w:top w:val="nil"/>
              <w:left w:val="nil"/>
              <w:bottom w:val="single" w:sz="4" w:space="0" w:color="auto"/>
              <w:right w:val="nil"/>
            </w:tcBorders>
            <w:noWrap/>
            <w:vAlign w:val="bottom"/>
            <w:hideMark/>
          </w:tcPr>
          <w:p w14:paraId="5E0F38FB" w14:textId="1CE9D8D8"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2023 S</w:t>
            </w:r>
          </w:p>
        </w:tc>
        <w:tc>
          <w:tcPr>
            <w:tcW w:w="617" w:type="pct"/>
            <w:tcBorders>
              <w:top w:val="nil"/>
              <w:left w:val="nil"/>
              <w:bottom w:val="single" w:sz="4" w:space="0" w:color="auto"/>
              <w:right w:val="single" w:sz="4" w:space="0" w:color="auto"/>
            </w:tcBorders>
            <w:noWrap/>
            <w:vAlign w:val="bottom"/>
            <w:hideMark/>
          </w:tcPr>
          <w:p w14:paraId="0909E8BA" w14:textId="2DEEDAA5"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2024 S</w:t>
            </w:r>
          </w:p>
        </w:tc>
        <w:tc>
          <w:tcPr>
            <w:tcW w:w="483" w:type="pct"/>
            <w:tcBorders>
              <w:top w:val="nil"/>
              <w:left w:val="nil"/>
              <w:bottom w:val="single" w:sz="4" w:space="0" w:color="auto"/>
              <w:right w:val="nil"/>
            </w:tcBorders>
            <w:noWrap/>
            <w:vAlign w:val="bottom"/>
            <w:hideMark/>
          </w:tcPr>
          <w:p w14:paraId="5C31DE7E" w14:textId="15FC5F6A"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2022 S</w:t>
            </w:r>
          </w:p>
        </w:tc>
        <w:tc>
          <w:tcPr>
            <w:tcW w:w="483" w:type="pct"/>
            <w:tcBorders>
              <w:top w:val="nil"/>
              <w:left w:val="nil"/>
              <w:bottom w:val="single" w:sz="4" w:space="0" w:color="auto"/>
              <w:right w:val="nil"/>
            </w:tcBorders>
            <w:noWrap/>
            <w:vAlign w:val="bottom"/>
            <w:hideMark/>
          </w:tcPr>
          <w:p w14:paraId="00316716" w14:textId="28BFEFF0"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2023 S</w:t>
            </w:r>
          </w:p>
        </w:tc>
        <w:tc>
          <w:tcPr>
            <w:tcW w:w="485" w:type="pct"/>
            <w:tcBorders>
              <w:top w:val="nil"/>
              <w:left w:val="nil"/>
              <w:bottom w:val="single" w:sz="4" w:space="0" w:color="auto"/>
              <w:right w:val="nil"/>
            </w:tcBorders>
            <w:noWrap/>
            <w:vAlign w:val="bottom"/>
            <w:hideMark/>
          </w:tcPr>
          <w:p w14:paraId="024C6C45" w14:textId="399D0444"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2024 S</w:t>
            </w:r>
          </w:p>
        </w:tc>
      </w:tr>
      <w:tr w:rsidR="00E56465" w:rsidRPr="00E56465" w14:paraId="3C6252D4" w14:textId="77777777" w:rsidTr="001B5F32">
        <w:trPr>
          <w:trHeight w:val="255"/>
        </w:trPr>
        <w:tc>
          <w:tcPr>
            <w:tcW w:w="1397" w:type="pct"/>
            <w:tcBorders>
              <w:top w:val="nil"/>
              <w:left w:val="nil"/>
              <w:bottom w:val="nil"/>
              <w:right w:val="nil"/>
            </w:tcBorders>
            <w:noWrap/>
            <w:vAlign w:val="center"/>
            <w:hideMark/>
          </w:tcPr>
          <w:p w14:paraId="2C90B8D8" w14:textId="77777777" w:rsidR="00E56465" w:rsidRPr="00E56465" w:rsidRDefault="00E56465" w:rsidP="00E56465">
            <w:pPr>
              <w:spacing w:after="0" w:line="240" w:lineRule="auto"/>
              <w:rPr>
                <w:b/>
                <w:bCs/>
                <w:color w:val="000000"/>
                <w:sz w:val="20"/>
                <w:szCs w:val="20"/>
                <w:lang w:eastAsia="sk-SK"/>
              </w:rPr>
            </w:pPr>
            <w:r w:rsidRPr="00E56465">
              <w:rPr>
                <w:b/>
                <w:bCs/>
                <w:color w:val="000000"/>
                <w:sz w:val="20"/>
                <w:szCs w:val="20"/>
                <w:lang w:eastAsia="sk-SK"/>
              </w:rPr>
              <w:t>Hrubý dlh verejnej správy</w:t>
            </w:r>
          </w:p>
        </w:tc>
        <w:tc>
          <w:tcPr>
            <w:tcW w:w="289" w:type="pct"/>
            <w:tcBorders>
              <w:top w:val="nil"/>
              <w:left w:val="nil"/>
              <w:bottom w:val="nil"/>
              <w:right w:val="nil"/>
            </w:tcBorders>
            <w:noWrap/>
            <w:vAlign w:val="center"/>
            <w:hideMark/>
          </w:tcPr>
          <w:p w14:paraId="471008F7" w14:textId="1BAB0763"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lang w:eastAsia="sk-SK"/>
              </w:rPr>
              <w:t>(1)</w:t>
            </w:r>
          </w:p>
        </w:tc>
        <w:tc>
          <w:tcPr>
            <w:tcW w:w="623" w:type="pct"/>
            <w:tcBorders>
              <w:top w:val="nil"/>
              <w:left w:val="nil"/>
              <w:bottom w:val="nil"/>
              <w:right w:val="nil"/>
            </w:tcBorders>
            <w:vAlign w:val="center"/>
            <w:hideMark/>
          </w:tcPr>
          <w:p w14:paraId="4D34C50B" w14:textId="7FB1A943" w:rsidR="00E56465" w:rsidRPr="00E56465" w:rsidRDefault="00E56465" w:rsidP="00E56465">
            <w:pPr>
              <w:spacing w:after="0" w:line="240" w:lineRule="auto"/>
              <w:jc w:val="right"/>
              <w:rPr>
                <w:b/>
                <w:bCs/>
                <w:sz w:val="20"/>
                <w:szCs w:val="20"/>
                <w:lang w:eastAsia="sk-SK"/>
              </w:rPr>
            </w:pPr>
            <w:r w:rsidRPr="00E56465">
              <w:rPr>
                <w:b/>
                <w:bCs/>
                <w:sz w:val="20"/>
                <w:szCs w:val="20"/>
              </w:rPr>
              <w:t>63 508 571</w:t>
            </w:r>
          </w:p>
        </w:tc>
        <w:tc>
          <w:tcPr>
            <w:tcW w:w="623" w:type="pct"/>
            <w:tcBorders>
              <w:top w:val="nil"/>
              <w:left w:val="nil"/>
              <w:bottom w:val="nil"/>
              <w:right w:val="nil"/>
            </w:tcBorders>
            <w:vAlign w:val="center"/>
            <w:hideMark/>
          </w:tcPr>
          <w:p w14:paraId="7C78249D" w14:textId="6227CEB1" w:rsidR="00E56465" w:rsidRPr="00E56465" w:rsidRDefault="00E56465" w:rsidP="00E56465">
            <w:pPr>
              <w:spacing w:after="0" w:line="240" w:lineRule="auto"/>
              <w:jc w:val="right"/>
              <w:rPr>
                <w:b/>
                <w:bCs/>
                <w:sz w:val="20"/>
                <w:szCs w:val="20"/>
                <w:lang w:eastAsia="sk-SK"/>
              </w:rPr>
            </w:pPr>
            <w:r w:rsidRPr="00E56465">
              <w:rPr>
                <w:b/>
                <w:bCs/>
                <w:sz w:val="20"/>
                <w:szCs w:val="20"/>
              </w:rPr>
              <w:t>68 882 246</w:t>
            </w:r>
          </w:p>
        </w:tc>
        <w:tc>
          <w:tcPr>
            <w:tcW w:w="617" w:type="pct"/>
            <w:tcBorders>
              <w:top w:val="nil"/>
              <w:left w:val="nil"/>
              <w:bottom w:val="nil"/>
              <w:right w:val="single" w:sz="4" w:space="0" w:color="auto"/>
            </w:tcBorders>
            <w:vAlign w:val="center"/>
            <w:hideMark/>
          </w:tcPr>
          <w:p w14:paraId="28219146" w14:textId="789D61BC" w:rsidR="00E56465" w:rsidRPr="00E56465" w:rsidRDefault="00E56465" w:rsidP="00E56465">
            <w:pPr>
              <w:spacing w:after="0" w:line="240" w:lineRule="auto"/>
              <w:jc w:val="right"/>
              <w:rPr>
                <w:b/>
                <w:bCs/>
                <w:sz w:val="20"/>
                <w:szCs w:val="20"/>
                <w:lang w:eastAsia="sk-SK"/>
              </w:rPr>
            </w:pPr>
            <w:r w:rsidRPr="00E56465">
              <w:rPr>
                <w:b/>
                <w:bCs/>
                <w:sz w:val="20"/>
                <w:szCs w:val="20"/>
              </w:rPr>
              <w:t>77 734 635</w:t>
            </w:r>
          </w:p>
        </w:tc>
        <w:tc>
          <w:tcPr>
            <w:tcW w:w="483" w:type="pct"/>
            <w:tcBorders>
              <w:top w:val="nil"/>
              <w:left w:val="nil"/>
              <w:bottom w:val="nil"/>
              <w:right w:val="nil"/>
            </w:tcBorders>
            <w:vAlign w:val="center"/>
            <w:hideMark/>
          </w:tcPr>
          <w:p w14:paraId="2ACEF62F" w14:textId="59ED781C"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57,8</w:t>
            </w:r>
          </w:p>
        </w:tc>
        <w:tc>
          <w:tcPr>
            <w:tcW w:w="483" w:type="pct"/>
            <w:tcBorders>
              <w:top w:val="nil"/>
              <w:left w:val="nil"/>
              <w:bottom w:val="nil"/>
              <w:right w:val="nil"/>
            </w:tcBorders>
            <w:vAlign w:val="center"/>
            <w:hideMark/>
          </w:tcPr>
          <w:p w14:paraId="60C7350D" w14:textId="6DDDEF94"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55,8</w:t>
            </w:r>
          </w:p>
        </w:tc>
        <w:tc>
          <w:tcPr>
            <w:tcW w:w="485" w:type="pct"/>
            <w:tcBorders>
              <w:top w:val="nil"/>
              <w:left w:val="nil"/>
              <w:bottom w:val="nil"/>
              <w:right w:val="nil"/>
            </w:tcBorders>
            <w:vAlign w:val="center"/>
            <w:hideMark/>
          </w:tcPr>
          <w:p w14:paraId="554B149B" w14:textId="19AF060F"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59,7</w:t>
            </w:r>
          </w:p>
        </w:tc>
      </w:tr>
      <w:tr w:rsidR="00E56465" w:rsidRPr="00E56465" w14:paraId="55330D68" w14:textId="77777777" w:rsidTr="001B5F32">
        <w:trPr>
          <w:trHeight w:val="255"/>
        </w:trPr>
        <w:tc>
          <w:tcPr>
            <w:tcW w:w="1397" w:type="pct"/>
            <w:tcBorders>
              <w:top w:val="nil"/>
              <w:left w:val="nil"/>
              <w:bottom w:val="nil"/>
              <w:right w:val="nil"/>
            </w:tcBorders>
            <w:noWrap/>
            <w:vAlign w:val="center"/>
            <w:hideMark/>
          </w:tcPr>
          <w:p w14:paraId="231064A9" w14:textId="77777777" w:rsidR="00E56465" w:rsidRPr="00E56465" w:rsidRDefault="00E56465" w:rsidP="00E56465">
            <w:pPr>
              <w:spacing w:after="0" w:line="240" w:lineRule="auto"/>
              <w:rPr>
                <w:b/>
                <w:bCs/>
                <w:color w:val="000000"/>
                <w:sz w:val="20"/>
                <w:szCs w:val="20"/>
                <w:lang w:eastAsia="sk-SK"/>
              </w:rPr>
            </w:pPr>
            <w:r w:rsidRPr="00E56465">
              <w:rPr>
                <w:b/>
                <w:bCs/>
                <w:color w:val="000000"/>
                <w:sz w:val="20"/>
                <w:szCs w:val="20"/>
                <w:lang w:eastAsia="sk-SK"/>
              </w:rPr>
              <w:t xml:space="preserve">Likvidné finančné aktíva:    </w:t>
            </w:r>
          </w:p>
        </w:tc>
        <w:tc>
          <w:tcPr>
            <w:tcW w:w="289" w:type="pct"/>
            <w:tcBorders>
              <w:top w:val="nil"/>
              <w:left w:val="nil"/>
              <w:bottom w:val="nil"/>
              <w:right w:val="nil"/>
            </w:tcBorders>
            <w:noWrap/>
            <w:vAlign w:val="center"/>
            <w:hideMark/>
          </w:tcPr>
          <w:p w14:paraId="46F27279" w14:textId="37EA008A"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lang w:eastAsia="sk-SK"/>
              </w:rPr>
              <w:t>(2)</w:t>
            </w:r>
          </w:p>
        </w:tc>
        <w:tc>
          <w:tcPr>
            <w:tcW w:w="623" w:type="pct"/>
            <w:tcBorders>
              <w:top w:val="nil"/>
              <w:left w:val="nil"/>
              <w:bottom w:val="nil"/>
              <w:right w:val="nil"/>
            </w:tcBorders>
            <w:vAlign w:val="center"/>
            <w:hideMark/>
          </w:tcPr>
          <w:p w14:paraId="5E1E65F2" w14:textId="04106E04" w:rsidR="00E56465" w:rsidRPr="00E56465" w:rsidRDefault="00E56465" w:rsidP="00E56465">
            <w:pPr>
              <w:spacing w:after="0" w:line="240" w:lineRule="auto"/>
              <w:jc w:val="right"/>
              <w:rPr>
                <w:b/>
                <w:bCs/>
                <w:sz w:val="20"/>
                <w:szCs w:val="20"/>
                <w:lang w:eastAsia="sk-SK"/>
              </w:rPr>
            </w:pPr>
            <w:r w:rsidRPr="00E56465">
              <w:rPr>
                <w:b/>
                <w:bCs/>
                <w:sz w:val="20"/>
                <w:szCs w:val="20"/>
              </w:rPr>
              <w:t>11 144 643</w:t>
            </w:r>
          </w:p>
        </w:tc>
        <w:tc>
          <w:tcPr>
            <w:tcW w:w="623" w:type="pct"/>
            <w:tcBorders>
              <w:top w:val="nil"/>
              <w:left w:val="nil"/>
              <w:bottom w:val="nil"/>
              <w:right w:val="nil"/>
            </w:tcBorders>
            <w:vAlign w:val="center"/>
            <w:hideMark/>
          </w:tcPr>
          <w:p w14:paraId="4F39D486" w14:textId="49C8D465" w:rsidR="00E56465" w:rsidRPr="00E56465" w:rsidRDefault="00E56465" w:rsidP="00E56465">
            <w:pPr>
              <w:spacing w:after="0" w:line="240" w:lineRule="auto"/>
              <w:jc w:val="right"/>
              <w:rPr>
                <w:b/>
                <w:bCs/>
                <w:sz w:val="20"/>
                <w:szCs w:val="20"/>
                <w:lang w:eastAsia="sk-SK"/>
              </w:rPr>
            </w:pPr>
            <w:r w:rsidRPr="00E56465">
              <w:rPr>
                <w:b/>
                <w:bCs/>
                <w:sz w:val="20"/>
                <w:szCs w:val="20"/>
              </w:rPr>
              <w:t>9 512 275</w:t>
            </w:r>
          </w:p>
        </w:tc>
        <w:tc>
          <w:tcPr>
            <w:tcW w:w="617" w:type="pct"/>
            <w:tcBorders>
              <w:top w:val="nil"/>
              <w:left w:val="nil"/>
              <w:bottom w:val="nil"/>
              <w:right w:val="single" w:sz="4" w:space="0" w:color="auto"/>
            </w:tcBorders>
            <w:vAlign w:val="center"/>
            <w:hideMark/>
          </w:tcPr>
          <w:p w14:paraId="789AE9D3" w14:textId="7B9E2ACC" w:rsidR="00E56465" w:rsidRPr="00E56465" w:rsidRDefault="00E56465" w:rsidP="00E56465">
            <w:pPr>
              <w:spacing w:after="0" w:line="240" w:lineRule="auto"/>
              <w:jc w:val="right"/>
              <w:rPr>
                <w:b/>
                <w:bCs/>
                <w:sz w:val="20"/>
                <w:szCs w:val="20"/>
                <w:lang w:eastAsia="sk-SK"/>
              </w:rPr>
            </w:pPr>
            <w:r w:rsidRPr="00E56465">
              <w:rPr>
                <w:b/>
                <w:bCs/>
                <w:sz w:val="20"/>
                <w:szCs w:val="20"/>
              </w:rPr>
              <w:t>10 805 602</w:t>
            </w:r>
          </w:p>
        </w:tc>
        <w:tc>
          <w:tcPr>
            <w:tcW w:w="483" w:type="pct"/>
            <w:tcBorders>
              <w:top w:val="nil"/>
              <w:left w:val="nil"/>
              <w:bottom w:val="nil"/>
              <w:right w:val="nil"/>
            </w:tcBorders>
            <w:vAlign w:val="center"/>
            <w:hideMark/>
          </w:tcPr>
          <w:p w14:paraId="6A0938FD" w14:textId="1C708B50"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10,1</w:t>
            </w:r>
          </w:p>
        </w:tc>
        <w:tc>
          <w:tcPr>
            <w:tcW w:w="483" w:type="pct"/>
            <w:tcBorders>
              <w:top w:val="nil"/>
              <w:left w:val="nil"/>
              <w:bottom w:val="nil"/>
              <w:right w:val="nil"/>
            </w:tcBorders>
            <w:vAlign w:val="center"/>
            <w:hideMark/>
          </w:tcPr>
          <w:p w14:paraId="7EDC2D21" w14:textId="3CDF56AF"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7,7</w:t>
            </w:r>
          </w:p>
        </w:tc>
        <w:tc>
          <w:tcPr>
            <w:tcW w:w="485" w:type="pct"/>
            <w:tcBorders>
              <w:top w:val="nil"/>
              <w:left w:val="nil"/>
              <w:bottom w:val="nil"/>
              <w:right w:val="nil"/>
            </w:tcBorders>
            <w:vAlign w:val="center"/>
            <w:hideMark/>
          </w:tcPr>
          <w:p w14:paraId="5FBC486B" w14:textId="1E2F9337"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8,3</w:t>
            </w:r>
          </w:p>
        </w:tc>
      </w:tr>
      <w:tr w:rsidR="00E56465" w:rsidRPr="00E56465" w14:paraId="25A160A9" w14:textId="77777777" w:rsidTr="001B5F32">
        <w:trPr>
          <w:trHeight w:val="330"/>
        </w:trPr>
        <w:tc>
          <w:tcPr>
            <w:tcW w:w="1397" w:type="pct"/>
            <w:tcBorders>
              <w:top w:val="nil"/>
              <w:left w:val="nil"/>
              <w:bottom w:val="nil"/>
              <w:right w:val="nil"/>
            </w:tcBorders>
            <w:noWrap/>
            <w:vAlign w:val="center"/>
            <w:hideMark/>
          </w:tcPr>
          <w:p w14:paraId="22963523" w14:textId="77777777" w:rsidR="00E56465" w:rsidRPr="00E56465" w:rsidRDefault="00E56465" w:rsidP="00E56465">
            <w:pPr>
              <w:spacing w:after="0" w:line="240" w:lineRule="auto"/>
              <w:rPr>
                <w:color w:val="000000"/>
                <w:sz w:val="20"/>
                <w:szCs w:val="20"/>
                <w:lang w:eastAsia="sk-SK"/>
              </w:rPr>
            </w:pPr>
            <w:r w:rsidRPr="00E56465">
              <w:rPr>
                <w:color w:val="000000"/>
                <w:sz w:val="20"/>
                <w:szCs w:val="20"/>
                <w:lang w:eastAsia="sk-SK"/>
              </w:rPr>
              <w:t xml:space="preserve">         - menové zlato a SDR </w:t>
            </w:r>
          </w:p>
        </w:tc>
        <w:tc>
          <w:tcPr>
            <w:tcW w:w="289" w:type="pct"/>
            <w:tcBorders>
              <w:top w:val="nil"/>
              <w:left w:val="nil"/>
              <w:bottom w:val="nil"/>
              <w:right w:val="nil"/>
            </w:tcBorders>
            <w:noWrap/>
            <w:vAlign w:val="bottom"/>
            <w:hideMark/>
          </w:tcPr>
          <w:p w14:paraId="778137D5" w14:textId="77777777" w:rsidR="00E56465" w:rsidRPr="00E56465" w:rsidRDefault="00E56465" w:rsidP="00E56465">
            <w:pPr>
              <w:spacing w:after="0" w:line="240" w:lineRule="auto"/>
              <w:rPr>
                <w:color w:val="000000"/>
                <w:sz w:val="20"/>
                <w:szCs w:val="20"/>
                <w:lang w:eastAsia="sk-SK"/>
              </w:rPr>
            </w:pPr>
          </w:p>
        </w:tc>
        <w:tc>
          <w:tcPr>
            <w:tcW w:w="623" w:type="pct"/>
            <w:tcBorders>
              <w:top w:val="nil"/>
              <w:left w:val="nil"/>
              <w:bottom w:val="nil"/>
              <w:right w:val="nil"/>
            </w:tcBorders>
            <w:vAlign w:val="center"/>
            <w:hideMark/>
          </w:tcPr>
          <w:p w14:paraId="3347E875" w14:textId="0F9A7893" w:rsidR="00E56465" w:rsidRPr="00E56465" w:rsidRDefault="00E56465" w:rsidP="00E56465">
            <w:pPr>
              <w:spacing w:after="0" w:line="240" w:lineRule="auto"/>
              <w:jc w:val="right"/>
              <w:rPr>
                <w:sz w:val="20"/>
                <w:szCs w:val="20"/>
                <w:lang w:eastAsia="sk-SK"/>
              </w:rPr>
            </w:pPr>
            <w:r w:rsidRPr="00E56465">
              <w:rPr>
                <w:sz w:val="20"/>
                <w:szCs w:val="20"/>
              </w:rPr>
              <w:t>0</w:t>
            </w:r>
          </w:p>
        </w:tc>
        <w:tc>
          <w:tcPr>
            <w:tcW w:w="623" w:type="pct"/>
            <w:tcBorders>
              <w:top w:val="nil"/>
              <w:left w:val="nil"/>
              <w:bottom w:val="nil"/>
              <w:right w:val="nil"/>
            </w:tcBorders>
            <w:vAlign w:val="center"/>
            <w:hideMark/>
          </w:tcPr>
          <w:p w14:paraId="68AD9091" w14:textId="6FAA6608" w:rsidR="00E56465" w:rsidRPr="00E56465" w:rsidRDefault="00E56465" w:rsidP="00E56465">
            <w:pPr>
              <w:spacing w:after="0" w:line="240" w:lineRule="auto"/>
              <w:jc w:val="right"/>
              <w:rPr>
                <w:sz w:val="20"/>
                <w:szCs w:val="20"/>
                <w:lang w:eastAsia="sk-SK"/>
              </w:rPr>
            </w:pPr>
            <w:r w:rsidRPr="00E56465">
              <w:rPr>
                <w:sz w:val="20"/>
                <w:szCs w:val="20"/>
              </w:rPr>
              <w:t>0</w:t>
            </w:r>
          </w:p>
        </w:tc>
        <w:tc>
          <w:tcPr>
            <w:tcW w:w="617" w:type="pct"/>
            <w:tcBorders>
              <w:top w:val="nil"/>
              <w:left w:val="nil"/>
              <w:bottom w:val="nil"/>
              <w:right w:val="single" w:sz="4" w:space="0" w:color="auto"/>
            </w:tcBorders>
            <w:vAlign w:val="center"/>
            <w:hideMark/>
          </w:tcPr>
          <w:p w14:paraId="658FF020" w14:textId="1BC484E0" w:rsidR="00E56465" w:rsidRPr="00E56465" w:rsidRDefault="00E56465" w:rsidP="00E56465">
            <w:pPr>
              <w:spacing w:after="0" w:line="240" w:lineRule="auto"/>
              <w:jc w:val="right"/>
              <w:rPr>
                <w:sz w:val="20"/>
                <w:szCs w:val="20"/>
                <w:lang w:eastAsia="sk-SK"/>
              </w:rPr>
            </w:pPr>
            <w:r w:rsidRPr="00E56465">
              <w:rPr>
                <w:sz w:val="20"/>
                <w:szCs w:val="20"/>
              </w:rPr>
              <w:t>0</w:t>
            </w:r>
          </w:p>
        </w:tc>
        <w:tc>
          <w:tcPr>
            <w:tcW w:w="483" w:type="pct"/>
            <w:tcBorders>
              <w:top w:val="nil"/>
              <w:left w:val="nil"/>
              <w:bottom w:val="nil"/>
              <w:right w:val="nil"/>
            </w:tcBorders>
            <w:vAlign w:val="center"/>
            <w:hideMark/>
          </w:tcPr>
          <w:p w14:paraId="5DFBF994" w14:textId="3807928A"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c>
          <w:tcPr>
            <w:tcW w:w="483" w:type="pct"/>
            <w:tcBorders>
              <w:top w:val="nil"/>
              <w:left w:val="nil"/>
              <w:bottom w:val="nil"/>
              <w:right w:val="nil"/>
            </w:tcBorders>
            <w:vAlign w:val="center"/>
            <w:hideMark/>
          </w:tcPr>
          <w:p w14:paraId="26A28992" w14:textId="73764B81"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c>
          <w:tcPr>
            <w:tcW w:w="485" w:type="pct"/>
            <w:tcBorders>
              <w:top w:val="nil"/>
              <w:left w:val="nil"/>
              <w:bottom w:val="nil"/>
              <w:right w:val="nil"/>
            </w:tcBorders>
            <w:vAlign w:val="center"/>
            <w:hideMark/>
          </w:tcPr>
          <w:p w14:paraId="4484619B" w14:textId="348F6338"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r>
      <w:tr w:rsidR="00E56465" w:rsidRPr="00E56465" w14:paraId="72F4F4EA" w14:textId="77777777" w:rsidTr="001B5F32">
        <w:trPr>
          <w:trHeight w:val="330"/>
        </w:trPr>
        <w:tc>
          <w:tcPr>
            <w:tcW w:w="1397" w:type="pct"/>
            <w:tcBorders>
              <w:top w:val="nil"/>
              <w:left w:val="nil"/>
              <w:bottom w:val="nil"/>
              <w:right w:val="nil"/>
            </w:tcBorders>
            <w:noWrap/>
            <w:vAlign w:val="center"/>
            <w:hideMark/>
          </w:tcPr>
          <w:p w14:paraId="3B05F5B5" w14:textId="77777777" w:rsidR="00E56465" w:rsidRPr="00E56465" w:rsidRDefault="00E56465" w:rsidP="00E56465">
            <w:pPr>
              <w:spacing w:after="0" w:line="240" w:lineRule="auto"/>
              <w:rPr>
                <w:color w:val="000000"/>
                <w:sz w:val="20"/>
                <w:szCs w:val="20"/>
                <w:lang w:eastAsia="sk-SK"/>
              </w:rPr>
            </w:pPr>
            <w:r w:rsidRPr="00E56465">
              <w:rPr>
                <w:color w:val="000000"/>
                <w:sz w:val="20"/>
                <w:szCs w:val="20"/>
                <w:lang w:eastAsia="sk-SK"/>
              </w:rPr>
              <w:t xml:space="preserve">         - hotovosť na účtoch VS </w:t>
            </w:r>
          </w:p>
        </w:tc>
        <w:tc>
          <w:tcPr>
            <w:tcW w:w="289" w:type="pct"/>
            <w:tcBorders>
              <w:top w:val="nil"/>
              <w:left w:val="nil"/>
              <w:bottom w:val="nil"/>
              <w:right w:val="nil"/>
            </w:tcBorders>
            <w:noWrap/>
            <w:vAlign w:val="bottom"/>
            <w:hideMark/>
          </w:tcPr>
          <w:p w14:paraId="6EAFF113" w14:textId="77777777" w:rsidR="00E56465" w:rsidRPr="00E56465" w:rsidRDefault="00E56465" w:rsidP="00E56465">
            <w:pPr>
              <w:spacing w:after="0" w:line="240" w:lineRule="auto"/>
              <w:rPr>
                <w:color w:val="000000"/>
                <w:sz w:val="20"/>
                <w:szCs w:val="20"/>
                <w:lang w:eastAsia="sk-SK"/>
              </w:rPr>
            </w:pPr>
          </w:p>
        </w:tc>
        <w:tc>
          <w:tcPr>
            <w:tcW w:w="623" w:type="pct"/>
            <w:tcBorders>
              <w:top w:val="nil"/>
              <w:left w:val="nil"/>
              <w:bottom w:val="nil"/>
              <w:right w:val="nil"/>
            </w:tcBorders>
            <w:vAlign w:val="center"/>
            <w:hideMark/>
          </w:tcPr>
          <w:p w14:paraId="6EC05B50" w14:textId="1252AFCC" w:rsidR="00E56465" w:rsidRPr="00E56465" w:rsidRDefault="00E56465" w:rsidP="00E56465">
            <w:pPr>
              <w:spacing w:after="0" w:line="240" w:lineRule="auto"/>
              <w:jc w:val="right"/>
              <w:rPr>
                <w:sz w:val="20"/>
                <w:szCs w:val="20"/>
                <w:lang w:eastAsia="sk-SK"/>
              </w:rPr>
            </w:pPr>
            <w:r w:rsidRPr="00E56465">
              <w:rPr>
                <w:sz w:val="20"/>
                <w:szCs w:val="20"/>
              </w:rPr>
              <w:t>11 139 804</w:t>
            </w:r>
          </w:p>
        </w:tc>
        <w:tc>
          <w:tcPr>
            <w:tcW w:w="623" w:type="pct"/>
            <w:tcBorders>
              <w:top w:val="nil"/>
              <w:left w:val="nil"/>
              <w:bottom w:val="nil"/>
              <w:right w:val="nil"/>
            </w:tcBorders>
            <w:vAlign w:val="center"/>
            <w:hideMark/>
          </w:tcPr>
          <w:p w14:paraId="647BFE2D" w14:textId="68739EEB" w:rsidR="00E56465" w:rsidRPr="00E56465" w:rsidRDefault="00E56465" w:rsidP="00E56465">
            <w:pPr>
              <w:spacing w:after="0" w:line="240" w:lineRule="auto"/>
              <w:jc w:val="right"/>
              <w:rPr>
                <w:sz w:val="20"/>
                <w:szCs w:val="20"/>
                <w:lang w:eastAsia="sk-SK"/>
              </w:rPr>
            </w:pPr>
            <w:r w:rsidRPr="00E56465">
              <w:rPr>
                <w:sz w:val="20"/>
                <w:szCs w:val="20"/>
              </w:rPr>
              <w:t>9 507 449</w:t>
            </w:r>
          </w:p>
        </w:tc>
        <w:tc>
          <w:tcPr>
            <w:tcW w:w="617" w:type="pct"/>
            <w:tcBorders>
              <w:top w:val="nil"/>
              <w:left w:val="nil"/>
              <w:bottom w:val="nil"/>
              <w:right w:val="single" w:sz="4" w:space="0" w:color="auto"/>
            </w:tcBorders>
            <w:vAlign w:val="center"/>
            <w:hideMark/>
          </w:tcPr>
          <w:p w14:paraId="03D2F6C4" w14:textId="5EC8E0ED" w:rsidR="00E56465" w:rsidRPr="00E56465" w:rsidRDefault="00E56465" w:rsidP="00E56465">
            <w:pPr>
              <w:spacing w:after="0" w:line="240" w:lineRule="auto"/>
              <w:jc w:val="right"/>
              <w:rPr>
                <w:sz w:val="20"/>
                <w:szCs w:val="20"/>
                <w:lang w:eastAsia="sk-SK"/>
              </w:rPr>
            </w:pPr>
            <w:r w:rsidRPr="00E56465">
              <w:rPr>
                <w:sz w:val="20"/>
                <w:szCs w:val="20"/>
              </w:rPr>
              <w:t>10 788 243</w:t>
            </w:r>
          </w:p>
        </w:tc>
        <w:tc>
          <w:tcPr>
            <w:tcW w:w="483" w:type="pct"/>
            <w:tcBorders>
              <w:top w:val="nil"/>
              <w:left w:val="nil"/>
              <w:bottom w:val="nil"/>
              <w:right w:val="nil"/>
            </w:tcBorders>
            <w:vAlign w:val="center"/>
            <w:hideMark/>
          </w:tcPr>
          <w:p w14:paraId="4F517EB1" w14:textId="03C7E4EE"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10,1</w:t>
            </w:r>
          </w:p>
        </w:tc>
        <w:tc>
          <w:tcPr>
            <w:tcW w:w="483" w:type="pct"/>
            <w:tcBorders>
              <w:top w:val="nil"/>
              <w:left w:val="nil"/>
              <w:bottom w:val="nil"/>
              <w:right w:val="nil"/>
            </w:tcBorders>
            <w:vAlign w:val="center"/>
            <w:hideMark/>
          </w:tcPr>
          <w:p w14:paraId="04761CB4" w14:textId="5240C590"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7,7</w:t>
            </w:r>
          </w:p>
        </w:tc>
        <w:tc>
          <w:tcPr>
            <w:tcW w:w="485" w:type="pct"/>
            <w:tcBorders>
              <w:top w:val="nil"/>
              <w:left w:val="nil"/>
              <w:bottom w:val="nil"/>
              <w:right w:val="nil"/>
            </w:tcBorders>
            <w:vAlign w:val="center"/>
            <w:hideMark/>
          </w:tcPr>
          <w:p w14:paraId="4237D50C" w14:textId="76CF2ED5"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8,3</w:t>
            </w:r>
          </w:p>
        </w:tc>
      </w:tr>
      <w:tr w:rsidR="00E56465" w:rsidRPr="00E56465" w14:paraId="451A966D" w14:textId="77777777" w:rsidTr="001B5F32">
        <w:trPr>
          <w:trHeight w:val="330"/>
        </w:trPr>
        <w:tc>
          <w:tcPr>
            <w:tcW w:w="1397" w:type="pct"/>
            <w:tcBorders>
              <w:top w:val="nil"/>
              <w:left w:val="nil"/>
              <w:bottom w:val="nil"/>
              <w:right w:val="nil"/>
            </w:tcBorders>
            <w:noWrap/>
            <w:vAlign w:val="center"/>
            <w:hideMark/>
          </w:tcPr>
          <w:p w14:paraId="3A64A0C1" w14:textId="77777777" w:rsidR="00E56465" w:rsidRPr="00E56465" w:rsidRDefault="00E56465" w:rsidP="00E56465">
            <w:pPr>
              <w:spacing w:after="0" w:line="240" w:lineRule="auto"/>
              <w:rPr>
                <w:color w:val="000000"/>
                <w:sz w:val="20"/>
                <w:szCs w:val="20"/>
                <w:lang w:eastAsia="sk-SK"/>
              </w:rPr>
            </w:pPr>
            <w:r w:rsidRPr="00E56465">
              <w:rPr>
                <w:color w:val="000000"/>
                <w:sz w:val="20"/>
                <w:szCs w:val="20"/>
                <w:lang w:eastAsia="sk-SK"/>
              </w:rPr>
              <w:t xml:space="preserve">         - cenné papiere</w:t>
            </w:r>
          </w:p>
        </w:tc>
        <w:tc>
          <w:tcPr>
            <w:tcW w:w="289" w:type="pct"/>
            <w:tcBorders>
              <w:top w:val="nil"/>
              <w:left w:val="nil"/>
              <w:bottom w:val="nil"/>
              <w:right w:val="nil"/>
            </w:tcBorders>
            <w:noWrap/>
            <w:vAlign w:val="bottom"/>
            <w:hideMark/>
          </w:tcPr>
          <w:p w14:paraId="4177EDBF" w14:textId="77777777" w:rsidR="00E56465" w:rsidRPr="00E56465" w:rsidRDefault="00E56465" w:rsidP="00E56465">
            <w:pPr>
              <w:spacing w:after="0" w:line="240" w:lineRule="auto"/>
              <w:rPr>
                <w:color w:val="000000"/>
                <w:sz w:val="20"/>
                <w:szCs w:val="20"/>
                <w:lang w:eastAsia="sk-SK"/>
              </w:rPr>
            </w:pPr>
          </w:p>
        </w:tc>
        <w:tc>
          <w:tcPr>
            <w:tcW w:w="623" w:type="pct"/>
            <w:tcBorders>
              <w:top w:val="nil"/>
              <w:left w:val="nil"/>
              <w:bottom w:val="nil"/>
              <w:right w:val="nil"/>
            </w:tcBorders>
            <w:vAlign w:val="center"/>
            <w:hideMark/>
          </w:tcPr>
          <w:p w14:paraId="30E885DD" w14:textId="35595E7B" w:rsidR="00E56465" w:rsidRPr="00E56465" w:rsidRDefault="00E56465" w:rsidP="00E56465">
            <w:pPr>
              <w:spacing w:after="0" w:line="240" w:lineRule="auto"/>
              <w:jc w:val="right"/>
              <w:rPr>
                <w:sz w:val="20"/>
                <w:szCs w:val="20"/>
                <w:lang w:eastAsia="sk-SK"/>
              </w:rPr>
            </w:pPr>
            <w:r w:rsidRPr="00E56465">
              <w:rPr>
                <w:sz w:val="20"/>
                <w:szCs w:val="20"/>
              </w:rPr>
              <w:t>4 839</w:t>
            </w:r>
          </w:p>
        </w:tc>
        <w:tc>
          <w:tcPr>
            <w:tcW w:w="623" w:type="pct"/>
            <w:tcBorders>
              <w:top w:val="nil"/>
              <w:left w:val="nil"/>
              <w:bottom w:val="nil"/>
              <w:right w:val="nil"/>
            </w:tcBorders>
            <w:vAlign w:val="center"/>
            <w:hideMark/>
          </w:tcPr>
          <w:p w14:paraId="63644214" w14:textId="16F8DC4C" w:rsidR="00E56465" w:rsidRPr="00E56465" w:rsidRDefault="00E56465" w:rsidP="00E56465">
            <w:pPr>
              <w:spacing w:after="0" w:line="240" w:lineRule="auto"/>
              <w:jc w:val="right"/>
              <w:rPr>
                <w:sz w:val="20"/>
                <w:szCs w:val="20"/>
                <w:lang w:eastAsia="sk-SK"/>
              </w:rPr>
            </w:pPr>
            <w:r w:rsidRPr="00E56465">
              <w:rPr>
                <w:sz w:val="20"/>
                <w:szCs w:val="20"/>
              </w:rPr>
              <w:t>4 826</w:t>
            </w:r>
          </w:p>
        </w:tc>
        <w:tc>
          <w:tcPr>
            <w:tcW w:w="617" w:type="pct"/>
            <w:tcBorders>
              <w:top w:val="nil"/>
              <w:left w:val="nil"/>
              <w:bottom w:val="nil"/>
              <w:right w:val="single" w:sz="4" w:space="0" w:color="auto"/>
            </w:tcBorders>
            <w:vAlign w:val="center"/>
            <w:hideMark/>
          </w:tcPr>
          <w:p w14:paraId="1847EE75" w14:textId="710AB222" w:rsidR="00E56465" w:rsidRPr="00E56465" w:rsidRDefault="00E56465" w:rsidP="00E56465">
            <w:pPr>
              <w:spacing w:after="0" w:line="240" w:lineRule="auto"/>
              <w:jc w:val="right"/>
              <w:rPr>
                <w:sz w:val="20"/>
                <w:szCs w:val="20"/>
                <w:lang w:eastAsia="sk-SK"/>
              </w:rPr>
            </w:pPr>
            <w:r w:rsidRPr="00E56465">
              <w:rPr>
                <w:sz w:val="20"/>
                <w:szCs w:val="20"/>
              </w:rPr>
              <w:t>17 359</w:t>
            </w:r>
          </w:p>
        </w:tc>
        <w:tc>
          <w:tcPr>
            <w:tcW w:w="483" w:type="pct"/>
            <w:tcBorders>
              <w:top w:val="nil"/>
              <w:left w:val="nil"/>
              <w:bottom w:val="nil"/>
              <w:right w:val="nil"/>
            </w:tcBorders>
            <w:vAlign w:val="center"/>
            <w:hideMark/>
          </w:tcPr>
          <w:p w14:paraId="1A93B547" w14:textId="1118212C"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c>
          <w:tcPr>
            <w:tcW w:w="483" w:type="pct"/>
            <w:tcBorders>
              <w:top w:val="nil"/>
              <w:left w:val="nil"/>
              <w:bottom w:val="nil"/>
              <w:right w:val="nil"/>
            </w:tcBorders>
            <w:vAlign w:val="center"/>
            <w:hideMark/>
          </w:tcPr>
          <w:p w14:paraId="2F9E362B" w14:textId="2A46C065"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c>
          <w:tcPr>
            <w:tcW w:w="485" w:type="pct"/>
            <w:tcBorders>
              <w:top w:val="nil"/>
              <w:left w:val="nil"/>
              <w:bottom w:val="nil"/>
              <w:right w:val="nil"/>
            </w:tcBorders>
            <w:vAlign w:val="center"/>
            <w:hideMark/>
          </w:tcPr>
          <w:p w14:paraId="6390CD23" w14:textId="448592AE"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r>
      <w:tr w:rsidR="00E56465" w:rsidRPr="00E56465" w14:paraId="56ECA1EA" w14:textId="77777777" w:rsidTr="001B5F32">
        <w:trPr>
          <w:trHeight w:val="330"/>
        </w:trPr>
        <w:tc>
          <w:tcPr>
            <w:tcW w:w="1397" w:type="pct"/>
            <w:tcBorders>
              <w:top w:val="nil"/>
              <w:left w:val="nil"/>
              <w:bottom w:val="nil"/>
              <w:right w:val="nil"/>
            </w:tcBorders>
            <w:noWrap/>
            <w:vAlign w:val="center"/>
            <w:hideMark/>
          </w:tcPr>
          <w:p w14:paraId="28099DDA" w14:textId="77777777" w:rsidR="00E56465" w:rsidRPr="00E56465" w:rsidRDefault="00E56465" w:rsidP="00E56465">
            <w:pPr>
              <w:spacing w:after="0" w:line="240" w:lineRule="auto"/>
              <w:rPr>
                <w:color w:val="000000"/>
                <w:sz w:val="20"/>
                <w:szCs w:val="20"/>
                <w:lang w:eastAsia="sk-SK"/>
              </w:rPr>
            </w:pPr>
            <w:r w:rsidRPr="00E56465">
              <w:rPr>
                <w:color w:val="000000"/>
                <w:sz w:val="20"/>
                <w:szCs w:val="20"/>
                <w:lang w:eastAsia="sk-SK"/>
              </w:rPr>
              <w:t xml:space="preserve">         - kótované akcie</w:t>
            </w:r>
          </w:p>
        </w:tc>
        <w:tc>
          <w:tcPr>
            <w:tcW w:w="289" w:type="pct"/>
            <w:tcBorders>
              <w:top w:val="nil"/>
              <w:left w:val="nil"/>
              <w:bottom w:val="nil"/>
              <w:right w:val="nil"/>
            </w:tcBorders>
            <w:noWrap/>
            <w:vAlign w:val="bottom"/>
            <w:hideMark/>
          </w:tcPr>
          <w:p w14:paraId="13F98E43" w14:textId="77777777" w:rsidR="00E56465" w:rsidRPr="00E56465" w:rsidRDefault="00E56465" w:rsidP="00E56465">
            <w:pPr>
              <w:spacing w:after="0" w:line="240" w:lineRule="auto"/>
              <w:rPr>
                <w:color w:val="000000"/>
                <w:sz w:val="20"/>
                <w:szCs w:val="20"/>
                <w:lang w:eastAsia="sk-SK"/>
              </w:rPr>
            </w:pPr>
          </w:p>
        </w:tc>
        <w:tc>
          <w:tcPr>
            <w:tcW w:w="623" w:type="pct"/>
            <w:tcBorders>
              <w:top w:val="nil"/>
              <w:left w:val="nil"/>
              <w:bottom w:val="nil"/>
              <w:right w:val="nil"/>
            </w:tcBorders>
            <w:vAlign w:val="center"/>
            <w:hideMark/>
          </w:tcPr>
          <w:p w14:paraId="67D3608D" w14:textId="1630093A" w:rsidR="00E56465" w:rsidRPr="00E56465" w:rsidRDefault="00E56465" w:rsidP="00E56465">
            <w:pPr>
              <w:spacing w:after="0" w:line="240" w:lineRule="auto"/>
              <w:jc w:val="right"/>
              <w:rPr>
                <w:sz w:val="20"/>
                <w:szCs w:val="20"/>
                <w:lang w:eastAsia="sk-SK"/>
              </w:rPr>
            </w:pPr>
            <w:r w:rsidRPr="00E56465">
              <w:rPr>
                <w:sz w:val="20"/>
                <w:szCs w:val="20"/>
              </w:rPr>
              <w:t>0</w:t>
            </w:r>
          </w:p>
        </w:tc>
        <w:tc>
          <w:tcPr>
            <w:tcW w:w="623" w:type="pct"/>
            <w:tcBorders>
              <w:top w:val="nil"/>
              <w:left w:val="nil"/>
              <w:bottom w:val="nil"/>
              <w:right w:val="nil"/>
            </w:tcBorders>
            <w:vAlign w:val="center"/>
            <w:hideMark/>
          </w:tcPr>
          <w:p w14:paraId="332BF49D" w14:textId="38FB6772" w:rsidR="00E56465" w:rsidRPr="00E56465" w:rsidRDefault="00E56465" w:rsidP="00E56465">
            <w:pPr>
              <w:spacing w:after="0" w:line="240" w:lineRule="auto"/>
              <w:jc w:val="right"/>
              <w:rPr>
                <w:sz w:val="20"/>
                <w:szCs w:val="20"/>
                <w:lang w:eastAsia="sk-SK"/>
              </w:rPr>
            </w:pPr>
            <w:r w:rsidRPr="00E56465">
              <w:rPr>
                <w:sz w:val="20"/>
                <w:szCs w:val="20"/>
              </w:rPr>
              <w:t>0</w:t>
            </w:r>
          </w:p>
        </w:tc>
        <w:tc>
          <w:tcPr>
            <w:tcW w:w="617" w:type="pct"/>
            <w:tcBorders>
              <w:top w:val="nil"/>
              <w:left w:val="nil"/>
              <w:bottom w:val="nil"/>
              <w:right w:val="single" w:sz="4" w:space="0" w:color="auto"/>
            </w:tcBorders>
            <w:vAlign w:val="center"/>
            <w:hideMark/>
          </w:tcPr>
          <w:p w14:paraId="3853FA63" w14:textId="15A05B27" w:rsidR="00E56465" w:rsidRPr="00E56465" w:rsidRDefault="00E56465" w:rsidP="00E56465">
            <w:pPr>
              <w:spacing w:after="0" w:line="240" w:lineRule="auto"/>
              <w:jc w:val="right"/>
              <w:rPr>
                <w:sz w:val="20"/>
                <w:szCs w:val="20"/>
                <w:lang w:eastAsia="sk-SK"/>
              </w:rPr>
            </w:pPr>
            <w:r w:rsidRPr="00E56465">
              <w:rPr>
                <w:sz w:val="20"/>
                <w:szCs w:val="20"/>
              </w:rPr>
              <w:t>0</w:t>
            </w:r>
          </w:p>
        </w:tc>
        <w:tc>
          <w:tcPr>
            <w:tcW w:w="483" w:type="pct"/>
            <w:tcBorders>
              <w:top w:val="nil"/>
              <w:left w:val="nil"/>
              <w:bottom w:val="nil"/>
              <w:right w:val="nil"/>
            </w:tcBorders>
            <w:vAlign w:val="center"/>
            <w:hideMark/>
          </w:tcPr>
          <w:p w14:paraId="08B96928" w14:textId="77521E50"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c>
          <w:tcPr>
            <w:tcW w:w="483" w:type="pct"/>
            <w:tcBorders>
              <w:top w:val="nil"/>
              <w:left w:val="nil"/>
              <w:bottom w:val="nil"/>
              <w:right w:val="nil"/>
            </w:tcBorders>
            <w:vAlign w:val="center"/>
            <w:hideMark/>
          </w:tcPr>
          <w:p w14:paraId="4C03D80E" w14:textId="5A4CF9F7"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c>
          <w:tcPr>
            <w:tcW w:w="485" w:type="pct"/>
            <w:tcBorders>
              <w:top w:val="nil"/>
              <w:left w:val="nil"/>
              <w:bottom w:val="nil"/>
              <w:right w:val="nil"/>
            </w:tcBorders>
            <w:vAlign w:val="center"/>
            <w:hideMark/>
          </w:tcPr>
          <w:p w14:paraId="4A847796" w14:textId="67C4F501" w:rsidR="00E56465" w:rsidRPr="00E56465" w:rsidRDefault="00E56465" w:rsidP="00E56465">
            <w:pPr>
              <w:spacing w:after="0" w:line="240" w:lineRule="auto"/>
              <w:jc w:val="center"/>
              <w:rPr>
                <w:color w:val="000000"/>
                <w:sz w:val="20"/>
                <w:szCs w:val="20"/>
                <w:lang w:eastAsia="sk-SK"/>
              </w:rPr>
            </w:pPr>
            <w:r w:rsidRPr="00E56465">
              <w:rPr>
                <w:color w:val="000000"/>
                <w:sz w:val="20"/>
                <w:szCs w:val="20"/>
              </w:rPr>
              <w:t>0,0</w:t>
            </w:r>
          </w:p>
        </w:tc>
      </w:tr>
      <w:tr w:rsidR="00E56465" w:rsidRPr="00E56465" w14:paraId="670FDF28" w14:textId="77777777" w:rsidTr="001B5F32">
        <w:trPr>
          <w:trHeight w:val="255"/>
        </w:trPr>
        <w:tc>
          <w:tcPr>
            <w:tcW w:w="1397" w:type="pct"/>
            <w:tcBorders>
              <w:top w:val="single" w:sz="4" w:space="0" w:color="auto"/>
              <w:left w:val="nil"/>
              <w:bottom w:val="single" w:sz="4" w:space="0" w:color="auto"/>
              <w:right w:val="nil"/>
            </w:tcBorders>
            <w:noWrap/>
            <w:vAlign w:val="center"/>
            <w:hideMark/>
          </w:tcPr>
          <w:p w14:paraId="4F0C617A" w14:textId="77777777" w:rsidR="00E56465" w:rsidRPr="00E56465" w:rsidRDefault="00E56465" w:rsidP="00E56465">
            <w:pPr>
              <w:spacing w:after="0" w:line="240" w:lineRule="auto"/>
              <w:rPr>
                <w:b/>
                <w:bCs/>
                <w:color w:val="000000"/>
                <w:sz w:val="20"/>
                <w:szCs w:val="20"/>
                <w:lang w:eastAsia="sk-SK"/>
              </w:rPr>
            </w:pPr>
            <w:r w:rsidRPr="00E56465">
              <w:rPr>
                <w:b/>
                <w:bCs/>
                <w:color w:val="000000"/>
                <w:sz w:val="20"/>
                <w:szCs w:val="20"/>
                <w:lang w:eastAsia="sk-SK"/>
              </w:rPr>
              <w:t xml:space="preserve">Čistý dlh verejnej správy </w:t>
            </w:r>
            <w:r w:rsidRPr="00E56465">
              <w:rPr>
                <w:color w:val="000000"/>
                <w:sz w:val="20"/>
                <w:szCs w:val="20"/>
                <w:lang w:eastAsia="sk-SK"/>
              </w:rPr>
              <w:t xml:space="preserve">                              </w:t>
            </w:r>
          </w:p>
        </w:tc>
        <w:tc>
          <w:tcPr>
            <w:tcW w:w="289" w:type="pct"/>
            <w:tcBorders>
              <w:top w:val="single" w:sz="4" w:space="0" w:color="auto"/>
              <w:left w:val="nil"/>
              <w:bottom w:val="single" w:sz="4" w:space="0" w:color="auto"/>
              <w:right w:val="nil"/>
            </w:tcBorders>
            <w:noWrap/>
            <w:vAlign w:val="center"/>
            <w:hideMark/>
          </w:tcPr>
          <w:p w14:paraId="29046C80" w14:textId="317392FF"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lang w:eastAsia="sk-SK"/>
              </w:rPr>
              <w:t>(1-2)</w:t>
            </w:r>
          </w:p>
        </w:tc>
        <w:tc>
          <w:tcPr>
            <w:tcW w:w="623" w:type="pct"/>
            <w:tcBorders>
              <w:top w:val="single" w:sz="4" w:space="0" w:color="auto"/>
              <w:left w:val="nil"/>
              <w:bottom w:val="single" w:sz="4" w:space="0" w:color="auto"/>
              <w:right w:val="nil"/>
            </w:tcBorders>
            <w:vAlign w:val="center"/>
            <w:hideMark/>
          </w:tcPr>
          <w:p w14:paraId="29C3228C" w14:textId="102116B4" w:rsidR="00E56465" w:rsidRPr="00E56465" w:rsidRDefault="00E56465" w:rsidP="00E56465">
            <w:pPr>
              <w:spacing w:after="0" w:line="240" w:lineRule="auto"/>
              <w:jc w:val="right"/>
              <w:rPr>
                <w:b/>
                <w:bCs/>
                <w:color w:val="000000"/>
                <w:sz w:val="20"/>
                <w:szCs w:val="20"/>
                <w:lang w:eastAsia="sk-SK"/>
              </w:rPr>
            </w:pPr>
            <w:r w:rsidRPr="00E56465">
              <w:rPr>
                <w:b/>
                <w:bCs/>
                <w:color w:val="000000"/>
                <w:sz w:val="20"/>
                <w:szCs w:val="20"/>
              </w:rPr>
              <w:t>52 363 928</w:t>
            </w:r>
          </w:p>
        </w:tc>
        <w:tc>
          <w:tcPr>
            <w:tcW w:w="623" w:type="pct"/>
            <w:tcBorders>
              <w:top w:val="single" w:sz="4" w:space="0" w:color="auto"/>
              <w:left w:val="nil"/>
              <w:bottom w:val="single" w:sz="4" w:space="0" w:color="auto"/>
              <w:right w:val="nil"/>
            </w:tcBorders>
            <w:vAlign w:val="center"/>
            <w:hideMark/>
          </w:tcPr>
          <w:p w14:paraId="3E11299B" w14:textId="5FEFDA72" w:rsidR="00E56465" w:rsidRPr="00E56465" w:rsidRDefault="00E56465" w:rsidP="00E56465">
            <w:pPr>
              <w:spacing w:after="0" w:line="240" w:lineRule="auto"/>
              <w:jc w:val="right"/>
              <w:rPr>
                <w:b/>
                <w:bCs/>
                <w:color w:val="000000"/>
                <w:sz w:val="20"/>
                <w:szCs w:val="20"/>
                <w:lang w:eastAsia="sk-SK"/>
              </w:rPr>
            </w:pPr>
            <w:r w:rsidRPr="00E56465">
              <w:rPr>
                <w:b/>
                <w:bCs/>
                <w:color w:val="000000"/>
                <w:sz w:val="20"/>
                <w:szCs w:val="20"/>
              </w:rPr>
              <w:t>59 369 971</w:t>
            </w:r>
          </w:p>
        </w:tc>
        <w:tc>
          <w:tcPr>
            <w:tcW w:w="617" w:type="pct"/>
            <w:tcBorders>
              <w:top w:val="single" w:sz="4" w:space="0" w:color="auto"/>
              <w:left w:val="nil"/>
              <w:bottom w:val="single" w:sz="4" w:space="0" w:color="auto"/>
              <w:right w:val="single" w:sz="4" w:space="0" w:color="auto"/>
            </w:tcBorders>
            <w:vAlign w:val="center"/>
            <w:hideMark/>
          </w:tcPr>
          <w:p w14:paraId="3375E37F" w14:textId="74B460C6" w:rsidR="00E56465" w:rsidRPr="00E56465" w:rsidRDefault="00E56465" w:rsidP="00E56465">
            <w:pPr>
              <w:spacing w:after="0" w:line="240" w:lineRule="auto"/>
              <w:jc w:val="right"/>
              <w:rPr>
                <w:b/>
                <w:bCs/>
                <w:color w:val="000000"/>
                <w:sz w:val="20"/>
                <w:szCs w:val="20"/>
                <w:lang w:eastAsia="sk-SK"/>
              </w:rPr>
            </w:pPr>
            <w:r w:rsidRPr="00E56465">
              <w:rPr>
                <w:b/>
                <w:bCs/>
                <w:color w:val="000000"/>
                <w:sz w:val="20"/>
                <w:szCs w:val="20"/>
              </w:rPr>
              <w:t>66 929 033</w:t>
            </w:r>
          </w:p>
        </w:tc>
        <w:tc>
          <w:tcPr>
            <w:tcW w:w="483" w:type="pct"/>
            <w:tcBorders>
              <w:top w:val="single" w:sz="4" w:space="0" w:color="auto"/>
              <w:left w:val="nil"/>
              <w:bottom w:val="single" w:sz="4" w:space="0" w:color="auto"/>
              <w:right w:val="nil"/>
            </w:tcBorders>
            <w:vAlign w:val="center"/>
            <w:hideMark/>
          </w:tcPr>
          <w:p w14:paraId="4CA53DDA" w14:textId="384F8C11"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47,6</w:t>
            </w:r>
          </w:p>
        </w:tc>
        <w:tc>
          <w:tcPr>
            <w:tcW w:w="483" w:type="pct"/>
            <w:tcBorders>
              <w:top w:val="single" w:sz="4" w:space="0" w:color="auto"/>
              <w:left w:val="nil"/>
              <w:bottom w:val="single" w:sz="4" w:space="0" w:color="auto"/>
              <w:right w:val="nil"/>
            </w:tcBorders>
            <w:vAlign w:val="center"/>
            <w:hideMark/>
          </w:tcPr>
          <w:p w14:paraId="7A42AF4E" w14:textId="1C9A90A3"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48,1</w:t>
            </w:r>
          </w:p>
        </w:tc>
        <w:tc>
          <w:tcPr>
            <w:tcW w:w="485" w:type="pct"/>
            <w:tcBorders>
              <w:top w:val="single" w:sz="4" w:space="0" w:color="auto"/>
              <w:left w:val="nil"/>
              <w:bottom w:val="single" w:sz="4" w:space="0" w:color="auto"/>
              <w:right w:val="nil"/>
            </w:tcBorders>
            <w:vAlign w:val="center"/>
            <w:hideMark/>
          </w:tcPr>
          <w:p w14:paraId="6B4C3EBE" w14:textId="7F36C3A1" w:rsidR="00E56465" w:rsidRPr="00E56465" w:rsidRDefault="00E56465" w:rsidP="00E56465">
            <w:pPr>
              <w:spacing w:after="0" w:line="240" w:lineRule="auto"/>
              <w:jc w:val="center"/>
              <w:rPr>
                <w:b/>
                <w:bCs/>
                <w:color w:val="000000"/>
                <w:sz w:val="20"/>
                <w:szCs w:val="20"/>
                <w:lang w:eastAsia="sk-SK"/>
              </w:rPr>
            </w:pPr>
            <w:r w:rsidRPr="00E56465">
              <w:rPr>
                <w:b/>
                <w:bCs/>
                <w:color w:val="000000"/>
                <w:sz w:val="20"/>
                <w:szCs w:val="20"/>
              </w:rPr>
              <w:t>51,4</w:t>
            </w:r>
          </w:p>
        </w:tc>
      </w:tr>
    </w:tbl>
    <w:p w14:paraId="6BB6998E" w14:textId="2CF40F61" w:rsidR="00042DE4" w:rsidRPr="00E56465" w:rsidRDefault="00042DE4" w:rsidP="00042DE4">
      <w:pPr>
        <w:spacing w:after="0" w:line="240" w:lineRule="auto"/>
        <w:jc w:val="right"/>
        <w:rPr>
          <w:sz w:val="16"/>
          <w:szCs w:val="16"/>
        </w:rPr>
      </w:pPr>
      <w:r w:rsidRPr="00E56465">
        <w:rPr>
          <w:sz w:val="16"/>
          <w:szCs w:val="16"/>
          <w:lang w:eastAsia="sk-SK"/>
        </w:rPr>
        <w:t>Zdroj: ŠÚ SR</w:t>
      </w:r>
    </w:p>
    <w:p w14:paraId="0C21DBD5" w14:textId="6C07C58A" w:rsidR="00CE5439" w:rsidRPr="00487A96" w:rsidRDefault="0090119D" w:rsidP="00482FB2">
      <w:pPr>
        <w:spacing w:after="120" w:line="240" w:lineRule="auto"/>
        <w:jc w:val="both"/>
      </w:pPr>
      <w:r w:rsidRPr="00C40FE4">
        <w:t xml:space="preserve">V prípade verejnej správy je súčasťou likvidných aktív najmä hotovosť na účtoch subjektov verejnej správy a v menšej </w:t>
      </w:r>
      <w:r w:rsidRPr="00C40FE4">
        <w:rPr>
          <w:szCs w:val="22"/>
        </w:rPr>
        <w:t>miere</w:t>
      </w:r>
      <w:r w:rsidRPr="00C40FE4">
        <w:t xml:space="preserve"> cenné papiere. </w:t>
      </w:r>
      <w:r w:rsidRPr="00C40FE4">
        <w:rPr>
          <w:b/>
        </w:rPr>
        <w:t>V roku 202</w:t>
      </w:r>
      <w:r w:rsidR="00C40FE4" w:rsidRPr="00C40FE4">
        <w:rPr>
          <w:b/>
        </w:rPr>
        <w:t>4</w:t>
      </w:r>
      <w:r w:rsidRPr="00C40FE4">
        <w:rPr>
          <w:b/>
        </w:rPr>
        <w:t xml:space="preserve"> </w:t>
      </w:r>
      <w:r w:rsidRPr="00487A96">
        <w:rPr>
          <w:b/>
        </w:rPr>
        <w:t>oproti roku 202</w:t>
      </w:r>
      <w:r w:rsidR="00C40FE4" w:rsidRPr="00487A96">
        <w:rPr>
          <w:b/>
        </w:rPr>
        <w:t>3</w:t>
      </w:r>
      <w:r w:rsidRPr="00487A96">
        <w:rPr>
          <w:b/>
        </w:rPr>
        <w:t xml:space="preserve"> úroveň vkladov a obeživa </w:t>
      </w:r>
      <w:r w:rsidR="00C40FE4" w:rsidRPr="00487A96">
        <w:rPr>
          <w:b/>
        </w:rPr>
        <w:t>vzrástla</w:t>
      </w:r>
      <w:r w:rsidRPr="00487A96">
        <w:rPr>
          <w:b/>
        </w:rPr>
        <w:t xml:space="preserve"> o</w:t>
      </w:r>
      <w:r w:rsidR="00C40FE4" w:rsidRPr="00487A96">
        <w:rPr>
          <w:b/>
        </w:rPr>
        <w:t> </w:t>
      </w:r>
      <w:r w:rsidRPr="00487A96">
        <w:rPr>
          <w:b/>
        </w:rPr>
        <w:t>1 </w:t>
      </w:r>
      <w:r w:rsidR="00C40FE4" w:rsidRPr="00487A96">
        <w:rPr>
          <w:b/>
        </w:rPr>
        <w:t>280</w:t>
      </w:r>
      <w:r w:rsidRPr="00487A96">
        <w:rPr>
          <w:b/>
        </w:rPr>
        <w:t> </w:t>
      </w:r>
      <w:r w:rsidR="00C40FE4" w:rsidRPr="00487A96">
        <w:rPr>
          <w:b/>
        </w:rPr>
        <w:t>794</w:t>
      </w:r>
      <w:r w:rsidRPr="00487A96">
        <w:rPr>
          <w:b/>
        </w:rPr>
        <w:t xml:space="preserve"> tis. eur, </w:t>
      </w:r>
      <w:r w:rsidRPr="00487A96">
        <w:t xml:space="preserve">najmä u rozpočtových organizácií štátu. </w:t>
      </w:r>
      <w:r w:rsidR="006E3CC6" w:rsidRPr="00487A96">
        <w:t>Hotovostná rezerva štátu k 31. 12. 202</w:t>
      </w:r>
      <w:r w:rsidR="009804F0" w:rsidRPr="00487A96">
        <w:t>4</w:t>
      </w:r>
      <w:r w:rsidR="006E3CC6" w:rsidRPr="00487A96">
        <w:t xml:space="preserve"> dosiahla </w:t>
      </w:r>
      <w:r w:rsidR="009804F0" w:rsidRPr="00487A96">
        <w:t>7 5</w:t>
      </w:r>
      <w:r w:rsidR="00A050E9" w:rsidRPr="00487A96">
        <w:t>73</w:t>
      </w:r>
      <w:r w:rsidR="009804F0" w:rsidRPr="00487A96">
        <w:t> </w:t>
      </w:r>
      <w:r w:rsidR="00A050E9" w:rsidRPr="00487A96">
        <w:t>140</w:t>
      </w:r>
      <w:r w:rsidR="006E3CC6" w:rsidRPr="00487A96">
        <w:t xml:space="preserve"> tis. eur a jej úroveň sa oproti predchádzajúcemu roku </w:t>
      </w:r>
      <w:r w:rsidR="009804F0" w:rsidRPr="00487A96">
        <w:t>zvýšila</w:t>
      </w:r>
      <w:r w:rsidR="006E3CC6" w:rsidRPr="00487A96">
        <w:t xml:space="preserve"> o</w:t>
      </w:r>
      <w:r w:rsidR="00410F95">
        <w:t> </w:t>
      </w:r>
      <w:r w:rsidR="009804F0" w:rsidRPr="00487A96">
        <w:t>96</w:t>
      </w:r>
      <w:r w:rsidR="00A050E9" w:rsidRPr="00487A96">
        <w:t>0</w:t>
      </w:r>
      <w:r w:rsidR="00410F95">
        <w:t> </w:t>
      </w:r>
      <w:r w:rsidR="00A050E9" w:rsidRPr="00487A96">
        <w:t>230</w:t>
      </w:r>
      <w:r w:rsidR="006E3CC6" w:rsidRPr="00487A96">
        <w:t> tis. eur</w:t>
      </w:r>
      <w:r w:rsidR="00A050E9" w:rsidRPr="00487A96">
        <w:t xml:space="preserve"> (za</w:t>
      </w:r>
      <w:r w:rsidR="00410F95">
        <w:t> </w:t>
      </w:r>
      <w:r w:rsidR="00A050E9" w:rsidRPr="00487A96">
        <w:t>rok</w:t>
      </w:r>
      <w:r w:rsidR="00410F95">
        <w:t> </w:t>
      </w:r>
      <w:r w:rsidR="00A050E9" w:rsidRPr="00487A96">
        <w:t xml:space="preserve">2023 </w:t>
      </w:r>
      <w:r w:rsidR="000A6FCF">
        <w:t xml:space="preserve">bola na úrovni </w:t>
      </w:r>
      <w:r w:rsidR="00A050E9" w:rsidRPr="00487A96">
        <w:t>6 612 910 tis.</w:t>
      </w:r>
      <w:r w:rsidR="00677331">
        <w:t> </w:t>
      </w:r>
      <w:r w:rsidR="00A050E9" w:rsidRPr="00487A96">
        <w:t>eur)</w:t>
      </w:r>
      <w:r w:rsidR="006E3CC6" w:rsidRPr="00487A96">
        <w:t>.</w:t>
      </w:r>
    </w:p>
    <w:p w14:paraId="2F06004B" w14:textId="65EA7DF3" w:rsidR="0090119D" w:rsidRPr="00C11CCC" w:rsidRDefault="00C40FE4" w:rsidP="0013067E">
      <w:pPr>
        <w:spacing w:after="120" w:line="240" w:lineRule="auto"/>
        <w:jc w:val="both"/>
      </w:pPr>
      <w:r w:rsidRPr="00487A96">
        <w:t xml:space="preserve">Úroveň </w:t>
      </w:r>
      <w:r w:rsidR="00C11CCC" w:rsidRPr="00487A96">
        <w:t xml:space="preserve">hotovosti a vkladov sa zvýšila </w:t>
      </w:r>
      <w:r w:rsidR="00482FB2">
        <w:t xml:space="preserve">napríklad </w:t>
      </w:r>
      <w:r w:rsidR="00C11CCC" w:rsidRPr="00487A96">
        <w:t>u Eximbanky</w:t>
      </w:r>
      <w:r w:rsidR="00C11CCC">
        <w:t xml:space="preserve">, v ústredných zdravotníckych zariadeniach, Environmentálnom fonde a verejných vysokých školách. </w:t>
      </w:r>
      <w:r w:rsidRPr="00C40FE4">
        <w:t>Naj</w:t>
      </w:r>
      <w:r w:rsidR="0090119D" w:rsidRPr="00C40FE4">
        <w:t>výraz</w:t>
      </w:r>
      <w:r w:rsidRPr="00C40FE4">
        <w:t>nejšie</w:t>
      </w:r>
      <w:r w:rsidR="0090119D" w:rsidRPr="00C40FE4">
        <w:t xml:space="preserve"> medziročné poklesy zaznamenali </w:t>
      </w:r>
      <w:r w:rsidRPr="00C40FE4">
        <w:t xml:space="preserve">zdravotné </w:t>
      </w:r>
      <w:r w:rsidR="0090119D" w:rsidRPr="00C40FE4">
        <w:t>poisťov</w:t>
      </w:r>
      <w:r w:rsidRPr="00C40FE4">
        <w:t>ne, samosprávne kraje a ich rozpočtové organizácie a príspevkové organizácie štátu.</w:t>
      </w:r>
      <w:r>
        <w:t xml:space="preserve"> Oproti jarnej notifikácii prišlo k aktualizácii údajov, pričom mierny vplyv na úroveň hotovosti a</w:t>
      </w:r>
      <w:r w:rsidR="003606CA">
        <w:t> </w:t>
      </w:r>
      <w:r>
        <w:t>vkladov</w:t>
      </w:r>
      <w:r w:rsidR="003606CA">
        <w:t xml:space="preserve"> za</w:t>
      </w:r>
      <w:r w:rsidR="00041EA0">
        <w:t> </w:t>
      </w:r>
      <w:r w:rsidR="003606CA">
        <w:t>sledované obdobie 2022 - 2024</w:t>
      </w:r>
      <w:r>
        <w:t xml:space="preserve"> mala aj reklasifikácia jednotiek.</w:t>
      </w:r>
    </w:p>
    <w:p w14:paraId="6D19D152" w14:textId="2F52A17A" w:rsidR="003D050C" w:rsidRPr="003D7549" w:rsidRDefault="00042DE4" w:rsidP="00AA46C8">
      <w:pPr>
        <w:pStyle w:val="Nadpis2"/>
        <w:numPr>
          <w:ilvl w:val="0"/>
          <w:numId w:val="0"/>
        </w:numPr>
        <w:ind w:left="896"/>
      </w:pPr>
      <w:bookmarkStart w:id="25" w:name="_Toc496786978"/>
      <w:bookmarkStart w:id="26" w:name="_Toc212461597"/>
      <w:r w:rsidRPr="003D7549">
        <w:t>1</w:t>
      </w:r>
      <w:r w:rsidR="00A615D3" w:rsidRPr="003D7549">
        <w:t>.</w:t>
      </w:r>
      <w:r w:rsidR="000231EB" w:rsidRPr="003D7549">
        <w:t>5</w:t>
      </w:r>
      <w:r w:rsidR="00A615D3" w:rsidRPr="003D7549">
        <w:t>.</w:t>
      </w:r>
      <w:r w:rsidR="00A615D3" w:rsidRPr="003D7549">
        <w:tab/>
      </w:r>
      <w:r w:rsidR="003D050C" w:rsidRPr="003D7549">
        <w:t>Porovnanie salda a dlhu verejnej správy v rámci Európskej únie</w:t>
      </w:r>
      <w:bookmarkEnd w:id="25"/>
      <w:bookmarkEnd w:id="26"/>
    </w:p>
    <w:p w14:paraId="5DF14BED" w14:textId="6E254340" w:rsidR="003D7549" w:rsidRPr="003D7549" w:rsidRDefault="003D7549" w:rsidP="003D7549">
      <w:pPr>
        <w:spacing w:after="120" w:line="240" w:lineRule="auto"/>
        <w:jc w:val="both"/>
        <w:rPr>
          <w:b/>
          <w:szCs w:val="22"/>
        </w:rPr>
      </w:pPr>
      <w:r w:rsidRPr="003D7549">
        <w:rPr>
          <w:szCs w:val="22"/>
        </w:rPr>
        <w:t>V rámci Európskej únie (</w:t>
      </w:r>
      <w:r w:rsidR="00D62DBD">
        <w:rPr>
          <w:szCs w:val="22"/>
        </w:rPr>
        <w:t>EÚ</w:t>
      </w:r>
      <w:r w:rsidR="00677331">
        <w:rPr>
          <w:szCs w:val="22"/>
        </w:rPr>
        <w:t> </w:t>
      </w:r>
      <w:r w:rsidRPr="003D7549">
        <w:rPr>
          <w:szCs w:val="22"/>
        </w:rPr>
        <w:t xml:space="preserve">27) v roku 2025 </w:t>
      </w:r>
      <w:r w:rsidR="00D62DBD">
        <w:rPr>
          <w:szCs w:val="22"/>
        </w:rPr>
        <w:t xml:space="preserve">bol </w:t>
      </w:r>
      <w:r w:rsidRPr="003D7549">
        <w:rPr>
          <w:b/>
          <w:szCs w:val="22"/>
        </w:rPr>
        <w:t>priemerný schodok 3,1 % HDP a priemerný dlh 80,</w:t>
      </w:r>
      <w:r w:rsidR="0063300C">
        <w:rPr>
          <w:b/>
          <w:szCs w:val="22"/>
        </w:rPr>
        <w:t>7</w:t>
      </w:r>
      <w:r w:rsidRPr="003D7549">
        <w:rPr>
          <w:b/>
          <w:szCs w:val="22"/>
        </w:rPr>
        <w:t> % HDP.</w:t>
      </w:r>
    </w:p>
    <w:p w14:paraId="7758E405" w14:textId="63A24AED" w:rsidR="00E6283D" w:rsidRDefault="003D7549" w:rsidP="003D7549">
      <w:pPr>
        <w:spacing w:after="120" w:line="240" w:lineRule="auto"/>
        <w:jc w:val="both"/>
        <w:rPr>
          <w:szCs w:val="22"/>
        </w:rPr>
      </w:pPr>
      <w:r w:rsidRPr="003D7549">
        <w:rPr>
          <w:szCs w:val="22"/>
        </w:rPr>
        <w:t>V rámci krajín EÚ</w:t>
      </w:r>
      <w:r w:rsidR="00677331">
        <w:rPr>
          <w:szCs w:val="22"/>
        </w:rPr>
        <w:t> </w:t>
      </w:r>
      <w:r w:rsidRPr="003D7549">
        <w:rPr>
          <w:szCs w:val="22"/>
        </w:rPr>
        <w:t xml:space="preserve">27 došlo k nárastu HDP o 758 118 mil. eur (o 4,2 %) a nárastu dlhu o 651 716 mil. eur (o 4,5 %). V roku 2024 v Eurozóne (20) ako aj </w:t>
      </w:r>
      <w:r w:rsidR="000F4BD5">
        <w:rPr>
          <w:szCs w:val="22"/>
        </w:rPr>
        <w:t>v</w:t>
      </w:r>
      <w:r w:rsidR="00677331">
        <w:rPr>
          <w:szCs w:val="22"/>
        </w:rPr>
        <w:t> </w:t>
      </w:r>
      <w:r w:rsidR="000F4BD5">
        <w:rPr>
          <w:szCs w:val="22"/>
        </w:rPr>
        <w:t>EÚ</w:t>
      </w:r>
      <w:r w:rsidR="00677331">
        <w:rPr>
          <w:szCs w:val="22"/>
        </w:rPr>
        <w:t> </w:t>
      </w:r>
      <w:r w:rsidR="000F4BD5">
        <w:rPr>
          <w:szCs w:val="22"/>
        </w:rPr>
        <w:t>27</w:t>
      </w:r>
      <w:r w:rsidRPr="003D7549">
        <w:rPr>
          <w:szCs w:val="22"/>
        </w:rPr>
        <w:t xml:space="preserve"> v porovnaní s rokom 2023 </w:t>
      </w:r>
      <w:r w:rsidR="000F4BD5">
        <w:rPr>
          <w:szCs w:val="22"/>
        </w:rPr>
        <w:t xml:space="preserve">v priemere </w:t>
      </w:r>
      <w:r w:rsidRPr="003D7549">
        <w:rPr>
          <w:szCs w:val="22"/>
        </w:rPr>
        <w:t xml:space="preserve">percentuálne poklesol vládny schodok a mierne vzrástol vládny dlh. </w:t>
      </w:r>
    </w:p>
    <w:p w14:paraId="7432CA62" w14:textId="64822D20" w:rsidR="009F062C" w:rsidRPr="000449C9" w:rsidRDefault="009F062C" w:rsidP="009F062C">
      <w:pPr>
        <w:spacing w:after="120" w:line="240" w:lineRule="auto"/>
        <w:jc w:val="both"/>
      </w:pPr>
      <w:r w:rsidRPr="002F0E21">
        <w:rPr>
          <w:b/>
          <w:bCs/>
        </w:rPr>
        <w:t>Podiel deficitu</w:t>
      </w:r>
      <w:r>
        <w:t xml:space="preserve"> </w:t>
      </w:r>
      <w:r w:rsidRPr="000449C9">
        <w:t xml:space="preserve">na HDP klesol </w:t>
      </w:r>
      <w:r>
        <w:t>v</w:t>
      </w:r>
      <w:r w:rsidRPr="000449C9">
        <w:t> Eurozóne (20)</w:t>
      </w:r>
      <w:r>
        <w:t xml:space="preserve"> </w:t>
      </w:r>
      <w:r w:rsidRPr="000449C9">
        <w:t>z 3,5 % v roku 2023 na</w:t>
      </w:r>
      <w:r w:rsidR="00677331">
        <w:t> </w:t>
      </w:r>
      <w:r w:rsidRPr="000449C9">
        <w:t>3,1 %</w:t>
      </w:r>
      <w:r w:rsidR="00677331">
        <w:t> </w:t>
      </w:r>
      <w:r w:rsidRPr="000449C9">
        <w:t>HDP v roku 2024 (t.</w:t>
      </w:r>
      <w:r w:rsidR="00410F95">
        <w:t> </w:t>
      </w:r>
      <w:r w:rsidRPr="000449C9">
        <w:t>j. zlepšenie o 0,4 p. b.) a v rámci EÚ klesol z 3,4 % HDP na</w:t>
      </w:r>
      <w:r w:rsidR="00677331">
        <w:t> </w:t>
      </w:r>
      <w:r w:rsidRPr="000449C9">
        <w:t>3,1 %</w:t>
      </w:r>
      <w:r w:rsidR="00677331">
        <w:t> </w:t>
      </w:r>
      <w:r w:rsidRPr="000449C9">
        <w:t>HDP (t. j. zlepšenie o 0,3 p. b.).</w:t>
      </w:r>
    </w:p>
    <w:p w14:paraId="5B8B08F6" w14:textId="321FFBE3" w:rsidR="009F062C" w:rsidRPr="000449C9" w:rsidRDefault="009F062C" w:rsidP="009F062C">
      <w:pPr>
        <w:spacing w:after="120" w:line="240" w:lineRule="auto"/>
        <w:jc w:val="both"/>
      </w:pPr>
      <w:r w:rsidRPr="002F0E21">
        <w:rPr>
          <w:b/>
          <w:bCs/>
        </w:rPr>
        <w:t>P</w:t>
      </w:r>
      <w:r w:rsidRPr="000449C9">
        <w:rPr>
          <w:b/>
          <w:bCs/>
        </w:rPr>
        <w:t>odiel dlhu</w:t>
      </w:r>
      <w:r w:rsidRPr="000449C9">
        <w:t xml:space="preserve"> na HDP vzrástol </w:t>
      </w:r>
      <w:r>
        <w:t>v</w:t>
      </w:r>
      <w:r w:rsidRPr="000449C9">
        <w:t> Eurozóne (20) z 87,0 % ku koncu roka 2023 na 87,1 % HDP ku koncu roka 2024 (t. j. zhoršenie o 0,1 p. b.) a v rámci EÚ vzrástol dlh z úrovne 80,5 % HDP na</w:t>
      </w:r>
      <w:r w:rsidR="00677331">
        <w:t> </w:t>
      </w:r>
      <w:r w:rsidRPr="000449C9">
        <w:t>80,7 %</w:t>
      </w:r>
      <w:r w:rsidR="00677331">
        <w:t> </w:t>
      </w:r>
      <w:r w:rsidRPr="000449C9">
        <w:t>HDP (t. j. zhoršenie o 0,2 p. b.).</w:t>
      </w:r>
    </w:p>
    <w:p w14:paraId="4A1E5C64" w14:textId="77777777" w:rsidR="003D7549" w:rsidRDefault="003D7549" w:rsidP="003D7549">
      <w:pPr>
        <w:spacing w:after="120" w:line="240" w:lineRule="auto"/>
        <w:jc w:val="both"/>
        <w:rPr>
          <w:szCs w:val="22"/>
        </w:rPr>
      </w:pPr>
    </w:p>
    <w:p w14:paraId="580F0243" w14:textId="77777777" w:rsidR="003D7549" w:rsidRDefault="003D7549" w:rsidP="003D7549">
      <w:pPr>
        <w:spacing w:after="120" w:line="240" w:lineRule="auto"/>
        <w:jc w:val="both"/>
        <w:rPr>
          <w:szCs w:val="22"/>
        </w:rPr>
      </w:pPr>
    </w:p>
    <w:p w14:paraId="119598D2" w14:textId="77777777" w:rsidR="003D7549" w:rsidRDefault="003D7549" w:rsidP="003D7549">
      <w:pPr>
        <w:spacing w:after="120" w:line="240" w:lineRule="auto"/>
        <w:jc w:val="both"/>
        <w:rPr>
          <w:szCs w:val="22"/>
        </w:rPr>
      </w:pPr>
    </w:p>
    <w:p w14:paraId="32D66A43" w14:textId="61C44B62" w:rsidR="002A0E7A" w:rsidRDefault="002A0E7A">
      <w:pPr>
        <w:rPr>
          <w:szCs w:val="22"/>
        </w:rPr>
      </w:pPr>
      <w:r>
        <w:rPr>
          <w:szCs w:val="22"/>
        </w:rPr>
        <w:br w:type="page"/>
      </w:r>
    </w:p>
    <w:p w14:paraId="75571E9B" w14:textId="619974EC" w:rsidR="00DA437B" w:rsidRDefault="00DA437B" w:rsidP="00D162A9">
      <w:pPr>
        <w:pStyle w:val="Popis"/>
      </w:pPr>
      <w:bookmarkStart w:id="27" w:name="_Toc212124629"/>
      <w:r>
        <w:lastRenderedPageBreak/>
        <w:t xml:space="preserve">Tabuľka </w:t>
      </w:r>
      <w:r w:rsidR="00CA4B84">
        <w:fldChar w:fldCharType="begin"/>
      </w:r>
      <w:r w:rsidR="00CA4B84">
        <w:instrText xml:space="preserve"> SEQ Tabuľka \* ARABIC </w:instrText>
      </w:r>
      <w:r w:rsidR="00CA4B84">
        <w:fldChar w:fldCharType="separate"/>
      </w:r>
      <w:r w:rsidR="00076866">
        <w:rPr>
          <w:noProof/>
        </w:rPr>
        <w:t>8</w:t>
      </w:r>
      <w:r w:rsidR="00CA4B84">
        <w:rPr>
          <w:noProof/>
        </w:rPr>
        <w:fldChar w:fldCharType="end"/>
      </w:r>
      <w:r>
        <w:t xml:space="preserve"> - </w:t>
      </w:r>
      <w:r w:rsidRPr="00E45E98">
        <w:t>Saldo a dlh verejnej správy v</w:t>
      </w:r>
      <w:r w:rsidR="00F54702">
        <w:t> </w:t>
      </w:r>
      <w:r w:rsidRPr="00E45E98">
        <w:t>EÚ</w:t>
      </w:r>
      <w:r w:rsidR="00F54702">
        <w:t xml:space="preserve"> </w:t>
      </w:r>
      <w:r w:rsidRPr="00E45E98">
        <w:t>27</w:t>
      </w:r>
      <w:bookmarkEnd w:id="27"/>
    </w:p>
    <w:tbl>
      <w:tblPr>
        <w:tblW w:w="9404" w:type="dxa"/>
        <w:tblCellMar>
          <w:left w:w="70" w:type="dxa"/>
          <w:right w:w="70" w:type="dxa"/>
        </w:tblCellMar>
        <w:tblLook w:val="04A0" w:firstRow="1" w:lastRow="0" w:firstColumn="1" w:lastColumn="0" w:noHBand="0" w:noVBand="1"/>
      </w:tblPr>
      <w:tblGrid>
        <w:gridCol w:w="1542"/>
        <w:gridCol w:w="764"/>
        <w:gridCol w:w="826"/>
        <w:gridCol w:w="742"/>
        <w:gridCol w:w="728"/>
        <w:gridCol w:w="1453"/>
        <w:gridCol w:w="843"/>
        <w:gridCol w:w="843"/>
        <w:gridCol w:w="864"/>
        <w:gridCol w:w="799"/>
      </w:tblGrid>
      <w:tr w:rsidR="00CB64EF" w:rsidRPr="00174C84" w14:paraId="15E28C47" w14:textId="77777777" w:rsidTr="0034650C">
        <w:trPr>
          <w:trHeight w:val="259"/>
          <w:tblHeader/>
        </w:trPr>
        <w:tc>
          <w:tcPr>
            <w:tcW w:w="4602" w:type="dxa"/>
            <w:gridSpan w:val="5"/>
            <w:tcBorders>
              <w:top w:val="single" w:sz="4" w:space="0" w:color="auto"/>
              <w:left w:val="single" w:sz="4" w:space="0" w:color="auto"/>
              <w:bottom w:val="single" w:sz="4" w:space="0" w:color="auto"/>
              <w:right w:val="single" w:sz="4" w:space="0" w:color="000000"/>
            </w:tcBorders>
            <w:vAlign w:val="center"/>
            <w:hideMark/>
          </w:tcPr>
          <w:p w14:paraId="3E32B113" w14:textId="77777777" w:rsidR="00CB64EF" w:rsidRPr="003D7549" w:rsidRDefault="00CB64EF" w:rsidP="002847E9">
            <w:pPr>
              <w:spacing w:after="0" w:line="240" w:lineRule="auto"/>
              <w:jc w:val="center"/>
              <w:rPr>
                <w:b/>
                <w:bCs/>
                <w:sz w:val="20"/>
                <w:szCs w:val="20"/>
                <w:lang w:eastAsia="sk-SK"/>
              </w:rPr>
            </w:pPr>
            <w:r w:rsidRPr="003D7549">
              <w:rPr>
                <w:b/>
                <w:bCs/>
                <w:sz w:val="20"/>
                <w:szCs w:val="20"/>
                <w:lang w:eastAsia="sk-SK"/>
              </w:rPr>
              <w:t xml:space="preserve">Saldo verejnej správy </w:t>
            </w:r>
          </w:p>
        </w:tc>
        <w:tc>
          <w:tcPr>
            <w:tcW w:w="4802" w:type="dxa"/>
            <w:gridSpan w:val="5"/>
            <w:tcBorders>
              <w:top w:val="single" w:sz="4" w:space="0" w:color="auto"/>
              <w:left w:val="nil"/>
              <w:bottom w:val="single" w:sz="4" w:space="0" w:color="auto"/>
              <w:right w:val="single" w:sz="4" w:space="0" w:color="auto"/>
            </w:tcBorders>
            <w:vAlign w:val="center"/>
            <w:hideMark/>
          </w:tcPr>
          <w:p w14:paraId="39C00091" w14:textId="77777777" w:rsidR="00CB64EF" w:rsidRPr="003D7549" w:rsidRDefault="00CB64EF" w:rsidP="002847E9">
            <w:pPr>
              <w:spacing w:after="0" w:line="240" w:lineRule="auto"/>
              <w:jc w:val="center"/>
              <w:rPr>
                <w:b/>
                <w:bCs/>
                <w:sz w:val="20"/>
                <w:szCs w:val="20"/>
                <w:lang w:eastAsia="sk-SK"/>
              </w:rPr>
            </w:pPr>
            <w:r w:rsidRPr="003D7549">
              <w:rPr>
                <w:b/>
                <w:bCs/>
                <w:sz w:val="20"/>
                <w:szCs w:val="20"/>
                <w:lang w:eastAsia="sk-SK"/>
              </w:rPr>
              <w:t xml:space="preserve">Hrubý dlh verejnej správy </w:t>
            </w:r>
          </w:p>
        </w:tc>
      </w:tr>
      <w:tr w:rsidR="003D7549" w:rsidRPr="00174C84" w14:paraId="36C0DD24" w14:textId="77777777" w:rsidTr="0034650C">
        <w:trPr>
          <w:trHeight w:val="477"/>
          <w:tblHeader/>
        </w:trPr>
        <w:tc>
          <w:tcPr>
            <w:tcW w:w="1542" w:type="dxa"/>
            <w:tcBorders>
              <w:top w:val="nil"/>
              <w:left w:val="single" w:sz="4" w:space="0" w:color="auto"/>
              <w:bottom w:val="single" w:sz="4" w:space="0" w:color="auto"/>
              <w:right w:val="nil"/>
            </w:tcBorders>
            <w:vAlign w:val="center"/>
            <w:hideMark/>
          </w:tcPr>
          <w:p w14:paraId="2F2C2BDA" w14:textId="57746D93" w:rsidR="003D7549" w:rsidRPr="003D7549" w:rsidRDefault="003D7549" w:rsidP="003D7549">
            <w:pPr>
              <w:spacing w:after="0" w:line="240" w:lineRule="auto"/>
              <w:rPr>
                <w:b/>
                <w:bCs/>
                <w:sz w:val="20"/>
                <w:szCs w:val="20"/>
                <w:lang w:eastAsia="sk-SK"/>
              </w:rPr>
            </w:pPr>
            <w:r w:rsidRPr="003D7549">
              <w:rPr>
                <w:b/>
                <w:bCs/>
                <w:sz w:val="20"/>
                <w:szCs w:val="20"/>
                <w:lang w:eastAsia="sk-SK"/>
              </w:rPr>
              <w:t> </w:t>
            </w:r>
          </w:p>
        </w:tc>
        <w:tc>
          <w:tcPr>
            <w:tcW w:w="764" w:type="dxa"/>
            <w:tcBorders>
              <w:top w:val="nil"/>
              <w:left w:val="nil"/>
              <w:bottom w:val="single" w:sz="4" w:space="0" w:color="auto"/>
              <w:right w:val="nil"/>
            </w:tcBorders>
            <w:vAlign w:val="center"/>
            <w:hideMark/>
          </w:tcPr>
          <w:p w14:paraId="4C9B1C8B" w14:textId="76F937A6"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2022</w:t>
            </w:r>
          </w:p>
        </w:tc>
        <w:tc>
          <w:tcPr>
            <w:tcW w:w="826" w:type="dxa"/>
            <w:tcBorders>
              <w:top w:val="nil"/>
              <w:left w:val="nil"/>
              <w:bottom w:val="single" w:sz="4" w:space="0" w:color="auto"/>
              <w:right w:val="nil"/>
            </w:tcBorders>
            <w:vAlign w:val="center"/>
            <w:hideMark/>
          </w:tcPr>
          <w:p w14:paraId="75A2CBDF" w14:textId="06B7A3FF"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2023</w:t>
            </w:r>
          </w:p>
        </w:tc>
        <w:tc>
          <w:tcPr>
            <w:tcW w:w="742" w:type="dxa"/>
            <w:tcBorders>
              <w:top w:val="nil"/>
              <w:left w:val="nil"/>
              <w:bottom w:val="single" w:sz="4" w:space="0" w:color="auto"/>
              <w:right w:val="nil"/>
            </w:tcBorders>
            <w:vAlign w:val="center"/>
            <w:hideMark/>
          </w:tcPr>
          <w:p w14:paraId="01741FE1" w14:textId="00D81276"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2024</w:t>
            </w:r>
          </w:p>
        </w:tc>
        <w:tc>
          <w:tcPr>
            <w:tcW w:w="728" w:type="dxa"/>
            <w:tcBorders>
              <w:top w:val="nil"/>
              <w:left w:val="nil"/>
              <w:bottom w:val="single" w:sz="4" w:space="0" w:color="auto"/>
              <w:right w:val="nil"/>
            </w:tcBorders>
            <w:vAlign w:val="center"/>
            <w:hideMark/>
          </w:tcPr>
          <w:p w14:paraId="5EF7A393" w14:textId="168B4788"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Δ 2024 -2023</w:t>
            </w:r>
          </w:p>
        </w:tc>
        <w:tc>
          <w:tcPr>
            <w:tcW w:w="1453" w:type="dxa"/>
            <w:tcBorders>
              <w:top w:val="nil"/>
              <w:left w:val="single" w:sz="4" w:space="0" w:color="auto"/>
              <w:bottom w:val="single" w:sz="4" w:space="0" w:color="auto"/>
              <w:right w:val="nil"/>
            </w:tcBorders>
            <w:noWrap/>
            <w:vAlign w:val="center"/>
            <w:hideMark/>
          </w:tcPr>
          <w:p w14:paraId="5D4B1804" w14:textId="5E7DB7F2" w:rsidR="003D7549" w:rsidRPr="003D7549" w:rsidRDefault="003D7549" w:rsidP="003D7549">
            <w:pPr>
              <w:spacing w:after="0" w:line="240" w:lineRule="auto"/>
              <w:ind w:firstLineChars="100" w:firstLine="201"/>
              <w:jc w:val="right"/>
              <w:rPr>
                <w:b/>
                <w:bCs/>
                <w:sz w:val="20"/>
                <w:szCs w:val="20"/>
                <w:lang w:eastAsia="sk-SK"/>
              </w:rPr>
            </w:pPr>
            <w:r w:rsidRPr="003D7549">
              <w:rPr>
                <w:b/>
                <w:bCs/>
                <w:sz w:val="20"/>
                <w:szCs w:val="20"/>
                <w:lang w:eastAsia="sk-SK"/>
              </w:rPr>
              <w:t> </w:t>
            </w:r>
          </w:p>
        </w:tc>
        <w:tc>
          <w:tcPr>
            <w:tcW w:w="843" w:type="dxa"/>
            <w:tcBorders>
              <w:top w:val="nil"/>
              <w:left w:val="nil"/>
              <w:bottom w:val="single" w:sz="4" w:space="0" w:color="auto"/>
              <w:right w:val="nil"/>
            </w:tcBorders>
            <w:vAlign w:val="center"/>
            <w:hideMark/>
          </w:tcPr>
          <w:p w14:paraId="24E5400D" w14:textId="51C862A5"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2022</w:t>
            </w:r>
          </w:p>
        </w:tc>
        <w:tc>
          <w:tcPr>
            <w:tcW w:w="843" w:type="dxa"/>
            <w:tcBorders>
              <w:top w:val="nil"/>
              <w:left w:val="nil"/>
              <w:bottom w:val="single" w:sz="4" w:space="0" w:color="auto"/>
              <w:right w:val="nil"/>
            </w:tcBorders>
            <w:vAlign w:val="center"/>
            <w:hideMark/>
          </w:tcPr>
          <w:p w14:paraId="09D6EA19" w14:textId="50D65D61"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2023</w:t>
            </w:r>
          </w:p>
        </w:tc>
        <w:tc>
          <w:tcPr>
            <w:tcW w:w="864" w:type="dxa"/>
            <w:tcBorders>
              <w:top w:val="nil"/>
              <w:left w:val="nil"/>
              <w:bottom w:val="single" w:sz="4" w:space="0" w:color="auto"/>
              <w:right w:val="nil"/>
            </w:tcBorders>
            <w:vAlign w:val="center"/>
            <w:hideMark/>
          </w:tcPr>
          <w:p w14:paraId="14DF7D7A" w14:textId="22F1C9D6"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2024</w:t>
            </w:r>
          </w:p>
        </w:tc>
        <w:tc>
          <w:tcPr>
            <w:tcW w:w="799" w:type="dxa"/>
            <w:tcBorders>
              <w:top w:val="single" w:sz="4" w:space="0" w:color="auto"/>
              <w:left w:val="nil"/>
              <w:bottom w:val="single" w:sz="4" w:space="0" w:color="auto"/>
              <w:right w:val="single" w:sz="4" w:space="0" w:color="auto"/>
            </w:tcBorders>
            <w:vAlign w:val="center"/>
            <w:hideMark/>
          </w:tcPr>
          <w:p w14:paraId="5CDD743B" w14:textId="0A2E3CDC" w:rsidR="003D7549" w:rsidRPr="003D7549" w:rsidRDefault="003D7549" w:rsidP="003D7549">
            <w:pPr>
              <w:spacing w:after="0" w:line="240" w:lineRule="auto"/>
              <w:jc w:val="center"/>
              <w:rPr>
                <w:b/>
                <w:bCs/>
                <w:sz w:val="20"/>
                <w:szCs w:val="20"/>
                <w:lang w:eastAsia="sk-SK"/>
              </w:rPr>
            </w:pPr>
            <w:r w:rsidRPr="003D7549">
              <w:rPr>
                <w:b/>
                <w:bCs/>
                <w:sz w:val="20"/>
                <w:szCs w:val="20"/>
                <w:lang w:eastAsia="sk-SK"/>
              </w:rPr>
              <w:t>Δ 2024 -2023</w:t>
            </w:r>
          </w:p>
        </w:tc>
      </w:tr>
      <w:tr w:rsidR="003D7549" w:rsidRPr="00174C84" w14:paraId="2812BF94" w14:textId="77777777" w:rsidTr="002847E9">
        <w:trPr>
          <w:trHeight w:val="307"/>
        </w:trPr>
        <w:tc>
          <w:tcPr>
            <w:tcW w:w="1542" w:type="dxa"/>
            <w:tcBorders>
              <w:top w:val="nil"/>
              <w:left w:val="single" w:sz="4" w:space="0" w:color="auto"/>
              <w:bottom w:val="nil"/>
              <w:right w:val="nil"/>
            </w:tcBorders>
            <w:noWrap/>
            <w:vAlign w:val="center"/>
            <w:hideMark/>
          </w:tcPr>
          <w:p w14:paraId="1FF08286" w14:textId="2A1E69A2" w:rsidR="003D7549" w:rsidRPr="00174C84" w:rsidRDefault="003D7549" w:rsidP="003D7549">
            <w:pPr>
              <w:spacing w:after="0" w:line="240" w:lineRule="auto"/>
              <w:rPr>
                <w:b/>
                <w:bCs/>
                <w:sz w:val="20"/>
                <w:szCs w:val="20"/>
                <w:highlight w:val="yellow"/>
                <w:lang w:eastAsia="sk-SK"/>
              </w:rPr>
            </w:pPr>
            <w:r w:rsidRPr="00054071">
              <w:rPr>
                <w:b/>
                <w:bCs/>
                <w:sz w:val="20"/>
                <w:szCs w:val="20"/>
              </w:rPr>
              <w:t>EÚ (27 krajín)</w:t>
            </w:r>
          </w:p>
        </w:tc>
        <w:tc>
          <w:tcPr>
            <w:tcW w:w="764" w:type="dxa"/>
            <w:tcBorders>
              <w:top w:val="nil"/>
              <w:left w:val="nil"/>
              <w:bottom w:val="nil"/>
              <w:right w:val="nil"/>
            </w:tcBorders>
            <w:noWrap/>
            <w:vAlign w:val="center"/>
            <w:hideMark/>
          </w:tcPr>
          <w:p w14:paraId="68CC1D5A" w14:textId="572E0472" w:rsidR="003D7549" w:rsidRPr="00174C84" w:rsidRDefault="003D7549" w:rsidP="003D7549">
            <w:pPr>
              <w:spacing w:after="0" w:line="240" w:lineRule="auto"/>
              <w:ind w:firstLineChars="100" w:firstLine="201"/>
              <w:jc w:val="right"/>
              <w:rPr>
                <w:b/>
                <w:bCs/>
                <w:color w:val="000000"/>
                <w:sz w:val="20"/>
                <w:szCs w:val="20"/>
                <w:highlight w:val="yellow"/>
                <w:lang w:eastAsia="sk-SK"/>
              </w:rPr>
            </w:pPr>
            <w:r>
              <w:rPr>
                <w:b/>
                <w:bCs/>
                <w:color w:val="000000"/>
                <w:sz w:val="20"/>
                <w:szCs w:val="20"/>
              </w:rPr>
              <w:t>-3,2</w:t>
            </w:r>
          </w:p>
        </w:tc>
        <w:tc>
          <w:tcPr>
            <w:tcW w:w="826" w:type="dxa"/>
            <w:tcBorders>
              <w:top w:val="nil"/>
              <w:left w:val="nil"/>
              <w:bottom w:val="nil"/>
              <w:right w:val="nil"/>
            </w:tcBorders>
            <w:noWrap/>
            <w:vAlign w:val="center"/>
            <w:hideMark/>
          </w:tcPr>
          <w:p w14:paraId="798EFB41" w14:textId="4FD8B706" w:rsidR="003D7549" w:rsidRPr="00174C84" w:rsidRDefault="003D7549" w:rsidP="003D7549">
            <w:pPr>
              <w:spacing w:after="0" w:line="240" w:lineRule="auto"/>
              <w:ind w:firstLineChars="100" w:firstLine="201"/>
              <w:jc w:val="right"/>
              <w:rPr>
                <w:b/>
                <w:bCs/>
                <w:color w:val="000000"/>
                <w:sz w:val="20"/>
                <w:szCs w:val="20"/>
                <w:highlight w:val="yellow"/>
                <w:lang w:eastAsia="sk-SK"/>
              </w:rPr>
            </w:pPr>
            <w:r>
              <w:rPr>
                <w:b/>
                <w:bCs/>
                <w:color w:val="000000"/>
                <w:sz w:val="20"/>
                <w:szCs w:val="20"/>
              </w:rPr>
              <w:t>-3,4</w:t>
            </w:r>
          </w:p>
        </w:tc>
        <w:tc>
          <w:tcPr>
            <w:tcW w:w="742" w:type="dxa"/>
            <w:tcBorders>
              <w:top w:val="nil"/>
              <w:left w:val="nil"/>
              <w:bottom w:val="nil"/>
              <w:right w:val="nil"/>
            </w:tcBorders>
            <w:noWrap/>
            <w:vAlign w:val="center"/>
            <w:hideMark/>
          </w:tcPr>
          <w:p w14:paraId="7D49EC96" w14:textId="349AEBCC" w:rsidR="003D7549" w:rsidRPr="00174C84" w:rsidRDefault="003D7549" w:rsidP="003D7549">
            <w:pPr>
              <w:spacing w:after="0" w:line="240" w:lineRule="auto"/>
              <w:ind w:firstLineChars="100" w:firstLine="201"/>
              <w:jc w:val="right"/>
              <w:rPr>
                <w:b/>
                <w:bCs/>
                <w:color w:val="000000"/>
                <w:sz w:val="20"/>
                <w:szCs w:val="20"/>
                <w:highlight w:val="yellow"/>
                <w:lang w:eastAsia="sk-SK"/>
              </w:rPr>
            </w:pPr>
            <w:r>
              <w:rPr>
                <w:b/>
                <w:bCs/>
                <w:color w:val="000000"/>
                <w:sz w:val="20"/>
                <w:szCs w:val="20"/>
              </w:rPr>
              <w:t>-3,1</w:t>
            </w:r>
          </w:p>
        </w:tc>
        <w:tc>
          <w:tcPr>
            <w:tcW w:w="728" w:type="dxa"/>
            <w:tcBorders>
              <w:top w:val="nil"/>
              <w:left w:val="nil"/>
              <w:bottom w:val="nil"/>
              <w:right w:val="nil"/>
            </w:tcBorders>
            <w:noWrap/>
            <w:vAlign w:val="center"/>
            <w:hideMark/>
          </w:tcPr>
          <w:p w14:paraId="18063FFD" w14:textId="6CD56B23" w:rsidR="003D7549" w:rsidRPr="00174C84" w:rsidRDefault="003D7549" w:rsidP="003D7549">
            <w:pPr>
              <w:spacing w:after="0" w:line="240" w:lineRule="auto"/>
              <w:ind w:firstLineChars="100" w:firstLine="201"/>
              <w:jc w:val="center"/>
              <w:rPr>
                <w:b/>
                <w:bCs/>
                <w:color w:val="00B050"/>
                <w:sz w:val="20"/>
                <w:szCs w:val="20"/>
                <w:highlight w:val="yellow"/>
                <w:lang w:eastAsia="sk-SK"/>
              </w:rPr>
            </w:pPr>
            <w:r>
              <w:rPr>
                <w:b/>
                <w:bCs/>
                <w:color w:val="00B050"/>
                <w:sz w:val="20"/>
                <w:szCs w:val="20"/>
              </w:rPr>
              <w:t>0,3</w:t>
            </w:r>
          </w:p>
        </w:tc>
        <w:tc>
          <w:tcPr>
            <w:tcW w:w="1453" w:type="dxa"/>
            <w:tcBorders>
              <w:top w:val="nil"/>
              <w:left w:val="single" w:sz="4" w:space="0" w:color="auto"/>
              <w:bottom w:val="nil"/>
              <w:right w:val="nil"/>
            </w:tcBorders>
            <w:noWrap/>
            <w:vAlign w:val="center"/>
            <w:hideMark/>
          </w:tcPr>
          <w:p w14:paraId="42D18C60" w14:textId="138B4C41" w:rsidR="003D7549" w:rsidRPr="003D7549" w:rsidRDefault="003D7549" w:rsidP="003D7549">
            <w:pPr>
              <w:spacing w:after="0" w:line="240" w:lineRule="auto"/>
              <w:ind w:right="-349"/>
              <w:rPr>
                <w:b/>
                <w:bCs/>
                <w:sz w:val="20"/>
                <w:szCs w:val="20"/>
                <w:lang w:eastAsia="sk-SK"/>
              </w:rPr>
            </w:pPr>
            <w:r w:rsidRPr="00013A53">
              <w:rPr>
                <w:b/>
                <w:bCs/>
                <w:sz w:val="20"/>
                <w:szCs w:val="20"/>
              </w:rPr>
              <w:t>EÚ (27 krajín)</w:t>
            </w:r>
          </w:p>
        </w:tc>
        <w:tc>
          <w:tcPr>
            <w:tcW w:w="843" w:type="dxa"/>
            <w:tcBorders>
              <w:top w:val="nil"/>
              <w:left w:val="nil"/>
              <w:bottom w:val="nil"/>
              <w:right w:val="nil"/>
            </w:tcBorders>
            <w:noWrap/>
            <w:vAlign w:val="center"/>
            <w:hideMark/>
          </w:tcPr>
          <w:p w14:paraId="7C0312F1" w14:textId="2BBFAE49" w:rsidR="003D7549" w:rsidRPr="003D7549" w:rsidRDefault="003D7549" w:rsidP="003D7549">
            <w:pPr>
              <w:spacing w:after="0" w:line="240" w:lineRule="auto"/>
              <w:ind w:firstLineChars="100" w:firstLine="201"/>
              <w:jc w:val="right"/>
              <w:rPr>
                <w:b/>
                <w:bCs/>
                <w:color w:val="000000"/>
                <w:sz w:val="20"/>
                <w:szCs w:val="20"/>
                <w:lang w:eastAsia="sk-SK"/>
              </w:rPr>
            </w:pPr>
            <w:r>
              <w:rPr>
                <w:b/>
                <w:bCs/>
                <w:color w:val="000000"/>
                <w:sz w:val="20"/>
                <w:szCs w:val="20"/>
              </w:rPr>
              <w:t>82,3</w:t>
            </w:r>
          </w:p>
        </w:tc>
        <w:tc>
          <w:tcPr>
            <w:tcW w:w="843" w:type="dxa"/>
            <w:tcBorders>
              <w:top w:val="nil"/>
              <w:left w:val="nil"/>
              <w:bottom w:val="nil"/>
              <w:right w:val="nil"/>
            </w:tcBorders>
            <w:noWrap/>
            <w:vAlign w:val="center"/>
            <w:hideMark/>
          </w:tcPr>
          <w:p w14:paraId="1CFAA01D" w14:textId="28352C2B" w:rsidR="003D7549" w:rsidRPr="003D7549" w:rsidRDefault="003D7549" w:rsidP="003D7549">
            <w:pPr>
              <w:spacing w:after="0" w:line="240" w:lineRule="auto"/>
              <w:ind w:firstLineChars="100" w:firstLine="201"/>
              <w:jc w:val="right"/>
              <w:rPr>
                <w:b/>
                <w:bCs/>
                <w:color w:val="000000"/>
                <w:sz w:val="20"/>
                <w:szCs w:val="20"/>
                <w:lang w:eastAsia="sk-SK"/>
              </w:rPr>
            </w:pPr>
            <w:r>
              <w:rPr>
                <w:b/>
                <w:bCs/>
                <w:color w:val="000000"/>
                <w:sz w:val="20"/>
                <w:szCs w:val="20"/>
              </w:rPr>
              <w:t>80,5</w:t>
            </w:r>
          </w:p>
        </w:tc>
        <w:tc>
          <w:tcPr>
            <w:tcW w:w="864" w:type="dxa"/>
            <w:tcBorders>
              <w:top w:val="nil"/>
              <w:left w:val="nil"/>
              <w:bottom w:val="nil"/>
              <w:right w:val="nil"/>
            </w:tcBorders>
            <w:noWrap/>
            <w:vAlign w:val="center"/>
            <w:hideMark/>
          </w:tcPr>
          <w:p w14:paraId="55DD360D" w14:textId="70BB825F" w:rsidR="003D7549" w:rsidRPr="003D7549" w:rsidRDefault="003D7549" w:rsidP="003D7549">
            <w:pPr>
              <w:spacing w:after="0" w:line="240" w:lineRule="auto"/>
              <w:ind w:firstLineChars="100" w:firstLine="201"/>
              <w:jc w:val="right"/>
              <w:rPr>
                <w:b/>
                <w:bCs/>
                <w:color w:val="000000"/>
                <w:sz w:val="20"/>
                <w:szCs w:val="20"/>
                <w:lang w:eastAsia="sk-SK"/>
              </w:rPr>
            </w:pPr>
            <w:r>
              <w:rPr>
                <w:b/>
                <w:bCs/>
                <w:color w:val="000000"/>
                <w:sz w:val="20"/>
                <w:szCs w:val="20"/>
              </w:rPr>
              <w:t>80,7</w:t>
            </w:r>
          </w:p>
        </w:tc>
        <w:tc>
          <w:tcPr>
            <w:tcW w:w="799" w:type="dxa"/>
            <w:tcBorders>
              <w:top w:val="nil"/>
              <w:left w:val="nil"/>
              <w:bottom w:val="nil"/>
              <w:right w:val="single" w:sz="4" w:space="0" w:color="auto"/>
            </w:tcBorders>
            <w:noWrap/>
            <w:vAlign w:val="center"/>
            <w:hideMark/>
          </w:tcPr>
          <w:p w14:paraId="226F6F6F" w14:textId="6C7BFB01" w:rsidR="003D7549" w:rsidRPr="003D7549" w:rsidRDefault="003D7549" w:rsidP="003D7549">
            <w:pPr>
              <w:tabs>
                <w:tab w:val="decimal" w:pos="230"/>
              </w:tabs>
              <w:spacing w:after="0" w:line="240" w:lineRule="auto"/>
              <w:ind w:right="32" w:firstLineChars="100" w:firstLine="201"/>
              <w:jc w:val="right"/>
              <w:rPr>
                <w:b/>
                <w:bCs/>
                <w:color w:val="00B050"/>
                <w:sz w:val="20"/>
                <w:szCs w:val="20"/>
                <w:lang w:eastAsia="sk-SK"/>
              </w:rPr>
            </w:pPr>
            <w:r w:rsidRPr="001C4F00">
              <w:rPr>
                <w:b/>
                <w:bCs/>
                <w:color w:val="FF0000"/>
                <w:sz w:val="20"/>
                <w:szCs w:val="20"/>
              </w:rPr>
              <w:t>0,2</w:t>
            </w:r>
          </w:p>
        </w:tc>
      </w:tr>
      <w:tr w:rsidR="003D7549" w:rsidRPr="00174C84" w14:paraId="76279A44" w14:textId="77777777" w:rsidTr="002847E9">
        <w:trPr>
          <w:trHeight w:val="307"/>
        </w:trPr>
        <w:tc>
          <w:tcPr>
            <w:tcW w:w="1542" w:type="dxa"/>
            <w:tcBorders>
              <w:top w:val="nil"/>
              <w:left w:val="single" w:sz="4" w:space="0" w:color="auto"/>
              <w:bottom w:val="nil"/>
              <w:right w:val="nil"/>
            </w:tcBorders>
            <w:noWrap/>
            <w:vAlign w:val="center"/>
          </w:tcPr>
          <w:p w14:paraId="1E5D72FB" w14:textId="7E4415BC" w:rsidR="003D7549" w:rsidRPr="00174C84" w:rsidRDefault="003D7549" w:rsidP="003D7549">
            <w:pPr>
              <w:spacing w:after="0" w:line="240" w:lineRule="auto"/>
              <w:rPr>
                <w:b/>
                <w:bCs/>
                <w:sz w:val="20"/>
                <w:szCs w:val="20"/>
                <w:highlight w:val="yellow"/>
                <w:lang w:eastAsia="sk-SK"/>
              </w:rPr>
            </w:pPr>
            <w:r w:rsidRPr="00054071">
              <w:rPr>
                <w:b/>
                <w:bCs/>
                <w:sz w:val="20"/>
                <w:szCs w:val="20"/>
              </w:rPr>
              <w:t>Eurozóna (20)</w:t>
            </w:r>
          </w:p>
        </w:tc>
        <w:tc>
          <w:tcPr>
            <w:tcW w:w="764" w:type="dxa"/>
            <w:tcBorders>
              <w:top w:val="nil"/>
              <w:left w:val="nil"/>
              <w:bottom w:val="nil"/>
              <w:right w:val="nil"/>
            </w:tcBorders>
            <w:noWrap/>
            <w:vAlign w:val="center"/>
          </w:tcPr>
          <w:p w14:paraId="0210C96D" w14:textId="28980D8E" w:rsidR="003D7549" w:rsidRPr="00174C84" w:rsidRDefault="003D7549" w:rsidP="003D7549">
            <w:pPr>
              <w:spacing w:after="0" w:line="240" w:lineRule="auto"/>
              <w:ind w:firstLineChars="100" w:firstLine="201"/>
              <w:jc w:val="right"/>
              <w:rPr>
                <w:b/>
                <w:bCs/>
                <w:color w:val="000000"/>
                <w:sz w:val="20"/>
                <w:szCs w:val="20"/>
                <w:highlight w:val="yellow"/>
                <w:lang w:eastAsia="sk-SK"/>
              </w:rPr>
            </w:pPr>
            <w:r>
              <w:rPr>
                <w:b/>
                <w:bCs/>
                <w:color w:val="000000"/>
                <w:sz w:val="20"/>
                <w:szCs w:val="20"/>
              </w:rPr>
              <w:t>-3,4</w:t>
            </w:r>
          </w:p>
        </w:tc>
        <w:tc>
          <w:tcPr>
            <w:tcW w:w="826" w:type="dxa"/>
            <w:tcBorders>
              <w:top w:val="nil"/>
              <w:left w:val="nil"/>
              <w:bottom w:val="nil"/>
              <w:right w:val="nil"/>
            </w:tcBorders>
            <w:noWrap/>
            <w:vAlign w:val="center"/>
          </w:tcPr>
          <w:p w14:paraId="590BFD97" w14:textId="58F49555" w:rsidR="003D7549" w:rsidRPr="00174C84" w:rsidRDefault="003D7549" w:rsidP="003D7549">
            <w:pPr>
              <w:spacing w:after="0" w:line="240" w:lineRule="auto"/>
              <w:ind w:firstLineChars="100" w:firstLine="201"/>
              <w:jc w:val="right"/>
              <w:rPr>
                <w:b/>
                <w:bCs/>
                <w:color w:val="000000"/>
                <w:sz w:val="20"/>
                <w:szCs w:val="20"/>
                <w:highlight w:val="yellow"/>
                <w:lang w:eastAsia="sk-SK"/>
              </w:rPr>
            </w:pPr>
            <w:r>
              <w:rPr>
                <w:b/>
                <w:bCs/>
                <w:color w:val="000000"/>
                <w:sz w:val="20"/>
                <w:szCs w:val="20"/>
              </w:rPr>
              <w:t>-3,5</w:t>
            </w:r>
          </w:p>
        </w:tc>
        <w:tc>
          <w:tcPr>
            <w:tcW w:w="742" w:type="dxa"/>
            <w:tcBorders>
              <w:top w:val="nil"/>
              <w:left w:val="nil"/>
              <w:bottom w:val="nil"/>
              <w:right w:val="nil"/>
            </w:tcBorders>
            <w:noWrap/>
            <w:vAlign w:val="center"/>
          </w:tcPr>
          <w:p w14:paraId="3C0C5D07" w14:textId="567C8B99" w:rsidR="003D7549" w:rsidRPr="00174C84" w:rsidRDefault="003D7549" w:rsidP="003D7549">
            <w:pPr>
              <w:spacing w:after="0" w:line="240" w:lineRule="auto"/>
              <w:ind w:firstLineChars="100" w:firstLine="201"/>
              <w:jc w:val="right"/>
              <w:rPr>
                <w:b/>
                <w:bCs/>
                <w:color w:val="000000"/>
                <w:sz w:val="20"/>
                <w:szCs w:val="20"/>
                <w:highlight w:val="yellow"/>
                <w:lang w:eastAsia="sk-SK"/>
              </w:rPr>
            </w:pPr>
            <w:r>
              <w:rPr>
                <w:b/>
                <w:bCs/>
                <w:color w:val="000000"/>
                <w:sz w:val="20"/>
                <w:szCs w:val="20"/>
              </w:rPr>
              <w:t>-3,1</w:t>
            </w:r>
          </w:p>
        </w:tc>
        <w:tc>
          <w:tcPr>
            <w:tcW w:w="728" w:type="dxa"/>
            <w:tcBorders>
              <w:top w:val="nil"/>
              <w:left w:val="nil"/>
              <w:bottom w:val="nil"/>
              <w:right w:val="nil"/>
            </w:tcBorders>
            <w:noWrap/>
            <w:vAlign w:val="center"/>
          </w:tcPr>
          <w:p w14:paraId="4159B7D9" w14:textId="589DD16B" w:rsidR="003D7549" w:rsidRPr="00174C84" w:rsidRDefault="003D7549" w:rsidP="003D7549">
            <w:pPr>
              <w:spacing w:after="0" w:line="240" w:lineRule="auto"/>
              <w:ind w:firstLineChars="100" w:firstLine="201"/>
              <w:jc w:val="center"/>
              <w:rPr>
                <w:b/>
                <w:bCs/>
                <w:color w:val="00B050"/>
                <w:sz w:val="20"/>
                <w:szCs w:val="20"/>
                <w:highlight w:val="yellow"/>
                <w:lang w:eastAsia="sk-SK"/>
              </w:rPr>
            </w:pPr>
            <w:r>
              <w:rPr>
                <w:b/>
                <w:bCs/>
                <w:color w:val="00B050"/>
                <w:sz w:val="20"/>
                <w:szCs w:val="20"/>
              </w:rPr>
              <w:t>0,4</w:t>
            </w:r>
          </w:p>
        </w:tc>
        <w:tc>
          <w:tcPr>
            <w:tcW w:w="1453" w:type="dxa"/>
            <w:tcBorders>
              <w:top w:val="nil"/>
              <w:left w:val="single" w:sz="4" w:space="0" w:color="auto"/>
              <w:bottom w:val="nil"/>
              <w:right w:val="nil"/>
            </w:tcBorders>
            <w:noWrap/>
            <w:vAlign w:val="center"/>
          </w:tcPr>
          <w:p w14:paraId="29EEE5A9" w14:textId="5BB05ECE" w:rsidR="003D7549" w:rsidRPr="003D7549" w:rsidRDefault="003D7549" w:rsidP="003D7549">
            <w:pPr>
              <w:spacing w:after="0" w:line="240" w:lineRule="auto"/>
              <w:ind w:right="-66"/>
              <w:rPr>
                <w:b/>
                <w:bCs/>
                <w:sz w:val="20"/>
                <w:szCs w:val="20"/>
                <w:lang w:eastAsia="sk-SK"/>
              </w:rPr>
            </w:pPr>
            <w:r w:rsidRPr="00013A53">
              <w:rPr>
                <w:b/>
                <w:bCs/>
                <w:sz w:val="20"/>
                <w:szCs w:val="20"/>
              </w:rPr>
              <w:t>Eurozóna (20)</w:t>
            </w:r>
          </w:p>
        </w:tc>
        <w:tc>
          <w:tcPr>
            <w:tcW w:w="843" w:type="dxa"/>
            <w:tcBorders>
              <w:top w:val="nil"/>
              <w:left w:val="nil"/>
              <w:bottom w:val="nil"/>
              <w:right w:val="nil"/>
            </w:tcBorders>
            <w:noWrap/>
            <w:vAlign w:val="center"/>
          </w:tcPr>
          <w:p w14:paraId="4CED5877" w14:textId="4F0CC3EE" w:rsidR="003D7549" w:rsidRPr="003D7549" w:rsidRDefault="003D7549" w:rsidP="003D7549">
            <w:pPr>
              <w:spacing w:after="0" w:line="240" w:lineRule="auto"/>
              <w:ind w:firstLineChars="100" w:firstLine="201"/>
              <w:jc w:val="right"/>
              <w:rPr>
                <w:b/>
                <w:bCs/>
                <w:color w:val="000000"/>
                <w:sz w:val="20"/>
                <w:szCs w:val="20"/>
                <w:lang w:eastAsia="sk-SK"/>
              </w:rPr>
            </w:pPr>
            <w:r>
              <w:rPr>
                <w:b/>
                <w:bCs/>
                <w:color w:val="000000"/>
                <w:sz w:val="20"/>
                <w:szCs w:val="20"/>
              </w:rPr>
              <w:t>89,3</w:t>
            </w:r>
          </w:p>
        </w:tc>
        <w:tc>
          <w:tcPr>
            <w:tcW w:w="843" w:type="dxa"/>
            <w:tcBorders>
              <w:top w:val="nil"/>
              <w:left w:val="nil"/>
              <w:bottom w:val="nil"/>
              <w:right w:val="nil"/>
            </w:tcBorders>
            <w:noWrap/>
            <w:vAlign w:val="center"/>
          </w:tcPr>
          <w:p w14:paraId="48679F6D" w14:textId="28D3B014" w:rsidR="003D7549" w:rsidRPr="003D7549" w:rsidRDefault="003D7549" w:rsidP="003D7549">
            <w:pPr>
              <w:spacing w:after="0" w:line="240" w:lineRule="auto"/>
              <w:ind w:firstLineChars="100" w:firstLine="201"/>
              <w:jc w:val="right"/>
              <w:rPr>
                <w:b/>
                <w:bCs/>
                <w:color w:val="000000"/>
                <w:sz w:val="20"/>
                <w:szCs w:val="20"/>
                <w:lang w:eastAsia="sk-SK"/>
              </w:rPr>
            </w:pPr>
            <w:r>
              <w:rPr>
                <w:b/>
                <w:bCs/>
                <w:color w:val="000000"/>
                <w:sz w:val="20"/>
                <w:szCs w:val="20"/>
              </w:rPr>
              <w:t>87,0</w:t>
            </w:r>
          </w:p>
        </w:tc>
        <w:tc>
          <w:tcPr>
            <w:tcW w:w="864" w:type="dxa"/>
            <w:tcBorders>
              <w:top w:val="nil"/>
              <w:left w:val="nil"/>
              <w:bottom w:val="nil"/>
              <w:right w:val="nil"/>
            </w:tcBorders>
            <w:noWrap/>
            <w:vAlign w:val="center"/>
          </w:tcPr>
          <w:p w14:paraId="4A5BFC67" w14:textId="6E4E0396" w:rsidR="003D7549" w:rsidRPr="003D7549" w:rsidRDefault="003D7549" w:rsidP="003D7549">
            <w:pPr>
              <w:spacing w:after="0" w:line="240" w:lineRule="auto"/>
              <w:ind w:firstLineChars="100" w:firstLine="201"/>
              <w:jc w:val="right"/>
              <w:rPr>
                <w:b/>
                <w:bCs/>
                <w:color w:val="000000"/>
                <w:sz w:val="20"/>
                <w:szCs w:val="20"/>
                <w:lang w:eastAsia="sk-SK"/>
              </w:rPr>
            </w:pPr>
            <w:r>
              <w:rPr>
                <w:b/>
                <w:bCs/>
                <w:color w:val="000000"/>
                <w:sz w:val="20"/>
                <w:szCs w:val="20"/>
              </w:rPr>
              <w:t>87,1</w:t>
            </w:r>
          </w:p>
        </w:tc>
        <w:tc>
          <w:tcPr>
            <w:tcW w:w="799" w:type="dxa"/>
            <w:tcBorders>
              <w:top w:val="nil"/>
              <w:left w:val="nil"/>
              <w:bottom w:val="nil"/>
              <w:right w:val="single" w:sz="4" w:space="0" w:color="auto"/>
            </w:tcBorders>
            <w:noWrap/>
            <w:vAlign w:val="center"/>
          </w:tcPr>
          <w:p w14:paraId="45EED329" w14:textId="28AD0D4C" w:rsidR="003D7549" w:rsidRPr="003D7549" w:rsidRDefault="003D7549" w:rsidP="003D7549">
            <w:pPr>
              <w:tabs>
                <w:tab w:val="decimal" w:pos="230"/>
              </w:tabs>
              <w:spacing w:after="0" w:line="240" w:lineRule="auto"/>
              <w:ind w:right="32" w:firstLineChars="100" w:firstLine="201"/>
              <w:jc w:val="right"/>
              <w:rPr>
                <w:b/>
                <w:bCs/>
                <w:color w:val="00B050"/>
                <w:sz w:val="20"/>
                <w:szCs w:val="20"/>
                <w:lang w:eastAsia="sk-SK"/>
              </w:rPr>
            </w:pPr>
            <w:r w:rsidRPr="001C4F00">
              <w:rPr>
                <w:b/>
                <w:bCs/>
                <w:color w:val="FF0000"/>
                <w:sz w:val="20"/>
                <w:szCs w:val="20"/>
              </w:rPr>
              <w:t>0,1</w:t>
            </w:r>
          </w:p>
        </w:tc>
      </w:tr>
      <w:tr w:rsidR="003D7549" w:rsidRPr="00174C84" w14:paraId="58F2A5C5" w14:textId="77777777" w:rsidTr="002847E9">
        <w:trPr>
          <w:trHeight w:val="307"/>
        </w:trPr>
        <w:tc>
          <w:tcPr>
            <w:tcW w:w="1542" w:type="dxa"/>
            <w:tcBorders>
              <w:top w:val="nil"/>
              <w:left w:val="single" w:sz="4" w:space="0" w:color="auto"/>
              <w:bottom w:val="nil"/>
              <w:right w:val="nil"/>
            </w:tcBorders>
            <w:noWrap/>
            <w:vAlign w:val="center"/>
            <w:hideMark/>
          </w:tcPr>
          <w:p w14:paraId="685622C1" w14:textId="474280F1" w:rsidR="003D7549" w:rsidRPr="00174C84" w:rsidRDefault="003D7549" w:rsidP="003D7549">
            <w:pPr>
              <w:spacing w:after="0" w:line="240" w:lineRule="auto"/>
              <w:rPr>
                <w:sz w:val="20"/>
                <w:szCs w:val="20"/>
                <w:highlight w:val="yellow"/>
                <w:lang w:eastAsia="sk-SK"/>
              </w:rPr>
            </w:pPr>
            <w:r>
              <w:rPr>
                <w:sz w:val="20"/>
                <w:szCs w:val="20"/>
              </w:rPr>
              <w:t>Rumunsko</w:t>
            </w:r>
          </w:p>
        </w:tc>
        <w:tc>
          <w:tcPr>
            <w:tcW w:w="764" w:type="dxa"/>
            <w:tcBorders>
              <w:top w:val="nil"/>
              <w:left w:val="nil"/>
              <w:bottom w:val="nil"/>
              <w:right w:val="nil"/>
            </w:tcBorders>
            <w:noWrap/>
            <w:vAlign w:val="center"/>
            <w:hideMark/>
          </w:tcPr>
          <w:p w14:paraId="4B803049" w14:textId="4EF50A17"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-6,5</w:t>
            </w:r>
          </w:p>
        </w:tc>
        <w:tc>
          <w:tcPr>
            <w:tcW w:w="826" w:type="dxa"/>
            <w:tcBorders>
              <w:top w:val="nil"/>
              <w:left w:val="nil"/>
              <w:bottom w:val="nil"/>
              <w:right w:val="nil"/>
            </w:tcBorders>
            <w:noWrap/>
            <w:vAlign w:val="center"/>
            <w:hideMark/>
          </w:tcPr>
          <w:p w14:paraId="0FC9491F" w14:textId="39DD9104"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-6,7</w:t>
            </w:r>
          </w:p>
        </w:tc>
        <w:tc>
          <w:tcPr>
            <w:tcW w:w="742" w:type="dxa"/>
            <w:tcBorders>
              <w:top w:val="nil"/>
              <w:left w:val="nil"/>
              <w:bottom w:val="nil"/>
              <w:right w:val="nil"/>
            </w:tcBorders>
            <w:noWrap/>
            <w:vAlign w:val="center"/>
            <w:hideMark/>
          </w:tcPr>
          <w:p w14:paraId="3806F39E" w14:textId="1E4D633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-9,3</w:t>
            </w:r>
          </w:p>
        </w:tc>
        <w:tc>
          <w:tcPr>
            <w:tcW w:w="728" w:type="dxa"/>
            <w:tcBorders>
              <w:top w:val="nil"/>
              <w:left w:val="nil"/>
              <w:bottom w:val="nil"/>
              <w:right w:val="nil"/>
            </w:tcBorders>
            <w:noWrap/>
            <w:vAlign w:val="center"/>
            <w:hideMark/>
          </w:tcPr>
          <w:p w14:paraId="7DBCC791" w14:textId="67C1453B"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-2,6</w:t>
            </w:r>
          </w:p>
        </w:tc>
        <w:tc>
          <w:tcPr>
            <w:tcW w:w="1453" w:type="dxa"/>
            <w:tcBorders>
              <w:top w:val="nil"/>
              <w:left w:val="single" w:sz="4" w:space="0" w:color="auto"/>
              <w:bottom w:val="nil"/>
              <w:right w:val="nil"/>
            </w:tcBorders>
            <w:noWrap/>
            <w:vAlign w:val="center"/>
            <w:hideMark/>
          </w:tcPr>
          <w:p w14:paraId="4E40F757" w14:textId="6D8178D7" w:rsidR="003D7549" w:rsidRPr="003D7549" w:rsidRDefault="003D7549" w:rsidP="003D7549">
            <w:pPr>
              <w:spacing w:after="0" w:line="240" w:lineRule="auto"/>
              <w:rPr>
                <w:sz w:val="20"/>
                <w:szCs w:val="20"/>
                <w:lang w:eastAsia="sk-SK"/>
              </w:rPr>
            </w:pPr>
            <w:r>
              <w:rPr>
                <w:sz w:val="20"/>
                <w:szCs w:val="20"/>
              </w:rPr>
              <w:t>Grécko</w:t>
            </w:r>
          </w:p>
        </w:tc>
        <w:tc>
          <w:tcPr>
            <w:tcW w:w="843" w:type="dxa"/>
            <w:tcBorders>
              <w:top w:val="nil"/>
              <w:left w:val="nil"/>
              <w:bottom w:val="nil"/>
              <w:right w:val="nil"/>
            </w:tcBorders>
            <w:noWrap/>
            <w:vAlign w:val="center"/>
            <w:hideMark/>
          </w:tcPr>
          <w:p w14:paraId="2D5DB393" w14:textId="4751ECD3"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177,8</w:t>
            </w:r>
          </w:p>
        </w:tc>
        <w:tc>
          <w:tcPr>
            <w:tcW w:w="843" w:type="dxa"/>
            <w:tcBorders>
              <w:top w:val="nil"/>
              <w:left w:val="nil"/>
              <w:bottom w:val="nil"/>
              <w:right w:val="nil"/>
            </w:tcBorders>
            <w:noWrap/>
            <w:vAlign w:val="center"/>
            <w:hideMark/>
          </w:tcPr>
          <w:p w14:paraId="7EBEE89D" w14:textId="23E4A918"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164,3</w:t>
            </w:r>
          </w:p>
        </w:tc>
        <w:tc>
          <w:tcPr>
            <w:tcW w:w="864" w:type="dxa"/>
            <w:tcBorders>
              <w:top w:val="nil"/>
              <w:left w:val="nil"/>
              <w:bottom w:val="nil"/>
              <w:right w:val="nil"/>
            </w:tcBorders>
            <w:noWrap/>
            <w:vAlign w:val="center"/>
            <w:hideMark/>
          </w:tcPr>
          <w:p w14:paraId="7CEEC38C" w14:textId="71F47891"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154,2</w:t>
            </w:r>
          </w:p>
        </w:tc>
        <w:tc>
          <w:tcPr>
            <w:tcW w:w="799" w:type="dxa"/>
            <w:tcBorders>
              <w:top w:val="nil"/>
              <w:left w:val="nil"/>
              <w:bottom w:val="nil"/>
              <w:right w:val="single" w:sz="4" w:space="0" w:color="auto"/>
            </w:tcBorders>
            <w:noWrap/>
            <w:vAlign w:val="center"/>
            <w:hideMark/>
          </w:tcPr>
          <w:p w14:paraId="6ED0BD14" w14:textId="18BF186C"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-10,1</w:t>
            </w:r>
          </w:p>
        </w:tc>
      </w:tr>
      <w:tr w:rsidR="003D7549" w:rsidRPr="00174C84" w14:paraId="2567F6AC" w14:textId="77777777" w:rsidTr="002847E9">
        <w:trPr>
          <w:trHeight w:val="307"/>
        </w:trPr>
        <w:tc>
          <w:tcPr>
            <w:tcW w:w="1542" w:type="dxa"/>
            <w:tcBorders>
              <w:top w:val="nil"/>
              <w:left w:val="single" w:sz="4" w:space="0" w:color="auto"/>
              <w:bottom w:val="nil"/>
              <w:right w:val="nil"/>
            </w:tcBorders>
            <w:noWrap/>
            <w:vAlign w:val="center"/>
            <w:hideMark/>
          </w:tcPr>
          <w:p w14:paraId="6FCE59FE" w14:textId="4C30E620" w:rsidR="003D7549" w:rsidRPr="00174C84" w:rsidRDefault="003D7549" w:rsidP="003D7549">
            <w:pPr>
              <w:spacing w:after="0" w:line="240" w:lineRule="auto"/>
              <w:rPr>
                <w:sz w:val="20"/>
                <w:szCs w:val="20"/>
                <w:highlight w:val="yellow"/>
                <w:lang w:eastAsia="sk-SK"/>
              </w:rPr>
            </w:pPr>
            <w:r>
              <w:rPr>
                <w:sz w:val="20"/>
                <w:szCs w:val="20"/>
              </w:rPr>
              <w:t>Poľsko</w:t>
            </w:r>
          </w:p>
        </w:tc>
        <w:tc>
          <w:tcPr>
            <w:tcW w:w="764" w:type="dxa"/>
            <w:tcBorders>
              <w:top w:val="nil"/>
              <w:left w:val="nil"/>
              <w:bottom w:val="nil"/>
              <w:right w:val="nil"/>
            </w:tcBorders>
            <w:noWrap/>
            <w:vAlign w:val="center"/>
            <w:hideMark/>
          </w:tcPr>
          <w:p w14:paraId="5A5F66E6" w14:textId="1834CB81"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-3,4</w:t>
            </w:r>
          </w:p>
        </w:tc>
        <w:tc>
          <w:tcPr>
            <w:tcW w:w="826" w:type="dxa"/>
            <w:tcBorders>
              <w:top w:val="nil"/>
              <w:left w:val="nil"/>
              <w:bottom w:val="nil"/>
              <w:right w:val="nil"/>
            </w:tcBorders>
            <w:noWrap/>
            <w:vAlign w:val="center"/>
            <w:hideMark/>
          </w:tcPr>
          <w:p w14:paraId="18FB68B0" w14:textId="29A08ADD"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-5,2</w:t>
            </w:r>
          </w:p>
        </w:tc>
        <w:tc>
          <w:tcPr>
            <w:tcW w:w="742" w:type="dxa"/>
            <w:tcBorders>
              <w:top w:val="nil"/>
              <w:left w:val="nil"/>
              <w:bottom w:val="nil"/>
              <w:right w:val="nil"/>
            </w:tcBorders>
            <w:noWrap/>
            <w:vAlign w:val="center"/>
            <w:hideMark/>
          </w:tcPr>
          <w:p w14:paraId="7FEBE753" w14:textId="73FF8348"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-6,5</w:t>
            </w:r>
          </w:p>
        </w:tc>
        <w:tc>
          <w:tcPr>
            <w:tcW w:w="728" w:type="dxa"/>
            <w:tcBorders>
              <w:top w:val="nil"/>
              <w:left w:val="nil"/>
              <w:bottom w:val="nil"/>
              <w:right w:val="nil"/>
            </w:tcBorders>
            <w:noWrap/>
            <w:vAlign w:val="center"/>
            <w:hideMark/>
          </w:tcPr>
          <w:p w14:paraId="18164E9F" w14:textId="700CCCC9"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-1,3</w:t>
            </w:r>
          </w:p>
        </w:tc>
        <w:tc>
          <w:tcPr>
            <w:tcW w:w="1453" w:type="dxa"/>
            <w:tcBorders>
              <w:top w:val="nil"/>
              <w:left w:val="single" w:sz="4" w:space="0" w:color="auto"/>
              <w:bottom w:val="nil"/>
              <w:right w:val="nil"/>
            </w:tcBorders>
            <w:noWrap/>
            <w:vAlign w:val="center"/>
            <w:hideMark/>
          </w:tcPr>
          <w:p w14:paraId="2AD2D9CB" w14:textId="28C32BFD" w:rsidR="003D7549" w:rsidRPr="003D7549" w:rsidRDefault="003D7549" w:rsidP="003D7549">
            <w:pPr>
              <w:spacing w:after="0" w:line="240" w:lineRule="auto"/>
              <w:rPr>
                <w:sz w:val="20"/>
                <w:szCs w:val="20"/>
                <w:lang w:eastAsia="sk-SK"/>
              </w:rPr>
            </w:pPr>
            <w:r>
              <w:rPr>
                <w:sz w:val="20"/>
                <w:szCs w:val="20"/>
              </w:rPr>
              <w:t>Taliansko</w:t>
            </w:r>
          </w:p>
        </w:tc>
        <w:tc>
          <w:tcPr>
            <w:tcW w:w="843" w:type="dxa"/>
            <w:tcBorders>
              <w:top w:val="nil"/>
              <w:left w:val="nil"/>
              <w:bottom w:val="nil"/>
              <w:right w:val="nil"/>
            </w:tcBorders>
            <w:noWrap/>
            <w:vAlign w:val="center"/>
            <w:hideMark/>
          </w:tcPr>
          <w:p w14:paraId="75FA04C7" w14:textId="3179FD94"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138,4</w:t>
            </w:r>
          </w:p>
        </w:tc>
        <w:tc>
          <w:tcPr>
            <w:tcW w:w="843" w:type="dxa"/>
            <w:tcBorders>
              <w:top w:val="nil"/>
              <w:left w:val="nil"/>
              <w:bottom w:val="nil"/>
              <w:right w:val="nil"/>
            </w:tcBorders>
            <w:noWrap/>
            <w:vAlign w:val="center"/>
            <w:hideMark/>
          </w:tcPr>
          <w:p w14:paraId="139643CD" w14:textId="55F6B64A"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133,9</w:t>
            </w:r>
          </w:p>
        </w:tc>
        <w:tc>
          <w:tcPr>
            <w:tcW w:w="864" w:type="dxa"/>
            <w:tcBorders>
              <w:top w:val="nil"/>
              <w:left w:val="nil"/>
              <w:bottom w:val="nil"/>
              <w:right w:val="nil"/>
            </w:tcBorders>
            <w:noWrap/>
            <w:vAlign w:val="center"/>
            <w:hideMark/>
          </w:tcPr>
          <w:p w14:paraId="06B3CC8B" w14:textId="6F0ECF8C"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134,9</w:t>
            </w:r>
          </w:p>
        </w:tc>
        <w:tc>
          <w:tcPr>
            <w:tcW w:w="799" w:type="dxa"/>
            <w:tcBorders>
              <w:top w:val="nil"/>
              <w:left w:val="nil"/>
              <w:bottom w:val="nil"/>
              <w:right w:val="single" w:sz="4" w:space="0" w:color="auto"/>
            </w:tcBorders>
            <w:noWrap/>
            <w:vAlign w:val="center"/>
            <w:hideMark/>
          </w:tcPr>
          <w:p w14:paraId="3ABAA565" w14:textId="11C70876"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1,0</w:t>
            </w:r>
          </w:p>
        </w:tc>
      </w:tr>
      <w:tr w:rsidR="003D7549" w:rsidRPr="00174C84" w14:paraId="3484C0DF" w14:textId="77777777" w:rsidTr="002847E9">
        <w:trPr>
          <w:trHeight w:val="307"/>
        </w:trPr>
        <w:tc>
          <w:tcPr>
            <w:tcW w:w="1542" w:type="dxa"/>
            <w:tcBorders>
              <w:top w:val="nil"/>
              <w:left w:val="single" w:sz="4" w:space="0" w:color="auto"/>
              <w:bottom w:val="nil"/>
              <w:right w:val="nil"/>
            </w:tcBorders>
            <w:noWrap/>
            <w:vAlign w:val="center"/>
            <w:hideMark/>
          </w:tcPr>
          <w:p w14:paraId="206EFC4D" w14:textId="7F60FE47" w:rsidR="003D7549" w:rsidRPr="00174C84" w:rsidRDefault="003D7549" w:rsidP="003D7549">
            <w:pPr>
              <w:spacing w:after="0" w:line="240" w:lineRule="auto"/>
              <w:rPr>
                <w:sz w:val="20"/>
                <w:szCs w:val="20"/>
                <w:highlight w:val="yellow"/>
                <w:lang w:eastAsia="sk-SK"/>
              </w:rPr>
            </w:pPr>
            <w:r>
              <w:rPr>
                <w:sz w:val="20"/>
                <w:szCs w:val="20"/>
              </w:rPr>
              <w:t>Francúzsko</w:t>
            </w:r>
          </w:p>
        </w:tc>
        <w:tc>
          <w:tcPr>
            <w:tcW w:w="764" w:type="dxa"/>
            <w:tcBorders>
              <w:top w:val="nil"/>
              <w:left w:val="nil"/>
              <w:bottom w:val="nil"/>
              <w:right w:val="nil"/>
            </w:tcBorders>
            <w:noWrap/>
            <w:vAlign w:val="center"/>
            <w:hideMark/>
          </w:tcPr>
          <w:p w14:paraId="5CD1EB51" w14:textId="153E523F"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-4,7</w:t>
            </w:r>
          </w:p>
        </w:tc>
        <w:tc>
          <w:tcPr>
            <w:tcW w:w="826" w:type="dxa"/>
            <w:tcBorders>
              <w:top w:val="nil"/>
              <w:left w:val="nil"/>
              <w:bottom w:val="nil"/>
              <w:right w:val="nil"/>
            </w:tcBorders>
            <w:noWrap/>
            <w:vAlign w:val="center"/>
            <w:hideMark/>
          </w:tcPr>
          <w:p w14:paraId="7C3D57FE" w14:textId="1BD641DD"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-5,4</w:t>
            </w:r>
          </w:p>
        </w:tc>
        <w:tc>
          <w:tcPr>
            <w:tcW w:w="742" w:type="dxa"/>
            <w:tcBorders>
              <w:top w:val="nil"/>
              <w:left w:val="nil"/>
              <w:bottom w:val="nil"/>
              <w:right w:val="nil"/>
            </w:tcBorders>
            <w:noWrap/>
            <w:vAlign w:val="center"/>
            <w:hideMark/>
          </w:tcPr>
          <w:p w14:paraId="586595BF" w14:textId="5052DD47"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-5,8</w:t>
            </w:r>
          </w:p>
        </w:tc>
        <w:tc>
          <w:tcPr>
            <w:tcW w:w="728" w:type="dxa"/>
            <w:tcBorders>
              <w:top w:val="nil"/>
              <w:left w:val="nil"/>
              <w:bottom w:val="nil"/>
              <w:right w:val="nil"/>
            </w:tcBorders>
            <w:noWrap/>
            <w:vAlign w:val="center"/>
            <w:hideMark/>
          </w:tcPr>
          <w:p w14:paraId="4C2E9E92" w14:textId="1231927B"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-0,4</w:t>
            </w:r>
          </w:p>
        </w:tc>
        <w:tc>
          <w:tcPr>
            <w:tcW w:w="1453" w:type="dxa"/>
            <w:tcBorders>
              <w:top w:val="nil"/>
              <w:left w:val="single" w:sz="4" w:space="0" w:color="auto"/>
              <w:bottom w:val="nil"/>
              <w:right w:val="nil"/>
            </w:tcBorders>
            <w:noWrap/>
            <w:vAlign w:val="center"/>
            <w:hideMark/>
          </w:tcPr>
          <w:p w14:paraId="33862D3E" w14:textId="58D0E1A0" w:rsidR="003D7549" w:rsidRPr="003D7549" w:rsidRDefault="003D7549" w:rsidP="003D7549">
            <w:pPr>
              <w:spacing w:after="0" w:line="240" w:lineRule="auto"/>
              <w:rPr>
                <w:sz w:val="20"/>
                <w:szCs w:val="20"/>
                <w:lang w:eastAsia="sk-SK"/>
              </w:rPr>
            </w:pPr>
            <w:r>
              <w:rPr>
                <w:sz w:val="20"/>
                <w:szCs w:val="20"/>
              </w:rPr>
              <w:t>Francúzsko</w:t>
            </w:r>
          </w:p>
        </w:tc>
        <w:tc>
          <w:tcPr>
            <w:tcW w:w="843" w:type="dxa"/>
            <w:tcBorders>
              <w:top w:val="nil"/>
              <w:left w:val="nil"/>
              <w:bottom w:val="nil"/>
              <w:right w:val="nil"/>
            </w:tcBorders>
            <w:noWrap/>
            <w:vAlign w:val="center"/>
            <w:hideMark/>
          </w:tcPr>
          <w:p w14:paraId="3D827412" w14:textId="443DD4A6"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111,4</w:t>
            </w:r>
          </w:p>
        </w:tc>
        <w:tc>
          <w:tcPr>
            <w:tcW w:w="843" w:type="dxa"/>
            <w:tcBorders>
              <w:top w:val="nil"/>
              <w:left w:val="nil"/>
              <w:bottom w:val="nil"/>
              <w:right w:val="nil"/>
            </w:tcBorders>
            <w:noWrap/>
            <w:vAlign w:val="center"/>
            <w:hideMark/>
          </w:tcPr>
          <w:p w14:paraId="50ABBA7E" w14:textId="748424DD"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109,8</w:t>
            </w:r>
          </w:p>
        </w:tc>
        <w:tc>
          <w:tcPr>
            <w:tcW w:w="864" w:type="dxa"/>
            <w:tcBorders>
              <w:top w:val="nil"/>
              <w:left w:val="nil"/>
              <w:bottom w:val="nil"/>
              <w:right w:val="nil"/>
            </w:tcBorders>
            <w:noWrap/>
            <w:vAlign w:val="center"/>
            <w:hideMark/>
          </w:tcPr>
          <w:p w14:paraId="671E5973" w14:textId="39CE1567"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113,2</w:t>
            </w:r>
          </w:p>
        </w:tc>
        <w:tc>
          <w:tcPr>
            <w:tcW w:w="799" w:type="dxa"/>
            <w:tcBorders>
              <w:top w:val="nil"/>
              <w:left w:val="nil"/>
              <w:bottom w:val="nil"/>
              <w:right w:val="single" w:sz="4" w:space="0" w:color="auto"/>
            </w:tcBorders>
            <w:noWrap/>
            <w:vAlign w:val="center"/>
            <w:hideMark/>
          </w:tcPr>
          <w:p w14:paraId="125A7D47" w14:textId="5829F2AD"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3,4</w:t>
            </w:r>
          </w:p>
        </w:tc>
      </w:tr>
      <w:tr w:rsidR="003D7549" w:rsidRPr="00174C84" w14:paraId="4075AE1A" w14:textId="77777777" w:rsidTr="003D7549">
        <w:trPr>
          <w:trHeight w:val="307"/>
        </w:trPr>
        <w:tc>
          <w:tcPr>
            <w:tcW w:w="1542" w:type="dxa"/>
            <w:tcBorders>
              <w:top w:val="nil"/>
              <w:left w:val="single" w:sz="4" w:space="0" w:color="auto"/>
              <w:bottom w:val="nil"/>
              <w:right w:val="nil"/>
            </w:tcBorders>
            <w:shd w:val="clear" w:color="auto" w:fill="D9D9D9" w:themeFill="background1" w:themeFillShade="D9"/>
            <w:noWrap/>
            <w:vAlign w:val="center"/>
            <w:hideMark/>
          </w:tcPr>
          <w:p w14:paraId="63E7E7B4" w14:textId="66153C31" w:rsidR="003D7549" w:rsidRPr="00174C84" w:rsidRDefault="003D7549" w:rsidP="003D7549">
            <w:pPr>
              <w:spacing w:after="0" w:line="240" w:lineRule="auto"/>
              <w:rPr>
                <w:sz w:val="20"/>
                <w:szCs w:val="20"/>
                <w:highlight w:val="yellow"/>
                <w:lang w:eastAsia="sk-SK"/>
              </w:rPr>
            </w:pPr>
            <w:r>
              <w:rPr>
                <w:b/>
                <w:bCs/>
                <w:sz w:val="20"/>
                <w:szCs w:val="20"/>
              </w:rPr>
              <w:t>Slovensko</w:t>
            </w:r>
          </w:p>
        </w:tc>
        <w:tc>
          <w:tcPr>
            <w:tcW w:w="764" w:type="dxa"/>
            <w:tcBorders>
              <w:top w:val="nil"/>
              <w:left w:val="nil"/>
              <w:bottom w:val="nil"/>
              <w:right w:val="nil"/>
            </w:tcBorders>
            <w:shd w:val="clear" w:color="auto" w:fill="D9D9D9" w:themeFill="background1" w:themeFillShade="D9"/>
            <w:noWrap/>
            <w:vAlign w:val="center"/>
            <w:hideMark/>
          </w:tcPr>
          <w:p w14:paraId="52B0C32D" w14:textId="0B0C537C" w:rsidR="003D7549" w:rsidRPr="00174C84" w:rsidRDefault="003D7549" w:rsidP="003D7549">
            <w:pPr>
              <w:spacing w:after="0" w:line="240" w:lineRule="auto"/>
              <w:ind w:firstLineChars="100" w:firstLine="201"/>
              <w:jc w:val="right"/>
              <w:rPr>
                <w:color w:val="000000"/>
                <w:sz w:val="20"/>
                <w:szCs w:val="20"/>
                <w:highlight w:val="yellow"/>
                <w:lang w:eastAsia="sk-SK"/>
              </w:rPr>
            </w:pPr>
            <w:r>
              <w:rPr>
                <w:b/>
                <w:bCs/>
                <w:color w:val="000000"/>
                <w:sz w:val="20"/>
                <w:szCs w:val="20"/>
              </w:rPr>
              <w:t>-1,6</w:t>
            </w:r>
          </w:p>
        </w:tc>
        <w:tc>
          <w:tcPr>
            <w:tcW w:w="826" w:type="dxa"/>
            <w:tcBorders>
              <w:top w:val="nil"/>
              <w:left w:val="nil"/>
              <w:bottom w:val="nil"/>
              <w:right w:val="nil"/>
            </w:tcBorders>
            <w:shd w:val="clear" w:color="auto" w:fill="D9D9D9" w:themeFill="background1" w:themeFillShade="D9"/>
            <w:noWrap/>
            <w:vAlign w:val="center"/>
            <w:hideMark/>
          </w:tcPr>
          <w:p w14:paraId="623C6691" w14:textId="4BB529C7" w:rsidR="003D7549" w:rsidRPr="00174C84" w:rsidRDefault="003D7549" w:rsidP="003D7549">
            <w:pPr>
              <w:spacing w:after="0" w:line="240" w:lineRule="auto"/>
              <w:ind w:firstLineChars="100" w:firstLine="201"/>
              <w:jc w:val="right"/>
              <w:rPr>
                <w:color w:val="000000"/>
                <w:sz w:val="20"/>
                <w:szCs w:val="20"/>
                <w:highlight w:val="yellow"/>
                <w:lang w:eastAsia="sk-SK"/>
              </w:rPr>
            </w:pPr>
            <w:r>
              <w:rPr>
                <w:b/>
                <w:bCs/>
                <w:color w:val="000000"/>
                <w:sz w:val="20"/>
                <w:szCs w:val="20"/>
              </w:rPr>
              <w:t>-5,3</w:t>
            </w:r>
          </w:p>
        </w:tc>
        <w:tc>
          <w:tcPr>
            <w:tcW w:w="742" w:type="dxa"/>
            <w:tcBorders>
              <w:top w:val="nil"/>
              <w:left w:val="nil"/>
              <w:bottom w:val="nil"/>
              <w:right w:val="nil"/>
            </w:tcBorders>
            <w:shd w:val="clear" w:color="auto" w:fill="D9D9D9" w:themeFill="background1" w:themeFillShade="D9"/>
            <w:noWrap/>
            <w:vAlign w:val="center"/>
            <w:hideMark/>
          </w:tcPr>
          <w:p w14:paraId="4237C4FB" w14:textId="14802F57" w:rsidR="003D7549" w:rsidRPr="00174C84" w:rsidRDefault="003D7549" w:rsidP="003D7549">
            <w:pPr>
              <w:spacing w:after="0" w:line="240" w:lineRule="auto"/>
              <w:ind w:firstLineChars="100" w:firstLine="201"/>
              <w:jc w:val="right"/>
              <w:rPr>
                <w:color w:val="000000"/>
                <w:sz w:val="20"/>
                <w:szCs w:val="20"/>
                <w:highlight w:val="yellow"/>
                <w:lang w:eastAsia="sk-SK"/>
              </w:rPr>
            </w:pPr>
            <w:r>
              <w:rPr>
                <w:b/>
                <w:bCs/>
                <w:color w:val="000000"/>
                <w:sz w:val="20"/>
                <w:szCs w:val="20"/>
              </w:rPr>
              <w:t>-5,5</w:t>
            </w:r>
          </w:p>
        </w:tc>
        <w:tc>
          <w:tcPr>
            <w:tcW w:w="728" w:type="dxa"/>
            <w:tcBorders>
              <w:top w:val="nil"/>
              <w:left w:val="nil"/>
              <w:bottom w:val="nil"/>
              <w:right w:val="nil"/>
            </w:tcBorders>
            <w:shd w:val="clear" w:color="auto" w:fill="D9D9D9" w:themeFill="background1" w:themeFillShade="D9"/>
            <w:noWrap/>
            <w:vAlign w:val="center"/>
            <w:hideMark/>
          </w:tcPr>
          <w:p w14:paraId="708CB822" w14:textId="12DDC8CE"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-0,2</w:t>
            </w:r>
          </w:p>
        </w:tc>
        <w:tc>
          <w:tcPr>
            <w:tcW w:w="1453" w:type="dxa"/>
            <w:tcBorders>
              <w:top w:val="nil"/>
              <w:left w:val="single" w:sz="4" w:space="0" w:color="auto"/>
              <w:bottom w:val="nil"/>
              <w:right w:val="nil"/>
            </w:tcBorders>
            <w:noWrap/>
            <w:vAlign w:val="center"/>
            <w:hideMark/>
          </w:tcPr>
          <w:p w14:paraId="6180E038" w14:textId="7AC0E482" w:rsidR="003D7549" w:rsidRPr="003D7549" w:rsidRDefault="003D7549" w:rsidP="003D7549">
            <w:pPr>
              <w:spacing w:after="0" w:line="240" w:lineRule="auto"/>
              <w:rPr>
                <w:sz w:val="20"/>
                <w:szCs w:val="20"/>
                <w:lang w:eastAsia="sk-SK"/>
              </w:rPr>
            </w:pPr>
            <w:r>
              <w:rPr>
                <w:sz w:val="20"/>
                <w:szCs w:val="20"/>
              </w:rPr>
              <w:t>Belgicko</w:t>
            </w:r>
          </w:p>
        </w:tc>
        <w:tc>
          <w:tcPr>
            <w:tcW w:w="843" w:type="dxa"/>
            <w:tcBorders>
              <w:top w:val="nil"/>
              <w:left w:val="nil"/>
              <w:bottom w:val="nil"/>
              <w:right w:val="nil"/>
            </w:tcBorders>
            <w:noWrap/>
            <w:vAlign w:val="center"/>
            <w:hideMark/>
          </w:tcPr>
          <w:p w14:paraId="2826A587" w14:textId="2CE7ACD0"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103,4</w:t>
            </w:r>
          </w:p>
        </w:tc>
        <w:tc>
          <w:tcPr>
            <w:tcW w:w="843" w:type="dxa"/>
            <w:tcBorders>
              <w:top w:val="nil"/>
              <w:left w:val="nil"/>
              <w:bottom w:val="nil"/>
              <w:right w:val="nil"/>
            </w:tcBorders>
            <w:noWrap/>
            <w:vAlign w:val="center"/>
            <w:hideMark/>
          </w:tcPr>
          <w:p w14:paraId="6DA8F612" w14:textId="1EF169AD"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102,4</w:t>
            </w:r>
          </w:p>
        </w:tc>
        <w:tc>
          <w:tcPr>
            <w:tcW w:w="864" w:type="dxa"/>
            <w:tcBorders>
              <w:top w:val="nil"/>
              <w:left w:val="nil"/>
              <w:bottom w:val="nil"/>
              <w:right w:val="nil"/>
            </w:tcBorders>
            <w:noWrap/>
            <w:vAlign w:val="center"/>
            <w:hideMark/>
          </w:tcPr>
          <w:p w14:paraId="05F4FC11" w14:textId="1208A648"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103,9</w:t>
            </w:r>
          </w:p>
        </w:tc>
        <w:tc>
          <w:tcPr>
            <w:tcW w:w="799" w:type="dxa"/>
            <w:tcBorders>
              <w:top w:val="nil"/>
              <w:left w:val="nil"/>
              <w:bottom w:val="nil"/>
              <w:right w:val="single" w:sz="4" w:space="0" w:color="auto"/>
            </w:tcBorders>
            <w:noWrap/>
            <w:vAlign w:val="center"/>
            <w:hideMark/>
          </w:tcPr>
          <w:p w14:paraId="2276BE77" w14:textId="57D851E3"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1,5</w:t>
            </w:r>
          </w:p>
        </w:tc>
      </w:tr>
      <w:tr w:rsidR="003D7549" w:rsidRPr="00174C84" w14:paraId="7DCCEAC0" w14:textId="77777777" w:rsidTr="002847E9">
        <w:trPr>
          <w:trHeight w:val="307"/>
        </w:trPr>
        <w:tc>
          <w:tcPr>
            <w:tcW w:w="1542" w:type="dxa"/>
            <w:tcBorders>
              <w:top w:val="nil"/>
              <w:left w:val="single" w:sz="4" w:space="0" w:color="auto"/>
              <w:bottom w:val="nil"/>
              <w:right w:val="nil"/>
            </w:tcBorders>
            <w:noWrap/>
            <w:vAlign w:val="center"/>
            <w:hideMark/>
          </w:tcPr>
          <w:p w14:paraId="7DA4F13C" w14:textId="34EB09A5" w:rsidR="003D7549" w:rsidRPr="00174C84" w:rsidRDefault="003D7549" w:rsidP="003D7549">
            <w:pPr>
              <w:spacing w:after="0" w:line="240" w:lineRule="auto"/>
              <w:rPr>
                <w:sz w:val="20"/>
                <w:szCs w:val="20"/>
                <w:highlight w:val="yellow"/>
                <w:lang w:eastAsia="sk-SK"/>
              </w:rPr>
            </w:pPr>
            <w:r>
              <w:rPr>
                <w:sz w:val="20"/>
                <w:szCs w:val="20"/>
              </w:rPr>
              <w:t>Maďarsko</w:t>
            </w:r>
          </w:p>
        </w:tc>
        <w:tc>
          <w:tcPr>
            <w:tcW w:w="764" w:type="dxa"/>
            <w:tcBorders>
              <w:top w:val="nil"/>
              <w:left w:val="nil"/>
              <w:bottom w:val="nil"/>
              <w:right w:val="nil"/>
            </w:tcBorders>
            <w:noWrap/>
            <w:vAlign w:val="center"/>
            <w:hideMark/>
          </w:tcPr>
          <w:p w14:paraId="3BC78A2D" w14:textId="539330AF"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-6,2</w:t>
            </w:r>
          </w:p>
        </w:tc>
        <w:tc>
          <w:tcPr>
            <w:tcW w:w="826" w:type="dxa"/>
            <w:tcBorders>
              <w:top w:val="nil"/>
              <w:left w:val="nil"/>
              <w:bottom w:val="nil"/>
              <w:right w:val="nil"/>
            </w:tcBorders>
            <w:noWrap/>
            <w:vAlign w:val="center"/>
            <w:hideMark/>
          </w:tcPr>
          <w:p w14:paraId="710CB217" w14:textId="5D9FF0FF"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-6,8</w:t>
            </w:r>
          </w:p>
        </w:tc>
        <w:tc>
          <w:tcPr>
            <w:tcW w:w="742" w:type="dxa"/>
            <w:tcBorders>
              <w:top w:val="nil"/>
              <w:left w:val="nil"/>
              <w:bottom w:val="nil"/>
              <w:right w:val="nil"/>
            </w:tcBorders>
            <w:noWrap/>
            <w:vAlign w:val="center"/>
            <w:hideMark/>
          </w:tcPr>
          <w:p w14:paraId="0F192314" w14:textId="3C89838C"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-5,0</w:t>
            </w:r>
          </w:p>
        </w:tc>
        <w:tc>
          <w:tcPr>
            <w:tcW w:w="728" w:type="dxa"/>
            <w:tcBorders>
              <w:top w:val="nil"/>
              <w:left w:val="nil"/>
              <w:bottom w:val="nil"/>
              <w:right w:val="nil"/>
            </w:tcBorders>
            <w:noWrap/>
            <w:vAlign w:val="center"/>
            <w:hideMark/>
          </w:tcPr>
          <w:p w14:paraId="52638085" w14:textId="453CB359"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1,8</w:t>
            </w:r>
          </w:p>
        </w:tc>
        <w:tc>
          <w:tcPr>
            <w:tcW w:w="1453" w:type="dxa"/>
            <w:tcBorders>
              <w:top w:val="nil"/>
              <w:left w:val="single" w:sz="4" w:space="0" w:color="auto"/>
              <w:bottom w:val="nil"/>
              <w:right w:val="nil"/>
            </w:tcBorders>
            <w:noWrap/>
            <w:vAlign w:val="center"/>
            <w:hideMark/>
          </w:tcPr>
          <w:p w14:paraId="4E464861" w14:textId="0FEAD0A5" w:rsidR="003D7549" w:rsidRPr="003D7549" w:rsidRDefault="003D7549" w:rsidP="003D7549">
            <w:pPr>
              <w:spacing w:after="0" w:line="240" w:lineRule="auto"/>
              <w:rPr>
                <w:sz w:val="20"/>
                <w:szCs w:val="20"/>
                <w:lang w:eastAsia="sk-SK"/>
              </w:rPr>
            </w:pPr>
            <w:r>
              <w:rPr>
                <w:sz w:val="20"/>
                <w:szCs w:val="20"/>
              </w:rPr>
              <w:t>Španielsko</w:t>
            </w:r>
          </w:p>
        </w:tc>
        <w:tc>
          <w:tcPr>
            <w:tcW w:w="843" w:type="dxa"/>
            <w:tcBorders>
              <w:top w:val="nil"/>
              <w:left w:val="nil"/>
              <w:bottom w:val="nil"/>
              <w:right w:val="nil"/>
            </w:tcBorders>
            <w:noWrap/>
            <w:vAlign w:val="center"/>
            <w:hideMark/>
          </w:tcPr>
          <w:p w14:paraId="795397D0" w14:textId="0FBCCFF6"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109,3</w:t>
            </w:r>
          </w:p>
        </w:tc>
        <w:tc>
          <w:tcPr>
            <w:tcW w:w="843" w:type="dxa"/>
            <w:tcBorders>
              <w:top w:val="nil"/>
              <w:left w:val="nil"/>
              <w:bottom w:val="nil"/>
              <w:right w:val="nil"/>
            </w:tcBorders>
            <w:noWrap/>
            <w:vAlign w:val="center"/>
            <w:hideMark/>
          </w:tcPr>
          <w:p w14:paraId="16F3F9F4" w14:textId="0A5AB33A"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105,2</w:t>
            </w:r>
          </w:p>
        </w:tc>
        <w:tc>
          <w:tcPr>
            <w:tcW w:w="864" w:type="dxa"/>
            <w:tcBorders>
              <w:top w:val="nil"/>
              <w:left w:val="nil"/>
              <w:bottom w:val="nil"/>
              <w:right w:val="nil"/>
            </w:tcBorders>
            <w:noWrap/>
            <w:vAlign w:val="center"/>
            <w:hideMark/>
          </w:tcPr>
          <w:p w14:paraId="28C8D4FE" w14:textId="45AC0E0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101,6</w:t>
            </w:r>
          </w:p>
        </w:tc>
        <w:tc>
          <w:tcPr>
            <w:tcW w:w="799" w:type="dxa"/>
            <w:tcBorders>
              <w:top w:val="nil"/>
              <w:left w:val="nil"/>
              <w:bottom w:val="nil"/>
              <w:right w:val="single" w:sz="4" w:space="0" w:color="auto"/>
            </w:tcBorders>
            <w:noWrap/>
            <w:vAlign w:val="center"/>
            <w:hideMark/>
          </w:tcPr>
          <w:p w14:paraId="3B9FD576" w14:textId="45922391"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-3,6</w:t>
            </w:r>
          </w:p>
        </w:tc>
      </w:tr>
      <w:tr w:rsidR="003D7549" w:rsidRPr="00174C84" w14:paraId="46CDABF4" w14:textId="77777777" w:rsidTr="003D7549">
        <w:trPr>
          <w:trHeight w:val="307"/>
        </w:trPr>
        <w:tc>
          <w:tcPr>
            <w:tcW w:w="1542" w:type="dxa"/>
            <w:tcBorders>
              <w:top w:val="nil"/>
              <w:left w:val="single" w:sz="4" w:space="0" w:color="auto"/>
              <w:bottom w:val="nil"/>
              <w:right w:val="nil"/>
            </w:tcBorders>
            <w:noWrap/>
            <w:vAlign w:val="center"/>
            <w:hideMark/>
          </w:tcPr>
          <w:p w14:paraId="3956D49E" w14:textId="10725C91" w:rsidR="003D7549" w:rsidRPr="00174C84" w:rsidRDefault="003D7549" w:rsidP="003D7549">
            <w:pPr>
              <w:spacing w:after="0" w:line="240" w:lineRule="auto"/>
              <w:rPr>
                <w:sz w:val="20"/>
                <w:szCs w:val="20"/>
                <w:highlight w:val="yellow"/>
                <w:lang w:eastAsia="sk-SK"/>
              </w:rPr>
            </w:pPr>
            <w:r w:rsidRPr="00054071">
              <w:rPr>
                <w:sz w:val="20"/>
                <w:szCs w:val="20"/>
              </w:rPr>
              <w:t>Rakúsko</w:t>
            </w:r>
          </w:p>
        </w:tc>
        <w:tc>
          <w:tcPr>
            <w:tcW w:w="764" w:type="dxa"/>
            <w:tcBorders>
              <w:top w:val="nil"/>
              <w:left w:val="nil"/>
              <w:bottom w:val="nil"/>
              <w:right w:val="nil"/>
            </w:tcBorders>
            <w:noWrap/>
            <w:vAlign w:val="center"/>
            <w:hideMark/>
          </w:tcPr>
          <w:p w14:paraId="53277775" w14:textId="11847A7A" w:rsidR="003D7549" w:rsidRPr="00174C84" w:rsidRDefault="003D7549" w:rsidP="003D7549">
            <w:pPr>
              <w:spacing w:after="0" w:line="240" w:lineRule="auto"/>
              <w:ind w:firstLineChars="100" w:firstLine="200"/>
              <w:jc w:val="right"/>
              <w:rPr>
                <w:color w:val="000000"/>
                <w:sz w:val="20"/>
                <w:szCs w:val="20"/>
                <w:highlight w:val="yellow"/>
                <w:lang w:eastAsia="sk-SK"/>
              </w:rPr>
            </w:pPr>
            <w:r w:rsidRPr="00054071">
              <w:rPr>
                <w:color w:val="000000"/>
                <w:sz w:val="20"/>
                <w:szCs w:val="20"/>
              </w:rPr>
              <w:t>-3,4</w:t>
            </w:r>
          </w:p>
        </w:tc>
        <w:tc>
          <w:tcPr>
            <w:tcW w:w="826" w:type="dxa"/>
            <w:tcBorders>
              <w:top w:val="nil"/>
              <w:left w:val="nil"/>
              <w:bottom w:val="nil"/>
              <w:right w:val="nil"/>
            </w:tcBorders>
            <w:noWrap/>
            <w:vAlign w:val="center"/>
            <w:hideMark/>
          </w:tcPr>
          <w:p w14:paraId="2C1E96FA" w14:textId="2556CAAD" w:rsidR="003D7549" w:rsidRPr="00174C84" w:rsidRDefault="003D7549" w:rsidP="003D7549">
            <w:pPr>
              <w:spacing w:after="0" w:line="240" w:lineRule="auto"/>
              <w:ind w:firstLineChars="100" w:firstLine="200"/>
              <w:jc w:val="right"/>
              <w:rPr>
                <w:color w:val="000000"/>
                <w:sz w:val="20"/>
                <w:szCs w:val="20"/>
                <w:highlight w:val="yellow"/>
                <w:lang w:eastAsia="sk-SK"/>
              </w:rPr>
            </w:pPr>
            <w:r w:rsidRPr="00054071">
              <w:rPr>
                <w:color w:val="000000"/>
                <w:sz w:val="20"/>
                <w:szCs w:val="20"/>
              </w:rPr>
              <w:t>-2,6</w:t>
            </w:r>
          </w:p>
        </w:tc>
        <w:tc>
          <w:tcPr>
            <w:tcW w:w="742" w:type="dxa"/>
            <w:tcBorders>
              <w:top w:val="nil"/>
              <w:left w:val="nil"/>
              <w:bottom w:val="nil"/>
              <w:right w:val="nil"/>
            </w:tcBorders>
            <w:noWrap/>
            <w:vAlign w:val="center"/>
            <w:hideMark/>
          </w:tcPr>
          <w:p w14:paraId="2C92B5A3" w14:textId="539CFCF9" w:rsidR="003D7549" w:rsidRPr="00174C84" w:rsidRDefault="003D7549" w:rsidP="003D7549">
            <w:pPr>
              <w:spacing w:after="0" w:line="240" w:lineRule="auto"/>
              <w:ind w:firstLineChars="100" w:firstLine="200"/>
              <w:jc w:val="right"/>
              <w:rPr>
                <w:color w:val="000000"/>
                <w:sz w:val="20"/>
                <w:szCs w:val="20"/>
                <w:highlight w:val="yellow"/>
                <w:lang w:eastAsia="sk-SK"/>
              </w:rPr>
            </w:pPr>
            <w:r w:rsidRPr="00054071">
              <w:rPr>
                <w:color w:val="000000"/>
                <w:sz w:val="20"/>
                <w:szCs w:val="20"/>
              </w:rPr>
              <w:t>-4,7</w:t>
            </w:r>
          </w:p>
        </w:tc>
        <w:tc>
          <w:tcPr>
            <w:tcW w:w="728" w:type="dxa"/>
            <w:tcBorders>
              <w:top w:val="nil"/>
              <w:left w:val="nil"/>
              <w:bottom w:val="nil"/>
              <w:right w:val="nil"/>
            </w:tcBorders>
            <w:noWrap/>
            <w:vAlign w:val="center"/>
            <w:hideMark/>
          </w:tcPr>
          <w:p w14:paraId="134EE644" w14:textId="7D9961C3" w:rsidR="003D7549" w:rsidRPr="00174C84" w:rsidRDefault="003D7549" w:rsidP="003D7549">
            <w:pPr>
              <w:spacing w:after="0" w:line="240" w:lineRule="auto"/>
              <w:ind w:firstLineChars="100" w:firstLine="200"/>
              <w:jc w:val="center"/>
              <w:rPr>
                <w:color w:val="FF0000"/>
                <w:sz w:val="20"/>
                <w:szCs w:val="20"/>
                <w:highlight w:val="yellow"/>
                <w:lang w:eastAsia="sk-SK"/>
              </w:rPr>
            </w:pPr>
            <w:r w:rsidRPr="00054071">
              <w:rPr>
                <w:color w:val="FF0000"/>
                <w:sz w:val="20"/>
                <w:szCs w:val="20"/>
              </w:rPr>
              <w:t>-2,1</w:t>
            </w:r>
          </w:p>
        </w:tc>
        <w:tc>
          <w:tcPr>
            <w:tcW w:w="1453" w:type="dxa"/>
            <w:tcBorders>
              <w:top w:val="nil"/>
              <w:left w:val="single" w:sz="4" w:space="0" w:color="auto"/>
              <w:bottom w:val="nil"/>
              <w:right w:val="nil"/>
            </w:tcBorders>
            <w:noWrap/>
            <w:vAlign w:val="center"/>
            <w:hideMark/>
          </w:tcPr>
          <w:p w14:paraId="54E46D15" w14:textId="3787EC49" w:rsidR="003D7549" w:rsidRPr="003D7549" w:rsidRDefault="003D7549" w:rsidP="003D7549">
            <w:pPr>
              <w:spacing w:after="0" w:line="240" w:lineRule="auto"/>
              <w:rPr>
                <w:sz w:val="20"/>
                <w:szCs w:val="20"/>
                <w:lang w:eastAsia="sk-SK"/>
              </w:rPr>
            </w:pPr>
            <w:r>
              <w:rPr>
                <w:sz w:val="20"/>
                <w:szCs w:val="20"/>
              </w:rPr>
              <w:t>Portugalsko</w:t>
            </w:r>
          </w:p>
        </w:tc>
        <w:tc>
          <w:tcPr>
            <w:tcW w:w="843" w:type="dxa"/>
            <w:tcBorders>
              <w:top w:val="nil"/>
              <w:left w:val="nil"/>
              <w:bottom w:val="nil"/>
              <w:right w:val="nil"/>
            </w:tcBorders>
            <w:noWrap/>
            <w:vAlign w:val="center"/>
            <w:hideMark/>
          </w:tcPr>
          <w:p w14:paraId="5A39A92D" w14:textId="7DC1365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111,2</w:t>
            </w:r>
          </w:p>
        </w:tc>
        <w:tc>
          <w:tcPr>
            <w:tcW w:w="843" w:type="dxa"/>
            <w:tcBorders>
              <w:top w:val="nil"/>
              <w:left w:val="nil"/>
              <w:bottom w:val="nil"/>
              <w:right w:val="nil"/>
            </w:tcBorders>
            <w:noWrap/>
            <w:vAlign w:val="center"/>
            <w:hideMark/>
          </w:tcPr>
          <w:p w14:paraId="711C086C" w14:textId="11261482"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96,9</w:t>
            </w:r>
          </w:p>
        </w:tc>
        <w:tc>
          <w:tcPr>
            <w:tcW w:w="864" w:type="dxa"/>
            <w:tcBorders>
              <w:top w:val="nil"/>
              <w:left w:val="nil"/>
              <w:bottom w:val="nil"/>
              <w:right w:val="nil"/>
            </w:tcBorders>
            <w:noWrap/>
            <w:vAlign w:val="center"/>
            <w:hideMark/>
          </w:tcPr>
          <w:p w14:paraId="5B7C18B6" w14:textId="3C05B8AF"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93,6</w:t>
            </w:r>
          </w:p>
        </w:tc>
        <w:tc>
          <w:tcPr>
            <w:tcW w:w="799" w:type="dxa"/>
            <w:tcBorders>
              <w:top w:val="nil"/>
              <w:left w:val="nil"/>
              <w:bottom w:val="nil"/>
              <w:right w:val="single" w:sz="4" w:space="0" w:color="auto"/>
            </w:tcBorders>
            <w:noWrap/>
            <w:vAlign w:val="center"/>
            <w:hideMark/>
          </w:tcPr>
          <w:p w14:paraId="42CCD329" w14:textId="6676132D"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-3,3</w:t>
            </w:r>
          </w:p>
        </w:tc>
      </w:tr>
      <w:tr w:rsidR="003D7549" w:rsidRPr="00174C84" w14:paraId="5645D2F3" w14:textId="77777777" w:rsidTr="002847E9">
        <w:trPr>
          <w:trHeight w:val="307"/>
        </w:trPr>
        <w:tc>
          <w:tcPr>
            <w:tcW w:w="1542" w:type="dxa"/>
            <w:tcBorders>
              <w:top w:val="nil"/>
              <w:left w:val="single" w:sz="4" w:space="0" w:color="auto"/>
              <w:bottom w:val="nil"/>
              <w:right w:val="nil"/>
            </w:tcBorders>
            <w:noWrap/>
            <w:vAlign w:val="center"/>
            <w:hideMark/>
          </w:tcPr>
          <w:p w14:paraId="5B4A843C" w14:textId="77021472" w:rsidR="003D7549" w:rsidRPr="00174C84" w:rsidRDefault="003D7549" w:rsidP="003D7549">
            <w:pPr>
              <w:spacing w:after="0" w:line="240" w:lineRule="auto"/>
              <w:rPr>
                <w:sz w:val="20"/>
                <w:szCs w:val="20"/>
                <w:highlight w:val="yellow"/>
                <w:lang w:eastAsia="sk-SK"/>
              </w:rPr>
            </w:pPr>
            <w:r>
              <w:rPr>
                <w:sz w:val="20"/>
                <w:szCs w:val="20"/>
              </w:rPr>
              <w:t>Belgicko</w:t>
            </w:r>
          </w:p>
        </w:tc>
        <w:tc>
          <w:tcPr>
            <w:tcW w:w="764" w:type="dxa"/>
            <w:tcBorders>
              <w:top w:val="nil"/>
              <w:left w:val="nil"/>
              <w:bottom w:val="nil"/>
              <w:right w:val="nil"/>
            </w:tcBorders>
            <w:noWrap/>
            <w:vAlign w:val="center"/>
            <w:hideMark/>
          </w:tcPr>
          <w:p w14:paraId="54BFCE68" w14:textId="5222BC1E"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-3,6</w:t>
            </w:r>
          </w:p>
        </w:tc>
        <w:tc>
          <w:tcPr>
            <w:tcW w:w="826" w:type="dxa"/>
            <w:tcBorders>
              <w:top w:val="nil"/>
              <w:left w:val="nil"/>
              <w:bottom w:val="nil"/>
              <w:right w:val="nil"/>
            </w:tcBorders>
            <w:noWrap/>
            <w:vAlign w:val="center"/>
            <w:hideMark/>
          </w:tcPr>
          <w:p w14:paraId="5D5E591A" w14:textId="6D0A30A0"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-4,0</w:t>
            </w:r>
          </w:p>
        </w:tc>
        <w:tc>
          <w:tcPr>
            <w:tcW w:w="742" w:type="dxa"/>
            <w:tcBorders>
              <w:top w:val="nil"/>
              <w:left w:val="nil"/>
              <w:bottom w:val="nil"/>
              <w:right w:val="nil"/>
            </w:tcBorders>
            <w:noWrap/>
            <w:vAlign w:val="center"/>
            <w:hideMark/>
          </w:tcPr>
          <w:p w14:paraId="078D14D0" w14:textId="6722498A"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-4,4</w:t>
            </w:r>
          </w:p>
        </w:tc>
        <w:tc>
          <w:tcPr>
            <w:tcW w:w="728" w:type="dxa"/>
            <w:tcBorders>
              <w:top w:val="nil"/>
              <w:left w:val="nil"/>
              <w:bottom w:val="nil"/>
              <w:right w:val="nil"/>
            </w:tcBorders>
            <w:noWrap/>
            <w:vAlign w:val="center"/>
            <w:hideMark/>
          </w:tcPr>
          <w:p w14:paraId="4A642549" w14:textId="33D28041"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-0,4</w:t>
            </w:r>
          </w:p>
        </w:tc>
        <w:tc>
          <w:tcPr>
            <w:tcW w:w="1453" w:type="dxa"/>
            <w:tcBorders>
              <w:top w:val="nil"/>
              <w:left w:val="single" w:sz="4" w:space="0" w:color="auto"/>
              <w:bottom w:val="nil"/>
              <w:right w:val="nil"/>
            </w:tcBorders>
            <w:noWrap/>
            <w:vAlign w:val="center"/>
            <w:hideMark/>
          </w:tcPr>
          <w:p w14:paraId="7EF7446C" w14:textId="2B2CA4AC" w:rsidR="003D7549" w:rsidRPr="003D7549" w:rsidRDefault="003D7549" w:rsidP="003D7549">
            <w:pPr>
              <w:spacing w:after="0" w:line="240" w:lineRule="auto"/>
              <w:rPr>
                <w:sz w:val="20"/>
                <w:szCs w:val="20"/>
                <w:lang w:eastAsia="sk-SK"/>
              </w:rPr>
            </w:pPr>
            <w:r>
              <w:rPr>
                <w:sz w:val="20"/>
                <w:szCs w:val="20"/>
              </w:rPr>
              <w:t>Fínsko</w:t>
            </w:r>
          </w:p>
        </w:tc>
        <w:tc>
          <w:tcPr>
            <w:tcW w:w="843" w:type="dxa"/>
            <w:tcBorders>
              <w:top w:val="nil"/>
              <w:left w:val="nil"/>
              <w:bottom w:val="nil"/>
              <w:right w:val="nil"/>
            </w:tcBorders>
            <w:noWrap/>
            <w:vAlign w:val="center"/>
            <w:hideMark/>
          </w:tcPr>
          <w:p w14:paraId="6F08DA71" w14:textId="68E5BE23"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74,0</w:t>
            </w:r>
          </w:p>
        </w:tc>
        <w:tc>
          <w:tcPr>
            <w:tcW w:w="843" w:type="dxa"/>
            <w:tcBorders>
              <w:top w:val="nil"/>
              <w:left w:val="nil"/>
              <w:bottom w:val="nil"/>
              <w:right w:val="nil"/>
            </w:tcBorders>
            <w:noWrap/>
            <w:vAlign w:val="center"/>
            <w:hideMark/>
          </w:tcPr>
          <w:p w14:paraId="41B120F4" w14:textId="5CFB331A"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77,1</w:t>
            </w:r>
          </w:p>
        </w:tc>
        <w:tc>
          <w:tcPr>
            <w:tcW w:w="864" w:type="dxa"/>
            <w:tcBorders>
              <w:top w:val="nil"/>
              <w:left w:val="nil"/>
              <w:bottom w:val="nil"/>
              <w:right w:val="nil"/>
            </w:tcBorders>
            <w:noWrap/>
            <w:vAlign w:val="center"/>
            <w:hideMark/>
          </w:tcPr>
          <w:p w14:paraId="434A0CE1" w14:textId="6EC8376E"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82,5</w:t>
            </w:r>
          </w:p>
        </w:tc>
        <w:tc>
          <w:tcPr>
            <w:tcW w:w="799" w:type="dxa"/>
            <w:tcBorders>
              <w:top w:val="nil"/>
              <w:left w:val="nil"/>
              <w:bottom w:val="nil"/>
              <w:right w:val="single" w:sz="4" w:space="0" w:color="auto"/>
            </w:tcBorders>
            <w:noWrap/>
            <w:vAlign w:val="center"/>
            <w:hideMark/>
          </w:tcPr>
          <w:p w14:paraId="0ADCDE38" w14:textId="2A0517BF"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5,4</w:t>
            </w:r>
          </w:p>
        </w:tc>
      </w:tr>
      <w:tr w:rsidR="003D7549" w:rsidRPr="00174C84" w14:paraId="37F38C54" w14:textId="77777777" w:rsidTr="002847E9">
        <w:trPr>
          <w:trHeight w:val="307"/>
        </w:trPr>
        <w:tc>
          <w:tcPr>
            <w:tcW w:w="1542" w:type="dxa"/>
            <w:tcBorders>
              <w:top w:val="nil"/>
              <w:left w:val="single" w:sz="4" w:space="0" w:color="auto"/>
              <w:bottom w:val="nil"/>
              <w:right w:val="nil"/>
            </w:tcBorders>
            <w:noWrap/>
            <w:vAlign w:val="center"/>
            <w:hideMark/>
          </w:tcPr>
          <w:p w14:paraId="4FBA8E7E" w14:textId="6683634D" w:rsidR="003D7549" w:rsidRPr="00174C84" w:rsidRDefault="003D7549" w:rsidP="003D7549">
            <w:pPr>
              <w:spacing w:after="0" w:line="240" w:lineRule="auto"/>
              <w:rPr>
                <w:sz w:val="20"/>
                <w:szCs w:val="20"/>
                <w:highlight w:val="yellow"/>
                <w:lang w:eastAsia="sk-SK"/>
              </w:rPr>
            </w:pPr>
            <w:r>
              <w:rPr>
                <w:sz w:val="20"/>
                <w:szCs w:val="20"/>
              </w:rPr>
              <w:t>Fínsko</w:t>
            </w:r>
          </w:p>
        </w:tc>
        <w:tc>
          <w:tcPr>
            <w:tcW w:w="764" w:type="dxa"/>
            <w:tcBorders>
              <w:top w:val="nil"/>
              <w:left w:val="nil"/>
              <w:bottom w:val="nil"/>
              <w:right w:val="nil"/>
            </w:tcBorders>
            <w:noWrap/>
            <w:vAlign w:val="center"/>
            <w:hideMark/>
          </w:tcPr>
          <w:p w14:paraId="42F945EC" w14:textId="6E6F32E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-0,2</w:t>
            </w:r>
          </w:p>
        </w:tc>
        <w:tc>
          <w:tcPr>
            <w:tcW w:w="826" w:type="dxa"/>
            <w:tcBorders>
              <w:top w:val="nil"/>
              <w:left w:val="nil"/>
              <w:bottom w:val="nil"/>
              <w:right w:val="nil"/>
            </w:tcBorders>
            <w:noWrap/>
            <w:vAlign w:val="center"/>
            <w:hideMark/>
          </w:tcPr>
          <w:p w14:paraId="6FFC59E1" w14:textId="30731E12"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-2,9</w:t>
            </w:r>
          </w:p>
        </w:tc>
        <w:tc>
          <w:tcPr>
            <w:tcW w:w="742" w:type="dxa"/>
            <w:tcBorders>
              <w:top w:val="nil"/>
              <w:left w:val="nil"/>
              <w:bottom w:val="nil"/>
              <w:right w:val="nil"/>
            </w:tcBorders>
            <w:noWrap/>
            <w:vAlign w:val="center"/>
            <w:hideMark/>
          </w:tcPr>
          <w:p w14:paraId="3F110333" w14:textId="255D0414"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-4,4</w:t>
            </w:r>
          </w:p>
        </w:tc>
        <w:tc>
          <w:tcPr>
            <w:tcW w:w="728" w:type="dxa"/>
            <w:tcBorders>
              <w:top w:val="nil"/>
              <w:left w:val="nil"/>
              <w:bottom w:val="nil"/>
              <w:right w:val="nil"/>
            </w:tcBorders>
            <w:noWrap/>
            <w:vAlign w:val="center"/>
            <w:hideMark/>
          </w:tcPr>
          <w:p w14:paraId="0AB49C1D" w14:textId="474FBEA1"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-1,5</w:t>
            </w:r>
          </w:p>
        </w:tc>
        <w:tc>
          <w:tcPr>
            <w:tcW w:w="1453" w:type="dxa"/>
            <w:tcBorders>
              <w:top w:val="nil"/>
              <w:left w:val="single" w:sz="4" w:space="0" w:color="auto"/>
              <w:bottom w:val="nil"/>
              <w:right w:val="nil"/>
            </w:tcBorders>
            <w:noWrap/>
            <w:vAlign w:val="center"/>
            <w:hideMark/>
          </w:tcPr>
          <w:p w14:paraId="4DD5BD2E" w14:textId="09D469B8" w:rsidR="003D7549" w:rsidRPr="003D7549" w:rsidRDefault="003D7549" w:rsidP="003D7549">
            <w:pPr>
              <w:spacing w:after="0" w:line="240" w:lineRule="auto"/>
              <w:rPr>
                <w:sz w:val="20"/>
                <w:szCs w:val="20"/>
                <w:lang w:eastAsia="sk-SK"/>
              </w:rPr>
            </w:pPr>
            <w:r>
              <w:rPr>
                <w:sz w:val="20"/>
                <w:szCs w:val="20"/>
              </w:rPr>
              <w:t>Rakúsko</w:t>
            </w:r>
          </w:p>
        </w:tc>
        <w:tc>
          <w:tcPr>
            <w:tcW w:w="843" w:type="dxa"/>
            <w:tcBorders>
              <w:top w:val="nil"/>
              <w:left w:val="nil"/>
              <w:bottom w:val="nil"/>
              <w:right w:val="nil"/>
            </w:tcBorders>
            <w:noWrap/>
            <w:vAlign w:val="center"/>
            <w:hideMark/>
          </w:tcPr>
          <w:p w14:paraId="1BC773D7" w14:textId="560D7C11"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78,1</w:t>
            </w:r>
          </w:p>
        </w:tc>
        <w:tc>
          <w:tcPr>
            <w:tcW w:w="843" w:type="dxa"/>
            <w:tcBorders>
              <w:top w:val="nil"/>
              <w:left w:val="nil"/>
              <w:bottom w:val="nil"/>
              <w:right w:val="nil"/>
            </w:tcBorders>
            <w:noWrap/>
            <w:vAlign w:val="center"/>
            <w:hideMark/>
          </w:tcPr>
          <w:p w14:paraId="4DB3C8AF" w14:textId="463303DA"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77,8</w:t>
            </w:r>
          </w:p>
        </w:tc>
        <w:tc>
          <w:tcPr>
            <w:tcW w:w="864" w:type="dxa"/>
            <w:tcBorders>
              <w:top w:val="nil"/>
              <w:left w:val="nil"/>
              <w:bottom w:val="nil"/>
              <w:right w:val="nil"/>
            </w:tcBorders>
            <w:noWrap/>
            <w:vAlign w:val="center"/>
            <w:hideMark/>
          </w:tcPr>
          <w:p w14:paraId="0526C9A7" w14:textId="40F2F2EF"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79,9</w:t>
            </w:r>
          </w:p>
        </w:tc>
        <w:tc>
          <w:tcPr>
            <w:tcW w:w="799" w:type="dxa"/>
            <w:tcBorders>
              <w:top w:val="nil"/>
              <w:left w:val="nil"/>
              <w:bottom w:val="nil"/>
              <w:right w:val="single" w:sz="4" w:space="0" w:color="auto"/>
            </w:tcBorders>
            <w:noWrap/>
            <w:vAlign w:val="center"/>
            <w:hideMark/>
          </w:tcPr>
          <w:p w14:paraId="3C12CA9C" w14:textId="1C830610"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2,1</w:t>
            </w:r>
          </w:p>
        </w:tc>
      </w:tr>
      <w:tr w:rsidR="003D7549" w:rsidRPr="00174C84" w14:paraId="1AA95EC2" w14:textId="77777777" w:rsidTr="002847E9">
        <w:trPr>
          <w:trHeight w:val="307"/>
        </w:trPr>
        <w:tc>
          <w:tcPr>
            <w:tcW w:w="1542" w:type="dxa"/>
            <w:tcBorders>
              <w:top w:val="nil"/>
              <w:left w:val="single" w:sz="4" w:space="0" w:color="auto"/>
              <w:bottom w:val="nil"/>
              <w:right w:val="nil"/>
            </w:tcBorders>
            <w:noWrap/>
            <w:vAlign w:val="center"/>
            <w:hideMark/>
          </w:tcPr>
          <w:p w14:paraId="155B3B33" w14:textId="1221F83A" w:rsidR="003D7549" w:rsidRPr="00174C84" w:rsidRDefault="003D7549" w:rsidP="003D7549">
            <w:pPr>
              <w:spacing w:after="0" w:line="240" w:lineRule="auto"/>
              <w:rPr>
                <w:sz w:val="20"/>
                <w:szCs w:val="20"/>
                <w:highlight w:val="yellow"/>
                <w:lang w:eastAsia="sk-SK"/>
              </w:rPr>
            </w:pPr>
            <w:r>
              <w:rPr>
                <w:sz w:val="20"/>
                <w:szCs w:val="20"/>
              </w:rPr>
              <w:t>Malta</w:t>
            </w:r>
          </w:p>
        </w:tc>
        <w:tc>
          <w:tcPr>
            <w:tcW w:w="764" w:type="dxa"/>
            <w:tcBorders>
              <w:top w:val="nil"/>
              <w:left w:val="nil"/>
              <w:bottom w:val="nil"/>
              <w:right w:val="nil"/>
            </w:tcBorders>
            <w:noWrap/>
            <w:vAlign w:val="center"/>
            <w:hideMark/>
          </w:tcPr>
          <w:p w14:paraId="67FACE58" w14:textId="79490418"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-5,3</w:t>
            </w:r>
          </w:p>
        </w:tc>
        <w:tc>
          <w:tcPr>
            <w:tcW w:w="826" w:type="dxa"/>
            <w:tcBorders>
              <w:top w:val="nil"/>
              <w:left w:val="nil"/>
              <w:bottom w:val="nil"/>
              <w:right w:val="nil"/>
            </w:tcBorders>
            <w:noWrap/>
            <w:vAlign w:val="center"/>
            <w:hideMark/>
          </w:tcPr>
          <w:p w14:paraId="1BCAF65D" w14:textId="05268A73"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-4,4</w:t>
            </w:r>
          </w:p>
        </w:tc>
        <w:tc>
          <w:tcPr>
            <w:tcW w:w="742" w:type="dxa"/>
            <w:tcBorders>
              <w:top w:val="nil"/>
              <w:left w:val="nil"/>
              <w:bottom w:val="nil"/>
              <w:right w:val="nil"/>
            </w:tcBorders>
            <w:noWrap/>
            <w:vAlign w:val="center"/>
            <w:hideMark/>
          </w:tcPr>
          <w:p w14:paraId="545A12F1" w14:textId="5D5DD338"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-3,5</w:t>
            </w:r>
          </w:p>
        </w:tc>
        <w:tc>
          <w:tcPr>
            <w:tcW w:w="728" w:type="dxa"/>
            <w:tcBorders>
              <w:top w:val="nil"/>
              <w:left w:val="nil"/>
              <w:bottom w:val="nil"/>
              <w:right w:val="nil"/>
            </w:tcBorders>
            <w:noWrap/>
            <w:vAlign w:val="center"/>
            <w:hideMark/>
          </w:tcPr>
          <w:p w14:paraId="1E959A7E" w14:textId="19F6B7B3"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0,9</w:t>
            </w:r>
          </w:p>
        </w:tc>
        <w:tc>
          <w:tcPr>
            <w:tcW w:w="1453" w:type="dxa"/>
            <w:tcBorders>
              <w:top w:val="nil"/>
              <w:left w:val="single" w:sz="4" w:space="0" w:color="auto"/>
              <w:bottom w:val="nil"/>
              <w:right w:val="nil"/>
            </w:tcBorders>
            <w:noWrap/>
            <w:vAlign w:val="center"/>
            <w:hideMark/>
          </w:tcPr>
          <w:p w14:paraId="6C549FAC" w14:textId="4A1E1F70" w:rsidR="003D7549" w:rsidRPr="003D7549" w:rsidRDefault="003D7549" w:rsidP="003D7549">
            <w:pPr>
              <w:spacing w:after="0" w:line="240" w:lineRule="auto"/>
              <w:rPr>
                <w:sz w:val="20"/>
                <w:szCs w:val="20"/>
                <w:lang w:eastAsia="sk-SK"/>
              </w:rPr>
            </w:pPr>
            <w:r>
              <w:rPr>
                <w:sz w:val="20"/>
                <w:szCs w:val="20"/>
              </w:rPr>
              <w:t>Maďarsko</w:t>
            </w:r>
          </w:p>
        </w:tc>
        <w:tc>
          <w:tcPr>
            <w:tcW w:w="843" w:type="dxa"/>
            <w:tcBorders>
              <w:top w:val="nil"/>
              <w:left w:val="nil"/>
              <w:bottom w:val="nil"/>
              <w:right w:val="nil"/>
            </w:tcBorders>
            <w:noWrap/>
            <w:vAlign w:val="center"/>
            <w:hideMark/>
          </w:tcPr>
          <w:p w14:paraId="057E89C4" w14:textId="68BCB1C2"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74,1</w:t>
            </w:r>
          </w:p>
        </w:tc>
        <w:tc>
          <w:tcPr>
            <w:tcW w:w="843" w:type="dxa"/>
            <w:tcBorders>
              <w:top w:val="nil"/>
              <w:left w:val="nil"/>
              <w:bottom w:val="nil"/>
              <w:right w:val="nil"/>
            </w:tcBorders>
            <w:noWrap/>
            <w:vAlign w:val="center"/>
            <w:hideMark/>
          </w:tcPr>
          <w:p w14:paraId="6277D67A" w14:textId="4FDBAB45"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73,2</w:t>
            </w:r>
          </w:p>
        </w:tc>
        <w:tc>
          <w:tcPr>
            <w:tcW w:w="864" w:type="dxa"/>
            <w:tcBorders>
              <w:top w:val="nil"/>
              <w:left w:val="nil"/>
              <w:bottom w:val="nil"/>
              <w:right w:val="nil"/>
            </w:tcBorders>
            <w:noWrap/>
            <w:vAlign w:val="center"/>
            <w:hideMark/>
          </w:tcPr>
          <w:p w14:paraId="2A6C01F4" w14:textId="5D345DC2"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73,5</w:t>
            </w:r>
          </w:p>
        </w:tc>
        <w:tc>
          <w:tcPr>
            <w:tcW w:w="799" w:type="dxa"/>
            <w:tcBorders>
              <w:top w:val="nil"/>
              <w:left w:val="nil"/>
              <w:bottom w:val="nil"/>
              <w:right w:val="single" w:sz="4" w:space="0" w:color="auto"/>
            </w:tcBorders>
            <w:noWrap/>
            <w:vAlign w:val="center"/>
            <w:hideMark/>
          </w:tcPr>
          <w:p w14:paraId="0C93BC3E" w14:textId="6CC2AEDA"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0,3</w:t>
            </w:r>
          </w:p>
        </w:tc>
      </w:tr>
      <w:tr w:rsidR="003D7549" w:rsidRPr="00174C84" w14:paraId="3EAED0BD" w14:textId="77777777" w:rsidTr="002847E9">
        <w:trPr>
          <w:trHeight w:val="307"/>
        </w:trPr>
        <w:tc>
          <w:tcPr>
            <w:tcW w:w="1542" w:type="dxa"/>
            <w:tcBorders>
              <w:top w:val="nil"/>
              <w:left w:val="single" w:sz="4" w:space="0" w:color="auto"/>
              <w:bottom w:val="nil"/>
              <w:right w:val="nil"/>
            </w:tcBorders>
            <w:noWrap/>
            <w:vAlign w:val="center"/>
            <w:hideMark/>
          </w:tcPr>
          <w:p w14:paraId="6EA4EFD9" w14:textId="66A689BE" w:rsidR="003D7549" w:rsidRPr="00174C84" w:rsidRDefault="003D7549" w:rsidP="003D7549">
            <w:pPr>
              <w:spacing w:after="0" w:line="240" w:lineRule="auto"/>
              <w:rPr>
                <w:sz w:val="20"/>
                <w:szCs w:val="20"/>
                <w:highlight w:val="yellow"/>
                <w:lang w:eastAsia="sk-SK"/>
              </w:rPr>
            </w:pPr>
            <w:r>
              <w:rPr>
                <w:sz w:val="20"/>
                <w:szCs w:val="20"/>
              </w:rPr>
              <w:t>Taliansko</w:t>
            </w:r>
          </w:p>
        </w:tc>
        <w:tc>
          <w:tcPr>
            <w:tcW w:w="764" w:type="dxa"/>
            <w:tcBorders>
              <w:top w:val="nil"/>
              <w:left w:val="nil"/>
              <w:bottom w:val="nil"/>
              <w:right w:val="nil"/>
            </w:tcBorders>
            <w:noWrap/>
            <w:vAlign w:val="center"/>
            <w:hideMark/>
          </w:tcPr>
          <w:p w14:paraId="48923A96" w14:textId="5F180163"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-8,1</w:t>
            </w:r>
          </w:p>
        </w:tc>
        <w:tc>
          <w:tcPr>
            <w:tcW w:w="826" w:type="dxa"/>
            <w:tcBorders>
              <w:top w:val="nil"/>
              <w:left w:val="nil"/>
              <w:bottom w:val="nil"/>
              <w:right w:val="nil"/>
            </w:tcBorders>
            <w:noWrap/>
            <w:vAlign w:val="center"/>
            <w:hideMark/>
          </w:tcPr>
          <w:p w14:paraId="2CDE75EB" w14:textId="320389EC"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-7,2</w:t>
            </w:r>
          </w:p>
        </w:tc>
        <w:tc>
          <w:tcPr>
            <w:tcW w:w="742" w:type="dxa"/>
            <w:tcBorders>
              <w:top w:val="nil"/>
              <w:left w:val="nil"/>
              <w:bottom w:val="nil"/>
              <w:right w:val="nil"/>
            </w:tcBorders>
            <w:noWrap/>
            <w:vAlign w:val="center"/>
            <w:hideMark/>
          </w:tcPr>
          <w:p w14:paraId="6D5E81A6" w14:textId="3AD0AFAE"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-3,4</w:t>
            </w:r>
          </w:p>
        </w:tc>
        <w:tc>
          <w:tcPr>
            <w:tcW w:w="728" w:type="dxa"/>
            <w:tcBorders>
              <w:top w:val="nil"/>
              <w:left w:val="nil"/>
              <w:bottom w:val="nil"/>
              <w:right w:val="nil"/>
            </w:tcBorders>
            <w:noWrap/>
            <w:vAlign w:val="center"/>
            <w:hideMark/>
          </w:tcPr>
          <w:p w14:paraId="5DA0AFDE" w14:textId="0E4251D9"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3,8</w:t>
            </w:r>
          </w:p>
        </w:tc>
        <w:tc>
          <w:tcPr>
            <w:tcW w:w="1453" w:type="dxa"/>
            <w:tcBorders>
              <w:top w:val="nil"/>
              <w:left w:val="single" w:sz="4" w:space="0" w:color="auto"/>
              <w:bottom w:val="nil"/>
              <w:right w:val="nil"/>
            </w:tcBorders>
            <w:noWrap/>
            <w:vAlign w:val="center"/>
            <w:hideMark/>
          </w:tcPr>
          <w:p w14:paraId="7887CD82" w14:textId="333D999D" w:rsidR="003D7549" w:rsidRPr="003D7549" w:rsidRDefault="003D7549" w:rsidP="003D7549">
            <w:pPr>
              <w:spacing w:after="0" w:line="240" w:lineRule="auto"/>
              <w:rPr>
                <w:sz w:val="20"/>
                <w:szCs w:val="20"/>
                <w:lang w:eastAsia="sk-SK"/>
              </w:rPr>
            </w:pPr>
            <w:r>
              <w:rPr>
                <w:sz w:val="20"/>
                <w:szCs w:val="20"/>
              </w:rPr>
              <w:t>Slovinsko</w:t>
            </w:r>
          </w:p>
        </w:tc>
        <w:tc>
          <w:tcPr>
            <w:tcW w:w="843" w:type="dxa"/>
            <w:tcBorders>
              <w:top w:val="nil"/>
              <w:left w:val="nil"/>
              <w:bottom w:val="nil"/>
              <w:right w:val="nil"/>
            </w:tcBorders>
            <w:noWrap/>
            <w:vAlign w:val="center"/>
            <w:hideMark/>
          </w:tcPr>
          <w:p w14:paraId="0CE3E9B8" w14:textId="381759A5"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72,8</w:t>
            </w:r>
          </w:p>
        </w:tc>
        <w:tc>
          <w:tcPr>
            <w:tcW w:w="843" w:type="dxa"/>
            <w:tcBorders>
              <w:top w:val="nil"/>
              <w:left w:val="nil"/>
              <w:bottom w:val="nil"/>
              <w:right w:val="nil"/>
            </w:tcBorders>
            <w:noWrap/>
            <w:vAlign w:val="center"/>
            <w:hideMark/>
          </w:tcPr>
          <w:p w14:paraId="1E89E421" w14:textId="3942B71D"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68,3</w:t>
            </w:r>
          </w:p>
        </w:tc>
        <w:tc>
          <w:tcPr>
            <w:tcW w:w="864" w:type="dxa"/>
            <w:tcBorders>
              <w:top w:val="nil"/>
              <w:left w:val="nil"/>
              <w:bottom w:val="nil"/>
              <w:right w:val="nil"/>
            </w:tcBorders>
            <w:noWrap/>
            <w:vAlign w:val="center"/>
            <w:hideMark/>
          </w:tcPr>
          <w:p w14:paraId="2B0186E1" w14:textId="3D0F4FE0"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66,6</w:t>
            </w:r>
          </w:p>
        </w:tc>
        <w:tc>
          <w:tcPr>
            <w:tcW w:w="799" w:type="dxa"/>
            <w:tcBorders>
              <w:top w:val="nil"/>
              <w:left w:val="nil"/>
              <w:bottom w:val="nil"/>
              <w:right w:val="single" w:sz="4" w:space="0" w:color="auto"/>
            </w:tcBorders>
            <w:noWrap/>
            <w:vAlign w:val="center"/>
            <w:hideMark/>
          </w:tcPr>
          <w:p w14:paraId="74A024C0" w14:textId="0DB8FAD4"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-1,7</w:t>
            </w:r>
          </w:p>
        </w:tc>
      </w:tr>
      <w:tr w:rsidR="003D7549" w:rsidRPr="00174C84" w14:paraId="40843D77" w14:textId="77777777" w:rsidTr="002847E9">
        <w:trPr>
          <w:trHeight w:val="307"/>
        </w:trPr>
        <w:tc>
          <w:tcPr>
            <w:tcW w:w="1542" w:type="dxa"/>
            <w:tcBorders>
              <w:top w:val="nil"/>
              <w:left w:val="single" w:sz="4" w:space="0" w:color="auto"/>
              <w:bottom w:val="nil"/>
              <w:right w:val="nil"/>
            </w:tcBorders>
            <w:noWrap/>
            <w:vAlign w:val="center"/>
            <w:hideMark/>
          </w:tcPr>
          <w:p w14:paraId="538AA738" w14:textId="48A60E82" w:rsidR="003D7549" w:rsidRPr="00174C84" w:rsidRDefault="003D7549" w:rsidP="003D7549">
            <w:pPr>
              <w:spacing w:after="0" w:line="240" w:lineRule="auto"/>
              <w:rPr>
                <w:b/>
                <w:bCs/>
                <w:sz w:val="20"/>
                <w:szCs w:val="20"/>
                <w:highlight w:val="yellow"/>
                <w:lang w:eastAsia="sk-SK"/>
              </w:rPr>
            </w:pPr>
            <w:r>
              <w:rPr>
                <w:sz w:val="20"/>
                <w:szCs w:val="20"/>
              </w:rPr>
              <w:t>Španielsko</w:t>
            </w:r>
          </w:p>
        </w:tc>
        <w:tc>
          <w:tcPr>
            <w:tcW w:w="764" w:type="dxa"/>
            <w:tcBorders>
              <w:top w:val="nil"/>
              <w:left w:val="nil"/>
              <w:bottom w:val="nil"/>
              <w:right w:val="nil"/>
            </w:tcBorders>
            <w:noWrap/>
            <w:vAlign w:val="center"/>
            <w:hideMark/>
          </w:tcPr>
          <w:p w14:paraId="093DF0E7" w14:textId="56EF7F2D" w:rsidR="003D7549" w:rsidRPr="00174C84" w:rsidRDefault="003D7549" w:rsidP="003D7549">
            <w:pPr>
              <w:spacing w:after="0" w:line="240" w:lineRule="auto"/>
              <w:ind w:firstLineChars="100" w:firstLine="200"/>
              <w:jc w:val="right"/>
              <w:rPr>
                <w:b/>
                <w:bCs/>
                <w:color w:val="000000"/>
                <w:sz w:val="20"/>
                <w:szCs w:val="20"/>
                <w:highlight w:val="yellow"/>
                <w:lang w:eastAsia="sk-SK"/>
              </w:rPr>
            </w:pPr>
            <w:r>
              <w:rPr>
                <w:color w:val="000000"/>
                <w:sz w:val="20"/>
                <w:szCs w:val="20"/>
              </w:rPr>
              <w:t>-4,6</w:t>
            </w:r>
          </w:p>
        </w:tc>
        <w:tc>
          <w:tcPr>
            <w:tcW w:w="826" w:type="dxa"/>
            <w:tcBorders>
              <w:top w:val="nil"/>
              <w:left w:val="nil"/>
              <w:bottom w:val="nil"/>
              <w:right w:val="nil"/>
            </w:tcBorders>
            <w:noWrap/>
            <w:vAlign w:val="center"/>
            <w:hideMark/>
          </w:tcPr>
          <w:p w14:paraId="284F946D" w14:textId="2D1CF749" w:rsidR="003D7549" w:rsidRPr="00174C84" w:rsidRDefault="003D7549" w:rsidP="003D7549">
            <w:pPr>
              <w:spacing w:after="0" w:line="240" w:lineRule="auto"/>
              <w:ind w:firstLineChars="100" w:firstLine="200"/>
              <w:jc w:val="right"/>
              <w:rPr>
                <w:b/>
                <w:bCs/>
                <w:color w:val="000000"/>
                <w:sz w:val="20"/>
                <w:szCs w:val="20"/>
                <w:highlight w:val="yellow"/>
                <w:lang w:eastAsia="sk-SK"/>
              </w:rPr>
            </w:pPr>
            <w:r>
              <w:rPr>
                <w:color w:val="000000"/>
                <w:sz w:val="20"/>
                <w:szCs w:val="20"/>
              </w:rPr>
              <w:t>-3,3</w:t>
            </w:r>
          </w:p>
        </w:tc>
        <w:tc>
          <w:tcPr>
            <w:tcW w:w="742" w:type="dxa"/>
            <w:tcBorders>
              <w:top w:val="nil"/>
              <w:left w:val="nil"/>
              <w:bottom w:val="nil"/>
              <w:right w:val="nil"/>
            </w:tcBorders>
            <w:noWrap/>
            <w:vAlign w:val="center"/>
            <w:hideMark/>
          </w:tcPr>
          <w:p w14:paraId="0FFDF085" w14:textId="0DB7DB6E" w:rsidR="003D7549" w:rsidRPr="00174C84" w:rsidRDefault="003D7549" w:rsidP="003D7549">
            <w:pPr>
              <w:spacing w:after="0" w:line="240" w:lineRule="auto"/>
              <w:ind w:firstLineChars="100" w:firstLine="200"/>
              <w:jc w:val="right"/>
              <w:rPr>
                <w:b/>
                <w:bCs/>
                <w:color w:val="000000"/>
                <w:sz w:val="20"/>
                <w:szCs w:val="20"/>
                <w:highlight w:val="yellow"/>
                <w:lang w:eastAsia="sk-SK"/>
              </w:rPr>
            </w:pPr>
            <w:r>
              <w:rPr>
                <w:color w:val="000000"/>
                <w:sz w:val="20"/>
                <w:szCs w:val="20"/>
              </w:rPr>
              <w:t>-3,2</w:t>
            </w:r>
          </w:p>
        </w:tc>
        <w:tc>
          <w:tcPr>
            <w:tcW w:w="728" w:type="dxa"/>
            <w:tcBorders>
              <w:top w:val="nil"/>
              <w:left w:val="nil"/>
              <w:bottom w:val="nil"/>
              <w:right w:val="nil"/>
            </w:tcBorders>
            <w:noWrap/>
            <w:vAlign w:val="center"/>
            <w:hideMark/>
          </w:tcPr>
          <w:p w14:paraId="1C00C668" w14:textId="327C0C30" w:rsidR="003D7549" w:rsidRPr="00174C84" w:rsidRDefault="003D7549" w:rsidP="003D7549">
            <w:pPr>
              <w:spacing w:after="0" w:line="240" w:lineRule="auto"/>
              <w:ind w:firstLineChars="100" w:firstLine="200"/>
              <w:jc w:val="center"/>
              <w:rPr>
                <w:b/>
                <w:color w:val="FF0000"/>
                <w:sz w:val="20"/>
                <w:szCs w:val="20"/>
                <w:highlight w:val="yellow"/>
                <w:lang w:eastAsia="sk-SK"/>
              </w:rPr>
            </w:pPr>
            <w:r>
              <w:rPr>
                <w:color w:val="00B050"/>
                <w:sz w:val="20"/>
                <w:szCs w:val="20"/>
              </w:rPr>
              <w:t>0,1</w:t>
            </w:r>
          </w:p>
        </w:tc>
        <w:tc>
          <w:tcPr>
            <w:tcW w:w="1453" w:type="dxa"/>
            <w:tcBorders>
              <w:top w:val="nil"/>
              <w:left w:val="single" w:sz="4" w:space="0" w:color="auto"/>
              <w:bottom w:val="nil"/>
              <w:right w:val="nil"/>
            </w:tcBorders>
            <w:noWrap/>
            <w:vAlign w:val="center"/>
            <w:hideMark/>
          </w:tcPr>
          <w:p w14:paraId="64C83E13" w14:textId="72894290" w:rsidR="003D7549" w:rsidRPr="003D7549" w:rsidRDefault="003D7549" w:rsidP="003D7549">
            <w:pPr>
              <w:spacing w:after="0" w:line="240" w:lineRule="auto"/>
              <w:rPr>
                <w:sz w:val="20"/>
                <w:szCs w:val="20"/>
                <w:lang w:eastAsia="sk-SK"/>
              </w:rPr>
            </w:pPr>
            <w:r>
              <w:rPr>
                <w:sz w:val="20"/>
                <w:szCs w:val="20"/>
              </w:rPr>
              <w:t>Cyprus</w:t>
            </w:r>
          </w:p>
        </w:tc>
        <w:tc>
          <w:tcPr>
            <w:tcW w:w="843" w:type="dxa"/>
            <w:tcBorders>
              <w:top w:val="nil"/>
              <w:left w:val="nil"/>
              <w:bottom w:val="nil"/>
              <w:right w:val="nil"/>
            </w:tcBorders>
            <w:noWrap/>
            <w:vAlign w:val="center"/>
            <w:hideMark/>
          </w:tcPr>
          <w:p w14:paraId="710244E1" w14:textId="1627DDBE"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80,3</w:t>
            </w:r>
          </w:p>
        </w:tc>
        <w:tc>
          <w:tcPr>
            <w:tcW w:w="843" w:type="dxa"/>
            <w:tcBorders>
              <w:top w:val="nil"/>
              <w:left w:val="nil"/>
              <w:bottom w:val="nil"/>
              <w:right w:val="nil"/>
            </w:tcBorders>
            <w:noWrap/>
            <w:vAlign w:val="center"/>
            <w:hideMark/>
          </w:tcPr>
          <w:p w14:paraId="7F194DBE" w14:textId="4E7105E2"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71,1</w:t>
            </w:r>
          </w:p>
        </w:tc>
        <w:tc>
          <w:tcPr>
            <w:tcW w:w="864" w:type="dxa"/>
            <w:tcBorders>
              <w:top w:val="nil"/>
              <w:left w:val="nil"/>
              <w:bottom w:val="nil"/>
              <w:right w:val="nil"/>
            </w:tcBorders>
            <w:noWrap/>
            <w:vAlign w:val="center"/>
            <w:hideMark/>
          </w:tcPr>
          <w:p w14:paraId="08C86258" w14:textId="2E9BA1E3"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62,8</w:t>
            </w:r>
          </w:p>
        </w:tc>
        <w:tc>
          <w:tcPr>
            <w:tcW w:w="799" w:type="dxa"/>
            <w:tcBorders>
              <w:top w:val="nil"/>
              <w:left w:val="nil"/>
              <w:bottom w:val="nil"/>
              <w:right w:val="single" w:sz="4" w:space="0" w:color="auto"/>
            </w:tcBorders>
            <w:noWrap/>
            <w:vAlign w:val="center"/>
            <w:hideMark/>
          </w:tcPr>
          <w:p w14:paraId="0A71883D" w14:textId="08E5E1C4"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-8,3</w:t>
            </w:r>
          </w:p>
        </w:tc>
      </w:tr>
      <w:tr w:rsidR="003D7549" w:rsidRPr="00174C84" w14:paraId="0EDFC8EA" w14:textId="77777777" w:rsidTr="002847E9">
        <w:trPr>
          <w:trHeight w:val="307"/>
        </w:trPr>
        <w:tc>
          <w:tcPr>
            <w:tcW w:w="1542" w:type="dxa"/>
            <w:tcBorders>
              <w:top w:val="nil"/>
              <w:left w:val="single" w:sz="4" w:space="0" w:color="auto"/>
              <w:bottom w:val="nil"/>
              <w:right w:val="nil"/>
            </w:tcBorders>
            <w:noWrap/>
            <w:vAlign w:val="center"/>
            <w:hideMark/>
          </w:tcPr>
          <w:p w14:paraId="2C36C5A3" w14:textId="12D6536C" w:rsidR="003D7549" w:rsidRPr="00174C84" w:rsidRDefault="003D7549" w:rsidP="003D7549">
            <w:pPr>
              <w:spacing w:after="0" w:line="240" w:lineRule="auto"/>
              <w:ind w:right="-81"/>
              <w:rPr>
                <w:sz w:val="20"/>
                <w:szCs w:val="20"/>
                <w:highlight w:val="yellow"/>
                <w:lang w:eastAsia="sk-SK"/>
              </w:rPr>
            </w:pPr>
            <w:r>
              <w:rPr>
                <w:sz w:val="20"/>
                <w:szCs w:val="20"/>
              </w:rPr>
              <w:t>Bulharsko</w:t>
            </w:r>
          </w:p>
        </w:tc>
        <w:tc>
          <w:tcPr>
            <w:tcW w:w="764" w:type="dxa"/>
            <w:tcBorders>
              <w:top w:val="nil"/>
              <w:left w:val="nil"/>
              <w:bottom w:val="nil"/>
              <w:right w:val="nil"/>
            </w:tcBorders>
            <w:noWrap/>
            <w:vAlign w:val="center"/>
            <w:hideMark/>
          </w:tcPr>
          <w:p w14:paraId="4C48DC06" w14:textId="328C481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-2,9</w:t>
            </w:r>
          </w:p>
        </w:tc>
        <w:tc>
          <w:tcPr>
            <w:tcW w:w="826" w:type="dxa"/>
            <w:tcBorders>
              <w:top w:val="nil"/>
              <w:left w:val="nil"/>
              <w:bottom w:val="nil"/>
              <w:right w:val="nil"/>
            </w:tcBorders>
            <w:noWrap/>
            <w:vAlign w:val="center"/>
            <w:hideMark/>
          </w:tcPr>
          <w:p w14:paraId="222DBBE8" w14:textId="5EEEBC9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-2,0</w:t>
            </w:r>
          </w:p>
        </w:tc>
        <w:tc>
          <w:tcPr>
            <w:tcW w:w="742" w:type="dxa"/>
            <w:tcBorders>
              <w:top w:val="nil"/>
              <w:left w:val="nil"/>
              <w:bottom w:val="nil"/>
              <w:right w:val="nil"/>
            </w:tcBorders>
            <w:noWrap/>
            <w:vAlign w:val="center"/>
            <w:hideMark/>
          </w:tcPr>
          <w:p w14:paraId="4F8E7212" w14:textId="54936B87"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-3,0</w:t>
            </w:r>
          </w:p>
        </w:tc>
        <w:tc>
          <w:tcPr>
            <w:tcW w:w="728" w:type="dxa"/>
            <w:tcBorders>
              <w:top w:val="nil"/>
              <w:left w:val="nil"/>
              <w:bottom w:val="nil"/>
              <w:right w:val="nil"/>
            </w:tcBorders>
            <w:noWrap/>
            <w:vAlign w:val="center"/>
            <w:hideMark/>
          </w:tcPr>
          <w:p w14:paraId="26BAFE9F" w14:textId="71E33708"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-1,0</w:t>
            </w:r>
          </w:p>
        </w:tc>
        <w:tc>
          <w:tcPr>
            <w:tcW w:w="1453" w:type="dxa"/>
            <w:tcBorders>
              <w:top w:val="nil"/>
              <w:left w:val="single" w:sz="4" w:space="0" w:color="auto"/>
              <w:bottom w:val="nil"/>
              <w:right w:val="nil"/>
            </w:tcBorders>
            <w:noWrap/>
            <w:vAlign w:val="center"/>
            <w:hideMark/>
          </w:tcPr>
          <w:p w14:paraId="6EC6EAAF" w14:textId="4D81D7AE" w:rsidR="003D7549" w:rsidRPr="003D7549" w:rsidRDefault="003D7549" w:rsidP="003D7549">
            <w:pPr>
              <w:spacing w:after="0" w:line="240" w:lineRule="auto"/>
              <w:rPr>
                <w:sz w:val="20"/>
                <w:szCs w:val="20"/>
                <w:lang w:eastAsia="sk-SK"/>
              </w:rPr>
            </w:pPr>
            <w:r>
              <w:rPr>
                <w:sz w:val="20"/>
                <w:szCs w:val="20"/>
              </w:rPr>
              <w:t>Nemecko</w:t>
            </w:r>
          </w:p>
        </w:tc>
        <w:tc>
          <w:tcPr>
            <w:tcW w:w="843" w:type="dxa"/>
            <w:tcBorders>
              <w:top w:val="nil"/>
              <w:left w:val="nil"/>
              <w:bottom w:val="nil"/>
              <w:right w:val="nil"/>
            </w:tcBorders>
            <w:noWrap/>
            <w:vAlign w:val="center"/>
            <w:hideMark/>
          </w:tcPr>
          <w:p w14:paraId="60261C01" w14:textId="60721C5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64,4</w:t>
            </w:r>
          </w:p>
        </w:tc>
        <w:tc>
          <w:tcPr>
            <w:tcW w:w="843" w:type="dxa"/>
            <w:tcBorders>
              <w:top w:val="nil"/>
              <w:left w:val="nil"/>
              <w:bottom w:val="nil"/>
              <w:right w:val="nil"/>
            </w:tcBorders>
            <w:noWrap/>
            <w:vAlign w:val="center"/>
            <w:hideMark/>
          </w:tcPr>
          <w:p w14:paraId="310D49E0" w14:textId="425164FF"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62,3</w:t>
            </w:r>
          </w:p>
        </w:tc>
        <w:tc>
          <w:tcPr>
            <w:tcW w:w="864" w:type="dxa"/>
            <w:tcBorders>
              <w:top w:val="nil"/>
              <w:left w:val="nil"/>
              <w:bottom w:val="nil"/>
              <w:right w:val="nil"/>
            </w:tcBorders>
            <w:noWrap/>
            <w:vAlign w:val="center"/>
            <w:hideMark/>
          </w:tcPr>
          <w:p w14:paraId="65D7E559" w14:textId="57375D70"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62,2</w:t>
            </w:r>
          </w:p>
        </w:tc>
        <w:tc>
          <w:tcPr>
            <w:tcW w:w="799" w:type="dxa"/>
            <w:tcBorders>
              <w:top w:val="nil"/>
              <w:left w:val="nil"/>
              <w:bottom w:val="nil"/>
              <w:right w:val="single" w:sz="4" w:space="0" w:color="auto"/>
            </w:tcBorders>
            <w:noWrap/>
            <w:vAlign w:val="center"/>
            <w:hideMark/>
          </w:tcPr>
          <w:p w14:paraId="26867268" w14:textId="19709BF1"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-0,1</w:t>
            </w:r>
          </w:p>
        </w:tc>
      </w:tr>
      <w:tr w:rsidR="003D7549" w:rsidRPr="00174C84" w14:paraId="5354D17C" w14:textId="77777777" w:rsidTr="00E6283D">
        <w:trPr>
          <w:trHeight w:val="307"/>
        </w:trPr>
        <w:tc>
          <w:tcPr>
            <w:tcW w:w="1542" w:type="dxa"/>
            <w:tcBorders>
              <w:top w:val="nil"/>
              <w:left w:val="single" w:sz="4" w:space="0" w:color="auto"/>
              <w:bottom w:val="nil"/>
              <w:right w:val="nil"/>
            </w:tcBorders>
            <w:noWrap/>
            <w:vAlign w:val="center"/>
            <w:hideMark/>
          </w:tcPr>
          <w:p w14:paraId="3A2B7746" w14:textId="3A37EEAF" w:rsidR="003D7549" w:rsidRPr="00174C84" w:rsidRDefault="003D7549" w:rsidP="003D7549">
            <w:pPr>
              <w:spacing w:after="0" w:line="240" w:lineRule="auto"/>
              <w:rPr>
                <w:sz w:val="20"/>
                <w:szCs w:val="20"/>
                <w:highlight w:val="yellow"/>
                <w:lang w:eastAsia="sk-SK"/>
              </w:rPr>
            </w:pPr>
            <w:r>
              <w:rPr>
                <w:sz w:val="20"/>
                <w:szCs w:val="20"/>
              </w:rPr>
              <w:t>Nemecko</w:t>
            </w:r>
          </w:p>
        </w:tc>
        <w:tc>
          <w:tcPr>
            <w:tcW w:w="764" w:type="dxa"/>
            <w:tcBorders>
              <w:top w:val="nil"/>
              <w:left w:val="nil"/>
              <w:bottom w:val="nil"/>
              <w:right w:val="nil"/>
            </w:tcBorders>
            <w:noWrap/>
            <w:vAlign w:val="center"/>
            <w:hideMark/>
          </w:tcPr>
          <w:p w14:paraId="308B9019" w14:textId="57BD994F"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-1,9</w:t>
            </w:r>
          </w:p>
        </w:tc>
        <w:tc>
          <w:tcPr>
            <w:tcW w:w="826" w:type="dxa"/>
            <w:tcBorders>
              <w:top w:val="nil"/>
              <w:left w:val="nil"/>
              <w:bottom w:val="nil"/>
              <w:right w:val="nil"/>
            </w:tcBorders>
            <w:noWrap/>
            <w:vAlign w:val="center"/>
            <w:hideMark/>
          </w:tcPr>
          <w:p w14:paraId="7523D67C" w14:textId="22986A78"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-2,5</w:t>
            </w:r>
          </w:p>
        </w:tc>
        <w:tc>
          <w:tcPr>
            <w:tcW w:w="742" w:type="dxa"/>
            <w:tcBorders>
              <w:top w:val="nil"/>
              <w:left w:val="nil"/>
              <w:bottom w:val="nil"/>
              <w:right w:val="nil"/>
            </w:tcBorders>
            <w:noWrap/>
            <w:vAlign w:val="center"/>
            <w:hideMark/>
          </w:tcPr>
          <w:p w14:paraId="7AE85738" w14:textId="4D46C13B"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-2,7</w:t>
            </w:r>
          </w:p>
        </w:tc>
        <w:tc>
          <w:tcPr>
            <w:tcW w:w="728" w:type="dxa"/>
            <w:tcBorders>
              <w:top w:val="nil"/>
              <w:left w:val="nil"/>
              <w:bottom w:val="nil"/>
              <w:right w:val="nil"/>
            </w:tcBorders>
            <w:noWrap/>
            <w:vAlign w:val="center"/>
            <w:hideMark/>
          </w:tcPr>
          <w:p w14:paraId="3E66E911" w14:textId="130F7C2E"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-0,2</w:t>
            </w:r>
          </w:p>
        </w:tc>
        <w:tc>
          <w:tcPr>
            <w:tcW w:w="1453" w:type="dxa"/>
            <w:tcBorders>
              <w:top w:val="nil"/>
              <w:left w:val="single" w:sz="4" w:space="0" w:color="auto"/>
              <w:bottom w:val="nil"/>
              <w:right w:val="nil"/>
            </w:tcBorders>
            <w:shd w:val="clear" w:color="auto" w:fill="D9D9D9" w:themeFill="background1" w:themeFillShade="D9"/>
            <w:noWrap/>
            <w:vAlign w:val="center"/>
            <w:hideMark/>
          </w:tcPr>
          <w:p w14:paraId="0D081668" w14:textId="7AFC1CF9" w:rsidR="003D7549" w:rsidRPr="003D7549" w:rsidRDefault="003D7549" w:rsidP="003D7549">
            <w:pPr>
              <w:spacing w:after="0" w:line="240" w:lineRule="auto"/>
              <w:rPr>
                <w:sz w:val="20"/>
                <w:szCs w:val="20"/>
                <w:lang w:eastAsia="sk-SK"/>
              </w:rPr>
            </w:pPr>
            <w:r>
              <w:rPr>
                <w:b/>
                <w:bCs/>
                <w:sz w:val="20"/>
                <w:szCs w:val="20"/>
              </w:rPr>
              <w:t>Slovensko</w:t>
            </w:r>
          </w:p>
        </w:tc>
        <w:tc>
          <w:tcPr>
            <w:tcW w:w="843" w:type="dxa"/>
            <w:tcBorders>
              <w:top w:val="nil"/>
              <w:left w:val="nil"/>
              <w:bottom w:val="nil"/>
              <w:right w:val="nil"/>
            </w:tcBorders>
            <w:shd w:val="clear" w:color="auto" w:fill="D9D9D9" w:themeFill="background1" w:themeFillShade="D9"/>
            <w:noWrap/>
            <w:vAlign w:val="center"/>
            <w:hideMark/>
          </w:tcPr>
          <w:p w14:paraId="0A505679" w14:textId="0A0D8402" w:rsidR="003D7549" w:rsidRPr="003D7549" w:rsidRDefault="003D7549" w:rsidP="003D7549">
            <w:pPr>
              <w:spacing w:after="0" w:line="240" w:lineRule="auto"/>
              <w:ind w:firstLineChars="100" w:firstLine="201"/>
              <w:jc w:val="right"/>
              <w:rPr>
                <w:color w:val="000000"/>
                <w:sz w:val="20"/>
                <w:szCs w:val="20"/>
                <w:lang w:eastAsia="sk-SK"/>
              </w:rPr>
            </w:pPr>
            <w:r>
              <w:rPr>
                <w:b/>
                <w:bCs/>
                <w:color w:val="000000"/>
                <w:sz w:val="20"/>
                <w:szCs w:val="20"/>
              </w:rPr>
              <w:t>57,8</w:t>
            </w:r>
          </w:p>
        </w:tc>
        <w:tc>
          <w:tcPr>
            <w:tcW w:w="843" w:type="dxa"/>
            <w:tcBorders>
              <w:top w:val="nil"/>
              <w:left w:val="nil"/>
              <w:bottom w:val="nil"/>
              <w:right w:val="nil"/>
            </w:tcBorders>
            <w:shd w:val="clear" w:color="auto" w:fill="D9D9D9" w:themeFill="background1" w:themeFillShade="D9"/>
            <w:noWrap/>
            <w:vAlign w:val="center"/>
            <w:hideMark/>
          </w:tcPr>
          <w:p w14:paraId="47120665" w14:textId="38AA5762" w:rsidR="003D7549" w:rsidRPr="003D7549" w:rsidRDefault="003D7549" w:rsidP="003D7549">
            <w:pPr>
              <w:spacing w:after="0" w:line="240" w:lineRule="auto"/>
              <w:ind w:firstLineChars="100" w:firstLine="201"/>
              <w:jc w:val="right"/>
              <w:rPr>
                <w:color w:val="000000"/>
                <w:sz w:val="20"/>
                <w:szCs w:val="20"/>
                <w:lang w:eastAsia="sk-SK"/>
              </w:rPr>
            </w:pPr>
            <w:r>
              <w:rPr>
                <w:b/>
                <w:bCs/>
                <w:color w:val="000000"/>
                <w:sz w:val="20"/>
                <w:szCs w:val="20"/>
              </w:rPr>
              <w:t>55,8</w:t>
            </w:r>
          </w:p>
        </w:tc>
        <w:tc>
          <w:tcPr>
            <w:tcW w:w="864" w:type="dxa"/>
            <w:tcBorders>
              <w:top w:val="nil"/>
              <w:left w:val="nil"/>
              <w:bottom w:val="nil"/>
              <w:right w:val="nil"/>
            </w:tcBorders>
            <w:shd w:val="clear" w:color="auto" w:fill="D9D9D9" w:themeFill="background1" w:themeFillShade="D9"/>
            <w:noWrap/>
            <w:vAlign w:val="center"/>
            <w:hideMark/>
          </w:tcPr>
          <w:p w14:paraId="198C3180" w14:textId="2FC1DF03" w:rsidR="003D7549" w:rsidRPr="003D7549" w:rsidRDefault="003D7549" w:rsidP="003D7549">
            <w:pPr>
              <w:spacing w:after="0" w:line="240" w:lineRule="auto"/>
              <w:ind w:firstLineChars="100" w:firstLine="201"/>
              <w:jc w:val="right"/>
              <w:rPr>
                <w:color w:val="000000"/>
                <w:sz w:val="20"/>
                <w:szCs w:val="20"/>
                <w:lang w:eastAsia="sk-SK"/>
              </w:rPr>
            </w:pPr>
            <w:r>
              <w:rPr>
                <w:b/>
                <w:bCs/>
                <w:color w:val="000000"/>
                <w:sz w:val="20"/>
                <w:szCs w:val="20"/>
              </w:rPr>
              <w:t>59,7</w:t>
            </w:r>
          </w:p>
        </w:tc>
        <w:tc>
          <w:tcPr>
            <w:tcW w:w="799" w:type="dxa"/>
            <w:tcBorders>
              <w:top w:val="nil"/>
              <w:left w:val="nil"/>
              <w:bottom w:val="nil"/>
              <w:right w:val="single" w:sz="4" w:space="0" w:color="auto"/>
            </w:tcBorders>
            <w:shd w:val="clear" w:color="auto" w:fill="D9D9D9" w:themeFill="background1" w:themeFillShade="D9"/>
            <w:noWrap/>
            <w:vAlign w:val="center"/>
            <w:hideMark/>
          </w:tcPr>
          <w:p w14:paraId="3253C90D" w14:textId="6AD4A75F" w:rsidR="003D7549" w:rsidRPr="003D7549" w:rsidRDefault="003D7549" w:rsidP="003D7549">
            <w:pPr>
              <w:tabs>
                <w:tab w:val="decimal" w:pos="230"/>
              </w:tabs>
              <w:spacing w:after="0" w:line="240" w:lineRule="auto"/>
              <w:ind w:right="32" w:firstLineChars="100" w:firstLine="200"/>
              <w:jc w:val="right"/>
              <w:rPr>
                <w:color w:val="FF0000"/>
                <w:sz w:val="20"/>
                <w:szCs w:val="20"/>
                <w:lang w:eastAsia="sk-SK"/>
              </w:rPr>
            </w:pPr>
            <w:r>
              <w:rPr>
                <w:color w:val="FF0000"/>
                <w:sz w:val="20"/>
                <w:szCs w:val="20"/>
              </w:rPr>
              <w:t>3,9</w:t>
            </w:r>
          </w:p>
        </w:tc>
      </w:tr>
      <w:tr w:rsidR="003D7549" w:rsidRPr="00174C84" w14:paraId="42743BD9" w14:textId="77777777" w:rsidTr="003D7549">
        <w:trPr>
          <w:trHeight w:val="307"/>
        </w:trPr>
        <w:tc>
          <w:tcPr>
            <w:tcW w:w="1542" w:type="dxa"/>
            <w:tcBorders>
              <w:top w:val="nil"/>
              <w:left w:val="single" w:sz="4" w:space="0" w:color="auto"/>
              <w:bottom w:val="nil"/>
              <w:right w:val="nil"/>
            </w:tcBorders>
            <w:noWrap/>
            <w:vAlign w:val="center"/>
            <w:hideMark/>
          </w:tcPr>
          <w:p w14:paraId="77F5731C" w14:textId="46C690F5" w:rsidR="003D7549" w:rsidRPr="00174C84" w:rsidRDefault="003D7549" w:rsidP="003D7549">
            <w:pPr>
              <w:spacing w:after="0" w:line="240" w:lineRule="auto"/>
              <w:rPr>
                <w:sz w:val="20"/>
                <w:szCs w:val="20"/>
                <w:highlight w:val="yellow"/>
                <w:lang w:eastAsia="sk-SK"/>
              </w:rPr>
            </w:pPr>
            <w:r>
              <w:rPr>
                <w:sz w:val="20"/>
                <w:szCs w:val="20"/>
              </w:rPr>
              <w:t>Česká republika</w:t>
            </w:r>
          </w:p>
        </w:tc>
        <w:tc>
          <w:tcPr>
            <w:tcW w:w="764" w:type="dxa"/>
            <w:tcBorders>
              <w:top w:val="nil"/>
              <w:left w:val="nil"/>
              <w:bottom w:val="nil"/>
              <w:right w:val="nil"/>
            </w:tcBorders>
            <w:noWrap/>
            <w:vAlign w:val="center"/>
            <w:hideMark/>
          </w:tcPr>
          <w:p w14:paraId="1E4DFD0C" w14:textId="737D5C5A"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-3,1</w:t>
            </w:r>
          </w:p>
        </w:tc>
        <w:tc>
          <w:tcPr>
            <w:tcW w:w="826" w:type="dxa"/>
            <w:tcBorders>
              <w:top w:val="nil"/>
              <w:left w:val="nil"/>
              <w:bottom w:val="nil"/>
              <w:right w:val="nil"/>
            </w:tcBorders>
            <w:noWrap/>
            <w:vAlign w:val="center"/>
            <w:hideMark/>
          </w:tcPr>
          <w:p w14:paraId="30F18336" w14:textId="3DFD4EFE"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-3,7</w:t>
            </w:r>
          </w:p>
        </w:tc>
        <w:tc>
          <w:tcPr>
            <w:tcW w:w="742" w:type="dxa"/>
            <w:tcBorders>
              <w:top w:val="nil"/>
              <w:left w:val="nil"/>
              <w:bottom w:val="nil"/>
              <w:right w:val="nil"/>
            </w:tcBorders>
            <w:noWrap/>
            <w:vAlign w:val="center"/>
            <w:hideMark/>
          </w:tcPr>
          <w:p w14:paraId="3C437DE4" w14:textId="6B7C8D70"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-2,0</w:t>
            </w:r>
          </w:p>
        </w:tc>
        <w:tc>
          <w:tcPr>
            <w:tcW w:w="728" w:type="dxa"/>
            <w:tcBorders>
              <w:top w:val="nil"/>
              <w:left w:val="nil"/>
              <w:bottom w:val="nil"/>
              <w:right w:val="nil"/>
            </w:tcBorders>
            <w:noWrap/>
            <w:vAlign w:val="center"/>
            <w:hideMark/>
          </w:tcPr>
          <w:p w14:paraId="0441746A" w14:textId="6AB44F18" w:rsidR="003D7549" w:rsidRPr="00174C84" w:rsidRDefault="003D7549" w:rsidP="003D7549">
            <w:pPr>
              <w:spacing w:after="0" w:line="240" w:lineRule="auto"/>
              <w:ind w:firstLineChars="100" w:firstLine="200"/>
              <w:jc w:val="center"/>
              <w:rPr>
                <w:color w:val="FF0000"/>
                <w:sz w:val="20"/>
                <w:szCs w:val="20"/>
                <w:highlight w:val="yellow"/>
                <w:lang w:eastAsia="sk-SK"/>
              </w:rPr>
            </w:pPr>
            <w:r>
              <w:rPr>
                <w:color w:val="00B050"/>
                <w:sz w:val="20"/>
                <w:szCs w:val="20"/>
              </w:rPr>
              <w:t>1,7</w:t>
            </w:r>
          </w:p>
        </w:tc>
        <w:tc>
          <w:tcPr>
            <w:tcW w:w="1453" w:type="dxa"/>
            <w:tcBorders>
              <w:top w:val="nil"/>
              <w:left w:val="single" w:sz="4" w:space="0" w:color="auto"/>
              <w:bottom w:val="nil"/>
              <w:right w:val="nil"/>
            </w:tcBorders>
            <w:noWrap/>
            <w:vAlign w:val="center"/>
            <w:hideMark/>
          </w:tcPr>
          <w:p w14:paraId="5E1BBF27" w14:textId="7596877D" w:rsidR="003D7549" w:rsidRPr="003D7549" w:rsidRDefault="003D7549" w:rsidP="003D7549">
            <w:pPr>
              <w:spacing w:after="0" w:line="240" w:lineRule="auto"/>
              <w:rPr>
                <w:b/>
                <w:bCs/>
                <w:sz w:val="20"/>
                <w:szCs w:val="20"/>
                <w:lang w:eastAsia="sk-SK"/>
              </w:rPr>
            </w:pPr>
            <w:r>
              <w:rPr>
                <w:sz w:val="20"/>
                <w:szCs w:val="20"/>
              </w:rPr>
              <w:t>Chorvátsko</w:t>
            </w:r>
          </w:p>
        </w:tc>
        <w:tc>
          <w:tcPr>
            <w:tcW w:w="843" w:type="dxa"/>
            <w:tcBorders>
              <w:top w:val="nil"/>
              <w:left w:val="nil"/>
              <w:bottom w:val="nil"/>
              <w:right w:val="nil"/>
            </w:tcBorders>
            <w:noWrap/>
            <w:vAlign w:val="center"/>
            <w:hideMark/>
          </w:tcPr>
          <w:p w14:paraId="6981214B" w14:textId="554EB490" w:rsidR="003D7549" w:rsidRPr="003D7549" w:rsidRDefault="003D7549" w:rsidP="003D7549">
            <w:pPr>
              <w:spacing w:after="0" w:line="240" w:lineRule="auto"/>
              <w:ind w:firstLineChars="100" w:firstLine="200"/>
              <w:jc w:val="right"/>
              <w:rPr>
                <w:b/>
                <w:bCs/>
                <w:color w:val="000000"/>
                <w:sz w:val="20"/>
                <w:szCs w:val="20"/>
                <w:lang w:eastAsia="sk-SK"/>
              </w:rPr>
            </w:pPr>
            <w:r>
              <w:rPr>
                <w:color w:val="000000"/>
                <w:sz w:val="20"/>
                <w:szCs w:val="20"/>
              </w:rPr>
              <w:t>68,5</w:t>
            </w:r>
          </w:p>
        </w:tc>
        <w:tc>
          <w:tcPr>
            <w:tcW w:w="843" w:type="dxa"/>
            <w:tcBorders>
              <w:top w:val="nil"/>
              <w:left w:val="nil"/>
              <w:bottom w:val="nil"/>
              <w:right w:val="nil"/>
            </w:tcBorders>
            <w:noWrap/>
            <w:vAlign w:val="center"/>
            <w:hideMark/>
          </w:tcPr>
          <w:p w14:paraId="19E72A31" w14:textId="75BA46C6" w:rsidR="003D7549" w:rsidRPr="003D7549" w:rsidRDefault="003D7549" w:rsidP="003D7549">
            <w:pPr>
              <w:spacing w:after="0" w:line="240" w:lineRule="auto"/>
              <w:ind w:firstLineChars="100" w:firstLine="200"/>
              <w:jc w:val="right"/>
              <w:rPr>
                <w:b/>
                <w:bCs/>
                <w:color w:val="000000"/>
                <w:sz w:val="20"/>
                <w:szCs w:val="20"/>
                <w:lang w:eastAsia="sk-SK"/>
              </w:rPr>
            </w:pPr>
            <w:r>
              <w:rPr>
                <w:color w:val="000000"/>
                <w:sz w:val="20"/>
                <w:szCs w:val="20"/>
              </w:rPr>
              <w:t>60,9</w:t>
            </w:r>
          </w:p>
        </w:tc>
        <w:tc>
          <w:tcPr>
            <w:tcW w:w="864" w:type="dxa"/>
            <w:tcBorders>
              <w:top w:val="nil"/>
              <w:left w:val="nil"/>
              <w:bottom w:val="nil"/>
              <w:right w:val="nil"/>
            </w:tcBorders>
            <w:noWrap/>
            <w:vAlign w:val="center"/>
            <w:hideMark/>
          </w:tcPr>
          <w:p w14:paraId="544A5B83" w14:textId="7ED572FD" w:rsidR="003D7549" w:rsidRPr="003D7549" w:rsidRDefault="003D7549" w:rsidP="003D7549">
            <w:pPr>
              <w:spacing w:after="0" w:line="240" w:lineRule="auto"/>
              <w:ind w:firstLineChars="100" w:firstLine="200"/>
              <w:jc w:val="right"/>
              <w:rPr>
                <w:b/>
                <w:bCs/>
                <w:color w:val="000000"/>
                <w:sz w:val="20"/>
                <w:szCs w:val="20"/>
                <w:lang w:eastAsia="sk-SK"/>
              </w:rPr>
            </w:pPr>
            <w:r>
              <w:rPr>
                <w:color w:val="000000"/>
                <w:sz w:val="20"/>
                <w:szCs w:val="20"/>
              </w:rPr>
              <w:t>57,4</w:t>
            </w:r>
          </w:p>
        </w:tc>
        <w:tc>
          <w:tcPr>
            <w:tcW w:w="799" w:type="dxa"/>
            <w:tcBorders>
              <w:top w:val="nil"/>
              <w:left w:val="nil"/>
              <w:bottom w:val="nil"/>
              <w:right w:val="single" w:sz="4" w:space="0" w:color="auto"/>
            </w:tcBorders>
            <w:noWrap/>
            <w:vAlign w:val="center"/>
            <w:hideMark/>
          </w:tcPr>
          <w:p w14:paraId="43A595E5" w14:textId="42776098" w:rsidR="003D7549" w:rsidRPr="003D7549" w:rsidRDefault="003D7549" w:rsidP="003D7549">
            <w:pPr>
              <w:tabs>
                <w:tab w:val="decimal" w:pos="230"/>
              </w:tabs>
              <w:spacing w:after="0" w:line="240" w:lineRule="auto"/>
              <w:ind w:right="32" w:firstLineChars="100" w:firstLine="200"/>
              <w:jc w:val="right"/>
              <w:rPr>
                <w:b/>
                <w:color w:val="FF0000"/>
                <w:sz w:val="20"/>
                <w:szCs w:val="20"/>
                <w:lang w:eastAsia="sk-SK"/>
              </w:rPr>
            </w:pPr>
            <w:r>
              <w:rPr>
                <w:color w:val="00B050"/>
                <w:sz w:val="20"/>
                <w:szCs w:val="20"/>
              </w:rPr>
              <w:t>-3,5</w:t>
            </w:r>
          </w:p>
        </w:tc>
      </w:tr>
      <w:tr w:rsidR="003D7549" w:rsidRPr="00174C84" w14:paraId="7C2DD494" w14:textId="77777777" w:rsidTr="002847E9">
        <w:trPr>
          <w:trHeight w:val="307"/>
        </w:trPr>
        <w:tc>
          <w:tcPr>
            <w:tcW w:w="1542" w:type="dxa"/>
            <w:tcBorders>
              <w:top w:val="nil"/>
              <w:left w:val="single" w:sz="4" w:space="0" w:color="auto"/>
              <w:bottom w:val="nil"/>
              <w:right w:val="nil"/>
            </w:tcBorders>
            <w:noWrap/>
            <w:vAlign w:val="center"/>
            <w:hideMark/>
          </w:tcPr>
          <w:p w14:paraId="0028BC84" w14:textId="3D421331" w:rsidR="003D7549" w:rsidRPr="00174C84" w:rsidRDefault="003D7549" w:rsidP="003D7549">
            <w:pPr>
              <w:spacing w:after="0" w:line="240" w:lineRule="auto"/>
              <w:rPr>
                <w:sz w:val="20"/>
                <w:szCs w:val="20"/>
                <w:highlight w:val="yellow"/>
                <w:lang w:eastAsia="sk-SK"/>
              </w:rPr>
            </w:pPr>
            <w:r>
              <w:rPr>
                <w:sz w:val="20"/>
                <w:szCs w:val="20"/>
              </w:rPr>
              <w:t>Chorvátsko</w:t>
            </w:r>
          </w:p>
        </w:tc>
        <w:tc>
          <w:tcPr>
            <w:tcW w:w="764" w:type="dxa"/>
            <w:tcBorders>
              <w:top w:val="nil"/>
              <w:left w:val="nil"/>
              <w:bottom w:val="nil"/>
              <w:right w:val="nil"/>
            </w:tcBorders>
            <w:noWrap/>
            <w:vAlign w:val="center"/>
            <w:hideMark/>
          </w:tcPr>
          <w:p w14:paraId="35D4CEC6" w14:textId="7E727FB4"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0,1</w:t>
            </w:r>
          </w:p>
        </w:tc>
        <w:tc>
          <w:tcPr>
            <w:tcW w:w="826" w:type="dxa"/>
            <w:tcBorders>
              <w:top w:val="nil"/>
              <w:left w:val="nil"/>
              <w:bottom w:val="nil"/>
              <w:right w:val="nil"/>
            </w:tcBorders>
            <w:noWrap/>
            <w:vAlign w:val="center"/>
            <w:hideMark/>
          </w:tcPr>
          <w:p w14:paraId="400D4BF6" w14:textId="7872E31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-0,8</w:t>
            </w:r>
          </w:p>
        </w:tc>
        <w:tc>
          <w:tcPr>
            <w:tcW w:w="742" w:type="dxa"/>
            <w:tcBorders>
              <w:top w:val="nil"/>
              <w:left w:val="nil"/>
              <w:bottom w:val="nil"/>
              <w:right w:val="nil"/>
            </w:tcBorders>
            <w:noWrap/>
            <w:vAlign w:val="center"/>
            <w:hideMark/>
          </w:tcPr>
          <w:p w14:paraId="5927EFE9" w14:textId="2BD4118B"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-1,9</w:t>
            </w:r>
          </w:p>
        </w:tc>
        <w:tc>
          <w:tcPr>
            <w:tcW w:w="728" w:type="dxa"/>
            <w:tcBorders>
              <w:top w:val="nil"/>
              <w:left w:val="nil"/>
              <w:bottom w:val="nil"/>
              <w:right w:val="nil"/>
            </w:tcBorders>
            <w:noWrap/>
            <w:vAlign w:val="center"/>
            <w:hideMark/>
          </w:tcPr>
          <w:p w14:paraId="6C2BABC9" w14:textId="1D247BD7"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-1,1</w:t>
            </w:r>
          </w:p>
        </w:tc>
        <w:tc>
          <w:tcPr>
            <w:tcW w:w="1453" w:type="dxa"/>
            <w:tcBorders>
              <w:top w:val="nil"/>
              <w:left w:val="single" w:sz="4" w:space="0" w:color="auto"/>
              <w:bottom w:val="nil"/>
              <w:right w:val="nil"/>
            </w:tcBorders>
            <w:noWrap/>
            <w:vAlign w:val="center"/>
            <w:hideMark/>
          </w:tcPr>
          <w:p w14:paraId="626A3EAB" w14:textId="2F9E2F5C" w:rsidR="003D7549" w:rsidRPr="003D7549" w:rsidRDefault="003D7549" w:rsidP="003D7549">
            <w:pPr>
              <w:spacing w:after="0" w:line="240" w:lineRule="auto"/>
              <w:rPr>
                <w:sz w:val="20"/>
                <w:szCs w:val="20"/>
                <w:lang w:eastAsia="sk-SK"/>
              </w:rPr>
            </w:pPr>
            <w:r>
              <w:rPr>
                <w:sz w:val="20"/>
                <w:szCs w:val="20"/>
              </w:rPr>
              <w:t>Poľsko</w:t>
            </w:r>
          </w:p>
        </w:tc>
        <w:tc>
          <w:tcPr>
            <w:tcW w:w="843" w:type="dxa"/>
            <w:tcBorders>
              <w:top w:val="nil"/>
              <w:left w:val="nil"/>
              <w:bottom w:val="nil"/>
              <w:right w:val="nil"/>
            </w:tcBorders>
            <w:noWrap/>
            <w:vAlign w:val="center"/>
            <w:hideMark/>
          </w:tcPr>
          <w:p w14:paraId="20F321AE" w14:textId="228BD4A8"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48,8</w:t>
            </w:r>
          </w:p>
        </w:tc>
        <w:tc>
          <w:tcPr>
            <w:tcW w:w="843" w:type="dxa"/>
            <w:tcBorders>
              <w:top w:val="nil"/>
              <w:left w:val="nil"/>
              <w:bottom w:val="nil"/>
              <w:right w:val="nil"/>
            </w:tcBorders>
            <w:noWrap/>
            <w:vAlign w:val="center"/>
            <w:hideMark/>
          </w:tcPr>
          <w:p w14:paraId="2A5FD7D8" w14:textId="1F1C9924"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49,5</w:t>
            </w:r>
          </w:p>
        </w:tc>
        <w:tc>
          <w:tcPr>
            <w:tcW w:w="864" w:type="dxa"/>
            <w:tcBorders>
              <w:top w:val="nil"/>
              <w:left w:val="nil"/>
              <w:bottom w:val="nil"/>
              <w:right w:val="nil"/>
            </w:tcBorders>
            <w:noWrap/>
            <w:vAlign w:val="center"/>
            <w:hideMark/>
          </w:tcPr>
          <w:p w14:paraId="39E845D2" w14:textId="54CD0E4E"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55,1</w:t>
            </w:r>
          </w:p>
        </w:tc>
        <w:tc>
          <w:tcPr>
            <w:tcW w:w="799" w:type="dxa"/>
            <w:tcBorders>
              <w:top w:val="nil"/>
              <w:left w:val="nil"/>
              <w:bottom w:val="nil"/>
              <w:right w:val="single" w:sz="4" w:space="0" w:color="auto"/>
            </w:tcBorders>
            <w:noWrap/>
            <w:vAlign w:val="center"/>
            <w:hideMark/>
          </w:tcPr>
          <w:p w14:paraId="1ECB66A7" w14:textId="0287A7BF" w:rsidR="003D7549" w:rsidRPr="003D7549" w:rsidRDefault="003D7549" w:rsidP="003D7549">
            <w:pPr>
              <w:tabs>
                <w:tab w:val="decimal" w:pos="230"/>
              </w:tabs>
              <w:spacing w:after="0" w:line="240" w:lineRule="auto"/>
              <w:ind w:right="32" w:firstLineChars="100" w:firstLine="200"/>
              <w:jc w:val="right"/>
              <w:rPr>
                <w:color w:val="FF0000"/>
                <w:sz w:val="20"/>
                <w:szCs w:val="20"/>
                <w:lang w:eastAsia="sk-SK"/>
              </w:rPr>
            </w:pPr>
            <w:r>
              <w:rPr>
                <w:color w:val="FF0000"/>
                <w:sz w:val="20"/>
                <w:szCs w:val="20"/>
              </w:rPr>
              <w:t>5,6</w:t>
            </w:r>
          </w:p>
        </w:tc>
      </w:tr>
      <w:tr w:rsidR="003D7549" w:rsidRPr="00174C84" w14:paraId="1AD76A5E" w14:textId="77777777" w:rsidTr="002847E9">
        <w:trPr>
          <w:trHeight w:val="307"/>
        </w:trPr>
        <w:tc>
          <w:tcPr>
            <w:tcW w:w="1542" w:type="dxa"/>
            <w:tcBorders>
              <w:top w:val="nil"/>
              <w:left w:val="single" w:sz="4" w:space="0" w:color="auto"/>
              <w:bottom w:val="nil"/>
              <w:right w:val="nil"/>
            </w:tcBorders>
            <w:noWrap/>
            <w:vAlign w:val="center"/>
            <w:hideMark/>
          </w:tcPr>
          <w:p w14:paraId="05412FA6" w14:textId="3FBDD5C5" w:rsidR="003D7549" w:rsidRPr="00174C84" w:rsidRDefault="003D7549" w:rsidP="003D7549">
            <w:pPr>
              <w:spacing w:after="0" w:line="240" w:lineRule="auto"/>
              <w:rPr>
                <w:sz w:val="20"/>
                <w:szCs w:val="20"/>
                <w:highlight w:val="yellow"/>
                <w:lang w:eastAsia="sk-SK"/>
              </w:rPr>
            </w:pPr>
            <w:r>
              <w:rPr>
                <w:sz w:val="20"/>
                <w:szCs w:val="20"/>
              </w:rPr>
              <w:t>Lotyšsko</w:t>
            </w:r>
          </w:p>
        </w:tc>
        <w:tc>
          <w:tcPr>
            <w:tcW w:w="764" w:type="dxa"/>
            <w:tcBorders>
              <w:top w:val="nil"/>
              <w:left w:val="nil"/>
              <w:bottom w:val="nil"/>
              <w:right w:val="nil"/>
            </w:tcBorders>
            <w:noWrap/>
            <w:vAlign w:val="center"/>
            <w:hideMark/>
          </w:tcPr>
          <w:p w14:paraId="30CDACC7" w14:textId="6315CE5D"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-4,9</w:t>
            </w:r>
          </w:p>
        </w:tc>
        <w:tc>
          <w:tcPr>
            <w:tcW w:w="826" w:type="dxa"/>
            <w:tcBorders>
              <w:top w:val="nil"/>
              <w:left w:val="nil"/>
              <w:bottom w:val="nil"/>
              <w:right w:val="nil"/>
            </w:tcBorders>
            <w:noWrap/>
            <w:vAlign w:val="center"/>
            <w:hideMark/>
          </w:tcPr>
          <w:p w14:paraId="5D6A0DFB" w14:textId="05C504F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-2,4</w:t>
            </w:r>
          </w:p>
        </w:tc>
        <w:tc>
          <w:tcPr>
            <w:tcW w:w="742" w:type="dxa"/>
            <w:tcBorders>
              <w:top w:val="nil"/>
              <w:left w:val="nil"/>
              <w:bottom w:val="nil"/>
              <w:right w:val="nil"/>
            </w:tcBorders>
            <w:noWrap/>
            <w:vAlign w:val="center"/>
            <w:hideMark/>
          </w:tcPr>
          <w:p w14:paraId="48A73F28" w14:textId="5F6F2922"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-1,8</w:t>
            </w:r>
          </w:p>
        </w:tc>
        <w:tc>
          <w:tcPr>
            <w:tcW w:w="728" w:type="dxa"/>
            <w:tcBorders>
              <w:top w:val="nil"/>
              <w:left w:val="nil"/>
              <w:bottom w:val="nil"/>
              <w:right w:val="nil"/>
            </w:tcBorders>
            <w:noWrap/>
            <w:vAlign w:val="center"/>
            <w:hideMark/>
          </w:tcPr>
          <w:p w14:paraId="532ECDBA" w14:textId="34D71905" w:rsidR="003D7549" w:rsidRPr="00174C84" w:rsidRDefault="003D7549" w:rsidP="003D7549">
            <w:pPr>
              <w:spacing w:after="0" w:line="240" w:lineRule="auto"/>
              <w:ind w:firstLineChars="100" w:firstLine="200"/>
              <w:jc w:val="center"/>
              <w:rPr>
                <w:b/>
                <w:color w:val="00B050"/>
                <w:sz w:val="20"/>
                <w:szCs w:val="20"/>
                <w:highlight w:val="yellow"/>
                <w:lang w:eastAsia="sk-SK"/>
              </w:rPr>
            </w:pPr>
            <w:r>
              <w:rPr>
                <w:color w:val="00B050"/>
                <w:sz w:val="20"/>
                <w:szCs w:val="20"/>
              </w:rPr>
              <w:t>0,6</w:t>
            </w:r>
          </w:p>
        </w:tc>
        <w:tc>
          <w:tcPr>
            <w:tcW w:w="1453" w:type="dxa"/>
            <w:tcBorders>
              <w:top w:val="nil"/>
              <w:left w:val="single" w:sz="4" w:space="0" w:color="auto"/>
              <w:bottom w:val="nil"/>
              <w:right w:val="nil"/>
            </w:tcBorders>
            <w:noWrap/>
            <w:vAlign w:val="center"/>
            <w:hideMark/>
          </w:tcPr>
          <w:p w14:paraId="45973D80" w14:textId="57D09175" w:rsidR="003D7549" w:rsidRPr="003D7549" w:rsidRDefault="003D7549" w:rsidP="003D7549">
            <w:pPr>
              <w:spacing w:after="0" w:line="240" w:lineRule="auto"/>
              <w:rPr>
                <w:sz w:val="20"/>
                <w:szCs w:val="20"/>
                <w:lang w:eastAsia="sk-SK"/>
              </w:rPr>
            </w:pPr>
            <w:r>
              <w:rPr>
                <w:sz w:val="20"/>
                <w:szCs w:val="20"/>
              </w:rPr>
              <w:t>Rumunsko</w:t>
            </w:r>
          </w:p>
        </w:tc>
        <w:tc>
          <w:tcPr>
            <w:tcW w:w="843" w:type="dxa"/>
            <w:tcBorders>
              <w:top w:val="nil"/>
              <w:left w:val="nil"/>
              <w:bottom w:val="nil"/>
              <w:right w:val="nil"/>
            </w:tcBorders>
            <w:noWrap/>
            <w:vAlign w:val="center"/>
            <w:hideMark/>
          </w:tcPr>
          <w:p w14:paraId="561F24AD" w14:textId="168C7CFA"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48,1</w:t>
            </w:r>
          </w:p>
        </w:tc>
        <w:tc>
          <w:tcPr>
            <w:tcW w:w="843" w:type="dxa"/>
            <w:tcBorders>
              <w:top w:val="nil"/>
              <w:left w:val="nil"/>
              <w:bottom w:val="nil"/>
              <w:right w:val="nil"/>
            </w:tcBorders>
            <w:noWrap/>
            <w:vAlign w:val="center"/>
            <w:hideMark/>
          </w:tcPr>
          <w:p w14:paraId="03CEDE23" w14:textId="604F7D4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49,3</w:t>
            </w:r>
          </w:p>
        </w:tc>
        <w:tc>
          <w:tcPr>
            <w:tcW w:w="864" w:type="dxa"/>
            <w:tcBorders>
              <w:top w:val="nil"/>
              <w:left w:val="nil"/>
              <w:bottom w:val="nil"/>
              <w:right w:val="nil"/>
            </w:tcBorders>
            <w:noWrap/>
            <w:vAlign w:val="center"/>
            <w:hideMark/>
          </w:tcPr>
          <w:p w14:paraId="322C9DA9" w14:textId="1B19ED8F"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54,8</w:t>
            </w:r>
          </w:p>
        </w:tc>
        <w:tc>
          <w:tcPr>
            <w:tcW w:w="799" w:type="dxa"/>
            <w:tcBorders>
              <w:top w:val="nil"/>
              <w:left w:val="nil"/>
              <w:bottom w:val="nil"/>
              <w:right w:val="single" w:sz="4" w:space="0" w:color="auto"/>
            </w:tcBorders>
            <w:noWrap/>
            <w:vAlign w:val="center"/>
            <w:hideMark/>
          </w:tcPr>
          <w:p w14:paraId="74A93807" w14:textId="45E57775"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5,5</w:t>
            </w:r>
          </w:p>
        </w:tc>
      </w:tr>
      <w:tr w:rsidR="003D7549" w:rsidRPr="00174C84" w14:paraId="027E7EBB" w14:textId="77777777" w:rsidTr="002847E9">
        <w:trPr>
          <w:trHeight w:val="307"/>
        </w:trPr>
        <w:tc>
          <w:tcPr>
            <w:tcW w:w="1542" w:type="dxa"/>
            <w:tcBorders>
              <w:top w:val="nil"/>
              <w:left w:val="single" w:sz="4" w:space="0" w:color="auto"/>
              <w:bottom w:val="nil"/>
              <w:right w:val="nil"/>
            </w:tcBorders>
            <w:noWrap/>
            <w:vAlign w:val="center"/>
            <w:hideMark/>
          </w:tcPr>
          <w:p w14:paraId="55185B82" w14:textId="6488FBAF" w:rsidR="003D7549" w:rsidRPr="00174C84" w:rsidRDefault="003D7549" w:rsidP="003D7549">
            <w:pPr>
              <w:spacing w:after="0" w:line="240" w:lineRule="auto"/>
              <w:rPr>
                <w:sz w:val="20"/>
                <w:szCs w:val="20"/>
                <w:highlight w:val="yellow"/>
                <w:lang w:eastAsia="sk-SK"/>
              </w:rPr>
            </w:pPr>
            <w:r>
              <w:rPr>
                <w:sz w:val="20"/>
                <w:szCs w:val="20"/>
              </w:rPr>
              <w:t>Estónsko</w:t>
            </w:r>
          </w:p>
        </w:tc>
        <w:tc>
          <w:tcPr>
            <w:tcW w:w="764" w:type="dxa"/>
            <w:tcBorders>
              <w:top w:val="nil"/>
              <w:left w:val="nil"/>
              <w:bottom w:val="nil"/>
              <w:right w:val="nil"/>
            </w:tcBorders>
            <w:noWrap/>
            <w:vAlign w:val="center"/>
            <w:hideMark/>
          </w:tcPr>
          <w:p w14:paraId="227B6F62" w14:textId="1F85F9EF"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-1,0</w:t>
            </w:r>
          </w:p>
        </w:tc>
        <w:tc>
          <w:tcPr>
            <w:tcW w:w="826" w:type="dxa"/>
            <w:tcBorders>
              <w:top w:val="nil"/>
              <w:left w:val="nil"/>
              <w:bottom w:val="nil"/>
              <w:right w:val="nil"/>
            </w:tcBorders>
            <w:noWrap/>
            <w:vAlign w:val="center"/>
            <w:hideMark/>
          </w:tcPr>
          <w:p w14:paraId="746CBE51" w14:textId="22BFA955"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-2,7</w:t>
            </w:r>
          </w:p>
        </w:tc>
        <w:tc>
          <w:tcPr>
            <w:tcW w:w="742" w:type="dxa"/>
            <w:tcBorders>
              <w:top w:val="nil"/>
              <w:left w:val="nil"/>
              <w:bottom w:val="nil"/>
              <w:right w:val="nil"/>
            </w:tcBorders>
            <w:noWrap/>
            <w:vAlign w:val="center"/>
            <w:hideMark/>
          </w:tcPr>
          <w:p w14:paraId="0ACE20B7" w14:textId="1B273F7D"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-1,7</w:t>
            </w:r>
          </w:p>
        </w:tc>
        <w:tc>
          <w:tcPr>
            <w:tcW w:w="728" w:type="dxa"/>
            <w:tcBorders>
              <w:top w:val="nil"/>
              <w:left w:val="nil"/>
              <w:bottom w:val="nil"/>
              <w:right w:val="nil"/>
            </w:tcBorders>
            <w:noWrap/>
            <w:vAlign w:val="center"/>
            <w:hideMark/>
          </w:tcPr>
          <w:p w14:paraId="20C9C68D" w14:textId="6F326140"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1,0</w:t>
            </w:r>
          </w:p>
        </w:tc>
        <w:tc>
          <w:tcPr>
            <w:tcW w:w="1453" w:type="dxa"/>
            <w:tcBorders>
              <w:top w:val="nil"/>
              <w:left w:val="single" w:sz="4" w:space="0" w:color="auto"/>
              <w:bottom w:val="nil"/>
              <w:right w:val="nil"/>
            </w:tcBorders>
            <w:noWrap/>
            <w:vAlign w:val="center"/>
            <w:hideMark/>
          </w:tcPr>
          <w:p w14:paraId="77D2E04B" w14:textId="0D7DEA92" w:rsidR="003D7549" w:rsidRPr="003D7549" w:rsidRDefault="003D7549" w:rsidP="003D7549">
            <w:pPr>
              <w:spacing w:after="0" w:line="240" w:lineRule="auto"/>
              <w:rPr>
                <w:sz w:val="20"/>
                <w:szCs w:val="20"/>
                <w:lang w:eastAsia="sk-SK"/>
              </w:rPr>
            </w:pPr>
            <w:r>
              <w:rPr>
                <w:sz w:val="20"/>
                <w:szCs w:val="20"/>
              </w:rPr>
              <w:t>Lotyšsko</w:t>
            </w:r>
          </w:p>
        </w:tc>
        <w:tc>
          <w:tcPr>
            <w:tcW w:w="843" w:type="dxa"/>
            <w:tcBorders>
              <w:top w:val="nil"/>
              <w:left w:val="nil"/>
              <w:bottom w:val="nil"/>
              <w:right w:val="nil"/>
            </w:tcBorders>
            <w:noWrap/>
            <w:vAlign w:val="center"/>
            <w:hideMark/>
          </w:tcPr>
          <w:p w14:paraId="6FF38B9D" w14:textId="3E46C09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44,4</w:t>
            </w:r>
          </w:p>
        </w:tc>
        <w:tc>
          <w:tcPr>
            <w:tcW w:w="843" w:type="dxa"/>
            <w:tcBorders>
              <w:top w:val="nil"/>
              <w:left w:val="nil"/>
              <w:bottom w:val="nil"/>
              <w:right w:val="nil"/>
            </w:tcBorders>
            <w:noWrap/>
            <w:vAlign w:val="center"/>
            <w:hideMark/>
          </w:tcPr>
          <w:p w14:paraId="6D3FF54D" w14:textId="32AF1046"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44,4</w:t>
            </w:r>
          </w:p>
        </w:tc>
        <w:tc>
          <w:tcPr>
            <w:tcW w:w="864" w:type="dxa"/>
            <w:tcBorders>
              <w:top w:val="nil"/>
              <w:left w:val="nil"/>
              <w:bottom w:val="nil"/>
              <w:right w:val="nil"/>
            </w:tcBorders>
            <w:noWrap/>
            <w:vAlign w:val="center"/>
            <w:hideMark/>
          </w:tcPr>
          <w:p w14:paraId="49B28122" w14:textId="284F9B62"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46,</w:t>
            </w:r>
            <w:r w:rsidR="00C2183D">
              <w:rPr>
                <w:color w:val="000000"/>
                <w:sz w:val="20"/>
                <w:szCs w:val="20"/>
              </w:rPr>
              <w:t>6</w:t>
            </w:r>
          </w:p>
        </w:tc>
        <w:tc>
          <w:tcPr>
            <w:tcW w:w="799" w:type="dxa"/>
            <w:tcBorders>
              <w:top w:val="nil"/>
              <w:left w:val="nil"/>
              <w:bottom w:val="nil"/>
              <w:right w:val="single" w:sz="4" w:space="0" w:color="auto"/>
            </w:tcBorders>
            <w:noWrap/>
            <w:vAlign w:val="center"/>
            <w:hideMark/>
          </w:tcPr>
          <w:p w14:paraId="6010E06C" w14:textId="18229E3B"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2,</w:t>
            </w:r>
            <w:r w:rsidR="00C2183D">
              <w:rPr>
                <w:color w:val="FF0000"/>
                <w:sz w:val="20"/>
                <w:szCs w:val="20"/>
              </w:rPr>
              <w:t>2</w:t>
            </w:r>
          </w:p>
        </w:tc>
      </w:tr>
      <w:tr w:rsidR="003D7549" w:rsidRPr="00174C84" w14:paraId="16866289" w14:textId="77777777" w:rsidTr="002847E9">
        <w:trPr>
          <w:trHeight w:val="307"/>
        </w:trPr>
        <w:tc>
          <w:tcPr>
            <w:tcW w:w="1542" w:type="dxa"/>
            <w:tcBorders>
              <w:top w:val="nil"/>
              <w:left w:val="single" w:sz="4" w:space="0" w:color="auto"/>
              <w:bottom w:val="nil"/>
              <w:right w:val="nil"/>
            </w:tcBorders>
            <w:noWrap/>
            <w:vAlign w:val="center"/>
            <w:hideMark/>
          </w:tcPr>
          <w:p w14:paraId="49D08A33" w14:textId="2B02423C" w:rsidR="003D7549" w:rsidRPr="00174C84" w:rsidRDefault="003D7549" w:rsidP="003D7549">
            <w:pPr>
              <w:spacing w:after="0" w:line="240" w:lineRule="auto"/>
              <w:rPr>
                <w:sz w:val="20"/>
                <w:szCs w:val="20"/>
                <w:highlight w:val="yellow"/>
                <w:lang w:eastAsia="sk-SK"/>
              </w:rPr>
            </w:pPr>
            <w:r>
              <w:rPr>
                <w:sz w:val="20"/>
                <w:szCs w:val="20"/>
              </w:rPr>
              <w:t>Švédsko</w:t>
            </w:r>
          </w:p>
        </w:tc>
        <w:tc>
          <w:tcPr>
            <w:tcW w:w="764" w:type="dxa"/>
            <w:tcBorders>
              <w:top w:val="nil"/>
              <w:left w:val="nil"/>
              <w:bottom w:val="nil"/>
              <w:right w:val="nil"/>
            </w:tcBorders>
            <w:noWrap/>
            <w:vAlign w:val="center"/>
            <w:hideMark/>
          </w:tcPr>
          <w:p w14:paraId="60529E32" w14:textId="5C253B68"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1,0</w:t>
            </w:r>
          </w:p>
        </w:tc>
        <w:tc>
          <w:tcPr>
            <w:tcW w:w="826" w:type="dxa"/>
            <w:tcBorders>
              <w:top w:val="nil"/>
              <w:left w:val="nil"/>
              <w:bottom w:val="nil"/>
              <w:right w:val="nil"/>
            </w:tcBorders>
            <w:noWrap/>
            <w:vAlign w:val="center"/>
            <w:hideMark/>
          </w:tcPr>
          <w:p w14:paraId="5C8BC293" w14:textId="070B1375"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-0,9</w:t>
            </w:r>
          </w:p>
        </w:tc>
        <w:tc>
          <w:tcPr>
            <w:tcW w:w="742" w:type="dxa"/>
            <w:tcBorders>
              <w:top w:val="nil"/>
              <w:left w:val="nil"/>
              <w:bottom w:val="nil"/>
              <w:right w:val="nil"/>
            </w:tcBorders>
            <w:noWrap/>
            <w:vAlign w:val="center"/>
            <w:hideMark/>
          </w:tcPr>
          <w:p w14:paraId="78B45625" w14:textId="51A36022"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-1,6</w:t>
            </w:r>
          </w:p>
        </w:tc>
        <w:tc>
          <w:tcPr>
            <w:tcW w:w="728" w:type="dxa"/>
            <w:tcBorders>
              <w:top w:val="nil"/>
              <w:left w:val="nil"/>
              <w:bottom w:val="nil"/>
              <w:right w:val="nil"/>
            </w:tcBorders>
            <w:noWrap/>
            <w:vAlign w:val="center"/>
            <w:hideMark/>
          </w:tcPr>
          <w:p w14:paraId="3959B3FD" w14:textId="73889E00"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-0,7</w:t>
            </w:r>
          </w:p>
        </w:tc>
        <w:tc>
          <w:tcPr>
            <w:tcW w:w="1453" w:type="dxa"/>
            <w:tcBorders>
              <w:top w:val="nil"/>
              <w:left w:val="single" w:sz="4" w:space="0" w:color="auto"/>
              <w:bottom w:val="nil"/>
              <w:right w:val="nil"/>
            </w:tcBorders>
            <w:noWrap/>
            <w:vAlign w:val="center"/>
            <w:hideMark/>
          </w:tcPr>
          <w:p w14:paraId="415AD623" w14:textId="7387A905" w:rsidR="003D7549" w:rsidRPr="003D7549" w:rsidRDefault="003D7549" w:rsidP="003D7549">
            <w:pPr>
              <w:spacing w:after="0" w:line="240" w:lineRule="auto"/>
              <w:rPr>
                <w:sz w:val="20"/>
                <w:szCs w:val="20"/>
                <w:lang w:eastAsia="sk-SK"/>
              </w:rPr>
            </w:pPr>
            <w:r>
              <w:rPr>
                <w:sz w:val="20"/>
                <w:szCs w:val="20"/>
              </w:rPr>
              <w:t>Malta</w:t>
            </w:r>
          </w:p>
        </w:tc>
        <w:tc>
          <w:tcPr>
            <w:tcW w:w="843" w:type="dxa"/>
            <w:tcBorders>
              <w:top w:val="nil"/>
              <w:left w:val="nil"/>
              <w:bottom w:val="nil"/>
              <w:right w:val="nil"/>
            </w:tcBorders>
            <w:noWrap/>
            <w:vAlign w:val="center"/>
            <w:hideMark/>
          </w:tcPr>
          <w:p w14:paraId="54D5E5C3" w14:textId="6DD7E25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50,3</w:t>
            </w:r>
          </w:p>
        </w:tc>
        <w:tc>
          <w:tcPr>
            <w:tcW w:w="843" w:type="dxa"/>
            <w:tcBorders>
              <w:top w:val="nil"/>
              <w:left w:val="nil"/>
              <w:bottom w:val="nil"/>
              <w:right w:val="nil"/>
            </w:tcBorders>
            <w:noWrap/>
            <w:vAlign w:val="center"/>
            <w:hideMark/>
          </w:tcPr>
          <w:p w14:paraId="2CDC5D02" w14:textId="25A12D0D"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47,0</w:t>
            </w:r>
          </w:p>
        </w:tc>
        <w:tc>
          <w:tcPr>
            <w:tcW w:w="864" w:type="dxa"/>
            <w:tcBorders>
              <w:top w:val="nil"/>
              <w:left w:val="nil"/>
              <w:bottom w:val="nil"/>
              <w:right w:val="nil"/>
            </w:tcBorders>
            <w:noWrap/>
            <w:vAlign w:val="center"/>
            <w:hideMark/>
          </w:tcPr>
          <w:p w14:paraId="1CE8D02C" w14:textId="3E02FD52"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46,2</w:t>
            </w:r>
          </w:p>
        </w:tc>
        <w:tc>
          <w:tcPr>
            <w:tcW w:w="799" w:type="dxa"/>
            <w:tcBorders>
              <w:top w:val="nil"/>
              <w:left w:val="nil"/>
              <w:bottom w:val="nil"/>
              <w:right w:val="single" w:sz="4" w:space="0" w:color="auto"/>
            </w:tcBorders>
            <w:noWrap/>
            <w:vAlign w:val="center"/>
            <w:hideMark/>
          </w:tcPr>
          <w:p w14:paraId="2A86F589" w14:textId="580D1D7A"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-0,8</w:t>
            </w:r>
          </w:p>
        </w:tc>
      </w:tr>
      <w:tr w:rsidR="003D7549" w:rsidRPr="00174C84" w14:paraId="7AB90380" w14:textId="77777777" w:rsidTr="002847E9">
        <w:trPr>
          <w:trHeight w:val="307"/>
        </w:trPr>
        <w:tc>
          <w:tcPr>
            <w:tcW w:w="1542" w:type="dxa"/>
            <w:tcBorders>
              <w:top w:val="nil"/>
              <w:left w:val="single" w:sz="4" w:space="0" w:color="auto"/>
              <w:bottom w:val="nil"/>
              <w:right w:val="nil"/>
            </w:tcBorders>
            <w:noWrap/>
            <w:vAlign w:val="center"/>
            <w:hideMark/>
          </w:tcPr>
          <w:p w14:paraId="3C7EEC79" w14:textId="529DA04A" w:rsidR="003D7549" w:rsidRPr="00174C84" w:rsidRDefault="003D7549" w:rsidP="003D7549">
            <w:pPr>
              <w:spacing w:after="0" w:line="240" w:lineRule="auto"/>
              <w:rPr>
                <w:sz w:val="20"/>
                <w:szCs w:val="20"/>
                <w:highlight w:val="yellow"/>
                <w:lang w:eastAsia="sk-SK"/>
              </w:rPr>
            </w:pPr>
            <w:r>
              <w:rPr>
                <w:sz w:val="20"/>
                <w:szCs w:val="20"/>
              </w:rPr>
              <w:t>Litva</w:t>
            </w:r>
          </w:p>
        </w:tc>
        <w:tc>
          <w:tcPr>
            <w:tcW w:w="764" w:type="dxa"/>
            <w:tcBorders>
              <w:top w:val="nil"/>
              <w:left w:val="nil"/>
              <w:bottom w:val="nil"/>
              <w:right w:val="nil"/>
            </w:tcBorders>
            <w:noWrap/>
            <w:vAlign w:val="center"/>
            <w:hideMark/>
          </w:tcPr>
          <w:p w14:paraId="6C42BB77" w14:textId="20AD54BB"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-0,7</w:t>
            </w:r>
          </w:p>
        </w:tc>
        <w:tc>
          <w:tcPr>
            <w:tcW w:w="826" w:type="dxa"/>
            <w:tcBorders>
              <w:top w:val="nil"/>
              <w:left w:val="nil"/>
              <w:bottom w:val="nil"/>
              <w:right w:val="nil"/>
            </w:tcBorders>
            <w:noWrap/>
            <w:vAlign w:val="center"/>
            <w:hideMark/>
          </w:tcPr>
          <w:p w14:paraId="571EB871" w14:textId="51308307"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-0,7</w:t>
            </w:r>
          </w:p>
        </w:tc>
        <w:tc>
          <w:tcPr>
            <w:tcW w:w="742" w:type="dxa"/>
            <w:tcBorders>
              <w:top w:val="nil"/>
              <w:left w:val="nil"/>
              <w:bottom w:val="nil"/>
              <w:right w:val="nil"/>
            </w:tcBorders>
            <w:noWrap/>
            <w:vAlign w:val="center"/>
            <w:hideMark/>
          </w:tcPr>
          <w:p w14:paraId="5096BCC3" w14:textId="4F4765AC"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-1,3</w:t>
            </w:r>
          </w:p>
        </w:tc>
        <w:tc>
          <w:tcPr>
            <w:tcW w:w="728" w:type="dxa"/>
            <w:tcBorders>
              <w:top w:val="nil"/>
              <w:left w:val="nil"/>
              <w:bottom w:val="nil"/>
              <w:right w:val="nil"/>
            </w:tcBorders>
            <w:noWrap/>
            <w:vAlign w:val="center"/>
            <w:hideMark/>
          </w:tcPr>
          <w:p w14:paraId="41D46C64" w14:textId="06E1E7E7"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-0,6</w:t>
            </w:r>
          </w:p>
        </w:tc>
        <w:tc>
          <w:tcPr>
            <w:tcW w:w="1453" w:type="dxa"/>
            <w:tcBorders>
              <w:top w:val="nil"/>
              <w:left w:val="single" w:sz="4" w:space="0" w:color="auto"/>
              <w:bottom w:val="nil"/>
              <w:right w:val="nil"/>
            </w:tcBorders>
            <w:noWrap/>
            <w:vAlign w:val="center"/>
            <w:hideMark/>
          </w:tcPr>
          <w:p w14:paraId="0D4F1338" w14:textId="08E3ACE8" w:rsidR="003D7549" w:rsidRPr="003D7549" w:rsidRDefault="003D7549" w:rsidP="003D7549">
            <w:pPr>
              <w:spacing w:after="0" w:line="240" w:lineRule="auto"/>
              <w:rPr>
                <w:sz w:val="20"/>
                <w:szCs w:val="20"/>
                <w:lang w:eastAsia="sk-SK"/>
              </w:rPr>
            </w:pPr>
            <w:r>
              <w:rPr>
                <w:sz w:val="20"/>
                <w:szCs w:val="20"/>
              </w:rPr>
              <w:t>Holandsko</w:t>
            </w:r>
          </w:p>
        </w:tc>
        <w:tc>
          <w:tcPr>
            <w:tcW w:w="843" w:type="dxa"/>
            <w:tcBorders>
              <w:top w:val="nil"/>
              <w:left w:val="nil"/>
              <w:bottom w:val="nil"/>
              <w:right w:val="nil"/>
            </w:tcBorders>
            <w:noWrap/>
            <w:vAlign w:val="center"/>
            <w:hideMark/>
          </w:tcPr>
          <w:p w14:paraId="2DA10B7C" w14:textId="6A9C98FC"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48,4</w:t>
            </w:r>
          </w:p>
        </w:tc>
        <w:tc>
          <w:tcPr>
            <w:tcW w:w="843" w:type="dxa"/>
            <w:tcBorders>
              <w:top w:val="nil"/>
              <w:left w:val="nil"/>
              <w:bottom w:val="nil"/>
              <w:right w:val="nil"/>
            </w:tcBorders>
            <w:noWrap/>
            <w:vAlign w:val="center"/>
            <w:hideMark/>
          </w:tcPr>
          <w:p w14:paraId="16425A1C" w14:textId="3BBE08B2"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45,8</w:t>
            </w:r>
          </w:p>
        </w:tc>
        <w:tc>
          <w:tcPr>
            <w:tcW w:w="864" w:type="dxa"/>
            <w:tcBorders>
              <w:top w:val="nil"/>
              <w:left w:val="nil"/>
              <w:bottom w:val="nil"/>
              <w:right w:val="nil"/>
            </w:tcBorders>
            <w:noWrap/>
            <w:vAlign w:val="center"/>
            <w:hideMark/>
          </w:tcPr>
          <w:p w14:paraId="0A879148" w14:textId="7F5A209D"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43,7</w:t>
            </w:r>
          </w:p>
        </w:tc>
        <w:tc>
          <w:tcPr>
            <w:tcW w:w="799" w:type="dxa"/>
            <w:tcBorders>
              <w:top w:val="nil"/>
              <w:left w:val="nil"/>
              <w:bottom w:val="nil"/>
              <w:right w:val="single" w:sz="4" w:space="0" w:color="auto"/>
            </w:tcBorders>
            <w:noWrap/>
            <w:vAlign w:val="center"/>
            <w:hideMark/>
          </w:tcPr>
          <w:p w14:paraId="0DDD37F9" w14:textId="4A8BC3B3" w:rsidR="003D7549" w:rsidRPr="003D7549" w:rsidRDefault="003D7549" w:rsidP="003D7549">
            <w:pPr>
              <w:tabs>
                <w:tab w:val="decimal" w:pos="230"/>
              </w:tabs>
              <w:spacing w:after="0" w:line="240" w:lineRule="auto"/>
              <w:ind w:right="32" w:firstLineChars="100" w:firstLine="200"/>
              <w:jc w:val="right"/>
              <w:rPr>
                <w:color w:val="FF0000"/>
                <w:sz w:val="20"/>
                <w:szCs w:val="20"/>
                <w:lang w:eastAsia="sk-SK"/>
              </w:rPr>
            </w:pPr>
            <w:r>
              <w:rPr>
                <w:color w:val="00B050"/>
                <w:sz w:val="20"/>
                <w:szCs w:val="20"/>
              </w:rPr>
              <w:t>-2,1</w:t>
            </w:r>
          </w:p>
        </w:tc>
      </w:tr>
      <w:tr w:rsidR="003D7549" w:rsidRPr="00174C84" w14:paraId="3D3F0F25" w14:textId="77777777" w:rsidTr="002847E9">
        <w:trPr>
          <w:trHeight w:val="307"/>
        </w:trPr>
        <w:tc>
          <w:tcPr>
            <w:tcW w:w="1542" w:type="dxa"/>
            <w:tcBorders>
              <w:top w:val="nil"/>
              <w:left w:val="single" w:sz="4" w:space="0" w:color="auto"/>
              <w:bottom w:val="nil"/>
              <w:right w:val="nil"/>
            </w:tcBorders>
            <w:noWrap/>
            <w:vAlign w:val="center"/>
            <w:hideMark/>
          </w:tcPr>
          <w:p w14:paraId="26C8409C" w14:textId="073F02C2" w:rsidR="003D7549" w:rsidRPr="00174C84" w:rsidRDefault="003D7549" w:rsidP="003D7549">
            <w:pPr>
              <w:spacing w:after="0" w:line="240" w:lineRule="auto"/>
              <w:rPr>
                <w:sz w:val="20"/>
                <w:szCs w:val="20"/>
                <w:highlight w:val="yellow"/>
                <w:lang w:eastAsia="sk-SK"/>
              </w:rPr>
            </w:pPr>
            <w:r>
              <w:rPr>
                <w:sz w:val="20"/>
                <w:szCs w:val="20"/>
              </w:rPr>
              <w:t>Holandsko</w:t>
            </w:r>
          </w:p>
        </w:tc>
        <w:tc>
          <w:tcPr>
            <w:tcW w:w="764" w:type="dxa"/>
            <w:tcBorders>
              <w:top w:val="nil"/>
              <w:left w:val="nil"/>
              <w:bottom w:val="nil"/>
              <w:right w:val="nil"/>
            </w:tcBorders>
            <w:noWrap/>
            <w:vAlign w:val="center"/>
            <w:hideMark/>
          </w:tcPr>
          <w:p w14:paraId="6B6364EE" w14:textId="61C35BE6"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0,0</w:t>
            </w:r>
          </w:p>
        </w:tc>
        <w:tc>
          <w:tcPr>
            <w:tcW w:w="826" w:type="dxa"/>
            <w:tcBorders>
              <w:top w:val="nil"/>
              <w:left w:val="nil"/>
              <w:bottom w:val="nil"/>
              <w:right w:val="nil"/>
            </w:tcBorders>
            <w:noWrap/>
            <w:vAlign w:val="center"/>
            <w:hideMark/>
          </w:tcPr>
          <w:p w14:paraId="5F23EA82" w14:textId="6512EB2C"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-0,4</w:t>
            </w:r>
          </w:p>
        </w:tc>
        <w:tc>
          <w:tcPr>
            <w:tcW w:w="742" w:type="dxa"/>
            <w:tcBorders>
              <w:top w:val="nil"/>
              <w:left w:val="nil"/>
              <w:bottom w:val="nil"/>
              <w:right w:val="nil"/>
            </w:tcBorders>
            <w:noWrap/>
            <w:vAlign w:val="center"/>
            <w:hideMark/>
          </w:tcPr>
          <w:p w14:paraId="7FE8545D" w14:textId="7C61C010"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-0,9</w:t>
            </w:r>
          </w:p>
        </w:tc>
        <w:tc>
          <w:tcPr>
            <w:tcW w:w="728" w:type="dxa"/>
            <w:tcBorders>
              <w:top w:val="nil"/>
              <w:left w:val="nil"/>
              <w:bottom w:val="nil"/>
              <w:right w:val="nil"/>
            </w:tcBorders>
            <w:noWrap/>
            <w:vAlign w:val="center"/>
            <w:hideMark/>
          </w:tcPr>
          <w:p w14:paraId="0EF97D82" w14:textId="4AFBC834"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-0,5</w:t>
            </w:r>
          </w:p>
        </w:tc>
        <w:tc>
          <w:tcPr>
            <w:tcW w:w="1453" w:type="dxa"/>
            <w:tcBorders>
              <w:top w:val="nil"/>
              <w:left w:val="single" w:sz="4" w:space="0" w:color="auto"/>
              <w:bottom w:val="nil"/>
              <w:right w:val="nil"/>
            </w:tcBorders>
            <w:noWrap/>
            <w:vAlign w:val="center"/>
            <w:hideMark/>
          </w:tcPr>
          <w:p w14:paraId="1450924F" w14:textId="0D90E751" w:rsidR="003D7549" w:rsidRPr="003D7549" w:rsidRDefault="003D7549" w:rsidP="003D7549">
            <w:pPr>
              <w:spacing w:after="0" w:line="240" w:lineRule="auto"/>
              <w:rPr>
                <w:sz w:val="20"/>
                <w:szCs w:val="20"/>
                <w:lang w:eastAsia="sk-SK"/>
              </w:rPr>
            </w:pPr>
            <w:r>
              <w:rPr>
                <w:sz w:val="20"/>
                <w:szCs w:val="20"/>
              </w:rPr>
              <w:t>Česká republika</w:t>
            </w:r>
          </w:p>
        </w:tc>
        <w:tc>
          <w:tcPr>
            <w:tcW w:w="843" w:type="dxa"/>
            <w:tcBorders>
              <w:top w:val="nil"/>
              <w:left w:val="nil"/>
              <w:bottom w:val="nil"/>
              <w:right w:val="nil"/>
            </w:tcBorders>
            <w:noWrap/>
            <w:vAlign w:val="center"/>
            <w:hideMark/>
          </w:tcPr>
          <w:p w14:paraId="7209AF5F" w14:textId="20A2260E"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42,5</w:t>
            </w:r>
          </w:p>
        </w:tc>
        <w:tc>
          <w:tcPr>
            <w:tcW w:w="843" w:type="dxa"/>
            <w:tcBorders>
              <w:top w:val="nil"/>
              <w:left w:val="nil"/>
              <w:bottom w:val="nil"/>
              <w:right w:val="nil"/>
            </w:tcBorders>
            <w:noWrap/>
            <w:vAlign w:val="center"/>
            <w:hideMark/>
          </w:tcPr>
          <w:p w14:paraId="7899C512" w14:textId="5105D989"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42,2</w:t>
            </w:r>
          </w:p>
        </w:tc>
        <w:tc>
          <w:tcPr>
            <w:tcW w:w="864" w:type="dxa"/>
            <w:tcBorders>
              <w:top w:val="nil"/>
              <w:left w:val="nil"/>
              <w:bottom w:val="nil"/>
              <w:right w:val="nil"/>
            </w:tcBorders>
            <w:noWrap/>
            <w:vAlign w:val="center"/>
            <w:hideMark/>
          </w:tcPr>
          <w:p w14:paraId="3E2A4398" w14:textId="420EFDF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43,3</w:t>
            </w:r>
          </w:p>
        </w:tc>
        <w:tc>
          <w:tcPr>
            <w:tcW w:w="799" w:type="dxa"/>
            <w:tcBorders>
              <w:top w:val="nil"/>
              <w:left w:val="nil"/>
              <w:bottom w:val="nil"/>
              <w:right w:val="single" w:sz="4" w:space="0" w:color="auto"/>
            </w:tcBorders>
            <w:noWrap/>
            <w:vAlign w:val="center"/>
            <w:hideMark/>
          </w:tcPr>
          <w:p w14:paraId="766FE207" w14:textId="2A13A971"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1,1</w:t>
            </w:r>
          </w:p>
        </w:tc>
      </w:tr>
      <w:tr w:rsidR="003D7549" w:rsidRPr="00174C84" w14:paraId="601682FA" w14:textId="77777777" w:rsidTr="002847E9">
        <w:trPr>
          <w:trHeight w:val="307"/>
        </w:trPr>
        <w:tc>
          <w:tcPr>
            <w:tcW w:w="1542" w:type="dxa"/>
            <w:tcBorders>
              <w:top w:val="nil"/>
              <w:left w:val="single" w:sz="4" w:space="0" w:color="auto"/>
              <w:bottom w:val="nil"/>
              <w:right w:val="nil"/>
            </w:tcBorders>
            <w:noWrap/>
            <w:vAlign w:val="center"/>
            <w:hideMark/>
          </w:tcPr>
          <w:p w14:paraId="3734C7CC" w14:textId="7A392C0B" w:rsidR="003D7549" w:rsidRPr="00174C84" w:rsidRDefault="003D7549" w:rsidP="003D7549">
            <w:pPr>
              <w:spacing w:after="0" w:line="240" w:lineRule="auto"/>
              <w:rPr>
                <w:sz w:val="20"/>
                <w:szCs w:val="20"/>
                <w:highlight w:val="yellow"/>
                <w:lang w:eastAsia="sk-SK"/>
              </w:rPr>
            </w:pPr>
            <w:r>
              <w:rPr>
                <w:sz w:val="20"/>
                <w:szCs w:val="20"/>
              </w:rPr>
              <w:t>Slovinsko</w:t>
            </w:r>
          </w:p>
        </w:tc>
        <w:tc>
          <w:tcPr>
            <w:tcW w:w="764" w:type="dxa"/>
            <w:tcBorders>
              <w:top w:val="nil"/>
              <w:left w:val="nil"/>
              <w:bottom w:val="nil"/>
              <w:right w:val="nil"/>
            </w:tcBorders>
            <w:noWrap/>
            <w:vAlign w:val="center"/>
            <w:hideMark/>
          </w:tcPr>
          <w:p w14:paraId="7EE1B047" w14:textId="1E169CEF"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-3,0</w:t>
            </w:r>
          </w:p>
        </w:tc>
        <w:tc>
          <w:tcPr>
            <w:tcW w:w="826" w:type="dxa"/>
            <w:tcBorders>
              <w:top w:val="nil"/>
              <w:left w:val="nil"/>
              <w:bottom w:val="nil"/>
              <w:right w:val="nil"/>
            </w:tcBorders>
            <w:noWrap/>
            <w:vAlign w:val="center"/>
            <w:hideMark/>
          </w:tcPr>
          <w:p w14:paraId="33348576" w14:textId="6425CCAD"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-2,6</w:t>
            </w:r>
          </w:p>
        </w:tc>
        <w:tc>
          <w:tcPr>
            <w:tcW w:w="742" w:type="dxa"/>
            <w:tcBorders>
              <w:top w:val="nil"/>
              <w:left w:val="nil"/>
              <w:bottom w:val="nil"/>
              <w:right w:val="nil"/>
            </w:tcBorders>
            <w:noWrap/>
            <w:vAlign w:val="center"/>
            <w:hideMark/>
          </w:tcPr>
          <w:p w14:paraId="00F0C87A" w14:textId="7BC9D37B"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-0,9</w:t>
            </w:r>
          </w:p>
        </w:tc>
        <w:tc>
          <w:tcPr>
            <w:tcW w:w="728" w:type="dxa"/>
            <w:tcBorders>
              <w:top w:val="nil"/>
              <w:left w:val="nil"/>
              <w:bottom w:val="nil"/>
              <w:right w:val="nil"/>
            </w:tcBorders>
            <w:noWrap/>
            <w:vAlign w:val="center"/>
            <w:hideMark/>
          </w:tcPr>
          <w:p w14:paraId="3047A42C" w14:textId="3B88211D"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1,7</w:t>
            </w:r>
          </w:p>
        </w:tc>
        <w:tc>
          <w:tcPr>
            <w:tcW w:w="1453" w:type="dxa"/>
            <w:tcBorders>
              <w:top w:val="nil"/>
              <w:left w:val="single" w:sz="4" w:space="0" w:color="auto"/>
              <w:bottom w:val="nil"/>
              <w:right w:val="nil"/>
            </w:tcBorders>
            <w:noWrap/>
            <w:vAlign w:val="center"/>
            <w:hideMark/>
          </w:tcPr>
          <w:p w14:paraId="4771FA23" w14:textId="02953025" w:rsidR="003D7549" w:rsidRPr="003D7549" w:rsidRDefault="003D7549" w:rsidP="003D7549">
            <w:pPr>
              <w:spacing w:after="0" w:line="240" w:lineRule="auto"/>
              <w:rPr>
                <w:sz w:val="20"/>
                <w:szCs w:val="20"/>
                <w:lang w:eastAsia="sk-SK"/>
              </w:rPr>
            </w:pPr>
            <w:r>
              <w:rPr>
                <w:sz w:val="20"/>
                <w:szCs w:val="20"/>
              </w:rPr>
              <w:t>Írsko</w:t>
            </w:r>
          </w:p>
        </w:tc>
        <w:tc>
          <w:tcPr>
            <w:tcW w:w="843" w:type="dxa"/>
            <w:tcBorders>
              <w:top w:val="nil"/>
              <w:left w:val="nil"/>
              <w:bottom w:val="nil"/>
              <w:right w:val="nil"/>
            </w:tcBorders>
            <w:noWrap/>
            <w:vAlign w:val="center"/>
            <w:hideMark/>
          </w:tcPr>
          <w:p w14:paraId="7A95E0FF" w14:textId="2243B74A"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42,9</w:t>
            </w:r>
          </w:p>
        </w:tc>
        <w:tc>
          <w:tcPr>
            <w:tcW w:w="843" w:type="dxa"/>
            <w:tcBorders>
              <w:top w:val="nil"/>
              <w:left w:val="nil"/>
              <w:bottom w:val="nil"/>
              <w:right w:val="nil"/>
            </w:tcBorders>
            <w:noWrap/>
            <w:vAlign w:val="center"/>
            <w:hideMark/>
          </w:tcPr>
          <w:p w14:paraId="62E59BB5" w14:textId="69D282A7"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41,8</w:t>
            </w:r>
          </w:p>
        </w:tc>
        <w:tc>
          <w:tcPr>
            <w:tcW w:w="864" w:type="dxa"/>
            <w:tcBorders>
              <w:top w:val="nil"/>
              <w:left w:val="nil"/>
              <w:bottom w:val="nil"/>
              <w:right w:val="nil"/>
            </w:tcBorders>
            <w:noWrap/>
            <w:vAlign w:val="center"/>
            <w:hideMark/>
          </w:tcPr>
          <w:p w14:paraId="1D935F60" w14:textId="163C5534"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38,3</w:t>
            </w:r>
          </w:p>
        </w:tc>
        <w:tc>
          <w:tcPr>
            <w:tcW w:w="799" w:type="dxa"/>
            <w:tcBorders>
              <w:top w:val="nil"/>
              <w:left w:val="nil"/>
              <w:bottom w:val="nil"/>
              <w:right w:val="single" w:sz="4" w:space="0" w:color="auto"/>
            </w:tcBorders>
            <w:noWrap/>
            <w:vAlign w:val="center"/>
            <w:hideMark/>
          </w:tcPr>
          <w:p w14:paraId="39BE9994" w14:textId="66FBCF58" w:rsidR="003D7549" w:rsidRPr="003D7549" w:rsidRDefault="003D7549" w:rsidP="003D7549">
            <w:pPr>
              <w:tabs>
                <w:tab w:val="decimal" w:pos="230"/>
              </w:tabs>
              <w:spacing w:after="0" w:line="240" w:lineRule="auto"/>
              <w:ind w:right="32" w:firstLineChars="100" w:firstLine="200"/>
              <w:jc w:val="right"/>
              <w:rPr>
                <w:color w:val="FF0000"/>
                <w:sz w:val="20"/>
                <w:szCs w:val="20"/>
                <w:lang w:eastAsia="sk-SK"/>
              </w:rPr>
            </w:pPr>
            <w:r>
              <w:rPr>
                <w:color w:val="00B050"/>
                <w:sz w:val="20"/>
                <w:szCs w:val="20"/>
              </w:rPr>
              <w:t>-3,5</w:t>
            </w:r>
          </w:p>
        </w:tc>
      </w:tr>
      <w:tr w:rsidR="003D7549" w:rsidRPr="00174C84" w14:paraId="34F71346" w14:textId="77777777" w:rsidTr="002847E9">
        <w:trPr>
          <w:trHeight w:val="307"/>
        </w:trPr>
        <w:tc>
          <w:tcPr>
            <w:tcW w:w="1542" w:type="dxa"/>
            <w:tcBorders>
              <w:top w:val="nil"/>
              <w:left w:val="single" w:sz="4" w:space="0" w:color="auto"/>
              <w:bottom w:val="nil"/>
              <w:right w:val="nil"/>
            </w:tcBorders>
            <w:noWrap/>
            <w:vAlign w:val="center"/>
            <w:hideMark/>
          </w:tcPr>
          <w:p w14:paraId="5AABA435" w14:textId="5ADFE93A" w:rsidR="003D7549" w:rsidRPr="00174C84" w:rsidRDefault="003D7549" w:rsidP="003D7549">
            <w:pPr>
              <w:spacing w:after="0" w:line="240" w:lineRule="auto"/>
              <w:rPr>
                <w:sz w:val="20"/>
                <w:szCs w:val="20"/>
                <w:highlight w:val="yellow"/>
                <w:lang w:eastAsia="sk-SK"/>
              </w:rPr>
            </w:pPr>
            <w:r>
              <w:rPr>
                <w:sz w:val="20"/>
                <w:szCs w:val="20"/>
              </w:rPr>
              <w:t>Portugalsko</w:t>
            </w:r>
          </w:p>
        </w:tc>
        <w:tc>
          <w:tcPr>
            <w:tcW w:w="764" w:type="dxa"/>
            <w:tcBorders>
              <w:top w:val="nil"/>
              <w:left w:val="nil"/>
              <w:bottom w:val="nil"/>
              <w:right w:val="nil"/>
            </w:tcBorders>
            <w:noWrap/>
            <w:vAlign w:val="center"/>
            <w:hideMark/>
          </w:tcPr>
          <w:p w14:paraId="05C77AF8" w14:textId="268AF5B6"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-0,3</w:t>
            </w:r>
          </w:p>
        </w:tc>
        <w:tc>
          <w:tcPr>
            <w:tcW w:w="826" w:type="dxa"/>
            <w:tcBorders>
              <w:top w:val="nil"/>
              <w:left w:val="nil"/>
              <w:bottom w:val="nil"/>
              <w:right w:val="nil"/>
            </w:tcBorders>
            <w:noWrap/>
            <w:vAlign w:val="center"/>
            <w:hideMark/>
          </w:tcPr>
          <w:p w14:paraId="50C53D48" w14:textId="10BC3B4D"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1,3</w:t>
            </w:r>
          </w:p>
        </w:tc>
        <w:tc>
          <w:tcPr>
            <w:tcW w:w="742" w:type="dxa"/>
            <w:tcBorders>
              <w:top w:val="nil"/>
              <w:left w:val="nil"/>
              <w:bottom w:val="nil"/>
              <w:right w:val="nil"/>
            </w:tcBorders>
            <w:noWrap/>
            <w:vAlign w:val="center"/>
            <w:hideMark/>
          </w:tcPr>
          <w:p w14:paraId="39CCCE0C" w14:textId="2EF42B30"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0,5</w:t>
            </w:r>
          </w:p>
        </w:tc>
        <w:tc>
          <w:tcPr>
            <w:tcW w:w="728" w:type="dxa"/>
            <w:tcBorders>
              <w:top w:val="nil"/>
              <w:left w:val="nil"/>
              <w:bottom w:val="nil"/>
              <w:right w:val="nil"/>
            </w:tcBorders>
            <w:noWrap/>
            <w:vAlign w:val="center"/>
            <w:hideMark/>
          </w:tcPr>
          <w:p w14:paraId="01096281" w14:textId="209BC14C"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FF0000"/>
                <w:sz w:val="20"/>
                <w:szCs w:val="20"/>
              </w:rPr>
              <w:t>-0,8</w:t>
            </w:r>
          </w:p>
        </w:tc>
        <w:tc>
          <w:tcPr>
            <w:tcW w:w="1453" w:type="dxa"/>
            <w:tcBorders>
              <w:top w:val="nil"/>
              <w:left w:val="single" w:sz="4" w:space="0" w:color="auto"/>
              <w:bottom w:val="nil"/>
              <w:right w:val="nil"/>
            </w:tcBorders>
            <w:noWrap/>
            <w:vAlign w:val="center"/>
            <w:hideMark/>
          </w:tcPr>
          <w:p w14:paraId="60148E8E" w14:textId="09CC9158" w:rsidR="003D7549" w:rsidRPr="003D7549" w:rsidRDefault="003D7549" w:rsidP="003D7549">
            <w:pPr>
              <w:spacing w:after="0" w:line="240" w:lineRule="auto"/>
              <w:ind w:right="-209"/>
              <w:rPr>
                <w:sz w:val="20"/>
                <w:szCs w:val="20"/>
                <w:lang w:eastAsia="sk-SK"/>
              </w:rPr>
            </w:pPr>
            <w:r>
              <w:rPr>
                <w:sz w:val="20"/>
                <w:szCs w:val="20"/>
              </w:rPr>
              <w:t>Litva</w:t>
            </w:r>
          </w:p>
        </w:tc>
        <w:tc>
          <w:tcPr>
            <w:tcW w:w="843" w:type="dxa"/>
            <w:tcBorders>
              <w:top w:val="nil"/>
              <w:left w:val="nil"/>
              <w:bottom w:val="nil"/>
              <w:right w:val="nil"/>
            </w:tcBorders>
            <w:noWrap/>
            <w:vAlign w:val="center"/>
            <w:hideMark/>
          </w:tcPr>
          <w:p w14:paraId="0FADD76C" w14:textId="31FF214E"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38,3</w:t>
            </w:r>
          </w:p>
        </w:tc>
        <w:tc>
          <w:tcPr>
            <w:tcW w:w="843" w:type="dxa"/>
            <w:tcBorders>
              <w:top w:val="nil"/>
              <w:left w:val="nil"/>
              <w:bottom w:val="nil"/>
              <w:right w:val="nil"/>
            </w:tcBorders>
            <w:noWrap/>
            <w:vAlign w:val="center"/>
            <w:hideMark/>
          </w:tcPr>
          <w:p w14:paraId="1B2E1684" w14:textId="50225DCF"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37,1</w:t>
            </w:r>
          </w:p>
        </w:tc>
        <w:tc>
          <w:tcPr>
            <w:tcW w:w="864" w:type="dxa"/>
            <w:tcBorders>
              <w:top w:val="nil"/>
              <w:left w:val="nil"/>
              <w:bottom w:val="nil"/>
              <w:right w:val="nil"/>
            </w:tcBorders>
            <w:noWrap/>
            <w:vAlign w:val="center"/>
            <w:hideMark/>
          </w:tcPr>
          <w:p w14:paraId="522275FB" w14:textId="2912C0F0"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38,0</w:t>
            </w:r>
          </w:p>
        </w:tc>
        <w:tc>
          <w:tcPr>
            <w:tcW w:w="799" w:type="dxa"/>
            <w:tcBorders>
              <w:top w:val="nil"/>
              <w:left w:val="nil"/>
              <w:bottom w:val="nil"/>
              <w:right w:val="single" w:sz="4" w:space="0" w:color="auto"/>
            </w:tcBorders>
            <w:noWrap/>
            <w:vAlign w:val="center"/>
            <w:hideMark/>
          </w:tcPr>
          <w:p w14:paraId="0F150896" w14:textId="0E68D7D6" w:rsidR="003D7549" w:rsidRPr="003D7549" w:rsidRDefault="003D7549" w:rsidP="003D7549">
            <w:pPr>
              <w:tabs>
                <w:tab w:val="decimal" w:pos="230"/>
              </w:tabs>
              <w:spacing w:after="0" w:line="240" w:lineRule="auto"/>
              <w:ind w:right="32" w:firstLineChars="100" w:firstLine="200"/>
              <w:jc w:val="right"/>
              <w:rPr>
                <w:color w:val="FF0000"/>
                <w:sz w:val="20"/>
                <w:szCs w:val="20"/>
                <w:lang w:eastAsia="sk-SK"/>
              </w:rPr>
            </w:pPr>
            <w:r>
              <w:rPr>
                <w:color w:val="FF0000"/>
                <w:sz w:val="20"/>
                <w:szCs w:val="20"/>
              </w:rPr>
              <w:t>0,9</w:t>
            </w:r>
          </w:p>
        </w:tc>
      </w:tr>
      <w:tr w:rsidR="003D7549" w:rsidRPr="00174C84" w14:paraId="13C03884" w14:textId="77777777" w:rsidTr="002847E9">
        <w:trPr>
          <w:trHeight w:val="307"/>
        </w:trPr>
        <w:tc>
          <w:tcPr>
            <w:tcW w:w="1542" w:type="dxa"/>
            <w:tcBorders>
              <w:top w:val="nil"/>
              <w:left w:val="single" w:sz="4" w:space="0" w:color="auto"/>
              <w:bottom w:val="nil"/>
              <w:right w:val="nil"/>
            </w:tcBorders>
            <w:noWrap/>
            <w:vAlign w:val="center"/>
            <w:hideMark/>
          </w:tcPr>
          <w:p w14:paraId="05AB216D" w14:textId="1DE23794" w:rsidR="003D7549" w:rsidRPr="00174C84" w:rsidRDefault="003D7549" w:rsidP="003D7549">
            <w:pPr>
              <w:spacing w:after="0" w:line="240" w:lineRule="auto"/>
              <w:rPr>
                <w:sz w:val="20"/>
                <w:szCs w:val="20"/>
                <w:highlight w:val="yellow"/>
                <w:lang w:eastAsia="sk-SK"/>
              </w:rPr>
            </w:pPr>
            <w:r>
              <w:rPr>
                <w:sz w:val="20"/>
                <w:szCs w:val="20"/>
              </w:rPr>
              <w:t>Luxembursko</w:t>
            </w:r>
          </w:p>
        </w:tc>
        <w:tc>
          <w:tcPr>
            <w:tcW w:w="764" w:type="dxa"/>
            <w:tcBorders>
              <w:top w:val="nil"/>
              <w:left w:val="nil"/>
              <w:bottom w:val="nil"/>
              <w:right w:val="nil"/>
            </w:tcBorders>
            <w:noWrap/>
            <w:vAlign w:val="center"/>
            <w:hideMark/>
          </w:tcPr>
          <w:p w14:paraId="112E0088" w14:textId="29E0DFD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0,2</w:t>
            </w:r>
          </w:p>
        </w:tc>
        <w:tc>
          <w:tcPr>
            <w:tcW w:w="826" w:type="dxa"/>
            <w:tcBorders>
              <w:top w:val="nil"/>
              <w:left w:val="nil"/>
              <w:bottom w:val="nil"/>
              <w:right w:val="nil"/>
            </w:tcBorders>
            <w:noWrap/>
            <w:vAlign w:val="center"/>
            <w:hideMark/>
          </w:tcPr>
          <w:p w14:paraId="2CD72225" w14:textId="7ABFB812"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-0,7</w:t>
            </w:r>
          </w:p>
        </w:tc>
        <w:tc>
          <w:tcPr>
            <w:tcW w:w="742" w:type="dxa"/>
            <w:tcBorders>
              <w:top w:val="nil"/>
              <w:left w:val="nil"/>
              <w:bottom w:val="nil"/>
              <w:right w:val="nil"/>
            </w:tcBorders>
            <w:noWrap/>
            <w:vAlign w:val="center"/>
            <w:hideMark/>
          </w:tcPr>
          <w:p w14:paraId="5445BCE2" w14:textId="779CED4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0,9</w:t>
            </w:r>
          </w:p>
        </w:tc>
        <w:tc>
          <w:tcPr>
            <w:tcW w:w="728" w:type="dxa"/>
            <w:tcBorders>
              <w:top w:val="nil"/>
              <w:left w:val="nil"/>
              <w:bottom w:val="nil"/>
              <w:right w:val="nil"/>
            </w:tcBorders>
            <w:noWrap/>
            <w:vAlign w:val="center"/>
            <w:hideMark/>
          </w:tcPr>
          <w:p w14:paraId="126C02F8" w14:textId="165C8A8B"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1,6</w:t>
            </w:r>
          </w:p>
        </w:tc>
        <w:tc>
          <w:tcPr>
            <w:tcW w:w="1453" w:type="dxa"/>
            <w:tcBorders>
              <w:top w:val="nil"/>
              <w:left w:val="single" w:sz="4" w:space="0" w:color="auto"/>
              <w:bottom w:val="nil"/>
              <w:right w:val="nil"/>
            </w:tcBorders>
            <w:noWrap/>
            <w:vAlign w:val="center"/>
            <w:hideMark/>
          </w:tcPr>
          <w:p w14:paraId="54BAA7E7" w14:textId="3FEA72C8" w:rsidR="003D7549" w:rsidRPr="003D7549" w:rsidRDefault="003D7549" w:rsidP="003D7549">
            <w:pPr>
              <w:spacing w:after="0" w:line="240" w:lineRule="auto"/>
              <w:rPr>
                <w:sz w:val="20"/>
                <w:szCs w:val="20"/>
                <w:lang w:eastAsia="sk-SK"/>
              </w:rPr>
            </w:pPr>
            <w:r>
              <w:rPr>
                <w:sz w:val="20"/>
                <w:szCs w:val="20"/>
              </w:rPr>
              <w:t>Švédsko</w:t>
            </w:r>
          </w:p>
        </w:tc>
        <w:tc>
          <w:tcPr>
            <w:tcW w:w="843" w:type="dxa"/>
            <w:tcBorders>
              <w:top w:val="nil"/>
              <w:left w:val="nil"/>
              <w:bottom w:val="nil"/>
              <w:right w:val="nil"/>
            </w:tcBorders>
            <w:noWrap/>
            <w:vAlign w:val="center"/>
            <w:hideMark/>
          </w:tcPr>
          <w:p w14:paraId="17C83185" w14:textId="29D531C4"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34,1</w:t>
            </w:r>
          </w:p>
        </w:tc>
        <w:tc>
          <w:tcPr>
            <w:tcW w:w="843" w:type="dxa"/>
            <w:tcBorders>
              <w:top w:val="nil"/>
              <w:left w:val="nil"/>
              <w:bottom w:val="nil"/>
              <w:right w:val="nil"/>
            </w:tcBorders>
            <w:noWrap/>
            <w:vAlign w:val="center"/>
            <w:hideMark/>
          </w:tcPr>
          <w:p w14:paraId="762084AB" w14:textId="069D3183"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32,0</w:t>
            </w:r>
          </w:p>
        </w:tc>
        <w:tc>
          <w:tcPr>
            <w:tcW w:w="864" w:type="dxa"/>
            <w:tcBorders>
              <w:top w:val="nil"/>
              <w:left w:val="nil"/>
              <w:bottom w:val="nil"/>
              <w:right w:val="nil"/>
            </w:tcBorders>
            <w:noWrap/>
            <w:vAlign w:val="center"/>
            <w:hideMark/>
          </w:tcPr>
          <w:p w14:paraId="588E8DA7" w14:textId="125A9CF3"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34,0</w:t>
            </w:r>
          </w:p>
        </w:tc>
        <w:tc>
          <w:tcPr>
            <w:tcW w:w="799" w:type="dxa"/>
            <w:tcBorders>
              <w:top w:val="nil"/>
              <w:left w:val="nil"/>
              <w:bottom w:val="nil"/>
              <w:right w:val="single" w:sz="4" w:space="0" w:color="auto"/>
            </w:tcBorders>
            <w:noWrap/>
            <w:vAlign w:val="center"/>
            <w:hideMark/>
          </w:tcPr>
          <w:p w14:paraId="6FDD317B" w14:textId="7C54581B"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2,0</w:t>
            </w:r>
          </w:p>
        </w:tc>
      </w:tr>
      <w:tr w:rsidR="003D7549" w:rsidRPr="00174C84" w14:paraId="7DF1CF2F" w14:textId="77777777" w:rsidTr="002847E9">
        <w:trPr>
          <w:trHeight w:val="307"/>
        </w:trPr>
        <w:tc>
          <w:tcPr>
            <w:tcW w:w="1542" w:type="dxa"/>
            <w:tcBorders>
              <w:top w:val="nil"/>
              <w:left w:val="single" w:sz="4" w:space="0" w:color="auto"/>
              <w:bottom w:val="nil"/>
              <w:right w:val="nil"/>
            </w:tcBorders>
            <w:noWrap/>
            <w:vAlign w:val="center"/>
            <w:hideMark/>
          </w:tcPr>
          <w:p w14:paraId="5044EB1B" w14:textId="49198E6D" w:rsidR="003D7549" w:rsidRPr="00174C84" w:rsidRDefault="003D7549" w:rsidP="003D7549">
            <w:pPr>
              <w:spacing w:after="0" w:line="240" w:lineRule="auto"/>
              <w:rPr>
                <w:sz w:val="20"/>
                <w:szCs w:val="20"/>
                <w:highlight w:val="yellow"/>
                <w:lang w:eastAsia="sk-SK"/>
              </w:rPr>
            </w:pPr>
            <w:r>
              <w:rPr>
                <w:sz w:val="20"/>
                <w:szCs w:val="20"/>
              </w:rPr>
              <w:t>Grécko</w:t>
            </w:r>
          </w:p>
        </w:tc>
        <w:tc>
          <w:tcPr>
            <w:tcW w:w="764" w:type="dxa"/>
            <w:tcBorders>
              <w:top w:val="nil"/>
              <w:left w:val="nil"/>
              <w:bottom w:val="nil"/>
              <w:right w:val="nil"/>
            </w:tcBorders>
            <w:noWrap/>
            <w:vAlign w:val="center"/>
            <w:hideMark/>
          </w:tcPr>
          <w:p w14:paraId="7EFC4BC3" w14:textId="014FCC11"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-2,6</w:t>
            </w:r>
          </w:p>
        </w:tc>
        <w:tc>
          <w:tcPr>
            <w:tcW w:w="826" w:type="dxa"/>
            <w:tcBorders>
              <w:top w:val="nil"/>
              <w:left w:val="nil"/>
              <w:bottom w:val="nil"/>
              <w:right w:val="nil"/>
            </w:tcBorders>
            <w:noWrap/>
            <w:vAlign w:val="center"/>
            <w:hideMark/>
          </w:tcPr>
          <w:p w14:paraId="2FF379B1" w14:textId="584167DB"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-1,4</w:t>
            </w:r>
          </w:p>
        </w:tc>
        <w:tc>
          <w:tcPr>
            <w:tcW w:w="742" w:type="dxa"/>
            <w:tcBorders>
              <w:top w:val="nil"/>
              <w:left w:val="nil"/>
              <w:bottom w:val="nil"/>
              <w:right w:val="nil"/>
            </w:tcBorders>
            <w:noWrap/>
            <w:vAlign w:val="center"/>
            <w:hideMark/>
          </w:tcPr>
          <w:p w14:paraId="2A904CE6" w14:textId="339BE923"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1,2</w:t>
            </w:r>
          </w:p>
        </w:tc>
        <w:tc>
          <w:tcPr>
            <w:tcW w:w="728" w:type="dxa"/>
            <w:tcBorders>
              <w:top w:val="nil"/>
              <w:left w:val="nil"/>
              <w:bottom w:val="nil"/>
              <w:right w:val="nil"/>
            </w:tcBorders>
            <w:noWrap/>
            <w:vAlign w:val="center"/>
            <w:hideMark/>
          </w:tcPr>
          <w:p w14:paraId="7CE2E5F9" w14:textId="1494A637"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2,6</w:t>
            </w:r>
          </w:p>
        </w:tc>
        <w:tc>
          <w:tcPr>
            <w:tcW w:w="1453" w:type="dxa"/>
            <w:tcBorders>
              <w:top w:val="nil"/>
              <w:left w:val="single" w:sz="4" w:space="0" w:color="auto"/>
              <w:bottom w:val="nil"/>
              <w:right w:val="nil"/>
            </w:tcBorders>
            <w:noWrap/>
            <w:vAlign w:val="center"/>
            <w:hideMark/>
          </w:tcPr>
          <w:p w14:paraId="279D7A2B" w14:textId="0091575D" w:rsidR="003D7549" w:rsidRPr="003D7549" w:rsidRDefault="003D7549" w:rsidP="003D7549">
            <w:pPr>
              <w:spacing w:after="0" w:line="240" w:lineRule="auto"/>
              <w:rPr>
                <w:sz w:val="20"/>
                <w:szCs w:val="20"/>
                <w:lang w:eastAsia="sk-SK"/>
              </w:rPr>
            </w:pPr>
            <w:r>
              <w:rPr>
                <w:sz w:val="20"/>
                <w:szCs w:val="20"/>
              </w:rPr>
              <w:t>Dánsko</w:t>
            </w:r>
          </w:p>
        </w:tc>
        <w:tc>
          <w:tcPr>
            <w:tcW w:w="843" w:type="dxa"/>
            <w:tcBorders>
              <w:top w:val="nil"/>
              <w:left w:val="nil"/>
              <w:bottom w:val="nil"/>
              <w:right w:val="nil"/>
            </w:tcBorders>
            <w:noWrap/>
            <w:vAlign w:val="center"/>
            <w:hideMark/>
          </w:tcPr>
          <w:p w14:paraId="5F648F13" w14:textId="0D8E21B3"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33,3</w:t>
            </w:r>
          </w:p>
        </w:tc>
        <w:tc>
          <w:tcPr>
            <w:tcW w:w="843" w:type="dxa"/>
            <w:tcBorders>
              <w:top w:val="nil"/>
              <w:left w:val="nil"/>
              <w:bottom w:val="nil"/>
              <w:right w:val="nil"/>
            </w:tcBorders>
            <w:noWrap/>
            <w:vAlign w:val="center"/>
            <w:hideMark/>
          </w:tcPr>
          <w:p w14:paraId="2FD1A25F" w14:textId="0BCFD573"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33,0</w:t>
            </w:r>
          </w:p>
        </w:tc>
        <w:tc>
          <w:tcPr>
            <w:tcW w:w="864" w:type="dxa"/>
            <w:tcBorders>
              <w:top w:val="nil"/>
              <w:left w:val="nil"/>
              <w:bottom w:val="nil"/>
              <w:right w:val="nil"/>
            </w:tcBorders>
            <w:noWrap/>
            <w:vAlign w:val="center"/>
            <w:hideMark/>
          </w:tcPr>
          <w:p w14:paraId="184EE185" w14:textId="0613B3F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30,5</w:t>
            </w:r>
          </w:p>
        </w:tc>
        <w:tc>
          <w:tcPr>
            <w:tcW w:w="799" w:type="dxa"/>
            <w:tcBorders>
              <w:top w:val="nil"/>
              <w:left w:val="nil"/>
              <w:bottom w:val="nil"/>
              <w:right w:val="single" w:sz="4" w:space="0" w:color="auto"/>
            </w:tcBorders>
            <w:noWrap/>
            <w:vAlign w:val="center"/>
            <w:hideMark/>
          </w:tcPr>
          <w:p w14:paraId="252E57FA" w14:textId="52EE746D"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00B050"/>
                <w:sz w:val="20"/>
                <w:szCs w:val="20"/>
              </w:rPr>
              <w:t>-2,5</w:t>
            </w:r>
          </w:p>
        </w:tc>
      </w:tr>
      <w:tr w:rsidR="003D7549" w:rsidRPr="00174C84" w14:paraId="30292250" w14:textId="77777777" w:rsidTr="002847E9">
        <w:trPr>
          <w:trHeight w:val="307"/>
        </w:trPr>
        <w:tc>
          <w:tcPr>
            <w:tcW w:w="1542" w:type="dxa"/>
            <w:tcBorders>
              <w:top w:val="nil"/>
              <w:left w:val="single" w:sz="4" w:space="0" w:color="auto"/>
              <w:bottom w:val="nil"/>
              <w:right w:val="nil"/>
            </w:tcBorders>
            <w:noWrap/>
            <w:vAlign w:val="center"/>
            <w:hideMark/>
          </w:tcPr>
          <w:p w14:paraId="40A63536" w14:textId="4DE9C701" w:rsidR="003D7549" w:rsidRPr="00174C84" w:rsidRDefault="003D7549" w:rsidP="003D7549">
            <w:pPr>
              <w:spacing w:after="0" w:line="240" w:lineRule="auto"/>
              <w:rPr>
                <w:sz w:val="20"/>
                <w:szCs w:val="20"/>
                <w:highlight w:val="yellow"/>
                <w:lang w:eastAsia="sk-SK"/>
              </w:rPr>
            </w:pPr>
            <w:r>
              <w:rPr>
                <w:sz w:val="20"/>
                <w:szCs w:val="20"/>
              </w:rPr>
              <w:t>Írsko</w:t>
            </w:r>
          </w:p>
        </w:tc>
        <w:tc>
          <w:tcPr>
            <w:tcW w:w="764" w:type="dxa"/>
            <w:tcBorders>
              <w:top w:val="nil"/>
              <w:left w:val="nil"/>
              <w:bottom w:val="nil"/>
              <w:right w:val="nil"/>
            </w:tcBorders>
            <w:noWrap/>
            <w:vAlign w:val="center"/>
            <w:hideMark/>
          </w:tcPr>
          <w:p w14:paraId="43542B43" w14:textId="1B26117A"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1,6</w:t>
            </w:r>
          </w:p>
        </w:tc>
        <w:tc>
          <w:tcPr>
            <w:tcW w:w="826" w:type="dxa"/>
            <w:tcBorders>
              <w:top w:val="nil"/>
              <w:left w:val="nil"/>
              <w:bottom w:val="nil"/>
              <w:right w:val="nil"/>
            </w:tcBorders>
            <w:noWrap/>
            <w:vAlign w:val="center"/>
            <w:hideMark/>
          </w:tcPr>
          <w:p w14:paraId="0F0C9098" w14:textId="2C9FC36F"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1,4</w:t>
            </w:r>
          </w:p>
        </w:tc>
        <w:tc>
          <w:tcPr>
            <w:tcW w:w="742" w:type="dxa"/>
            <w:tcBorders>
              <w:top w:val="nil"/>
              <w:left w:val="nil"/>
              <w:bottom w:val="nil"/>
              <w:right w:val="nil"/>
            </w:tcBorders>
            <w:noWrap/>
            <w:vAlign w:val="center"/>
            <w:hideMark/>
          </w:tcPr>
          <w:p w14:paraId="7013D63B" w14:textId="4B9026D9"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4,0</w:t>
            </w:r>
          </w:p>
        </w:tc>
        <w:tc>
          <w:tcPr>
            <w:tcW w:w="728" w:type="dxa"/>
            <w:tcBorders>
              <w:top w:val="nil"/>
              <w:left w:val="nil"/>
              <w:bottom w:val="nil"/>
              <w:right w:val="nil"/>
            </w:tcBorders>
            <w:noWrap/>
            <w:vAlign w:val="center"/>
            <w:hideMark/>
          </w:tcPr>
          <w:p w14:paraId="440E8C6B" w14:textId="50C614AC"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2,6</w:t>
            </w:r>
          </w:p>
        </w:tc>
        <w:tc>
          <w:tcPr>
            <w:tcW w:w="1453" w:type="dxa"/>
            <w:tcBorders>
              <w:top w:val="nil"/>
              <w:left w:val="single" w:sz="4" w:space="0" w:color="auto"/>
              <w:bottom w:val="nil"/>
              <w:right w:val="nil"/>
            </w:tcBorders>
            <w:noWrap/>
            <w:vAlign w:val="center"/>
            <w:hideMark/>
          </w:tcPr>
          <w:p w14:paraId="7D2DCFCA" w14:textId="00662C27" w:rsidR="003D7549" w:rsidRPr="003D7549" w:rsidRDefault="003D7549" w:rsidP="003D7549">
            <w:pPr>
              <w:spacing w:after="0" w:line="240" w:lineRule="auto"/>
              <w:rPr>
                <w:sz w:val="20"/>
                <w:szCs w:val="20"/>
                <w:lang w:eastAsia="sk-SK"/>
              </w:rPr>
            </w:pPr>
            <w:r>
              <w:rPr>
                <w:sz w:val="20"/>
                <w:szCs w:val="20"/>
              </w:rPr>
              <w:t>Luxembursko</w:t>
            </w:r>
          </w:p>
        </w:tc>
        <w:tc>
          <w:tcPr>
            <w:tcW w:w="843" w:type="dxa"/>
            <w:tcBorders>
              <w:top w:val="nil"/>
              <w:left w:val="nil"/>
              <w:bottom w:val="nil"/>
              <w:right w:val="nil"/>
            </w:tcBorders>
            <w:noWrap/>
            <w:vAlign w:val="center"/>
            <w:hideMark/>
          </w:tcPr>
          <w:p w14:paraId="6189804D" w14:textId="465ABE0B"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24,9</w:t>
            </w:r>
          </w:p>
        </w:tc>
        <w:tc>
          <w:tcPr>
            <w:tcW w:w="843" w:type="dxa"/>
            <w:tcBorders>
              <w:top w:val="nil"/>
              <w:left w:val="nil"/>
              <w:bottom w:val="nil"/>
              <w:right w:val="nil"/>
            </w:tcBorders>
            <w:noWrap/>
            <w:vAlign w:val="center"/>
            <w:hideMark/>
          </w:tcPr>
          <w:p w14:paraId="730BF6FE" w14:textId="138B3785"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24,7</w:t>
            </w:r>
          </w:p>
        </w:tc>
        <w:tc>
          <w:tcPr>
            <w:tcW w:w="864" w:type="dxa"/>
            <w:tcBorders>
              <w:top w:val="nil"/>
              <w:left w:val="nil"/>
              <w:bottom w:val="nil"/>
              <w:right w:val="nil"/>
            </w:tcBorders>
            <w:noWrap/>
            <w:vAlign w:val="center"/>
            <w:hideMark/>
          </w:tcPr>
          <w:p w14:paraId="2D0F5321" w14:textId="7A1683E9"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26,3</w:t>
            </w:r>
          </w:p>
        </w:tc>
        <w:tc>
          <w:tcPr>
            <w:tcW w:w="799" w:type="dxa"/>
            <w:tcBorders>
              <w:top w:val="nil"/>
              <w:left w:val="nil"/>
              <w:bottom w:val="nil"/>
              <w:right w:val="single" w:sz="4" w:space="0" w:color="auto"/>
            </w:tcBorders>
            <w:noWrap/>
            <w:vAlign w:val="center"/>
            <w:hideMark/>
          </w:tcPr>
          <w:p w14:paraId="3FF4DF59" w14:textId="4EC3BE71" w:rsidR="003D7549" w:rsidRPr="003D7549" w:rsidRDefault="003D7549" w:rsidP="003D7549">
            <w:pPr>
              <w:tabs>
                <w:tab w:val="decimal" w:pos="230"/>
              </w:tabs>
              <w:spacing w:after="0" w:line="240" w:lineRule="auto"/>
              <w:ind w:right="32" w:firstLineChars="100" w:firstLine="200"/>
              <w:jc w:val="right"/>
              <w:rPr>
                <w:color w:val="000000"/>
                <w:sz w:val="20"/>
                <w:szCs w:val="20"/>
                <w:lang w:eastAsia="sk-SK"/>
              </w:rPr>
            </w:pPr>
            <w:r>
              <w:rPr>
                <w:color w:val="FF0000"/>
                <w:sz w:val="20"/>
                <w:szCs w:val="20"/>
              </w:rPr>
              <w:t>1,6</w:t>
            </w:r>
          </w:p>
        </w:tc>
      </w:tr>
      <w:tr w:rsidR="003D7549" w:rsidRPr="00174C84" w14:paraId="6EE40452" w14:textId="77777777" w:rsidTr="002847E9">
        <w:trPr>
          <w:trHeight w:val="307"/>
        </w:trPr>
        <w:tc>
          <w:tcPr>
            <w:tcW w:w="1542" w:type="dxa"/>
            <w:tcBorders>
              <w:top w:val="nil"/>
              <w:left w:val="single" w:sz="4" w:space="0" w:color="auto"/>
              <w:bottom w:val="nil"/>
              <w:right w:val="nil"/>
            </w:tcBorders>
            <w:noWrap/>
            <w:vAlign w:val="center"/>
            <w:hideMark/>
          </w:tcPr>
          <w:p w14:paraId="35162DC1" w14:textId="4A97F9E4" w:rsidR="003D7549" w:rsidRPr="00174C84" w:rsidRDefault="003D7549" w:rsidP="003D7549">
            <w:pPr>
              <w:spacing w:after="0" w:line="240" w:lineRule="auto"/>
              <w:rPr>
                <w:sz w:val="20"/>
                <w:szCs w:val="20"/>
                <w:highlight w:val="yellow"/>
                <w:lang w:eastAsia="sk-SK"/>
              </w:rPr>
            </w:pPr>
            <w:r>
              <w:rPr>
                <w:sz w:val="20"/>
                <w:szCs w:val="20"/>
              </w:rPr>
              <w:t>Cyprus</w:t>
            </w:r>
          </w:p>
        </w:tc>
        <w:tc>
          <w:tcPr>
            <w:tcW w:w="764" w:type="dxa"/>
            <w:tcBorders>
              <w:top w:val="nil"/>
              <w:left w:val="nil"/>
              <w:bottom w:val="nil"/>
              <w:right w:val="nil"/>
            </w:tcBorders>
            <w:noWrap/>
            <w:vAlign w:val="center"/>
            <w:hideMark/>
          </w:tcPr>
          <w:p w14:paraId="2EE62506" w14:textId="7FBE3504"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2,7</w:t>
            </w:r>
          </w:p>
        </w:tc>
        <w:tc>
          <w:tcPr>
            <w:tcW w:w="826" w:type="dxa"/>
            <w:tcBorders>
              <w:top w:val="nil"/>
              <w:left w:val="nil"/>
              <w:bottom w:val="nil"/>
              <w:right w:val="nil"/>
            </w:tcBorders>
            <w:noWrap/>
            <w:vAlign w:val="center"/>
            <w:hideMark/>
          </w:tcPr>
          <w:p w14:paraId="4E271DD6" w14:textId="3725BDB6"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1,7</w:t>
            </w:r>
          </w:p>
        </w:tc>
        <w:tc>
          <w:tcPr>
            <w:tcW w:w="742" w:type="dxa"/>
            <w:tcBorders>
              <w:top w:val="nil"/>
              <w:left w:val="nil"/>
              <w:bottom w:val="nil"/>
              <w:right w:val="nil"/>
            </w:tcBorders>
            <w:noWrap/>
            <w:vAlign w:val="center"/>
            <w:hideMark/>
          </w:tcPr>
          <w:p w14:paraId="4DB07F98" w14:textId="1907D680"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4,1</w:t>
            </w:r>
          </w:p>
        </w:tc>
        <w:tc>
          <w:tcPr>
            <w:tcW w:w="728" w:type="dxa"/>
            <w:tcBorders>
              <w:top w:val="nil"/>
              <w:left w:val="nil"/>
              <w:bottom w:val="nil"/>
              <w:right w:val="nil"/>
            </w:tcBorders>
            <w:noWrap/>
            <w:vAlign w:val="center"/>
            <w:hideMark/>
          </w:tcPr>
          <w:p w14:paraId="071BD6CB" w14:textId="4A4C7743"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2,4</w:t>
            </w:r>
          </w:p>
        </w:tc>
        <w:tc>
          <w:tcPr>
            <w:tcW w:w="1453" w:type="dxa"/>
            <w:tcBorders>
              <w:top w:val="nil"/>
              <w:left w:val="single" w:sz="4" w:space="0" w:color="auto"/>
              <w:bottom w:val="nil"/>
              <w:right w:val="nil"/>
            </w:tcBorders>
            <w:noWrap/>
            <w:vAlign w:val="center"/>
            <w:hideMark/>
          </w:tcPr>
          <w:p w14:paraId="520BE4CA" w14:textId="7EC365B1" w:rsidR="003D7549" w:rsidRPr="003D7549" w:rsidRDefault="003D7549" w:rsidP="003D7549">
            <w:pPr>
              <w:spacing w:after="0" w:line="240" w:lineRule="auto"/>
              <w:rPr>
                <w:sz w:val="20"/>
                <w:szCs w:val="20"/>
                <w:lang w:eastAsia="sk-SK"/>
              </w:rPr>
            </w:pPr>
            <w:r>
              <w:rPr>
                <w:sz w:val="20"/>
                <w:szCs w:val="20"/>
              </w:rPr>
              <w:t>Bulharsko</w:t>
            </w:r>
          </w:p>
        </w:tc>
        <w:tc>
          <w:tcPr>
            <w:tcW w:w="843" w:type="dxa"/>
            <w:tcBorders>
              <w:top w:val="nil"/>
              <w:left w:val="nil"/>
              <w:bottom w:val="nil"/>
              <w:right w:val="nil"/>
            </w:tcBorders>
            <w:noWrap/>
            <w:vAlign w:val="center"/>
            <w:hideMark/>
          </w:tcPr>
          <w:p w14:paraId="2D54F852" w14:textId="7C636A20"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22,5</w:t>
            </w:r>
          </w:p>
        </w:tc>
        <w:tc>
          <w:tcPr>
            <w:tcW w:w="843" w:type="dxa"/>
            <w:tcBorders>
              <w:top w:val="nil"/>
              <w:left w:val="nil"/>
              <w:bottom w:val="nil"/>
              <w:right w:val="nil"/>
            </w:tcBorders>
            <w:noWrap/>
            <w:vAlign w:val="center"/>
            <w:hideMark/>
          </w:tcPr>
          <w:p w14:paraId="2FC71A96" w14:textId="3777CDF9"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22,9</w:t>
            </w:r>
          </w:p>
        </w:tc>
        <w:tc>
          <w:tcPr>
            <w:tcW w:w="864" w:type="dxa"/>
            <w:tcBorders>
              <w:top w:val="nil"/>
              <w:left w:val="nil"/>
              <w:bottom w:val="nil"/>
              <w:right w:val="nil"/>
            </w:tcBorders>
            <w:noWrap/>
            <w:vAlign w:val="center"/>
            <w:hideMark/>
          </w:tcPr>
          <w:p w14:paraId="0453BA32" w14:textId="5D673547"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23,8</w:t>
            </w:r>
          </w:p>
        </w:tc>
        <w:tc>
          <w:tcPr>
            <w:tcW w:w="799" w:type="dxa"/>
            <w:tcBorders>
              <w:top w:val="nil"/>
              <w:left w:val="nil"/>
              <w:bottom w:val="nil"/>
              <w:right w:val="single" w:sz="4" w:space="0" w:color="auto"/>
            </w:tcBorders>
            <w:noWrap/>
            <w:vAlign w:val="center"/>
            <w:hideMark/>
          </w:tcPr>
          <w:p w14:paraId="1B1AD181" w14:textId="02A17BD0"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0,9</w:t>
            </w:r>
          </w:p>
        </w:tc>
      </w:tr>
      <w:tr w:rsidR="003D7549" w:rsidRPr="00174C84" w14:paraId="42B12E7C" w14:textId="77777777" w:rsidTr="002847E9">
        <w:trPr>
          <w:trHeight w:val="307"/>
        </w:trPr>
        <w:tc>
          <w:tcPr>
            <w:tcW w:w="1542" w:type="dxa"/>
            <w:tcBorders>
              <w:top w:val="nil"/>
              <w:left w:val="single" w:sz="4" w:space="0" w:color="auto"/>
              <w:bottom w:val="single" w:sz="4" w:space="0" w:color="auto"/>
              <w:right w:val="nil"/>
            </w:tcBorders>
            <w:noWrap/>
            <w:vAlign w:val="center"/>
            <w:hideMark/>
          </w:tcPr>
          <w:p w14:paraId="3C86C26A" w14:textId="69C52907" w:rsidR="003D7549" w:rsidRPr="00174C84" w:rsidRDefault="003D7549" w:rsidP="003D7549">
            <w:pPr>
              <w:spacing w:after="0" w:line="240" w:lineRule="auto"/>
              <w:rPr>
                <w:sz w:val="20"/>
                <w:szCs w:val="20"/>
                <w:highlight w:val="yellow"/>
                <w:lang w:eastAsia="sk-SK"/>
              </w:rPr>
            </w:pPr>
            <w:r>
              <w:rPr>
                <w:sz w:val="20"/>
                <w:szCs w:val="20"/>
              </w:rPr>
              <w:t>Dánsko</w:t>
            </w:r>
          </w:p>
        </w:tc>
        <w:tc>
          <w:tcPr>
            <w:tcW w:w="764" w:type="dxa"/>
            <w:tcBorders>
              <w:top w:val="nil"/>
              <w:left w:val="nil"/>
              <w:bottom w:val="single" w:sz="4" w:space="0" w:color="auto"/>
              <w:right w:val="nil"/>
            </w:tcBorders>
            <w:noWrap/>
            <w:vAlign w:val="center"/>
            <w:hideMark/>
          </w:tcPr>
          <w:p w14:paraId="18DD2378" w14:textId="370CBED6"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3,4</w:t>
            </w:r>
          </w:p>
        </w:tc>
        <w:tc>
          <w:tcPr>
            <w:tcW w:w="826" w:type="dxa"/>
            <w:tcBorders>
              <w:top w:val="nil"/>
              <w:left w:val="nil"/>
              <w:bottom w:val="single" w:sz="4" w:space="0" w:color="auto"/>
              <w:right w:val="nil"/>
            </w:tcBorders>
            <w:noWrap/>
            <w:vAlign w:val="center"/>
            <w:hideMark/>
          </w:tcPr>
          <w:p w14:paraId="76A66697" w14:textId="06814B1E"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3,4</w:t>
            </w:r>
          </w:p>
        </w:tc>
        <w:tc>
          <w:tcPr>
            <w:tcW w:w="742" w:type="dxa"/>
            <w:tcBorders>
              <w:top w:val="nil"/>
              <w:left w:val="nil"/>
              <w:bottom w:val="single" w:sz="4" w:space="0" w:color="auto"/>
              <w:right w:val="nil"/>
            </w:tcBorders>
            <w:noWrap/>
            <w:vAlign w:val="center"/>
            <w:hideMark/>
          </w:tcPr>
          <w:p w14:paraId="68BAB14E" w14:textId="03BD3523" w:rsidR="003D7549" w:rsidRPr="00174C84" w:rsidRDefault="003D7549" w:rsidP="003D7549">
            <w:pPr>
              <w:spacing w:after="0" w:line="240" w:lineRule="auto"/>
              <w:ind w:firstLineChars="100" w:firstLine="200"/>
              <w:jc w:val="right"/>
              <w:rPr>
                <w:color w:val="000000"/>
                <w:sz w:val="20"/>
                <w:szCs w:val="20"/>
                <w:highlight w:val="yellow"/>
                <w:lang w:eastAsia="sk-SK"/>
              </w:rPr>
            </w:pPr>
            <w:r>
              <w:rPr>
                <w:color w:val="000000"/>
                <w:sz w:val="20"/>
                <w:szCs w:val="20"/>
              </w:rPr>
              <w:t>4,5</w:t>
            </w:r>
          </w:p>
        </w:tc>
        <w:tc>
          <w:tcPr>
            <w:tcW w:w="728" w:type="dxa"/>
            <w:tcBorders>
              <w:top w:val="nil"/>
              <w:left w:val="nil"/>
              <w:bottom w:val="single" w:sz="4" w:space="0" w:color="auto"/>
              <w:right w:val="single" w:sz="4" w:space="0" w:color="auto"/>
            </w:tcBorders>
            <w:noWrap/>
            <w:vAlign w:val="center"/>
            <w:hideMark/>
          </w:tcPr>
          <w:p w14:paraId="5D30E051" w14:textId="435785F1" w:rsidR="003D7549" w:rsidRPr="00174C84" w:rsidRDefault="003D7549" w:rsidP="003D7549">
            <w:pPr>
              <w:spacing w:after="0" w:line="240" w:lineRule="auto"/>
              <w:ind w:firstLineChars="100" w:firstLine="200"/>
              <w:jc w:val="center"/>
              <w:rPr>
                <w:color w:val="00B050"/>
                <w:sz w:val="20"/>
                <w:szCs w:val="20"/>
                <w:highlight w:val="yellow"/>
                <w:lang w:eastAsia="sk-SK"/>
              </w:rPr>
            </w:pPr>
            <w:r>
              <w:rPr>
                <w:color w:val="00B050"/>
                <w:sz w:val="20"/>
                <w:szCs w:val="20"/>
              </w:rPr>
              <w:t>1,1</w:t>
            </w:r>
          </w:p>
        </w:tc>
        <w:tc>
          <w:tcPr>
            <w:tcW w:w="1453" w:type="dxa"/>
            <w:tcBorders>
              <w:top w:val="nil"/>
              <w:left w:val="nil"/>
              <w:bottom w:val="single" w:sz="4" w:space="0" w:color="auto"/>
              <w:right w:val="nil"/>
            </w:tcBorders>
            <w:noWrap/>
            <w:vAlign w:val="center"/>
            <w:hideMark/>
          </w:tcPr>
          <w:p w14:paraId="371A5B3E" w14:textId="09271907" w:rsidR="003D7549" w:rsidRPr="003D7549" w:rsidRDefault="003D7549" w:rsidP="003D7549">
            <w:pPr>
              <w:spacing w:after="0" w:line="240" w:lineRule="auto"/>
              <w:rPr>
                <w:sz w:val="20"/>
                <w:szCs w:val="20"/>
                <w:lang w:eastAsia="sk-SK"/>
              </w:rPr>
            </w:pPr>
            <w:r>
              <w:rPr>
                <w:sz w:val="20"/>
                <w:szCs w:val="20"/>
              </w:rPr>
              <w:t>Estónsko</w:t>
            </w:r>
          </w:p>
        </w:tc>
        <w:tc>
          <w:tcPr>
            <w:tcW w:w="843" w:type="dxa"/>
            <w:tcBorders>
              <w:top w:val="nil"/>
              <w:left w:val="nil"/>
              <w:bottom w:val="single" w:sz="4" w:space="0" w:color="auto"/>
              <w:right w:val="nil"/>
            </w:tcBorders>
            <w:noWrap/>
            <w:vAlign w:val="center"/>
            <w:hideMark/>
          </w:tcPr>
          <w:p w14:paraId="092B2EDF" w14:textId="2F740255"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19,2</w:t>
            </w:r>
          </w:p>
        </w:tc>
        <w:tc>
          <w:tcPr>
            <w:tcW w:w="843" w:type="dxa"/>
            <w:tcBorders>
              <w:top w:val="nil"/>
              <w:left w:val="nil"/>
              <w:bottom w:val="single" w:sz="4" w:space="0" w:color="auto"/>
              <w:right w:val="nil"/>
            </w:tcBorders>
            <w:noWrap/>
            <w:vAlign w:val="center"/>
            <w:hideMark/>
          </w:tcPr>
          <w:p w14:paraId="58B1D037" w14:textId="21A6FE4A"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20,2</w:t>
            </w:r>
          </w:p>
        </w:tc>
        <w:tc>
          <w:tcPr>
            <w:tcW w:w="864" w:type="dxa"/>
            <w:tcBorders>
              <w:top w:val="nil"/>
              <w:left w:val="nil"/>
              <w:bottom w:val="single" w:sz="4" w:space="0" w:color="auto"/>
              <w:right w:val="nil"/>
            </w:tcBorders>
            <w:noWrap/>
            <w:vAlign w:val="center"/>
            <w:hideMark/>
          </w:tcPr>
          <w:p w14:paraId="388DB874" w14:textId="364F5DB4" w:rsidR="003D7549" w:rsidRPr="003D7549" w:rsidRDefault="003D7549" w:rsidP="003D7549">
            <w:pPr>
              <w:spacing w:after="0" w:line="240" w:lineRule="auto"/>
              <w:ind w:firstLineChars="100" w:firstLine="200"/>
              <w:jc w:val="right"/>
              <w:rPr>
                <w:color w:val="000000"/>
                <w:sz w:val="20"/>
                <w:szCs w:val="20"/>
                <w:lang w:eastAsia="sk-SK"/>
              </w:rPr>
            </w:pPr>
            <w:r>
              <w:rPr>
                <w:color w:val="000000"/>
                <w:sz w:val="20"/>
                <w:szCs w:val="20"/>
              </w:rPr>
              <w:t>23,5</w:t>
            </w:r>
          </w:p>
        </w:tc>
        <w:tc>
          <w:tcPr>
            <w:tcW w:w="799" w:type="dxa"/>
            <w:tcBorders>
              <w:top w:val="nil"/>
              <w:left w:val="nil"/>
              <w:bottom w:val="single" w:sz="4" w:space="0" w:color="auto"/>
              <w:right w:val="single" w:sz="4" w:space="0" w:color="auto"/>
            </w:tcBorders>
            <w:noWrap/>
            <w:vAlign w:val="center"/>
            <w:hideMark/>
          </w:tcPr>
          <w:p w14:paraId="2FEA1840" w14:textId="7CB96491" w:rsidR="003D7549" w:rsidRPr="003D7549" w:rsidRDefault="003D7549" w:rsidP="003D7549">
            <w:pPr>
              <w:tabs>
                <w:tab w:val="decimal" w:pos="230"/>
              </w:tabs>
              <w:spacing w:after="0" w:line="240" w:lineRule="auto"/>
              <w:ind w:right="32" w:firstLineChars="100" w:firstLine="200"/>
              <w:jc w:val="right"/>
              <w:rPr>
                <w:color w:val="00B050"/>
                <w:sz w:val="20"/>
                <w:szCs w:val="20"/>
                <w:lang w:eastAsia="sk-SK"/>
              </w:rPr>
            </w:pPr>
            <w:r>
              <w:rPr>
                <w:color w:val="FF0000"/>
                <w:sz w:val="20"/>
                <w:szCs w:val="20"/>
              </w:rPr>
              <w:t>3,3</w:t>
            </w:r>
          </w:p>
        </w:tc>
      </w:tr>
    </w:tbl>
    <w:p w14:paraId="5F884205" w14:textId="24312CE4" w:rsidR="00B07378" w:rsidRPr="00E6283D" w:rsidRDefault="00B07378" w:rsidP="00B07378">
      <w:pPr>
        <w:spacing w:after="0" w:line="240" w:lineRule="auto"/>
        <w:jc w:val="right"/>
        <w:rPr>
          <w:sz w:val="18"/>
          <w:szCs w:val="18"/>
        </w:rPr>
      </w:pPr>
      <w:r w:rsidRPr="00E6283D">
        <w:rPr>
          <w:i/>
          <w:sz w:val="16"/>
          <w:szCs w:val="16"/>
        </w:rPr>
        <w:t>Zdroj: Eurostat</w:t>
      </w:r>
    </w:p>
    <w:p w14:paraId="0AA010E9" w14:textId="3C0FA2C9" w:rsidR="00442DE1" w:rsidRPr="00E6283D" w:rsidRDefault="00442DE1" w:rsidP="0048253F">
      <w:pPr>
        <w:rPr>
          <w:sz w:val="16"/>
          <w:szCs w:val="16"/>
        </w:rPr>
      </w:pPr>
      <w:bookmarkStart w:id="28" w:name="_1.6._Benchmarková_revízia"/>
      <w:bookmarkEnd w:id="28"/>
      <w:r w:rsidRPr="00E6283D">
        <w:rPr>
          <w:sz w:val="16"/>
          <w:szCs w:val="16"/>
        </w:rPr>
        <w:t>Predchádzajúce obdobia sú zrevidované podľa aktuálneho press release zo dňa 2</w:t>
      </w:r>
      <w:r w:rsidR="0017134D" w:rsidRPr="00E6283D">
        <w:rPr>
          <w:sz w:val="16"/>
          <w:szCs w:val="16"/>
        </w:rPr>
        <w:t>1</w:t>
      </w:r>
      <w:r w:rsidRPr="00E6283D">
        <w:rPr>
          <w:sz w:val="16"/>
          <w:szCs w:val="16"/>
        </w:rPr>
        <w:t>.10.202</w:t>
      </w:r>
      <w:r w:rsidR="0017134D" w:rsidRPr="00E6283D">
        <w:rPr>
          <w:sz w:val="16"/>
          <w:szCs w:val="16"/>
        </w:rPr>
        <w:t>5</w:t>
      </w:r>
      <w:r w:rsidRPr="00E6283D">
        <w:rPr>
          <w:sz w:val="16"/>
          <w:szCs w:val="16"/>
        </w:rPr>
        <w:t>. Usporiadanie krají</w:t>
      </w:r>
      <w:r w:rsidR="00C765EA" w:rsidRPr="00E6283D">
        <w:rPr>
          <w:sz w:val="16"/>
          <w:szCs w:val="16"/>
        </w:rPr>
        <w:t>n je podľa poradia salda/dlhu v </w:t>
      </w:r>
      <w:r w:rsidRPr="00E6283D">
        <w:rPr>
          <w:sz w:val="16"/>
          <w:szCs w:val="16"/>
        </w:rPr>
        <w:t>poslednom sledovanom období. Zelenou farbou je označené medziročné zlepšenie, červenou farbou medziročné zhoršenie salda/dlhu.</w:t>
      </w:r>
    </w:p>
    <w:p w14:paraId="769E50F8" w14:textId="77777777" w:rsidR="0061018F" w:rsidRDefault="0061018F" w:rsidP="0048253F">
      <w:pPr>
        <w:rPr>
          <w:sz w:val="16"/>
          <w:szCs w:val="16"/>
          <w:highlight w:val="yellow"/>
        </w:rPr>
      </w:pPr>
    </w:p>
    <w:p w14:paraId="5662084C" w14:textId="77777777" w:rsidR="0061018F" w:rsidRDefault="0061018F" w:rsidP="0048253F">
      <w:pPr>
        <w:rPr>
          <w:sz w:val="16"/>
          <w:szCs w:val="16"/>
          <w:highlight w:val="yellow"/>
        </w:rPr>
      </w:pPr>
    </w:p>
    <w:p w14:paraId="7B2961C4" w14:textId="77777777" w:rsidR="0061018F" w:rsidRDefault="0061018F" w:rsidP="0048253F">
      <w:pPr>
        <w:rPr>
          <w:sz w:val="16"/>
          <w:szCs w:val="16"/>
          <w:highlight w:val="yellow"/>
        </w:rPr>
      </w:pPr>
    </w:p>
    <w:p w14:paraId="624E7814" w14:textId="77777777" w:rsidR="0061018F" w:rsidRDefault="0061018F" w:rsidP="0048253F">
      <w:pPr>
        <w:rPr>
          <w:sz w:val="16"/>
          <w:szCs w:val="16"/>
          <w:highlight w:val="yellow"/>
        </w:rPr>
      </w:pPr>
    </w:p>
    <w:p w14:paraId="3011FC0E" w14:textId="572A174C" w:rsidR="00395371" w:rsidRDefault="00395371">
      <w:pPr>
        <w:rPr>
          <w:sz w:val="16"/>
          <w:szCs w:val="16"/>
          <w:highlight w:val="yellow"/>
        </w:rPr>
      </w:pPr>
      <w:r>
        <w:rPr>
          <w:sz w:val="16"/>
          <w:szCs w:val="16"/>
          <w:highlight w:val="yellow"/>
        </w:rPr>
        <w:br w:type="page"/>
      </w:r>
    </w:p>
    <w:p w14:paraId="6631792E" w14:textId="7A91C6C1" w:rsidR="003D050C" w:rsidRPr="005171A5" w:rsidRDefault="003D050C" w:rsidP="00EC0753">
      <w:pPr>
        <w:pStyle w:val="Nadpis1"/>
        <w:numPr>
          <w:ilvl w:val="0"/>
          <w:numId w:val="2"/>
        </w:numPr>
        <w:spacing w:before="120" w:line="240" w:lineRule="auto"/>
        <w:ind w:left="425" w:hanging="425"/>
      </w:pPr>
      <w:bookmarkStart w:id="29" w:name="_Toc212461598"/>
      <w:r w:rsidRPr="005B228E">
        <w:lastRenderedPageBreak/>
        <w:t xml:space="preserve">Hospodárenie verejnej správy – požiadavky ústavného zákona o rozpočtovej </w:t>
      </w:r>
      <w:r w:rsidRPr="005171A5">
        <w:t>zodpovednosti</w:t>
      </w:r>
      <w:bookmarkEnd w:id="29"/>
    </w:p>
    <w:p w14:paraId="1B5C48BC" w14:textId="28461812" w:rsidR="00C56B37" w:rsidRPr="005171A5" w:rsidRDefault="00E95D2B" w:rsidP="00BB14BD">
      <w:pPr>
        <w:spacing w:after="120" w:line="240" w:lineRule="auto"/>
        <w:jc w:val="both"/>
      </w:pPr>
      <w:r w:rsidRPr="005171A5">
        <w:t>K</w:t>
      </w:r>
      <w:r w:rsidR="00C56B37" w:rsidRPr="005171A5">
        <w:t>apitola hodnotí vývoj hospodárenia verejnej správy najmä z pohľadu informácií, ktoré má obsahovať súhrnná výročná správa na základe ústavného zákona o rozpočtovej zodpovednosti (bilancia rozpočtu verejnej správy, jednorazové vplyvy a vyhodnotenie stratégie riadenia štátneho dlhu). Špecifikom týchto úd</w:t>
      </w:r>
      <w:r w:rsidR="00DF0B8D" w:rsidRPr="005171A5">
        <w:t>ajov a informácií je fakt, že z </w:t>
      </w:r>
      <w:r w:rsidR="00C56B37" w:rsidRPr="005171A5">
        <w:t>väčšej časti nie sú založené na š</w:t>
      </w:r>
      <w:r w:rsidR="00C24FE0" w:rsidRPr="005171A5">
        <w:t xml:space="preserve">tandardnej metodike </w:t>
      </w:r>
      <w:r w:rsidR="00DF0B8D" w:rsidRPr="005171A5">
        <w:t>ESA </w:t>
      </w:r>
      <w:r w:rsidR="00F40ABA" w:rsidRPr="005171A5">
        <w:t>2010</w:t>
      </w:r>
      <w:r w:rsidR="00C24FE0" w:rsidRPr="005171A5">
        <w:t xml:space="preserve"> a v </w:t>
      </w:r>
      <w:r w:rsidR="00C56B37" w:rsidRPr="005171A5">
        <w:t>niektorých prípadoch sú postavené na odhadoch a metodike Ministerstva financií SR (jednorazové vplyvy, cyklická zložka, štrukturálne saldo), rozširujú však analytický pohľad na hospodárenie verejnej správy nad rámec salda a dlhu podľa maastrichtských kritérií.</w:t>
      </w:r>
    </w:p>
    <w:p w14:paraId="6AB48E20" w14:textId="74D371FD" w:rsidR="00A65E40" w:rsidRPr="005171A5" w:rsidRDefault="00ED7D2D" w:rsidP="00EC0753">
      <w:pPr>
        <w:pStyle w:val="Nadpis2"/>
        <w:numPr>
          <w:ilvl w:val="1"/>
          <w:numId w:val="2"/>
        </w:numPr>
      </w:pPr>
      <w:r w:rsidRPr="005171A5">
        <w:t xml:space="preserve">  </w:t>
      </w:r>
      <w:bookmarkStart w:id="30" w:name="_Toc212461599"/>
      <w:r w:rsidR="00A65E40" w:rsidRPr="005171A5">
        <w:t>Bilancia rozpočtu verejnej správy</w:t>
      </w:r>
      <w:bookmarkEnd w:id="30"/>
    </w:p>
    <w:p w14:paraId="51B7AFE1" w14:textId="2CEB7618" w:rsidR="00AE4B76" w:rsidRPr="0083093C" w:rsidRDefault="00C56B37" w:rsidP="00703CBA">
      <w:pPr>
        <w:spacing w:after="120" w:line="240" w:lineRule="auto"/>
        <w:jc w:val="both"/>
      </w:pPr>
      <w:r w:rsidRPr="00E50084">
        <w:t>Bilancia rozpočtu verejnej správy</w:t>
      </w:r>
      <w:r w:rsidR="00DF0B8D" w:rsidRPr="00E50084">
        <w:t xml:space="preserve"> poskytuje analytický pohľad na </w:t>
      </w:r>
      <w:r w:rsidRPr="00E50084">
        <w:t xml:space="preserve">vývoj hlavných príjmových a výdavkových položiek verejnej správy ako celku za daný rok. Štruktúra prezentovanej bilancie pozostáva z kombinácie kódov </w:t>
      </w:r>
      <w:r w:rsidR="00214ECD" w:rsidRPr="00E50084">
        <w:t>ESA </w:t>
      </w:r>
      <w:r w:rsidR="00F40ABA" w:rsidRPr="00E50084">
        <w:t>2010</w:t>
      </w:r>
      <w:r w:rsidRPr="00E50084">
        <w:t xml:space="preserve"> a ekonomickej klasifikácie rozpočtovej klasifikácie</w:t>
      </w:r>
      <w:r w:rsidRPr="009F5875">
        <w:t>. Kombinácia metodík má za cieľ umožniť prezentáciu analytických a zároveň medzinárodne porovnateľných údajov. Ekonomická klasifikácia poskytuje vecný pohľad na jednotlivé</w:t>
      </w:r>
      <w:r w:rsidR="00C860A6" w:rsidRPr="009F5875">
        <w:t xml:space="preserve"> kategórie príjmov a výdavkov a </w:t>
      </w:r>
      <w:r w:rsidRPr="009F5875">
        <w:t>metodika</w:t>
      </w:r>
      <w:r w:rsidRPr="00E50084">
        <w:t xml:space="preserve"> </w:t>
      </w:r>
      <w:r w:rsidR="00214ECD" w:rsidRPr="00E50084">
        <w:t>ESA </w:t>
      </w:r>
      <w:r w:rsidR="00F40ABA" w:rsidRPr="00E50084">
        <w:t>2010</w:t>
      </w:r>
      <w:r w:rsidRPr="00E50084">
        <w:t xml:space="preserve"> umožňuje medzinárodné porovnania a je konzistentná s makroekonomickými kategóriami národných účtov (ako napr. HDP, spotreba verejnej správy).</w:t>
      </w:r>
    </w:p>
    <w:p w14:paraId="3D0FA3D2" w14:textId="507AE75E" w:rsidR="00916637" w:rsidRPr="005B228E" w:rsidRDefault="00916637" w:rsidP="00812B28">
      <w:pPr>
        <w:spacing w:after="0" w:line="240" w:lineRule="auto"/>
        <w:jc w:val="both"/>
      </w:pPr>
      <w:r w:rsidRPr="005B228E">
        <w:t>Niektoré príjmy a výdavky podliehajú konsolidácii v rámci celej verejnej správy, preto sa ich vplyv na</w:t>
      </w:r>
      <w:r w:rsidR="00FA6670" w:rsidRPr="005B228E">
        <w:t> </w:t>
      </w:r>
      <w:r w:rsidRPr="005B228E">
        <w:t>schodok verejnej správy eliminuje</w:t>
      </w:r>
      <w:r w:rsidR="00871A0D" w:rsidRPr="005B228E">
        <w:t xml:space="preserve"> a transakcie medzi jednotlivými subjektmi verejnej správy sú vylúčené. Z</w:t>
      </w:r>
      <w:r w:rsidRPr="005B228E">
        <w:t xml:space="preserve">ároveň príjmy a výdavky z EU zdrojov majú neutrálny vplyv </w:t>
      </w:r>
      <w:r w:rsidR="00871A0D" w:rsidRPr="005B228E">
        <w:t>na ESA schodok verejnej správy.</w:t>
      </w:r>
    </w:p>
    <w:p w14:paraId="5A489EE5" w14:textId="1C2A0BB9" w:rsidR="00703CBA" w:rsidRDefault="00703CBA" w:rsidP="00D162A9">
      <w:pPr>
        <w:pStyle w:val="Popis"/>
      </w:pPr>
      <w:bookmarkStart w:id="31" w:name="_Toc212124630"/>
      <w:r>
        <w:t xml:space="preserve">Tabuľka </w:t>
      </w:r>
      <w:r w:rsidR="00CA4B84">
        <w:fldChar w:fldCharType="begin"/>
      </w:r>
      <w:r w:rsidR="00CA4B84">
        <w:instrText xml:space="preserve"> SEQ Tabuľka \* ARABIC </w:instrText>
      </w:r>
      <w:r w:rsidR="00CA4B84">
        <w:fldChar w:fldCharType="separate"/>
      </w:r>
      <w:r w:rsidR="00076866">
        <w:rPr>
          <w:noProof/>
        </w:rPr>
        <w:t>9</w:t>
      </w:r>
      <w:r w:rsidR="00CA4B84">
        <w:rPr>
          <w:noProof/>
        </w:rPr>
        <w:fldChar w:fldCharType="end"/>
      </w:r>
      <w:r>
        <w:t xml:space="preserve"> - </w:t>
      </w:r>
      <w:r w:rsidRPr="00EA34D8">
        <w:t xml:space="preserve">Bilancia rozpočtu verejnej správy ESA 2010 </w:t>
      </w:r>
      <w:r w:rsidRPr="00EA34D8">
        <w:tab/>
        <w:t>(v tis. eur)</w:t>
      </w:r>
      <w:bookmarkEnd w:id="31"/>
    </w:p>
    <w:tbl>
      <w:tblPr>
        <w:tblW w:w="5000" w:type="pct"/>
        <w:tblLayout w:type="fixed"/>
        <w:tblCellMar>
          <w:left w:w="70" w:type="dxa"/>
          <w:right w:w="70" w:type="dxa"/>
        </w:tblCellMar>
        <w:tblLook w:val="04A0" w:firstRow="1" w:lastRow="0" w:firstColumn="1" w:lastColumn="0" w:noHBand="0" w:noVBand="1"/>
      </w:tblPr>
      <w:tblGrid>
        <w:gridCol w:w="2739"/>
        <w:gridCol w:w="1168"/>
        <w:gridCol w:w="1143"/>
        <w:gridCol w:w="1141"/>
        <w:gridCol w:w="1141"/>
        <w:gridCol w:w="1143"/>
        <w:gridCol w:w="1020"/>
      </w:tblGrid>
      <w:tr w:rsidR="0036369D" w:rsidRPr="0083093C" w14:paraId="039B0D7D" w14:textId="77777777" w:rsidTr="0036369D">
        <w:trPr>
          <w:trHeight w:val="269"/>
          <w:tblHeader/>
        </w:trPr>
        <w:tc>
          <w:tcPr>
            <w:tcW w:w="1442" w:type="pct"/>
            <w:vMerge w:val="restart"/>
            <w:tcBorders>
              <w:top w:val="single" w:sz="4" w:space="0" w:color="auto"/>
              <w:left w:val="nil"/>
              <w:bottom w:val="single" w:sz="4" w:space="0" w:color="000000"/>
              <w:right w:val="nil"/>
            </w:tcBorders>
            <w:noWrap/>
            <w:vAlign w:val="center"/>
            <w:hideMark/>
          </w:tcPr>
          <w:p w14:paraId="426E06F3" w14:textId="2AAF47E1" w:rsidR="00AE4B76" w:rsidRPr="0083093C" w:rsidRDefault="00AE4B76" w:rsidP="00FF1B98">
            <w:pPr>
              <w:spacing w:after="0" w:line="240" w:lineRule="auto"/>
              <w:rPr>
                <w:b/>
                <w:bCs/>
                <w:color w:val="5B9BD5"/>
                <w:sz w:val="20"/>
                <w:szCs w:val="20"/>
                <w:lang w:eastAsia="sk-SK"/>
              </w:rPr>
            </w:pPr>
            <w:r w:rsidRPr="0083093C">
              <w:rPr>
                <w:b/>
                <w:bCs/>
                <w:color w:val="5B9BD5"/>
                <w:sz w:val="20"/>
                <w:szCs w:val="20"/>
                <w:lang w:eastAsia="sk-SK"/>
              </w:rPr>
              <w:t> </w:t>
            </w:r>
          </w:p>
        </w:tc>
        <w:tc>
          <w:tcPr>
            <w:tcW w:w="615" w:type="pct"/>
            <w:vMerge w:val="restart"/>
            <w:tcBorders>
              <w:top w:val="single" w:sz="4" w:space="0" w:color="auto"/>
              <w:left w:val="nil"/>
              <w:bottom w:val="single" w:sz="4" w:space="0" w:color="000000"/>
              <w:right w:val="nil"/>
            </w:tcBorders>
            <w:noWrap/>
            <w:vAlign w:val="center"/>
            <w:hideMark/>
          </w:tcPr>
          <w:p w14:paraId="120D7245"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ESA kód</w:t>
            </w:r>
          </w:p>
        </w:tc>
        <w:tc>
          <w:tcPr>
            <w:tcW w:w="602" w:type="pct"/>
            <w:tcBorders>
              <w:top w:val="single" w:sz="4" w:space="0" w:color="auto"/>
              <w:left w:val="nil"/>
              <w:bottom w:val="nil"/>
              <w:right w:val="nil"/>
            </w:tcBorders>
            <w:noWrap/>
            <w:vAlign w:val="center"/>
            <w:hideMark/>
          </w:tcPr>
          <w:p w14:paraId="28E57A50" w14:textId="31C0D1AE"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202</w:t>
            </w:r>
            <w:r w:rsidR="005E1510" w:rsidRPr="0083093C">
              <w:rPr>
                <w:b/>
                <w:bCs/>
                <w:sz w:val="18"/>
                <w:szCs w:val="18"/>
                <w:lang w:eastAsia="sk-SK"/>
              </w:rPr>
              <w:t>2</w:t>
            </w:r>
            <w:r w:rsidRPr="0083093C">
              <w:rPr>
                <w:b/>
                <w:bCs/>
                <w:sz w:val="18"/>
                <w:szCs w:val="18"/>
                <w:lang w:eastAsia="sk-SK"/>
              </w:rPr>
              <w:t xml:space="preserve"> S</w:t>
            </w:r>
          </w:p>
        </w:tc>
        <w:tc>
          <w:tcPr>
            <w:tcW w:w="601" w:type="pct"/>
            <w:tcBorders>
              <w:top w:val="single" w:sz="4" w:space="0" w:color="auto"/>
              <w:left w:val="nil"/>
              <w:bottom w:val="nil"/>
              <w:right w:val="nil"/>
            </w:tcBorders>
            <w:noWrap/>
            <w:vAlign w:val="center"/>
            <w:hideMark/>
          </w:tcPr>
          <w:p w14:paraId="06922037"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2023 S</w:t>
            </w:r>
          </w:p>
        </w:tc>
        <w:tc>
          <w:tcPr>
            <w:tcW w:w="601" w:type="pct"/>
            <w:tcBorders>
              <w:top w:val="single" w:sz="4" w:space="0" w:color="auto"/>
              <w:left w:val="nil"/>
              <w:bottom w:val="nil"/>
              <w:right w:val="nil"/>
            </w:tcBorders>
            <w:noWrap/>
            <w:vAlign w:val="center"/>
            <w:hideMark/>
          </w:tcPr>
          <w:p w14:paraId="2EEA8698"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2024 R</w:t>
            </w:r>
          </w:p>
        </w:tc>
        <w:tc>
          <w:tcPr>
            <w:tcW w:w="602" w:type="pct"/>
            <w:tcBorders>
              <w:top w:val="single" w:sz="4" w:space="0" w:color="auto"/>
              <w:left w:val="nil"/>
              <w:bottom w:val="nil"/>
              <w:right w:val="nil"/>
            </w:tcBorders>
            <w:noWrap/>
            <w:vAlign w:val="center"/>
            <w:hideMark/>
          </w:tcPr>
          <w:p w14:paraId="763A39ED"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2024 S</w:t>
            </w:r>
          </w:p>
        </w:tc>
        <w:tc>
          <w:tcPr>
            <w:tcW w:w="537" w:type="pct"/>
            <w:tcBorders>
              <w:top w:val="single" w:sz="4" w:space="0" w:color="auto"/>
              <w:left w:val="nil"/>
              <w:bottom w:val="nil"/>
              <w:right w:val="nil"/>
            </w:tcBorders>
            <w:noWrap/>
            <w:vAlign w:val="center"/>
            <w:hideMark/>
          </w:tcPr>
          <w:p w14:paraId="32CD2898"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 xml:space="preserve"> Rozdiel </w:t>
            </w:r>
          </w:p>
        </w:tc>
      </w:tr>
      <w:tr w:rsidR="0036369D" w:rsidRPr="00710788" w14:paraId="77572C3C" w14:textId="77777777" w:rsidTr="0036369D">
        <w:trPr>
          <w:trHeight w:val="51"/>
          <w:tblHeader/>
        </w:trPr>
        <w:tc>
          <w:tcPr>
            <w:tcW w:w="1442" w:type="pct"/>
            <w:vMerge/>
            <w:tcBorders>
              <w:top w:val="single" w:sz="4" w:space="0" w:color="auto"/>
              <w:left w:val="nil"/>
              <w:bottom w:val="single" w:sz="4" w:space="0" w:color="000000"/>
              <w:right w:val="nil"/>
            </w:tcBorders>
            <w:vAlign w:val="center"/>
            <w:hideMark/>
          </w:tcPr>
          <w:p w14:paraId="6E6125B6" w14:textId="77777777" w:rsidR="00AE4B76" w:rsidRPr="00710788" w:rsidRDefault="00AE4B76" w:rsidP="00FF1B98">
            <w:pPr>
              <w:spacing w:after="0" w:line="240" w:lineRule="auto"/>
              <w:rPr>
                <w:b/>
                <w:bCs/>
                <w:color w:val="5B9BD5"/>
                <w:sz w:val="20"/>
                <w:szCs w:val="20"/>
                <w:highlight w:val="yellow"/>
                <w:lang w:eastAsia="sk-SK"/>
              </w:rPr>
            </w:pPr>
          </w:p>
        </w:tc>
        <w:tc>
          <w:tcPr>
            <w:tcW w:w="615" w:type="pct"/>
            <w:vMerge/>
            <w:tcBorders>
              <w:top w:val="single" w:sz="4" w:space="0" w:color="auto"/>
              <w:left w:val="nil"/>
              <w:bottom w:val="single" w:sz="4" w:space="0" w:color="000000"/>
              <w:right w:val="nil"/>
            </w:tcBorders>
            <w:vAlign w:val="center"/>
            <w:hideMark/>
          </w:tcPr>
          <w:p w14:paraId="1FF0A4E4" w14:textId="77777777" w:rsidR="00AE4B76" w:rsidRPr="00710788" w:rsidRDefault="00AE4B76" w:rsidP="00FF1B98">
            <w:pPr>
              <w:spacing w:after="0" w:line="240" w:lineRule="auto"/>
              <w:rPr>
                <w:b/>
                <w:bCs/>
                <w:sz w:val="18"/>
                <w:szCs w:val="18"/>
                <w:highlight w:val="yellow"/>
                <w:lang w:eastAsia="sk-SK"/>
              </w:rPr>
            </w:pPr>
          </w:p>
        </w:tc>
        <w:tc>
          <w:tcPr>
            <w:tcW w:w="602" w:type="pct"/>
            <w:tcBorders>
              <w:top w:val="nil"/>
              <w:left w:val="nil"/>
              <w:bottom w:val="single" w:sz="4" w:space="0" w:color="auto"/>
              <w:right w:val="nil"/>
            </w:tcBorders>
            <w:noWrap/>
            <w:vAlign w:val="center"/>
            <w:hideMark/>
          </w:tcPr>
          <w:p w14:paraId="6DF27659"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1</w:t>
            </w:r>
          </w:p>
        </w:tc>
        <w:tc>
          <w:tcPr>
            <w:tcW w:w="601" w:type="pct"/>
            <w:tcBorders>
              <w:top w:val="nil"/>
              <w:left w:val="nil"/>
              <w:bottom w:val="single" w:sz="4" w:space="0" w:color="auto"/>
              <w:right w:val="nil"/>
            </w:tcBorders>
            <w:noWrap/>
            <w:vAlign w:val="center"/>
            <w:hideMark/>
          </w:tcPr>
          <w:p w14:paraId="09B32507"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2</w:t>
            </w:r>
          </w:p>
        </w:tc>
        <w:tc>
          <w:tcPr>
            <w:tcW w:w="601" w:type="pct"/>
            <w:tcBorders>
              <w:top w:val="nil"/>
              <w:left w:val="nil"/>
              <w:bottom w:val="single" w:sz="4" w:space="0" w:color="auto"/>
              <w:right w:val="nil"/>
            </w:tcBorders>
            <w:noWrap/>
            <w:vAlign w:val="center"/>
            <w:hideMark/>
          </w:tcPr>
          <w:p w14:paraId="38A03836"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3</w:t>
            </w:r>
          </w:p>
        </w:tc>
        <w:tc>
          <w:tcPr>
            <w:tcW w:w="602" w:type="pct"/>
            <w:tcBorders>
              <w:top w:val="nil"/>
              <w:left w:val="nil"/>
              <w:bottom w:val="single" w:sz="4" w:space="0" w:color="auto"/>
              <w:right w:val="nil"/>
            </w:tcBorders>
            <w:noWrap/>
            <w:vAlign w:val="center"/>
            <w:hideMark/>
          </w:tcPr>
          <w:p w14:paraId="75995212" w14:textId="77777777"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4</w:t>
            </w:r>
          </w:p>
        </w:tc>
        <w:tc>
          <w:tcPr>
            <w:tcW w:w="537" w:type="pct"/>
            <w:tcBorders>
              <w:top w:val="nil"/>
              <w:left w:val="nil"/>
              <w:bottom w:val="single" w:sz="4" w:space="0" w:color="auto"/>
              <w:right w:val="nil"/>
            </w:tcBorders>
            <w:noWrap/>
            <w:vAlign w:val="center"/>
            <w:hideMark/>
          </w:tcPr>
          <w:p w14:paraId="15EE704E" w14:textId="170E0BA3" w:rsidR="00AE4B76" w:rsidRPr="0083093C" w:rsidRDefault="00AE4B76" w:rsidP="00FF1B98">
            <w:pPr>
              <w:spacing w:after="0" w:line="240" w:lineRule="auto"/>
              <w:jc w:val="center"/>
              <w:rPr>
                <w:b/>
                <w:bCs/>
                <w:sz w:val="18"/>
                <w:szCs w:val="18"/>
                <w:lang w:eastAsia="sk-SK"/>
              </w:rPr>
            </w:pPr>
            <w:r w:rsidRPr="0083093C">
              <w:rPr>
                <w:b/>
                <w:bCs/>
                <w:sz w:val="18"/>
                <w:szCs w:val="18"/>
                <w:lang w:eastAsia="sk-SK"/>
              </w:rPr>
              <w:t>5=4-</w:t>
            </w:r>
            <w:r w:rsidR="009A4682" w:rsidRPr="0083093C">
              <w:rPr>
                <w:b/>
                <w:bCs/>
                <w:sz w:val="18"/>
                <w:szCs w:val="18"/>
                <w:lang w:eastAsia="sk-SK"/>
              </w:rPr>
              <w:t>2</w:t>
            </w:r>
          </w:p>
        </w:tc>
      </w:tr>
      <w:tr w:rsidR="0036369D" w:rsidRPr="00710788" w14:paraId="116EAC89" w14:textId="77777777" w:rsidTr="0036369D">
        <w:trPr>
          <w:trHeight w:val="269"/>
        </w:trPr>
        <w:tc>
          <w:tcPr>
            <w:tcW w:w="1442" w:type="pct"/>
            <w:tcBorders>
              <w:top w:val="single" w:sz="4" w:space="0" w:color="auto"/>
              <w:left w:val="nil"/>
              <w:bottom w:val="nil"/>
              <w:right w:val="nil"/>
            </w:tcBorders>
            <w:vAlign w:val="center"/>
            <w:hideMark/>
          </w:tcPr>
          <w:p w14:paraId="6648FA12" w14:textId="77777777" w:rsidR="00935F92" w:rsidRPr="00935F92" w:rsidRDefault="00935F92" w:rsidP="00935F92">
            <w:pPr>
              <w:spacing w:after="0" w:line="240" w:lineRule="auto"/>
              <w:rPr>
                <w:b/>
                <w:bCs/>
                <w:sz w:val="18"/>
                <w:szCs w:val="18"/>
                <w:lang w:eastAsia="sk-SK"/>
              </w:rPr>
            </w:pPr>
            <w:r w:rsidRPr="00935F92">
              <w:rPr>
                <w:b/>
                <w:bCs/>
                <w:sz w:val="18"/>
                <w:szCs w:val="18"/>
                <w:lang w:eastAsia="sk-SK"/>
              </w:rPr>
              <w:t>Príjmy spolu</w:t>
            </w:r>
          </w:p>
        </w:tc>
        <w:tc>
          <w:tcPr>
            <w:tcW w:w="615" w:type="pct"/>
            <w:tcBorders>
              <w:top w:val="nil"/>
              <w:left w:val="nil"/>
              <w:bottom w:val="nil"/>
              <w:right w:val="nil"/>
            </w:tcBorders>
            <w:noWrap/>
            <w:vAlign w:val="center"/>
            <w:hideMark/>
          </w:tcPr>
          <w:p w14:paraId="18AE838C" w14:textId="77777777" w:rsidR="00935F92" w:rsidRPr="00935F92" w:rsidRDefault="00935F92" w:rsidP="00935F92">
            <w:pPr>
              <w:spacing w:after="0" w:line="240" w:lineRule="auto"/>
              <w:jc w:val="center"/>
              <w:rPr>
                <w:b/>
                <w:bCs/>
                <w:color w:val="000000"/>
                <w:sz w:val="18"/>
                <w:szCs w:val="18"/>
                <w:lang w:eastAsia="sk-SK"/>
              </w:rPr>
            </w:pPr>
            <w:r w:rsidRPr="00935F92">
              <w:rPr>
                <w:b/>
                <w:bCs/>
                <w:color w:val="000000"/>
                <w:sz w:val="18"/>
                <w:szCs w:val="18"/>
                <w:lang w:eastAsia="sk-SK"/>
              </w:rPr>
              <w:t>TR</w:t>
            </w:r>
          </w:p>
        </w:tc>
        <w:tc>
          <w:tcPr>
            <w:tcW w:w="602" w:type="pct"/>
            <w:tcBorders>
              <w:top w:val="single" w:sz="4" w:space="0" w:color="auto"/>
              <w:left w:val="nil"/>
              <w:bottom w:val="nil"/>
              <w:right w:val="nil"/>
            </w:tcBorders>
            <w:noWrap/>
            <w:vAlign w:val="center"/>
            <w:hideMark/>
          </w:tcPr>
          <w:p w14:paraId="79F940C3" w14:textId="1C58AE58"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45 653 157</w:t>
            </w:r>
          </w:p>
        </w:tc>
        <w:tc>
          <w:tcPr>
            <w:tcW w:w="601" w:type="pct"/>
            <w:tcBorders>
              <w:top w:val="single" w:sz="4" w:space="0" w:color="auto"/>
              <w:left w:val="nil"/>
              <w:bottom w:val="nil"/>
              <w:right w:val="nil"/>
            </w:tcBorders>
            <w:noWrap/>
            <w:vAlign w:val="center"/>
            <w:hideMark/>
          </w:tcPr>
          <w:p w14:paraId="6A366DCD" w14:textId="5878EEA3"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53 053 645</w:t>
            </w:r>
          </w:p>
        </w:tc>
        <w:tc>
          <w:tcPr>
            <w:tcW w:w="601" w:type="pct"/>
            <w:tcBorders>
              <w:top w:val="single" w:sz="4" w:space="0" w:color="auto"/>
              <w:left w:val="nil"/>
              <w:bottom w:val="nil"/>
              <w:right w:val="nil"/>
            </w:tcBorders>
            <w:noWrap/>
            <w:vAlign w:val="center"/>
            <w:hideMark/>
          </w:tcPr>
          <w:p w14:paraId="451F4024" w14:textId="77777777" w:rsidR="00935F92" w:rsidRPr="00935F92" w:rsidRDefault="00935F92" w:rsidP="00935F92">
            <w:pPr>
              <w:spacing w:after="0" w:line="240" w:lineRule="auto"/>
              <w:jc w:val="right"/>
              <w:rPr>
                <w:b/>
                <w:bCs/>
                <w:color w:val="000000"/>
                <w:sz w:val="18"/>
                <w:szCs w:val="18"/>
                <w:lang w:eastAsia="sk-SK"/>
              </w:rPr>
            </w:pPr>
            <w:r w:rsidRPr="00935F92">
              <w:rPr>
                <w:b/>
                <w:bCs/>
                <w:color w:val="000000"/>
                <w:sz w:val="18"/>
                <w:szCs w:val="18"/>
                <w:lang w:eastAsia="sk-SK"/>
              </w:rPr>
              <w:t>53 480 523</w:t>
            </w:r>
          </w:p>
        </w:tc>
        <w:tc>
          <w:tcPr>
            <w:tcW w:w="602" w:type="pct"/>
            <w:tcBorders>
              <w:top w:val="single" w:sz="4" w:space="0" w:color="auto"/>
              <w:left w:val="nil"/>
              <w:bottom w:val="nil"/>
              <w:right w:val="nil"/>
            </w:tcBorders>
            <w:noWrap/>
            <w:vAlign w:val="center"/>
            <w:hideMark/>
          </w:tcPr>
          <w:p w14:paraId="5AEC89C8" w14:textId="1467877B"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54 649 290</w:t>
            </w:r>
          </w:p>
        </w:tc>
        <w:tc>
          <w:tcPr>
            <w:tcW w:w="537" w:type="pct"/>
            <w:tcBorders>
              <w:top w:val="single" w:sz="4" w:space="0" w:color="auto"/>
              <w:left w:val="nil"/>
              <w:bottom w:val="nil"/>
              <w:right w:val="nil"/>
            </w:tcBorders>
            <w:noWrap/>
            <w:vAlign w:val="center"/>
            <w:hideMark/>
          </w:tcPr>
          <w:p w14:paraId="3F6E9C4B" w14:textId="42F4BD76"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1 595 645</w:t>
            </w:r>
          </w:p>
        </w:tc>
      </w:tr>
      <w:tr w:rsidR="0036369D" w:rsidRPr="00710788" w14:paraId="30B9D41D" w14:textId="77777777" w:rsidTr="0036369D">
        <w:trPr>
          <w:trHeight w:val="107"/>
        </w:trPr>
        <w:tc>
          <w:tcPr>
            <w:tcW w:w="1442" w:type="pct"/>
            <w:tcBorders>
              <w:top w:val="nil"/>
              <w:left w:val="nil"/>
              <w:bottom w:val="single" w:sz="4" w:space="0" w:color="auto"/>
              <w:right w:val="nil"/>
            </w:tcBorders>
            <w:noWrap/>
            <w:vAlign w:val="center"/>
            <w:hideMark/>
          </w:tcPr>
          <w:p w14:paraId="5DDDBB97" w14:textId="77777777" w:rsidR="00935F92" w:rsidRPr="00935F92" w:rsidRDefault="00935F92" w:rsidP="00935F92">
            <w:pPr>
              <w:spacing w:after="0" w:line="240" w:lineRule="auto"/>
              <w:rPr>
                <w:b/>
                <w:bCs/>
                <w:sz w:val="18"/>
                <w:szCs w:val="18"/>
                <w:lang w:eastAsia="sk-SK"/>
              </w:rPr>
            </w:pPr>
            <w:r w:rsidRPr="00935F92">
              <w:rPr>
                <w:b/>
                <w:bCs/>
                <w:sz w:val="18"/>
                <w:szCs w:val="18"/>
                <w:lang w:eastAsia="sk-SK"/>
              </w:rPr>
              <w:t>% HDP</w:t>
            </w:r>
          </w:p>
        </w:tc>
        <w:tc>
          <w:tcPr>
            <w:tcW w:w="615" w:type="pct"/>
            <w:tcBorders>
              <w:top w:val="nil"/>
              <w:left w:val="nil"/>
              <w:bottom w:val="single" w:sz="4" w:space="0" w:color="auto"/>
              <w:right w:val="nil"/>
            </w:tcBorders>
            <w:noWrap/>
            <w:vAlign w:val="center"/>
            <w:hideMark/>
          </w:tcPr>
          <w:p w14:paraId="1E72760F" w14:textId="77777777" w:rsidR="00935F92" w:rsidRPr="00935F92" w:rsidRDefault="00935F92" w:rsidP="00935F92">
            <w:pPr>
              <w:spacing w:after="0" w:line="240" w:lineRule="auto"/>
              <w:rPr>
                <w:b/>
                <w:bCs/>
                <w:color w:val="000000"/>
                <w:sz w:val="18"/>
                <w:szCs w:val="18"/>
                <w:lang w:eastAsia="sk-SK"/>
              </w:rPr>
            </w:pPr>
            <w:r w:rsidRPr="00935F92">
              <w:rPr>
                <w:b/>
                <w:bCs/>
                <w:color w:val="000000"/>
                <w:sz w:val="18"/>
                <w:szCs w:val="18"/>
                <w:lang w:eastAsia="sk-SK"/>
              </w:rPr>
              <w:t> </w:t>
            </w:r>
          </w:p>
        </w:tc>
        <w:tc>
          <w:tcPr>
            <w:tcW w:w="602" w:type="pct"/>
            <w:tcBorders>
              <w:top w:val="nil"/>
              <w:left w:val="nil"/>
              <w:bottom w:val="single" w:sz="4" w:space="0" w:color="auto"/>
              <w:right w:val="nil"/>
            </w:tcBorders>
            <w:noWrap/>
            <w:vAlign w:val="center"/>
            <w:hideMark/>
          </w:tcPr>
          <w:p w14:paraId="2827EE00" w14:textId="18B03EBF"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41,5</w:t>
            </w:r>
          </w:p>
        </w:tc>
        <w:tc>
          <w:tcPr>
            <w:tcW w:w="601" w:type="pct"/>
            <w:tcBorders>
              <w:top w:val="nil"/>
              <w:left w:val="nil"/>
              <w:bottom w:val="single" w:sz="4" w:space="0" w:color="auto"/>
              <w:right w:val="nil"/>
            </w:tcBorders>
            <w:noWrap/>
            <w:vAlign w:val="center"/>
            <w:hideMark/>
          </w:tcPr>
          <w:p w14:paraId="1EE23398" w14:textId="5CFC4E09"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42,9</w:t>
            </w:r>
          </w:p>
        </w:tc>
        <w:tc>
          <w:tcPr>
            <w:tcW w:w="601" w:type="pct"/>
            <w:tcBorders>
              <w:top w:val="nil"/>
              <w:left w:val="nil"/>
              <w:bottom w:val="single" w:sz="4" w:space="0" w:color="auto"/>
              <w:right w:val="nil"/>
            </w:tcBorders>
            <w:noWrap/>
            <w:vAlign w:val="center"/>
            <w:hideMark/>
          </w:tcPr>
          <w:p w14:paraId="66E20D88" w14:textId="77777777" w:rsidR="00935F92" w:rsidRPr="00935F92" w:rsidRDefault="00935F92" w:rsidP="00935F92">
            <w:pPr>
              <w:spacing w:after="0" w:line="240" w:lineRule="auto"/>
              <w:jc w:val="right"/>
              <w:rPr>
                <w:b/>
                <w:bCs/>
                <w:color w:val="000000"/>
                <w:sz w:val="18"/>
                <w:szCs w:val="18"/>
                <w:lang w:eastAsia="sk-SK"/>
              </w:rPr>
            </w:pPr>
            <w:r w:rsidRPr="00935F92">
              <w:rPr>
                <w:b/>
                <w:bCs/>
                <w:color w:val="000000"/>
                <w:sz w:val="18"/>
                <w:szCs w:val="18"/>
                <w:lang w:eastAsia="sk-SK"/>
              </w:rPr>
              <w:t>40,7</w:t>
            </w:r>
          </w:p>
        </w:tc>
        <w:tc>
          <w:tcPr>
            <w:tcW w:w="602" w:type="pct"/>
            <w:tcBorders>
              <w:top w:val="nil"/>
              <w:left w:val="nil"/>
              <w:bottom w:val="single" w:sz="4" w:space="0" w:color="auto"/>
              <w:right w:val="nil"/>
            </w:tcBorders>
            <w:noWrap/>
            <w:vAlign w:val="center"/>
            <w:hideMark/>
          </w:tcPr>
          <w:p w14:paraId="092E06E8" w14:textId="41D601CA"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42,0</w:t>
            </w:r>
          </w:p>
        </w:tc>
        <w:tc>
          <w:tcPr>
            <w:tcW w:w="537" w:type="pct"/>
            <w:tcBorders>
              <w:top w:val="nil"/>
              <w:left w:val="nil"/>
              <w:bottom w:val="single" w:sz="4" w:space="0" w:color="auto"/>
              <w:right w:val="nil"/>
            </w:tcBorders>
            <w:noWrap/>
            <w:vAlign w:val="center"/>
            <w:hideMark/>
          </w:tcPr>
          <w:p w14:paraId="45CBA65B" w14:textId="3AC6D035" w:rsidR="00935F92" w:rsidRPr="00710788" w:rsidRDefault="00935F92" w:rsidP="00935F92">
            <w:pPr>
              <w:spacing w:after="0" w:line="240" w:lineRule="auto"/>
              <w:jc w:val="right"/>
              <w:rPr>
                <w:b/>
                <w:bCs/>
                <w:color w:val="000000"/>
                <w:sz w:val="18"/>
                <w:szCs w:val="18"/>
                <w:highlight w:val="yellow"/>
                <w:lang w:eastAsia="sk-SK"/>
              </w:rPr>
            </w:pPr>
            <w:r>
              <w:rPr>
                <w:b/>
                <w:bCs/>
                <w:color w:val="000000"/>
                <w:sz w:val="18"/>
                <w:szCs w:val="18"/>
              </w:rPr>
              <w:t>-1,0</w:t>
            </w:r>
          </w:p>
        </w:tc>
      </w:tr>
      <w:tr w:rsidR="0036369D" w:rsidRPr="00710788" w14:paraId="6EADEF35" w14:textId="77777777" w:rsidTr="0036369D">
        <w:trPr>
          <w:trHeight w:val="269"/>
        </w:trPr>
        <w:tc>
          <w:tcPr>
            <w:tcW w:w="1442" w:type="pct"/>
            <w:tcBorders>
              <w:top w:val="nil"/>
              <w:left w:val="nil"/>
              <w:bottom w:val="nil"/>
              <w:right w:val="nil"/>
            </w:tcBorders>
            <w:noWrap/>
            <w:vAlign w:val="center"/>
            <w:hideMark/>
          </w:tcPr>
          <w:p w14:paraId="640B3B51" w14:textId="77777777" w:rsidR="00935F92" w:rsidRPr="00935F92" w:rsidRDefault="00935F92" w:rsidP="00935F92">
            <w:pPr>
              <w:spacing w:after="0" w:line="240" w:lineRule="auto"/>
              <w:rPr>
                <w:b/>
                <w:bCs/>
                <w:color w:val="000000"/>
                <w:sz w:val="18"/>
                <w:szCs w:val="18"/>
                <w:lang w:eastAsia="sk-SK"/>
              </w:rPr>
            </w:pPr>
            <w:r w:rsidRPr="00935F92">
              <w:rPr>
                <w:b/>
                <w:bCs/>
                <w:color w:val="000000"/>
                <w:sz w:val="18"/>
                <w:szCs w:val="18"/>
                <w:lang w:eastAsia="sk-SK"/>
              </w:rPr>
              <w:t>Daňové príjmy</w:t>
            </w:r>
          </w:p>
        </w:tc>
        <w:tc>
          <w:tcPr>
            <w:tcW w:w="615" w:type="pct"/>
            <w:tcBorders>
              <w:top w:val="nil"/>
              <w:left w:val="nil"/>
              <w:bottom w:val="nil"/>
              <w:right w:val="nil"/>
            </w:tcBorders>
            <w:noWrap/>
            <w:vAlign w:val="center"/>
            <w:hideMark/>
          </w:tcPr>
          <w:p w14:paraId="1DEF8A04" w14:textId="77777777" w:rsidR="00935F92" w:rsidRPr="00935F92" w:rsidRDefault="00935F92" w:rsidP="00935F92">
            <w:pPr>
              <w:spacing w:after="0" w:line="240" w:lineRule="auto"/>
              <w:jc w:val="center"/>
              <w:rPr>
                <w:b/>
                <w:bCs/>
                <w:color w:val="000000"/>
                <w:sz w:val="18"/>
                <w:szCs w:val="18"/>
                <w:lang w:eastAsia="sk-SK"/>
              </w:rPr>
            </w:pPr>
            <w:r w:rsidRPr="00935F92">
              <w:rPr>
                <w:b/>
                <w:bCs/>
                <w:color w:val="000000"/>
                <w:sz w:val="18"/>
                <w:szCs w:val="18"/>
                <w:lang w:eastAsia="sk-SK"/>
              </w:rPr>
              <w:t>D.2R+D.5R</w:t>
            </w:r>
          </w:p>
        </w:tc>
        <w:tc>
          <w:tcPr>
            <w:tcW w:w="602" w:type="pct"/>
            <w:tcBorders>
              <w:top w:val="nil"/>
              <w:left w:val="nil"/>
              <w:bottom w:val="nil"/>
              <w:right w:val="nil"/>
            </w:tcBorders>
            <w:noWrap/>
            <w:vAlign w:val="center"/>
            <w:hideMark/>
          </w:tcPr>
          <w:p w14:paraId="098E6B09" w14:textId="42BF2307" w:rsidR="00935F92" w:rsidRPr="00710788" w:rsidRDefault="00935F92" w:rsidP="00935F92">
            <w:pPr>
              <w:spacing w:after="0" w:line="240" w:lineRule="auto"/>
              <w:jc w:val="right"/>
              <w:rPr>
                <w:b/>
                <w:bCs/>
                <w:sz w:val="18"/>
                <w:szCs w:val="18"/>
                <w:highlight w:val="yellow"/>
                <w:lang w:eastAsia="sk-SK"/>
              </w:rPr>
            </w:pPr>
            <w:r>
              <w:rPr>
                <w:b/>
                <w:bCs/>
                <w:sz w:val="18"/>
                <w:szCs w:val="18"/>
              </w:rPr>
              <w:t>22 386 986</w:t>
            </w:r>
          </w:p>
        </w:tc>
        <w:tc>
          <w:tcPr>
            <w:tcW w:w="601" w:type="pct"/>
            <w:tcBorders>
              <w:top w:val="nil"/>
              <w:left w:val="nil"/>
              <w:bottom w:val="nil"/>
              <w:right w:val="nil"/>
            </w:tcBorders>
            <w:noWrap/>
            <w:vAlign w:val="center"/>
            <w:hideMark/>
          </w:tcPr>
          <w:p w14:paraId="37ACF8DC" w14:textId="22635CB2" w:rsidR="00935F92" w:rsidRPr="00710788" w:rsidRDefault="00935F92" w:rsidP="00935F92">
            <w:pPr>
              <w:spacing w:after="0" w:line="240" w:lineRule="auto"/>
              <w:jc w:val="right"/>
              <w:rPr>
                <w:b/>
                <w:bCs/>
                <w:sz w:val="18"/>
                <w:szCs w:val="18"/>
                <w:highlight w:val="yellow"/>
                <w:lang w:eastAsia="sk-SK"/>
              </w:rPr>
            </w:pPr>
            <w:r>
              <w:rPr>
                <w:b/>
                <w:bCs/>
                <w:sz w:val="18"/>
                <w:szCs w:val="18"/>
              </w:rPr>
              <w:t>24 589 143</w:t>
            </w:r>
          </w:p>
        </w:tc>
        <w:tc>
          <w:tcPr>
            <w:tcW w:w="601" w:type="pct"/>
            <w:tcBorders>
              <w:top w:val="nil"/>
              <w:left w:val="nil"/>
              <w:bottom w:val="nil"/>
              <w:right w:val="nil"/>
            </w:tcBorders>
            <w:noWrap/>
            <w:vAlign w:val="center"/>
            <w:hideMark/>
          </w:tcPr>
          <w:p w14:paraId="01D3D96E" w14:textId="77777777" w:rsidR="00935F92" w:rsidRPr="00935F92" w:rsidRDefault="00935F92" w:rsidP="00935F92">
            <w:pPr>
              <w:spacing w:after="0" w:line="240" w:lineRule="auto"/>
              <w:jc w:val="right"/>
              <w:rPr>
                <w:b/>
                <w:bCs/>
                <w:sz w:val="18"/>
                <w:szCs w:val="18"/>
                <w:lang w:eastAsia="sk-SK"/>
              </w:rPr>
            </w:pPr>
            <w:r w:rsidRPr="00935F92">
              <w:rPr>
                <w:b/>
                <w:bCs/>
                <w:sz w:val="18"/>
                <w:szCs w:val="18"/>
                <w:lang w:eastAsia="sk-SK"/>
              </w:rPr>
              <w:t>25 806 641</w:t>
            </w:r>
          </w:p>
        </w:tc>
        <w:tc>
          <w:tcPr>
            <w:tcW w:w="602" w:type="pct"/>
            <w:tcBorders>
              <w:top w:val="nil"/>
              <w:left w:val="nil"/>
              <w:bottom w:val="nil"/>
              <w:right w:val="nil"/>
            </w:tcBorders>
            <w:noWrap/>
            <w:vAlign w:val="center"/>
            <w:hideMark/>
          </w:tcPr>
          <w:p w14:paraId="37490BB5" w14:textId="7F1F1A00" w:rsidR="00935F92" w:rsidRPr="00710788" w:rsidRDefault="00935F92" w:rsidP="00935F92">
            <w:pPr>
              <w:spacing w:after="0" w:line="240" w:lineRule="auto"/>
              <w:jc w:val="right"/>
              <w:rPr>
                <w:b/>
                <w:bCs/>
                <w:sz w:val="18"/>
                <w:szCs w:val="18"/>
                <w:highlight w:val="yellow"/>
                <w:lang w:eastAsia="sk-SK"/>
              </w:rPr>
            </w:pPr>
            <w:r>
              <w:rPr>
                <w:b/>
                <w:bCs/>
                <w:sz w:val="18"/>
                <w:szCs w:val="18"/>
              </w:rPr>
              <w:t>25 675 456</w:t>
            </w:r>
          </w:p>
        </w:tc>
        <w:tc>
          <w:tcPr>
            <w:tcW w:w="537" w:type="pct"/>
            <w:tcBorders>
              <w:top w:val="nil"/>
              <w:left w:val="nil"/>
              <w:bottom w:val="nil"/>
              <w:right w:val="nil"/>
            </w:tcBorders>
            <w:noWrap/>
            <w:vAlign w:val="center"/>
            <w:hideMark/>
          </w:tcPr>
          <w:p w14:paraId="0852E1D2" w14:textId="07EC8C55" w:rsidR="00935F92" w:rsidRPr="00710788" w:rsidRDefault="00935F92" w:rsidP="00935F92">
            <w:pPr>
              <w:spacing w:after="0" w:line="240" w:lineRule="auto"/>
              <w:jc w:val="right"/>
              <w:rPr>
                <w:b/>
                <w:bCs/>
                <w:sz w:val="18"/>
                <w:szCs w:val="18"/>
                <w:highlight w:val="yellow"/>
                <w:lang w:eastAsia="sk-SK"/>
              </w:rPr>
            </w:pPr>
            <w:r>
              <w:rPr>
                <w:b/>
                <w:bCs/>
                <w:sz w:val="18"/>
                <w:szCs w:val="18"/>
              </w:rPr>
              <w:t>1 086 313</w:t>
            </w:r>
          </w:p>
        </w:tc>
      </w:tr>
      <w:tr w:rsidR="0036369D" w:rsidRPr="00710788" w14:paraId="4DCFD58C" w14:textId="77777777" w:rsidTr="0036369D">
        <w:trPr>
          <w:trHeight w:val="269"/>
        </w:trPr>
        <w:tc>
          <w:tcPr>
            <w:tcW w:w="1442" w:type="pct"/>
            <w:tcBorders>
              <w:top w:val="nil"/>
              <w:left w:val="nil"/>
              <w:bottom w:val="nil"/>
              <w:right w:val="nil"/>
            </w:tcBorders>
            <w:noWrap/>
            <w:vAlign w:val="center"/>
            <w:hideMark/>
          </w:tcPr>
          <w:p w14:paraId="21BEADC1" w14:textId="77777777" w:rsidR="00935F92" w:rsidRPr="00935F92" w:rsidRDefault="00935F92" w:rsidP="00935F92">
            <w:pPr>
              <w:spacing w:after="0" w:line="240" w:lineRule="auto"/>
              <w:rPr>
                <w:color w:val="000000"/>
                <w:sz w:val="18"/>
                <w:szCs w:val="18"/>
                <w:lang w:eastAsia="sk-SK"/>
              </w:rPr>
            </w:pPr>
            <w:r w:rsidRPr="00935F92">
              <w:rPr>
                <w:color w:val="000000"/>
                <w:sz w:val="18"/>
                <w:szCs w:val="18"/>
                <w:lang w:eastAsia="sk-SK"/>
              </w:rPr>
              <w:t>Dane z produkcie a dovozu</w:t>
            </w:r>
          </w:p>
        </w:tc>
        <w:tc>
          <w:tcPr>
            <w:tcW w:w="615" w:type="pct"/>
            <w:tcBorders>
              <w:top w:val="nil"/>
              <w:left w:val="nil"/>
              <w:bottom w:val="nil"/>
              <w:right w:val="nil"/>
            </w:tcBorders>
            <w:noWrap/>
            <w:vAlign w:val="center"/>
            <w:hideMark/>
          </w:tcPr>
          <w:p w14:paraId="2B1C955D" w14:textId="77777777" w:rsidR="00935F92" w:rsidRPr="00935F92" w:rsidRDefault="00935F92" w:rsidP="00935F92">
            <w:pPr>
              <w:spacing w:after="0" w:line="240" w:lineRule="auto"/>
              <w:jc w:val="center"/>
              <w:rPr>
                <w:color w:val="000000"/>
                <w:sz w:val="18"/>
                <w:szCs w:val="18"/>
                <w:lang w:eastAsia="sk-SK"/>
              </w:rPr>
            </w:pPr>
            <w:r w:rsidRPr="00935F92">
              <w:rPr>
                <w:color w:val="000000"/>
                <w:sz w:val="18"/>
                <w:szCs w:val="18"/>
                <w:lang w:eastAsia="sk-SK"/>
              </w:rPr>
              <w:t>D.2R</w:t>
            </w:r>
          </w:p>
        </w:tc>
        <w:tc>
          <w:tcPr>
            <w:tcW w:w="602" w:type="pct"/>
            <w:tcBorders>
              <w:top w:val="nil"/>
              <w:left w:val="nil"/>
              <w:bottom w:val="nil"/>
              <w:right w:val="nil"/>
            </w:tcBorders>
            <w:noWrap/>
            <w:vAlign w:val="center"/>
            <w:hideMark/>
          </w:tcPr>
          <w:p w14:paraId="029AD8DF" w14:textId="53A2C3CE"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13 220 902</w:t>
            </w:r>
          </w:p>
        </w:tc>
        <w:tc>
          <w:tcPr>
            <w:tcW w:w="601" w:type="pct"/>
            <w:tcBorders>
              <w:top w:val="nil"/>
              <w:left w:val="nil"/>
              <w:bottom w:val="nil"/>
              <w:right w:val="nil"/>
            </w:tcBorders>
            <w:noWrap/>
            <w:vAlign w:val="center"/>
            <w:hideMark/>
          </w:tcPr>
          <w:p w14:paraId="097E8C73" w14:textId="491211E8"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14 854 634</w:t>
            </w:r>
          </w:p>
        </w:tc>
        <w:tc>
          <w:tcPr>
            <w:tcW w:w="601" w:type="pct"/>
            <w:tcBorders>
              <w:top w:val="nil"/>
              <w:left w:val="nil"/>
              <w:bottom w:val="nil"/>
              <w:right w:val="nil"/>
            </w:tcBorders>
            <w:noWrap/>
            <w:vAlign w:val="center"/>
            <w:hideMark/>
          </w:tcPr>
          <w:p w14:paraId="56DEDC6A" w14:textId="77777777" w:rsidR="00935F92" w:rsidRPr="00935F92" w:rsidRDefault="00935F92" w:rsidP="00935F92">
            <w:pPr>
              <w:spacing w:after="0" w:line="240" w:lineRule="auto"/>
              <w:jc w:val="right"/>
              <w:rPr>
                <w:color w:val="000000"/>
                <w:sz w:val="18"/>
                <w:szCs w:val="18"/>
                <w:lang w:eastAsia="sk-SK"/>
              </w:rPr>
            </w:pPr>
            <w:r w:rsidRPr="00935F92">
              <w:rPr>
                <w:color w:val="000000"/>
                <w:sz w:val="18"/>
                <w:szCs w:val="18"/>
                <w:lang w:eastAsia="sk-SK"/>
              </w:rPr>
              <w:t>15 385 663</w:t>
            </w:r>
          </w:p>
        </w:tc>
        <w:tc>
          <w:tcPr>
            <w:tcW w:w="602" w:type="pct"/>
            <w:tcBorders>
              <w:top w:val="nil"/>
              <w:left w:val="nil"/>
              <w:bottom w:val="nil"/>
              <w:right w:val="nil"/>
            </w:tcBorders>
            <w:noWrap/>
            <w:vAlign w:val="center"/>
            <w:hideMark/>
          </w:tcPr>
          <w:p w14:paraId="3EBAA7AA" w14:textId="0975B797"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15 147 175</w:t>
            </w:r>
          </w:p>
        </w:tc>
        <w:tc>
          <w:tcPr>
            <w:tcW w:w="537" w:type="pct"/>
            <w:tcBorders>
              <w:top w:val="nil"/>
              <w:left w:val="nil"/>
              <w:bottom w:val="nil"/>
              <w:right w:val="nil"/>
            </w:tcBorders>
            <w:noWrap/>
            <w:vAlign w:val="center"/>
            <w:hideMark/>
          </w:tcPr>
          <w:p w14:paraId="19BEF529" w14:textId="121A36A2"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292 541</w:t>
            </w:r>
          </w:p>
        </w:tc>
      </w:tr>
      <w:tr w:rsidR="0036369D" w:rsidRPr="00710788" w14:paraId="7C5390B8" w14:textId="77777777" w:rsidTr="0036369D">
        <w:trPr>
          <w:trHeight w:val="269"/>
        </w:trPr>
        <w:tc>
          <w:tcPr>
            <w:tcW w:w="1442" w:type="pct"/>
            <w:tcBorders>
              <w:top w:val="nil"/>
              <w:left w:val="nil"/>
              <w:bottom w:val="nil"/>
              <w:right w:val="nil"/>
            </w:tcBorders>
            <w:vAlign w:val="center"/>
            <w:hideMark/>
          </w:tcPr>
          <w:p w14:paraId="394049C8" w14:textId="77777777" w:rsidR="00935F92" w:rsidRPr="00935F92" w:rsidRDefault="00935F92" w:rsidP="00935F92">
            <w:pPr>
              <w:spacing w:after="0" w:line="240" w:lineRule="auto"/>
              <w:rPr>
                <w:sz w:val="18"/>
                <w:szCs w:val="18"/>
                <w:lang w:eastAsia="sk-SK"/>
              </w:rPr>
            </w:pPr>
            <w:r w:rsidRPr="00935F92">
              <w:rPr>
                <w:sz w:val="18"/>
                <w:szCs w:val="18"/>
                <w:lang w:eastAsia="sk-SK"/>
              </w:rPr>
              <w:t>Bežné dane z dôchodkov, majetku</w:t>
            </w:r>
          </w:p>
        </w:tc>
        <w:tc>
          <w:tcPr>
            <w:tcW w:w="615" w:type="pct"/>
            <w:tcBorders>
              <w:top w:val="nil"/>
              <w:left w:val="nil"/>
              <w:bottom w:val="nil"/>
              <w:right w:val="nil"/>
            </w:tcBorders>
            <w:noWrap/>
            <w:vAlign w:val="center"/>
            <w:hideMark/>
          </w:tcPr>
          <w:p w14:paraId="725B4309" w14:textId="77777777" w:rsidR="00935F92" w:rsidRPr="00935F92" w:rsidRDefault="00935F92" w:rsidP="00935F92">
            <w:pPr>
              <w:spacing w:after="0" w:line="240" w:lineRule="auto"/>
              <w:jc w:val="center"/>
              <w:rPr>
                <w:color w:val="000000"/>
                <w:sz w:val="18"/>
                <w:szCs w:val="18"/>
                <w:lang w:eastAsia="sk-SK"/>
              </w:rPr>
            </w:pPr>
            <w:r w:rsidRPr="00935F92">
              <w:rPr>
                <w:color w:val="000000"/>
                <w:sz w:val="18"/>
                <w:szCs w:val="18"/>
                <w:lang w:eastAsia="sk-SK"/>
              </w:rPr>
              <w:t>D.5R</w:t>
            </w:r>
          </w:p>
        </w:tc>
        <w:tc>
          <w:tcPr>
            <w:tcW w:w="602" w:type="pct"/>
            <w:tcBorders>
              <w:top w:val="nil"/>
              <w:left w:val="nil"/>
              <w:bottom w:val="nil"/>
              <w:right w:val="nil"/>
            </w:tcBorders>
            <w:noWrap/>
            <w:vAlign w:val="center"/>
            <w:hideMark/>
          </w:tcPr>
          <w:p w14:paraId="3227B81E" w14:textId="7357415E"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9 166 084</w:t>
            </w:r>
          </w:p>
        </w:tc>
        <w:tc>
          <w:tcPr>
            <w:tcW w:w="601" w:type="pct"/>
            <w:tcBorders>
              <w:top w:val="nil"/>
              <w:left w:val="nil"/>
              <w:bottom w:val="nil"/>
              <w:right w:val="nil"/>
            </w:tcBorders>
            <w:noWrap/>
            <w:vAlign w:val="center"/>
            <w:hideMark/>
          </w:tcPr>
          <w:p w14:paraId="38CF1683" w14:textId="722D3B71"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9 734 509</w:t>
            </w:r>
          </w:p>
        </w:tc>
        <w:tc>
          <w:tcPr>
            <w:tcW w:w="601" w:type="pct"/>
            <w:tcBorders>
              <w:top w:val="nil"/>
              <w:left w:val="nil"/>
              <w:bottom w:val="nil"/>
              <w:right w:val="nil"/>
            </w:tcBorders>
            <w:noWrap/>
            <w:vAlign w:val="center"/>
            <w:hideMark/>
          </w:tcPr>
          <w:p w14:paraId="7B9F8198" w14:textId="77777777" w:rsidR="00935F92" w:rsidRPr="00935F92" w:rsidRDefault="00935F92" w:rsidP="00935F92">
            <w:pPr>
              <w:spacing w:after="0" w:line="240" w:lineRule="auto"/>
              <w:jc w:val="right"/>
              <w:rPr>
                <w:color w:val="000000"/>
                <w:sz w:val="18"/>
                <w:szCs w:val="18"/>
                <w:lang w:eastAsia="sk-SK"/>
              </w:rPr>
            </w:pPr>
            <w:r w:rsidRPr="00935F92">
              <w:rPr>
                <w:color w:val="000000"/>
                <w:sz w:val="18"/>
                <w:szCs w:val="18"/>
                <w:lang w:eastAsia="sk-SK"/>
              </w:rPr>
              <w:t>10 420 978</w:t>
            </w:r>
          </w:p>
        </w:tc>
        <w:tc>
          <w:tcPr>
            <w:tcW w:w="602" w:type="pct"/>
            <w:tcBorders>
              <w:top w:val="nil"/>
              <w:left w:val="nil"/>
              <w:bottom w:val="nil"/>
              <w:right w:val="nil"/>
            </w:tcBorders>
            <w:noWrap/>
            <w:vAlign w:val="center"/>
            <w:hideMark/>
          </w:tcPr>
          <w:p w14:paraId="313B948A" w14:textId="51F39F35"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10 528 281</w:t>
            </w:r>
          </w:p>
        </w:tc>
        <w:tc>
          <w:tcPr>
            <w:tcW w:w="537" w:type="pct"/>
            <w:tcBorders>
              <w:top w:val="nil"/>
              <w:left w:val="nil"/>
              <w:bottom w:val="nil"/>
              <w:right w:val="nil"/>
            </w:tcBorders>
            <w:noWrap/>
            <w:vAlign w:val="center"/>
            <w:hideMark/>
          </w:tcPr>
          <w:p w14:paraId="55BE3066" w14:textId="60D7B8F2"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793 772</w:t>
            </w:r>
          </w:p>
        </w:tc>
      </w:tr>
      <w:tr w:rsidR="0036369D" w:rsidRPr="00710788" w14:paraId="2B0366AA" w14:textId="77777777" w:rsidTr="0036369D">
        <w:trPr>
          <w:trHeight w:val="269"/>
        </w:trPr>
        <w:tc>
          <w:tcPr>
            <w:tcW w:w="1442" w:type="pct"/>
            <w:tcBorders>
              <w:top w:val="nil"/>
              <w:left w:val="nil"/>
              <w:bottom w:val="nil"/>
              <w:right w:val="nil"/>
            </w:tcBorders>
            <w:noWrap/>
            <w:vAlign w:val="center"/>
            <w:hideMark/>
          </w:tcPr>
          <w:p w14:paraId="2CE3D09D" w14:textId="77777777" w:rsidR="00935F92" w:rsidRPr="00935F92" w:rsidRDefault="00935F92" w:rsidP="00935F92">
            <w:pPr>
              <w:spacing w:after="0" w:line="240" w:lineRule="auto"/>
              <w:rPr>
                <w:b/>
                <w:bCs/>
                <w:color w:val="000000"/>
                <w:sz w:val="18"/>
                <w:szCs w:val="18"/>
                <w:lang w:eastAsia="sk-SK"/>
              </w:rPr>
            </w:pPr>
            <w:r w:rsidRPr="00935F92">
              <w:rPr>
                <w:b/>
                <w:bCs/>
                <w:color w:val="000000"/>
                <w:sz w:val="18"/>
                <w:szCs w:val="18"/>
                <w:lang w:eastAsia="sk-SK"/>
              </w:rPr>
              <w:t>Príspevky na sociálne zabezpečenie</w:t>
            </w:r>
          </w:p>
        </w:tc>
        <w:tc>
          <w:tcPr>
            <w:tcW w:w="615" w:type="pct"/>
            <w:tcBorders>
              <w:top w:val="nil"/>
              <w:left w:val="nil"/>
              <w:bottom w:val="nil"/>
              <w:right w:val="nil"/>
            </w:tcBorders>
            <w:noWrap/>
            <w:vAlign w:val="center"/>
            <w:hideMark/>
          </w:tcPr>
          <w:p w14:paraId="3AC6F4EC" w14:textId="77777777" w:rsidR="00935F92" w:rsidRPr="00935F92" w:rsidRDefault="00935F92" w:rsidP="00935F92">
            <w:pPr>
              <w:spacing w:after="0" w:line="240" w:lineRule="auto"/>
              <w:jc w:val="center"/>
              <w:rPr>
                <w:b/>
                <w:bCs/>
                <w:color w:val="000000"/>
                <w:sz w:val="18"/>
                <w:szCs w:val="18"/>
                <w:lang w:eastAsia="sk-SK"/>
              </w:rPr>
            </w:pPr>
            <w:r w:rsidRPr="00935F92">
              <w:rPr>
                <w:b/>
                <w:bCs/>
                <w:color w:val="000000"/>
                <w:sz w:val="18"/>
                <w:szCs w:val="18"/>
                <w:lang w:eastAsia="sk-SK"/>
              </w:rPr>
              <w:t>D.61R</w:t>
            </w:r>
          </w:p>
        </w:tc>
        <w:tc>
          <w:tcPr>
            <w:tcW w:w="602" w:type="pct"/>
            <w:tcBorders>
              <w:top w:val="nil"/>
              <w:left w:val="nil"/>
              <w:bottom w:val="nil"/>
              <w:right w:val="nil"/>
            </w:tcBorders>
            <w:noWrap/>
            <w:vAlign w:val="center"/>
            <w:hideMark/>
          </w:tcPr>
          <w:p w14:paraId="7DAECC0F" w14:textId="75BC32C5" w:rsidR="00935F92" w:rsidRPr="00710788" w:rsidRDefault="00935F92" w:rsidP="00935F92">
            <w:pPr>
              <w:spacing w:after="0" w:line="240" w:lineRule="auto"/>
              <w:jc w:val="right"/>
              <w:rPr>
                <w:b/>
                <w:bCs/>
                <w:sz w:val="18"/>
                <w:szCs w:val="18"/>
                <w:highlight w:val="yellow"/>
                <w:lang w:eastAsia="sk-SK"/>
              </w:rPr>
            </w:pPr>
            <w:r>
              <w:rPr>
                <w:b/>
                <w:bCs/>
                <w:sz w:val="18"/>
                <w:szCs w:val="18"/>
              </w:rPr>
              <w:t>16 595 520</w:t>
            </w:r>
          </w:p>
        </w:tc>
        <w:tc>
          <w:tcPr>
            <w:tcW w:w="601" w:type="pct"/>
            <w:tcBorders>
              <w:top w:val="nil"/>
              <w:left w:val="nil"/>
              <w:bottom w:val="nil"/>
              <w:right w:val="nil"/>
            </w:tcBorders>
            <w:noWrap/>
            <w:vAlign w:val="center"/>
            <w:hideMark/>
          </w:tcPr>
          <w:p w14:paraId="35D762D8" w14:textId="792788F6" w:rsidR="00935F92" w:rsidRPr="00710788" w:rsidRDefault="00935F92" w:rsidP="00935F92">
            <w:pPr>
              <w:spacing w:after="0" w:line="240" w:lineRule="auto"/>
              <w:jc w:val="right"/>
              <w:rPr>
                <w:b/>
                <w:bCs/>
                <w:sz w:val="18"/>
                <w:szCs w:val="18"/>
                <w:highlight w:val="yellow"/>
                <w:lang w:eastAsia="sk-SK"/>
              </w:rPr>
            </w:pPr>
            <w:r>
              <w:rPr>
                <w:b/>
                <w:bCs/>
                <w:sz w:val="18"/>
                <w:szCs w:val="18"/>
              </w:rPr>
              <w:t>18 945 663</w:t>
            </w:r>
          </w:p>
        </w:tc>
        <w:tc>
          <w:tcPr>
            <w:tcW w:w="601" w:type="pct"/>
            <w:tcBorders>
              <w:top w:val="nil"/>
              <w:left w:val="nil"/>
              <w:bottom w:val="nil"/>
              <w:right w:val="nil"/>
            </w:tcBorders>
            <w:noWrap/>
            <w:vAlign w:val="center"/>
            <w:hideMark/>
          </w:tcPr>
          <w:p w14:paraId="22F7DB00" w14:textId="77777777" w:rsidR="00935F92" w:rsidRPr="00935F92" w:rsidRDefault="00935F92" w:rsidP="00935F92">
            <w:pPr>
              <w:spacing w:after="0" w:line="240" w:lineRule="auto"/>
              <w:jc w:val="right"/>
              <w:rPr>
                <w:b/>
                <w:bCs/>
                <w:sz w:val="18"/>
                <w:szCs w:val="18"/>
                <w:lang w:eastAsia="sk-SK"/>
              </w:rPr>
            </w:pPr>
            <w:r w:rsidRPr="00935F92">
              <w:rPr>
                <w:b/>
                <w:bCs/>
                <w:sz w:val="18"/>
                <w:szCs w:val="18"/>
                <w:lang w:eastAsia="sk-SK"/>
              </w:rPr>
              <w:t>20 724 745</w:t>
            </w:r>
          </w:p>
        </w:tc>
        <w:tc>
          <w:tcPr>
            <w:tcW w:w="602" w:type="pct"/>
            <w:tcBorders>
              <w:top w:val="nil"/>
              <w:left w:val="nil"/>
              <w:bottom w:val="nil"/>
              <w:right w:val="nil"/>
            </w:tcBorders>
            <w:noWrap/>
            <w:vAlign w:val="center"/>
            <w:hideMark/>
          </w:tcPr>
          <w:p w14:paraId="1999635F" w14:textId="5BD14FE9" w:rsidR="00935F92" w:rsidRPr="00710788" w:rsidRDefault="00935F92" w:rsidP="00935F92">
            <w:pPr>
              <w:spacing w:after="0" w:line="240" w:lineRule="auto"/>
              <w:jc w:val="right"/>
              <w:rPr>
                <w:b/>
                <w:bCs/>
                <w:sz w:val="18"/>
                <w:szCs w:val="18"/>
                <w:highlight w:val="yellow"/>
                <w:lang w:eastAsia="sk-SK"/>
              </w:rPr>
            </w:pPr>
            <w:r>
              <w:rPr>
                <w:b/>
                <w:bCs/>
                <w:sz w:val="18"/>
                <w:szCs w:val="18"/>
              </w:rPr>
              <w:t>20 964 663</w:t>
            </w:r>
          </w:p>
        </w:tc>
        <w:tc>
          <w:tcPr>
            <w:tcW w:w="537" w:type="pct"/>
            <w:tcBorders>
              <w:top w:val="nil"/>
              <w:left w:val="nil"/>
              <w:bottom w:val="nil"/>
              <w:right w:val="nil"/>
            </w:tcBorders>
            <w:noWrap/>
            <w:vAlign w:val="center"/>
            <w:hideMark/>
          </w:tcPr>
          <w:p w14:paraId="2C85FB38" w14:textId="25E1D7B1" w:rsidR="00935F92" w:rsidRPr="00710788" w:rsidRDefault="00935F92" w:rsidP="00935F92">
            <w:pPr>
              <w:spacing w:after="0" w:line="240" w:lineRule="auto"/>
              <w:jc w:val="right"/>
              <w:rPr>
                <w:b/>
                <w:bCs/>
                <w:sz w:val="18"/>
                <w:szCs w:val="18"/>
                <w:highlight w:val="yellow"/>
                <w:lang w:eastAsia="sk-SK"/>
              </w:rPr>
            </w:pPr>
            <w:r>
              <w:rPr>
                <w:b/>
                <w:bCs/>
                <w:sz w:val="18"/>
                <w:szCs w:val="18"/>
              </w:rPr>
              <w:t>2 019 000</w:t>
            </w:r>
          </w:p>
        </w:tc>
      </w:tr>
      <w:tr w:rsidR="0036369D" w:rsidRPr="00710788" w14:paraId="3E16FE93" w14:textId="77777777" w:rsidTr="0036369D">
        <w:trPr>
          <w:trHeight w:val="269"/>
        </w:trPr>
        <w:tc>
          <w:tcPr>
            <w:tcW w:w="1442" w:type="pct"/>
            <w:tcBorders>
              <w:top w:val="nil"/>
              <w:left w:val="nil"/>
              <w:bottom w:val="nil"/>
              <w:right w:val="nil"/>
            </w:tcBorders>
            <w:noWrap/>
            <w:vAlign w:val="center"/>
            <w:hideMark/>
          </w:tcPr>
          <w:p w14:paraId="3C8660FF" w14:textId="77777777" w:rsidR="00935F92" w:rsidRPr="00935F92" w:rsidRDefault="00935F92" w:rsidP="00935F92">
            <w:pPr>
              <w:spacing w:after="0" w:line="240" w:lineRule="auto"/>
              <w:rPr>
                <w:b/>
                <w:bCs/>
                <w:color w:val="000000"/>
                <w:sz w:val="18"/>
                <w:szCs w:val="18"/>
                <w:lang w:eastAsia="sk-SK"/>
              </w:rPr>
            </w:pPr>
            <w:r w:rsidRPr="00935F92">
              <w:rPr>
                <w:b/>
                <w:bCs/>
                <w:color w:val="000000"/>
                <w:sz w:val="18"/>
                <w:szCs w:val="18"/>
                <w:lang w:eastAsia="sk-SK"/>
              </w:rPr>
              <w:t>Nedaňové príjmy</w:t>
            </w:r>
          </w:p>
        </w:tc>
        <w:tc>
          <w:tcPr>
            <w:tcW w:w="615" w:type="pct"/>
            <w:tcBorders>
              <w:top w:val="nil"/>
              <w:left w:val="nil"/>
              <w:bottom w:val="nil"/>
              <w:right w:val="nil"/>
            </w:tcBorders>
            <w:noWrap/>
            <w:vAlign w:val="center"/>
            <w:hideMark/>
          </w:tcPr>
          <w:p w14:paraId="0A43FD4B" w14:textId="77777777" w:rsidR="00935F92" w:rsidRPr="00935F92" w:rsidRDefault="00935F92" w:rsidP="00935F92">
            <w:pPr>
              <w:spacing w:after="0" w:line="240" w:lineRule="auto"/>
              <w:rPr>
                <w:b/>
                <w:bCs/>
                <w:color w:val="000000"/>
                <w:sz w:val="18"/>
                <w:szCs w:val="18"/>
                <w:lang w:eastAsia="sk-SK"/>
              </w:rPr>
            </w:pPr>
          </w:p>
        </w:tc>
        <w:tc>
          <w:tcPr>
            <w:tcW w:w="602" w:type="pct"/>
            <w:tcBorders>
              <w:top w:val="nil"/>
              <w:left w:val="nil"/>
              <w:bottom w:val="nil"/>
              <w:right w:val="nil"/>
            </w:tcBorders>
            <w:noWrap/>
            <w:vAlign w:val="center"/>
            <w:hideMark/>
          </w:tcPr>
          <w:p w14:paraId="6D58D3E0" w14:textId="2B79D89C" w:rsidR="00935F92" w:rsidRPr="00710788" w:rsidRDefault="00935F92" w:rsidP="00935F92">
            <w:pPr>
              <w:spacing w:after="0" w:line="240" w:lineRule="auto"/>
              <w:jc w:val="right"/>
              <w:rPr>
                <w:b/>
                <w:bCs/>
                <w:sz w:val="18"/>
                <w:szCs w:val="18"/>
                <w:highlight w:val="yellow"/>
                <w:lang w:eastAsia="sk-SK"/>
              </w:rPr>
            </w:pPr>
            <w:r>
              <w:rPr>
                <w:b/>
                <w:bCs/>
                <w:sz w:val="18"/>
                <w:szCs w:val="18"/>
              </w:rPr>
              <w:t>3 667 410</w:t>
            </w:r>
          </w:p>
        </w:tc>
        <w:tc>
          <w:tcPr>
            <w:tcW w:w="601" w:type="pct"/>
            <w:tcBorders>
              <w:top w:val="nil"/>
              <w:left w:val="nil"/>
              <w:bottom w:val="nil"/>
              <w:right w:val="nil"/>
            </w:tcBorders>
            <w:noWrap/>
            <w:vAlign w:val="center"/>
            <w:hideMark/>
          </w:tcPr>
          <w:p w14:paraId="03C529F8" w14:textId="17139CBF" w:rsidR="00935F92" w:rsidRPr="00710788" w:rsidRDefault="00935F92" w:rsidP="00935F92">
            <w:pPr>
              <w:spacing w:after="0" w:line="240" w:lineRule="auto"/>
              <w:jc w:val="right"/>
              <w:rPr>
                <w:b/>
                <w:bCs/>
                <w:sz w:val="18"/>
                <w:szCs w:val="18"/>
                <w:highlight w:val="yellow"/>
                <w:lang w:eastAsia="sk-SK"/>
              </w:rPr>
            </w:pPr>
            <w:r>
              <w:rPr>
                <w:b/>
                <w:bCs/>
                <w:sz w:val="18"/>
                <w:szCs w:val="18"/>
              </w:rPr>
              <w:t>4 598 094</w:t>
            </w:r>
          </w:p>
        </w:tc>
        <w:tc>
          <w:tcPr>
            <w:tcW w:w="601" w:type="pct"/>
            <w:tcBorders>
              <w:top w:val="nil"/>
              <w:left w:val="nil"/>
              <w:bottom w:val="nil"/>
              <w:right w:val="nil"/>
            </w:tcBorders>
            <w:noWrap/>
            <w:vAlign w:val="center"/>
            <w:hideMark/>
          </w:tcPr>
          <w:p w14:paraId="3DE7D0A8" w14:textId="77777777" w:rsidR="00935F92" w:rsidRPr="00935F92" w:rsidRDefault="00935F92" w:rsidP="00935F92">
            <w:pPr>
              <w:spacing w:after="0" w:line="240" w:lineRule="auto"/>
              <w:jc w:val="right"/>
              <w:rPr>
                <w:b/>
                <w:bCs/>
                <w:sz w:val="18"/>
                <w:szCs w:val="18"/>
                <w:lang w:eastAsia="sk-SK"/>
              </w:rPr>
            </w:pPr>
            <w:r w:rsidRPr="00935F92">
              <w:rPr>
                <w:b/>
                <w:bCs/>
                <w:sz w:val="18"/>
                <w:szCs w:val="18"/>
                <w:lang w:eastAsia="sk-SK"/>
              </w:rPr>
              <w:t>4 444 505</w:t>
            </w:r>
          </w:p>
        </w:tc>
        <w:tc>
          <w:tcPr>
            <w:tcW w:w="602" w:type="pct"/>
            <w:tcBorders>
              <w:top w:val="nil"/>
              <w:left w:val="nil"/>
              <w:bottom w:val="nil"/>
              <w:right w:val="nil"/>
            </w:tcBorders>
            <w:noWrap/>
            <w:vAlign w:val="center"/>
            <w:hideMark/>
          </w:tcPr>
          <w:p w14:paraId="013C9467" w14:textId="2E5D42EC" w:rsidR="00935F92" w:rsidRPr="00710788" w:rsidRDefault="00935F92" w:rsidP="00935F92">
            <w:pPr>
              <w:spacing w:after="0" w:line="240" w:lineRule="auto"/>
              <w:jc w:val="right"/>
              <w:rPr>
                <w:b/>
                <w:bCs/>
                <w:sz w:val="18"/>
                <w:szCs w:val="18"/>
                <w:highlight w:val="yellow"/>
                <w:lang w:eastAsia="sk-SK"/>
              </w:rPr>
            </w:pPr>
            <w:r>
              <w:rPr>
                <w:b/>
                <w:bCs/>
                <w:sz w:val="18"/>
                <w:szCs w:val="18"/>
              </w:rPr>
              <w:t>4 991 729</w:t>
            </w:r>
          </w:p>
        </w:tc>
        <w:tc>
          <w:tcPr>
            <w:tcW w:w="537" w:type="pct"/>
            <w:tcBorders>
              <w:top w:val="nil"/>
              <w:left w:val="nil"/>
              <w:bottom w:val="nil"/>
              <w:right w:val="nil"/>
            </w:tcBorders>
            <w:noWrap/>
            <w:vAlign w:val="center"/>
            <w:hideMark/>
          </w:tcPr>
          <w:p w14:paraId="0C15DEF4" w14:textId="219B9366" w:rsidR="00935F92" w:rsidRPr="00710788" w:rsidRDefault="00935F92" w:rsidP="00935F92">
            <w:pPr>
              <w:spacing w:after="0" w:line="240" w:lineRule="auto"/>
              <w:jc w:val="right"/>
              <w:rPr>
                <w:b/>
                <w:bCs/>
                <w:sz w:val="18"/>
                <w:szCs w:val="18"/>
                <w:highlight w:val="yellow"/>
                <w:lang w:eastAsia="sk-SK"/>
              </w:rPr>
            </w:pPr>
            <w:r>
              <w:rPr>
                <w:b/>
                <w:bCs/>
                <w:sz w:val="18"/>
                <w:szCs w:val="18"/>
              </w:rPr>
              <w:t>393 635</w:t>
            </w:r>
          </w:p>
        </w:tc>
      </w:tr>
      <w:tr w:rsidR="0036369D" w:rsidRPr="00710788" w14:paraId="50ECEFDF" w14:textId="77777777" w:rsidTr="0036369D">
        <w:trPr>
          <w:trHeight w:val="269"/>
        </w:trPr>
        <w:tc>
          <w:tcPr>
            <w:tcW w:w="1442" w:type="pct"/>
            <w:tcBorders>
              <w:top w:val="nil"/>
              <w:left w:val="nil"/>
              <w:bottom w:val="nil"/>
              <w:right w:val="nil"/>
            </w:tcBorders>
            <w:noWrap/>
            <w:vAlign w:val="center"/>
            <w:hideMark/>
          </w:tcPr>
          <w:p w14:paraId="13311AC5" w14:textId="77777777" w:rsidR="00935F92" w:rsidRPr="00935F92" w:rsidRDefault="00935F92" w:rsidP="00935F92">
            <w:pPr>
              <w:spacing w:after="0" w:line="240" w:lineRule="auto"/>
              <w:rPr>
                <w:color w:val="000000"/>
                <w:sz w:val="18"/>
                <w:szCs w:val="18"/>
                <w:lang w:eastAsia="sk-SK"/>
              </w:rPr>
            </w:pPr>
            <w:r w:rsidRPr="00935F92">
              <w:rPr>
                <w:color w:val="000000"/>
                <w:sz w:val="18"/>
                <w:szCs w:val="18"/>
                <w:lang w:eastAsia="sk-SK"/>
              </w:rPr>
              <w:t>Tržby</w:t>
            </w:r>
          </w:p>
        </w:tc>
        <w:tc>
          <w:tcPr>
            <w:tcW w:w="615" w:type="pct"/>
            <w:tcBorders>
              <w:top w:val="nil"/>
              <w:left w:val="nil"/>
              <w:bottom w:val="nil"/>
              <w:right w:val="nil"/>
            </w:tcBorders>
            <w:noWrap/>
            <w:vAlign w:val="center"/>
            <w:hideMark/>
          </w:tcPr>
          <w:p w14:paraId="5DDCACC4" w14:textId="77777777" w:rsidR="00935F92" w:rsidRPr="00935F92" w:rsidRDefault="00935F92" w:rsidP="00935F92">
            <w:pPr>
              <w:spacing w:after="0" w:line="240" w:lineRule="auto"/>
              <w:jc w:val="center"/>
              <w:rPr>
                <w:color w:val="000000"/>
                <w:sz w:val="18"/>
                <w:szCs w:val="18"/>
                <w:lang w:eastAsia="sk-SK"/>
              </w:rPr>
            </w:pPr>
            <w:r w:rsidRPr="00935F92">
              <w:rPr>
                <w:color w:val="000000"/>
                <w:sz w:val="18"/>
                <w:szCs w:val="18"/>
                <w:lang w:eastAsia="sk-SK"/>
              </w:rPr>
              <w:t>P.11+P.12+P.131</w:t>
            </w:r>
          </w:p>
        </w:tc>
        <w:tc>
          <w:tcPr>
            <w:tcW w:w="602" w:type="pct"/>
            <w:tcBorders>
              <w:top w:val="nil"/>
              <w:left w:val="nil"/>
              <w:bottom w:val="nil"/>
              <w:right w:val="nil"/>
            </w:tcBorders>
            <w:noWrap/>
            <w:vAlign w:val="center"/>
            <w:hideMark/>
          </w:tcPr>
          <w:p w14:paraId="75DCB3B1" w14:textId="1B2A10B7"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2 917 876</w:t>
            </w:r>
          </w:p>
        </w:tc>
        <w:tc>
          <w:tcPr>
            <w:tcW w:w="601" w:type="pct"/>
            <w:tcBorders>
              <w:top w:val="nil"/>
              <w:left w:val="nil"/>
              <w:bottom w:val="nil"/>
              <w:right w:val="nil"/>
            </w:tcBorders>
            <w:noWrap/>
            <w:vAlign w:val="center"/>
            <w:hideMark/>
          </w:tcPr>
          <w:p w14:paraId="2EE67AFF" w14:textId="3F801850"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3 387 460</w:t>
            </w:r>
          </w:p>
        </w:tc>
        <w:tc>
          <w:tcPr>
            <w:tcW w:w="601" w:type="pct"/>
            <w:tcBorders>
              <w:top w:val="nil"/>
              <w:left w:val="nil"/>
              <w:bottom w:val="nil"/>
              <w:right w:val="nil"/>
            </w:tcBorders>
            <w:noWrap/>
            <w:vAlign w:val="center"/>
            <w:hideMark/>
          </w:tcPr>
          <w:p w14:paraId="5B095F7A" w14:textId="77777777" w:rsidR="00935F92" w:rsidRPr="00935F92" w:rsidRDefault="00935F92" w:rsidP="00935F92">
            <w:pPr>
              <w:spacing w:after="0" w:line="240" w:lineRule="auto"/>
              <w:jc w:val="right"/>
              <w:rPr>
                <w:color w:val="000000"/>
                <w:sz w:val="18"/>
                <w:szCs w:val="18"/>
                <w:lang w:eastAsia="sk-SK"/>
              </w:rPr>
            </w:pPr>
            <w:r w:rsidRPr="00935F92">
              <w:rPr>
                <w:color w:val="000000"/>
                <w:sz w:val="18"/>
                <w:szCs w:val="18"/>
                <w:lang w:eastAsia="sk-SK"/>
              </w:rPr>
              <w:t>3 314 394</w:t>
            </w:r>
          </w:p>
        </w:tc>
        <w:tc>
          <w:tcPr>
            <w:tcW w:w="602" w:type="pct"/>
            <w:tcBorders>
              <w:top w:val="nil"/>
              <w:left w:val="nil"/>
              <w:bottom w:val="nil"/>
              <w:right w:val="nil"/>
            </w:tcBorders>
            <w:noWrap/>
            <w:vAlign w:val="center"/>
            <w:hideMark/>
          </w:tcPr>
          <w:p w14:paraId="11A0B92B" w14:textId="07AEC697"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3 621 875</w:t>
            </w:r>
          </w:p>
        </w:tc>
        <w:tc>
          <w:tcPr>
            <w:tcW w:w="537" w:type="pct"/>
            <w:tcBorders>
              <w:top w:val="nil"/>
              <w:left w:val="nil"/>
              <w:bottom w:val="nil"/>
              <w:right w:val="nil"/>
            </w:tcBorders>
            <w:noWrap/>
            <w:vAlign w:val="center"/>
            <w:hideMark/>
          </w:tcPr>
          <w:p w14:paraId="5DEC6509" w14:textId="004FE2BC"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234 415</w:t>
            </w:r>
          </w:p>
        </w:tc>
      </w:tr>
      <w:tr w:rsidR="0036369D" w:rsidRPr="00710788" w14:paraId="5632C84B" w14:textId="77777777" w:rsidTr="0036369D">
        <w:trPr>
          <w:trHeight w:val="203"/>
        </w:trPr>
        <w:tc>
          <w:tcPr>
            <w:tcW w:w="1442" w:type="pct"/>
            <w:tcBorders>
              <w:top w:val="nil"/>
              <w:left w:val="nil"/>
              <w:bottom w:val="nil"/>
              <w:right w:val="nil"/>
            </w:tcBorders>
            <w:noWrap/>
            <w:vAlign w:val="center"/>
            <w:hideMark/>
          </w:tcPr>
          <w:p w14:paraId="2CBB238B" w14:textId="77777777" w:rsidR="00935F92" w:rsidRPr="00935F92" w:rsidRDefault="00935F92" w:rsidP="00935F92">
            <w:pPr>
              <w:spacing w:after="0" w:line="240" w:lineRule="auto"/>
              <w:rPr>
                <w:color w:val="000000"/>
                <w:sz w:val="18"/>
                <w:szCs w:val="18"/>
                <w:lang w:eastAsia="sk-SK"/>
              </w:rPr>
            </w:pPr>
            <w:r w:rsidRPr="00935F92">
              <w:rPr>
                <w:color w:val="000000"/>
                <w:sz w:val="18"/>
                <w:szCs w:val="18"/>
                <w:lang w:eastAsia="sk-SK"/>
              </w:rPr>
              <w:t>Dôchodky z majetku</w:t>
            </w:r>
          </w:p>
        </w:tc>
        <w:tc>
          <w:tcPr>
            <w:tcW w:w="615" w:type="pct"/>
            <w:tcBorders>
              <w:top w:val="nil"/>
              <w:left w:val="nil"/>
              <w:bottom w:val="nil"/>
              <w:right w:val="nil"/>
            </w:tcBorders>
            <w:noWrap/>
            <w:vAlign w:val="center"/>
            <w:hideMark/>
          </w:tcPr>
          <w:p w14:paraId="224F43B2" w14:textId="77777777" w:rsidR="00935F92" w:rsidRPr="00935F92" w:rsidRDefault="00935F92" w:rsidP="00935F92">
            <w:pPr>
              <w:spacing w:after="0" w:line="240" w:lineRule="auto"/>
              <w:jc w:val="center"/>
              <w:rPr>
                <w:color w:val="000000"/>
                <w:sz w:val="18"/>
                <w:szCs w:val="18"/>
                <w:lang w:eastAsia="sk-SK"/>
              </w:rPr>
            </w:pPr>
            <w:r w:rsidRPr="00935F92">
              <w:rPr>
                <w:color w:val="000000"/>
                <w:sz w:val="18"/>
                <w:szCs w:val="18"/>
                <w:lang w:eastAsia="sk-SK"/>
              </w:rPr>
              <w:t>D.4R</w:t>
            </w:r>
          </w:p>
        </w:tc>
        <w:tc>
          <w:tcPr>
            <w:tcW w:w="602" w:type="pct"/>
            <w:tcBorders>
              <w:top w:val="nil"/>
              <w:left w:val="nil"/>
              <w:bottom w:val="nil"/>
              <w:right w:val="nil"/>
            </w:tcBorders>
            <w:noWrap/>
            <w:vAlign w:val="center"/>
            <w:hideMark/>
          </w:tcPr>
          <w:p w14:paraId="55E4BFFB" w14:textId="796378A7"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749 534</w:t>
            </w:r>
          </w:p>
        </w:tc>
        <w:tc>
          <w:tcPr>
            <w:tcW w:w="601" w:type="pct"/>
            <w:tcBorders>
              <w:top w:val="nil"/>
              <w:left w:val="nil"/>
              <w:bottom w:val="nil"/>
              <w:right w:val="nil"/>
            </w:tcBorders>
            <w:noWrap/>
            <w:vAlign w:val="center"/>
            <w:hideMark/>
          </w:tcPr>
          <w:p w14:paraId="43A5E27D" w14:textId="64FDD276"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1 210 634</w:t>
            </w:r>
          </w:p>
        </w:tc>
        <w:tc>
          <w:tcPr>
            <w:tcW w:w="601" w:type="pct"/>
            <w:tcBorders>
              <w:top w:val="nil"/>
              <w:left w:val="nil"/>
              <w:bottom w:val="nil"/>
              <w:right w:val="nil"/>
            </w:tcBorders>
            <w:noWrap/>
            <w:vAlign w:val="center"/>
            <w:hideMark/>
          </w:tcPr>
          <w:p w14:paraId="4DEEBB3D" w14:textId="77777777" w:rsidR="00935F92" w:rsidRPr="00935F92" w:rsidRDefault="00935F92" w:rsidP="00935F92">
            <w:pPr>
              <w:spacing w:after="0" w:line="240" w:lineRule="auto"/>
              <w:jc w:val="right"/>
              <w:rPr>
                <w:color w:val="000000"/>
                <w:sz w:val="18"/>
                <w:szCs w:val="18"/>
                <w:lang w:eastAsia="sk-SK"/>
              </w:rPr>
            </w:pPr>
            <w:r w:rsidRPr="00935F92">
              <w:rPr>
                <w:color w:val="000000"/>
                <w:sz w:val="18"/>
                <w:szCs w:val="18"/>
                <w:lang w:eastAsia="sk-SK"/>
              </w:rPr>
              <w:t>1 130 111</w:t>
            </w:r>
          </w:p>
        </w:tc>
        <w:tc>
          <w:tcPr>
            <w:tcW w:w="602" w:type="pct"/>
            <w:tcBorders>
              <w:top w:val="nil"/>
              <w:left w:val="nil"/>
              <w:bottom w:val="nil"/>
              <w:right w:val="nil"/>
            </w:tcBorders>
            <w:noWrap/>
            <w:vAlign w:val="center"/>
            <w:hideMark/>
          </w:tcPr>
          <w:p w14:paraId="5A91E73A" w14:textId="61930862"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1 369 854</w:t>
            </w:r>
          </w:p>
        </w:tc>
        <w:tc>
          <w:tcPr>
            <w:tcW w:w="537" w:type="pct"/>
            <w:tcBorders>
              <w:top w:val="nil"/>
              <w:left w:val="nil"/>
              <w:bottom w:val="nil"/>
              <w:right w:val="nil"/>
            </w:tcBorders>
            <w:noWrap/>
            <w:vAlign w:val="center"/>
            <w:hideMark/>
          </w:tcPr>
          <w:p w14:paraId="2A6094A2" w14:textId="30D7BBB5"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159 220</w:t>
            </w:r>
          </w:p>
        </w:tc>
      </w:tr>
      <w:tr w:rsidR="0036369D" w:rsidRPr="00710788" w14:paraId="04CF402E" w14:textId="77777777" w:rsidTr="0036369D">
        <w:trPr>
          <w:trHeight w:val="269"/>
        </w:trPr>
        <w:tc>
          <w:tcPr>
            <w:tcW w:w="1442" w:type="pct"/>
            <w:tcBorders>
              <w:top w:val="nil"/>
              <w:left w:val="nil"/>
              <w:bottom w:val="nil"/>
              <w:right w:val="nil"/>
            </w:tcBorders>
            <w:noWrap/>
            <w:vAlign w:val="center"/>
            <w:hideMark/>
          </w:tcPr>
          <w:p w14:paraId="753ABCFC" w14:textId="77777777" w:rsidR="00935F92" w:rsidRPr="00935F92" w:rsidRDefault="00935F92" w:rsidP="00935F92">
            <w:pPr>
              <w:spacing w:after="0" w:line="240" w:lineRule="auto"/>
              <w:rPr>
                <w:b/>
                <w:bCs/>
                <w:color w:val="000000"/>
                <w:sz w:val="18"/>
                <w:szCs w:val="18"/>
                <w:lang w:eastAsia="sk-SK"/>
              </w:rPr>
            </w:pPr>
            <w:r w:rsidRPr="00935F92">
              <w:rPr>
                <w:b/>
                <w:bCs/>
                <w:color w:val="000000"/>
                <w:sz w:val="18"/>
                <w:szCs w:val="18"/>
                <w:lang w:eastAsia="sk-SK"/>
              </w:rPr>
              <w:t>Granty a transfery</w:t>
            </w:r>
          </w:p>
        </w:tc>
        <w:tc>
          <w:tcPr>
            <w:tcW w:w="615" w:type="pct"/>
            <w:tcBorders>
              <w:top w:val="nil"/>
              <w:left w:val="nil"/>
              <w:bottom w:val="nil"/>
              <w:right w:val="nil"/>
            </w:tcBorders>
            <w:noWrap/>
            <w:vAlign w:val="center"/>
            <w:hideMark/>
          </w:tcPr>
          <w:p w14:paraId="69710448" w14:textId="77777777" w:rsidR="00935F92" w:rsidRPr="00935F92" w:rsidRDefault="00935F92" w:rsidP="00935F92">
            <w:pPr>
              <w:spacing w:after="0" w:line="240" w:lineRule="auto"/>
              <w:jc w:val="center"/>
              <w:rPr>
                <w:b/>
                <w:bCs/>
                <w:color w:val="000000"/>
                <w:sz w:val="18"/>
                <w:szCs w:val="18"/>
                <w:lang w:eastAsia="sk-SK"/>
              </w:rPr>
            </w:pPr>
            <w:r w:rsidRPr="00935F92">
              <w:rPr>
                <w:b/>
                <w:bCs/>
                <w:color w:val="000000"/>
                <w:sz w:val="18"/>
                <w:szCs w:val="18"/>
                <w:lang w:eastAsia="sk-SK"/>
              </w:rPr>
              <w:t>D.39+D.7R+D.9R</w:t>
            </w:r>
          </w:p>
        </w:tc>
        <w:tc>
          <w:tcPr>
            <w:tcW w:w="602" w:type="pct"/>
            <w:tcBorders>
              <w:top w:val="nil"/>
              <w:left w:val="nil"/>
              <w:bottom w:val="nil"/>
              <w:right w:val="nil"/>
            </w:tcBorders>
            <w:noWrap/>
            <w:vAlign w:val="center"/>
            <w:hideMark/>
          </w:tcPr>
          <w:p w14:paraId="2FBE3E5C" w14:textId="5E6C5144" w:rsidR="00935F92" w:rsidRPr="00710788" w:rsidRDefault="00935F92" w:rsidP="00935F92">
            <w:pPr>
              <w:spacing w:after="0" w:line="240" w:lineRule="auto"/>
              <w:jc w:val="right"/>
              <w:rPr>
                <w:b/>
                <w:bCs/>
                <w:sz w:val="18"/>
                <w:szCs w:val="18"/>
                <w:highlight w:val="yellow"/>
                <w:lang w:eastAsia="sk-SK"/>
              </w:rPr>
            </w:pPr>
            <w:r>
              <w:rPr>
                <w:b/>
                <w:bCs/>
                <w:sz w:val="18"/>
                <w:szCs w:val="18"/>
              </w:rPr>
              <w:t>3 003 241</w:t>
            </w:r>
          </w:p>
        </w:tc>
        <w:tc>
          <w:tcPr>
            <w:tcW w:w="601" w:type="pct"/>
            <w:tcBorders>
              <w:top w:val="nil"/>
              <w:left w:val="nil"/>
              <w:bottom w:val="nil"/>
              <w:right w:val="nil"/>
            </w:tcBorders>
            <w:noWrap/>
            <w:vAlign w:val="center"/>
            <w:hideMark/>
          </w:tcPr>
          <w:p w14:paraId="306B2118" w14:textId="67A6E33C" w:rsidR="00935F92" w:rsidRPr="00710788" w:rsidRDefault="00935F92" w:rsidP="00935F92">
            <w:pPr>
              <w:spacing w:after="0" w:line="240" w:lineRule="auto"/>
              <w:jc w:val="right"/>
              <w:rPr>
                <w:b/>
                <w:bCs/>
                <w:sz w:val="18"/>
                <w:szCs w:val="18"/>
                <w:highlight w:val="yellow"/>
                <w:lang w:eastAsia="sk-SK"/>
              </w:rPr>
            </w:pPr>
            <w:r>
              <w:rPr>
                <w:b/>
                <w:bCs/>
                <w:sz w:val="18"/>
                <w:szCs w:val="18"/>
              </w:rPr>
              <w:t>4 920 745</w:t>
            </w:r>
          </w:p>
        </w:tc>
        <w:tc>
          <w:tcPr>
            <w:tcW w:w="601" w:type="pct"/>
            <w:tcBorders>
              <w:top w:val="nil"/>
              <w:left w:val="nil"/>
              <w:bottom w:val="nil"/>
              <w:right w:val="nil"/>
            </w:tcBorders>
            <w:noWrap/>
            <w:vAlign w:val="center"/>
            <w:hideMark/>
          </w:tcPr>
          <w:p w14:paraId="18E16F1C" w14:textId="77777777" w:rsidR="00935F92" w:rsidRPr="00935F92" w:rsidRDefault="00935F92" w:rsidP="00935F92">
            <w:pPr>
              <w:spacing w:after="0" w:line="240" w:lineRule="auto"/>
              <w:jc w:val="right"/>
              <w:rPr>
                <w:b/>
                <w:bCs/>
                <w:sz w:val="18"/>
                <w:szCs w:val="18"/>
                <w:lang w:eastAsia="sk-SK"/>
              </w:rPr>
            </w:pPr>
            <w:r w:rsidRPr="00935F92">
              <w:rPr>
                <w:b/>
                <w:bCs/>
                <w:sz w:val="18"/>
                <w:szCs w:val="18"/>
                <w:lang w:eastAsia="sk-SK"/>
              </w:rPr>
              <w:t>2 504 632</w:t>
            </w:r>
          </w:p>
        </w:tc>
        <w:tc>
          <w:tcPr>
            <w:tcW w:w="602" w:type="pct"/>
            <w:tcBorders>
              <w:top w:val="nil"/>
              <w:left w:val="nil"/>
              <w:bottom w:val="nil"/>
              <w:right w:val="nil"/>
            </w:tcBorders>
            <w:noWrap/>
            <w:vAlign w:val="center"/>
            <w:hideMark/>
          </w:tcPr>
          <w:p w14:paraId="1B705366" w14:textId="0A12EC46" w:rsidR="00935F92" w:rsidRPr="00710788" w:rsidRDefault="00935F92" w:rsidP="00935F92">
            <w:pPr>
              <w:spacing w:after="0" w:line="240" w:lineRule="auto"/>
              <w:jc w:val="right"/>
              <w:rPr>
                <w:b/>
                <w:bCs/>
                <w:sz w:val="18"/>
                <w:szCs w:val="18"/>
                <w:highlight w:val="yellow"/>
                <w:lang w:eastAsia="sk-SK"/>
              </w:rPr>
            </w:pPr>
            <w:r>
              <w:rPr>
                <w:b/>
                <w:bCs/>
                <w:sz w:val="18"/>
                <w:szCs w:val="18"/>
              </w:rPr>
              <w:t>3 017 442</w:t>
            </w:r>
          </w:p>
        </w:tc>
        <w:tc>
          <w:tcPr>
            <w:tcW w:w="537" w:type="pct"/>
            <w:tcBorders>
              <w:top w:val="nil"/>
              <w:left w:val="nil"/>
              <w:bottom w:val="nil"/>
              <w:right w:val="nil"/>
            </w:tcBorders>
            <w:noWrap/>
            <w:vAlign w:val="center"/>
            <w:hideMark/>
          </w:tcPr>
          <w:p w14:paraId="3F3C3BCF" w14:textId="5B5CF4B9" w:rsidR="00935F92" w:rsidRPr="00710788" w:rsidRDefault="00935F92" w:rsidP="00935F92">
            <w:pPr>
              <w:spacing w:after="0" w:line="240" w:lineRule="auto"/>
              <w:jc w:val="right"/>
              <w:rPr>
                <w:b/>
                <w:bCs/>
                <w:sz w:val="18"/>
                <w:szCs w:val="18"/>
                <w:highlight w:val="yellow"/>
                <w:lang w:eastAsia="sk-SK"/>
              </w:rPr>
            </w:pPr>
            <w:r>
              <w:rPr>
                <w:b/>
                <w:bCs/>
                <w:sz w:val="18"/>
                <w:szCs w:val="18"/>
              </w:rPr>
              <w:t>-1 903 303</w:t>
            </w:r>
          </w:p>
        </w:tc>
      </w:tr>
      <w:tr w:rsidR="0036369D" w:rsidRPr="00710788" w14:paraId="1A9B381E" w14:textId="77777777" w:rsidTr="0036369D">
        <w:trPr>
          <w:trHeight w:val="143"/>
        </w:trPr>
        <w:tc>
          <w:tcPr>
            <w:tcW w:w="1442" w:type="pct"/>
            <w:tcBorders>
              <w:top w:val="nil"/>
              <w:left w:val="nil"/>
              <w:bottom w:val="nil"/>
              <w:right w:val="nil"/>
            </w:tcBorders>
            <w:noWrap/>
            <w:vAlign w:val="center"/>
            <w:hideMark/>
          </w:tcPr>
          <w:p w14:paraId="1DDDDF3B" w14:textId="32551C79" w:rsidR="00935F92" w:rsidRPr="00935F92" w:rsidRDefault="00935F92" w:rsidP="00935F92">
            <w:pPr>
              <w:spacing w:after="0" w:line="240" w:lineRule="auto"/>
              <w:rPr>
                <w:color w:val="000000"/>
                <w:sz w:val="18"/>
                <w:szCs w:val="18"/>
                <w:lang w:eastAsia="sk-SK"/>
              </w:rPr>
            </w:pPr>
            <w:r w:rsidRPr="00935F92">
              <w:rPr>
                <w:color w:val="000000"/>
                <w:sz w:val="18"/>
                <w:szCs w:val="18"/>
                <w:lang w:eastAsia="sk-SK"/>
              </w:rPr>
              <w:t xml:space="preserve">       z toho: z</w:t>
            </w:r>
            <w:r w:rsidR="008D430E">
              <w:rPr>
                <w:color w:val="000000"/>
                <w:sz w:val="18"/>
                <w:szCs w:val="18"/>
                <w:lang w:eastAsia="sk-SK"/>
              </w:rPr>
              <w:t> </w:t>
            </w:r>
            <w:r w:rsidRPr="00935F92">
              <w:rPr>
                <w:color w:val="000000"/>
                <w:sz w:val="18"/>
                <w:szCs w:val="18"/>
                <w:lang w:eastAsia="sk-SK"/>
              </w:rPr>
              <w:t>EÚ</w:t>
            </w:r>
            <w:r w:rsidR="008D430E" w:rsidRPr="00A87016">
              <w:rPr>
                <w:color w:val="000000"/>
                <w:sz w:val="18"/>
                <w:szCs w:val="18"/>
                <w:vertAlign w:val="superscript"/>
                <w:lang w:eastAsia="sk-SK"/>
              </w:rPr>
              <w:t>1</w:t>
            </w:r>
            <w:r w:rsidR="008D430E">
              <w:rPr>
                <w:color w:val="000000"/>
                <w:sz w:val="18"/>
                <w:szCs w:val="18"/>
                <w:vertAlign w:val="superscript"/>
                <w:lang w:eastAsia="sk-SK"/>
              </w:rPr>
              <w:t>)</w:t>
            </w:r>
          </w:p>
        </w:tc>
        <w:tc>
          <w:tcPr>
            <w:tcW w:w="615" w:type="pct"/>
            <w:tcBorders>
              <w:top w:val="nil"/>
              <w:left w:val="nil"/>
              <w:bottom w:val="nil"/>
              <w:right w:val="nil"/>
            </w:tcBorders>
            <w:noWrap/>
            <w:vAlign w:val="center"/>
            <w:hideMark/>
          </w:tcPr>
          <w:p w14:paraId="63C9AEF3" w14:textId="77777777" w:rsidR="00935F92" w:rsidRPr="00935F92" w:rsidRDefault="00935F92" w:rsidP="00935F92">
            <w:pPr>
              <w:spacing w:after="0" w:line="240" w:lineRule="auto"/>
              <w:rPr>
                <w:color w:val="000000"/>
                <w:sz w:val="18"/>
                <w:szCs w:val="18"/>
                <w:lang w:eastAsia="sk-SK"/>
              </w:rPr>
            </w:pPr>
          </w:p>
        </w:tc>
        <w:tc>
          <w:tcPr>
            <w:tcW w:w="602" w:type="pct"/>
            <w:tcBorders>
              <w:top w:val="nil"/>
              <w:left w:val="nil"/>
              <w:bottom w:val="nil"/>
              <w:right w:val="nil"/>
            </w:tcBorders>
            <w:noWrap/>
            <w:vAlign w:val="center"/>
            <w:hideMark/>
          </w:tcPr>
          <w:p w14:paraId="4B499C49" w14:textId="28B3E5D0"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1 731 618</w:t>
            </w:r>
          </w:p>
        </w:tc>
        <w:tc>
          <w:tcPr>
            <w:tcW w:w="601" w:type="pct"/>
            <w:tcBorders>
              <w:top w:val="nil"/>
              <w:left w:val="nil"/>
              <w:bottom w:val="nil"/>
              <w:right w:val="nil"/>
            </w:tcBorders>
            <w:noWrap/>
            <w:vAlign w:val="center"/>
            <w:hideMark/>
          </w:tcPr>
          <w:p w14:paraId="61FD6799" w14:textId="22812698"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3 525 055</w:t>
            </w:r>
          </w:p>
        </w:tc>
        <w:tc>
          <w:tcPr>
            <w:tcW w:w="601" w:type="pct"/>
            <w:tcBorders>
              <w:top w:val="nil"/>
              <w:left w:val="nil"/>
              <w:bottom w:val="nil"/>
              <w:right w:val="nil"/>
            </w:tcBorders>
            <w:noWrap/>
            <w:vAlign w:val="center"/>
            <w:hideMark/>
          </w:tcPr>
          <w:p w14:paraId="517C3292" w14:textId="77777777" w:rsidR="00935F92" w:rsidRPr="00935F92" w:rsidRDefault="00935F92" w:rsidP="00935F92">
            <w:pPr>
              <w:spacing w:after="0" w:line="240" w:lineRule="auto"/>
              <w:jc w:val="right"/>
              <w:rPr>
                <w:color w:val="000000"/>
                <w:sz w:val="18"/>
                <w:szCs w:val="18"/>
                <w:lang w:eastAsia="sk-SK"/>
              </w:rPr>
            </w:pPr>
            <w:r w:rsidRPr="00935F92">
              <w:rPr>
                <w:color w:val="000000"/>
                <w:sz w:val="18"/>
                <w:szCs w:val="18"/>
                <w:lang w:eastAsia="sk-SK"/>
              </w:rPr>
              <w:t>1 508 989</w:t>
            </w:r>
          </w:p>
        </w:tc>
        <w:tc>
          <w:tcPr>
            <w:tcW w:w="602" w:type="pct"/>
            <w:tcBorders>
              <w:top w:val="nil"/>
              <w:left w:val="nil"/>
              <w:bottom w:val="nil"/>
              <w:right w:val="nil"/>
            </w:tcBorders>
            <w:noWrap/>
            <w:vAlign w:val="center"/>
            <w:hideMark/>
          </w:tcPr>
          <w:p w14:paraId="24ACEAA6" w14:textId="6AD3E9F4"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1 937 145</w:t>
            </w:r>
          </w:p>
        </w:tc>
        <w:tc>
          <w:tcPr>
            <w:tcW w:w="537" w:type="pct"/>
            <w:tcBorders>
              <w:top w:val="nil"/>
              <w:left w:val="nil"/>
              <w:bottom w:val="nil"/>
              <w:right w:val="nil"/>
            </w:tcBorders>
            <w:noWrap/>
            <w:vAlign w:val="center"/>
            <w:hideMark/>
          </w:tcPr>
          <w:p w14:paraId="18B2B374" w14:textId="014EB8B8"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-1 587 910</w:t>
            </w:r>
          </w:p>
        </w:tc>
      </w:tr>
      <w:tr w:rsidR="0036369D" w:rsidRPr="00710788" w14:paraId="7A1EED7B" w14:textId="77777777" w:rsidTr="0036369D">
        <w:trPr>
          <w:trHeight w:val="269"/>
        </w:trPr>
        <w:tc>
          <w:tcPr>
            <w:tcW w:w="1442" w:type="pct"/>
            <w:tcBorders>
              <w:top w:val="nil"/>
              <w:left w:val="nil"/>
              <w:bottom w:val="nil"/>
              <w:right w:val="nil"/>
            </w:tcBorders>
            <w:noWrap/>
            <w:vAlign w:val="center"/>
            <w:hideMark/>
          </w:tcPr>
          <w:p w14:paraId="4FC49B9B" w14:textId="77777777" w:rsidR="00935F92" w:rsidRPr="00935F92" w:rsidRDefault="00935F92" w:rsidP="00935F92">
            <w:pPr>
              <w:spacing w:after="0" w:line="240" w:lineRule="auto"/>
              <w:rPr>
                <w:color w:val="000000"/>
                <w:sz w:val="18"/>
                <w:szCs w:val="18"/>
                <w:lang w:eastAsia="sk-SK"/>
              </w:rPr>
            </w:pPr>
            <w:r w:rsidRPr="00935F92">
              <w:rPr>
                <w:color w:val="000000"/>
                <w:sz w:val="18"/>
                <w:szCs w:val="18"/>
                <w:lang w:eastAsia="sk-SK"/>
              </w:rPr>
              <w:t>Ostatné bežné transfery</w:t>
            </w:r>
          </w:p>
        </w:tc>
        <w:tc>
          <w:tcPr>
            <w:tcW w:w="615" w:type="pct"/>
            <w:tcBorders>
              <w:top w:val="nil"/>
              <w:left w:val="nil"/>
              <w:bottom w:val="nil"/>
              <w:right w:val="nil"/>
            </w:tcBorders>
            <w:noWrap/>
            <w:vAlign w:val="center"/>
            <w:hideMark/>
          </w:tcPr>
          <w:p w14:paraId="449278CD" w14:textId="77777777" w:rsidR="00935F92" w:rsidRPr="00935F92" w:rsidRDefault="00935F92" w:rsidP="00935F92">
            <w:pPr>
              <w:spacing w:after="0" w:line="240" w:lineRule="auto"/>
              <w:jc w:val="center"/>
              <w:rPr>
                <w:color w:val="000000"/>
                <w:sz w:val="18"/>
                <w:szCs w:val="18"/>
                <w:lang w:eastAsia="sk-SK"/>
              </w:rPr>
            </w:pPr>
            <w:r w:rsidRPr="00935F92">
              <w:rPr>
                <w:color w:val="000000"/>
                <w:sz w:val="18"/>
                <w:szCs w:val="18"/>
                <w:lang w:eastAsia="sk-SK"/>
              </w:rPr>
              <w:t>D.7R</w:t>
            </w:r>
          </w:p>
        </w:tc>
        <w:tc>
          <w:tcPr>
            <w:tcW w:w="602" w:type="pct"/>
            <w:tcBorders>
              <w:top w:val="nil"/>
              <w:left w:val="nil"/>
              <w:bottom w:val="nil"/>
              <w:right w:val="nil"/>
            </w:tcBorders>
            <w:noWrap/>
            <w:vAlign w:val="center"/>
            <w:hideMark/>
          </w:tcPr>
          <w:p w14:paraId="4231351A" w14:textId="06DD97DB"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1 895 943</w:t>
            </w:r>
          </w:p>
        </w:tc>
        <w:tc>
          <w:tcPr>
            <w:tcW w:w="601" w:type="pct"/>
            <w:tcBorders>
              <w:top w:val="nil"/>
              <w:left w:val="nil"/>
              <w:bottom w:val="nil"/>
              <w:right w:val="nil"/>
            </w:tcBorders>
            <w:noWrap/>
            <w:vAlign w:val="center"/>
            <w:hideMark/>
          </w:tcPr>
          <w:p w14:paraId="74CEFE1C" w14:textId="618CCDC9"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2 515 061</w:t>
            </w:r>
          </w:p>
        </w:tc>
        <w:tc>
          <w:tcPr>
            <w:tcW w:w="601" w:type="pct"/>
            <w:tcBorders>
              <w:top w:val="nil"/>
              <w:left w:val="nil"/>
              <w:bottom w:val="nil"/>
              <w:right w:val="nil"/>
            </w:tcBorders>
            <w:noWrap/>
            <w:vAlign w:val="center"/>
            <w:hideMark/>
          </w:tcPr>
          <w:p w14:paraId="43F765F1" w14:textId="77777777" w:rsidR="00935F92" w:rsidRPr="00935F92" w:rsidRDefault="00935F92" w:rsidP="00935F92">
            <w:pPr>
              <w:spacing w:after="0" w:line="240" w:lineRule="auto"/>
              <w:jc w:val="right"/>
              <w:rPr>
                <w:color w:val="000000"/>
                <w:sz w:val="18"/>
                <w:szCs w:val="18"/>
                <w:lang w:eastAsia="sk-SK"/>
              </w:rPr>
            </w:pPr>
            <w:r w:rsidRPr="00935F92">
              <w:rPr>
                <w:color w:val="000000"/>
                <w:sz w:val="18"/>
                <w:szCs w:val="18"/>
                <w:lang w:eastAsia="sk-SK"/>
              </w:rPr>
              <w:t>2 215 421</w:t>
            </w:r>
          </w:p>
        </w:tc>
        <w:tc>
          <w:tcPr>
            <w:tcW w:w="602" w:type="pct"/>
            <w:tcBorders>
              <w:top w:val="nil"/>
              <w:left w:val="nil"/>
              <w:bottom w:val="nil"/>
              <w:right w:val="nil"/>
            </w:tcBorders>
            <w:noWrap/>
            <w:vAlign w:val="center"/>
            <w:hideMark/>
          </w:tcPr>
          <w:p w14:paraId="050EAC71" w14:textId="621246F3"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2 117 348</w:t>
            </w:r>
          </w:p>
        </w:tc>
        <w:tc>
          <w:tcPr>
            <w:tcW w:w="537" w:type="pct"/>
            <w:tcBorders>
              <w:top w:val="nil"/>
              <w:left w:val="nil"/>
              <w:bottom w:val="nil"/>
              <w:right w:val="nil"/>
            </w:tcBorders>
            <w:noWrap/>
            <w:vAlign w:val="center"/>
            <w:hideMark/>
          </w:tcPr>
          <w:p w14:paraId="1EFA0F05" w14:textId="059CE8FC"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-397 713</w:t>
            </w:r>
          </w:p>
        </w:tc>
      </w:tr>
      <w:tr w:rsidR="0036369D" w:rsidRPr="00710788" w14:paraId="0F27DEB3" w14:textId="77777777" w:rsidTr="0036369D">
        <w:trPr>
          <w:trHeight w:val="269"/>
        </w:trPr>
        <w:tc>
          <w:tcPr>
            <w:tcW w:w="1442" w:type="pct"/>
            <w:tcBorders>
              <w:top w:val="nil"/>
              <w:left w:val="nil"/>
              <w:bottom w:val="single" w:sz="4" w:space="0" w:color="auto"/>
              <w:right w:val="nil"/>
            </w:tcBorders>
            <w:noWrap/>
            <w:vAlign w:val="center"/>
            <w:hideMark/>
          </w:tcPr>
          <w:p w14:paraId="0F899082" w14:textId="77777777" w:rsidR="00935F92" w:rsidRPr="00935F92" w:rsidRDefault="00935F92" w:rsidP="00935F92">
            <w:pPr>
              <w:spacing w:after="0" w:line="240" w:lineRule="auto"/>
              <w:rPr>
                <w:color w:val="000000"/>
                <w:sz w:val="18"/>
                <w:szCs w:val="18"/>
                <w:lang w:eastAsia="sk-SK"/>
              </w:rPr>
            </w:pPr>
            <w:r w:rsidRPr="00935F92">
              <w:rPr>
                <w:color w:val="000000"/>
                <w:sz w:val="18"/>
                <w:szCs w:val="18"/>
                <w:lang w:eastAsia="sk-SK"/>
              </w:rPr>
              <w:t>Kapitálové transfery</w:t>
            </w:r>
          </w:p>
        </w:tc>
        <w:tc>
          <w:tcPr>
            <w:tcW w:w="615" w:type="pct"/>
            <w:tcBorders>
              <w:top w:val="nil"/>
              <w:left w:val="nil"/>
              <w:bottom w:val="single" w:sz="4" w:space="0" w:color="auto"/>
              <w:right w:val="nil"/>
            </w:tcBorders>
            <w:noWrap/>
            <w:vAlign w:val="center"/>
            <w:hideMark/>
          </w:tcPr>
          <w:p w14:paraId="2B79726A" w14:textId="77777777" w:rsidR="00935F92" w:rsidRPr="00935F92" w:rsidRDefault="00935F92" w:rsidP="00935F92">
            <w:pPr>
              <w:spacing w:after="0" w:line="240" w:lineRule="auto"/>
              <w:jc w:val="center"/>
              <w:rPr>
                <w:color w:val="000000"/>
                <w:sz w:val="18"/>
                <w:szCs w:val="18"/>
                <w:lang w:eastAsia="sk-SK"/>
              </w:rPr>
            </w:pPr>
            <w:r w:rsidRPr="00935F92">
              <w:rPr>
                <w:color w:val="000000"/>
                <w:sz w:val="18"/>
                <w:szCs w:val="18"/>
                <w:lang w:eastAsia="sk-SK"/>
              </w:rPr>
              <w:t>D.9R</w:t>
            </w:r>
          </w:p>
        </w:tc>
        <w:tc>
          <w:tcPr>
            <w:tcW w:w="602" w:type="pct"/>
            <w:tcBorders>
              <w:top w:val="nil"/>
              <w:left w:val="nil"/>
              <w:bottom w:val="single" w:sz="4" w:space="0" w:color="auto"/>
              <w:right w:val="nil"/>
            </w:tcBorders>
            <w:noWrap/>
            <w:vAlign w:val="center"/>
            <w:hideMark/>
          </w:tcPr>
          <w:p w14:paraId="6D272645" w14:textId="5A853F50"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1 107 298</w:t>
            </w:r>
          </w:p>
        </w:tc>
        <w:tc>
          <w:tcPr>
            <w:tcW w:w="601" w:type="pct"/>
            <w:tcBorders>
              <w:top w:val="nil"/>
              <w:left w:val="nil"/>
              <w:bottom w:val="single" w:sz="4" w:space="0" w:color="auto"/>
              <w:right w:val="nil"/>
            </w:tcBorders>
            <w:noWrap/>
            <w:vAlign w:val="center"/>
            <w:hideMark/>
          </w:tcPr>
          <w:p w14:paraId="11F41623" w14:textId="19E07924"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2 405 684</w:t>
            </w:r>
          </w:p>
        </w:tc>
        <w:tc>
          <w:tcPr>
            <w:tcW w:w="601" w:type="pct"/>
            <w:tcBorders>
              <w:top w:val="nil"/>
              <w:left w:val="nil"/>
              <w:bottom w:val="single" w:sz="4" w:space="0" w:color="auto"/>
              <w:right w:val="nil"/>
            </w:tcBorders>
            <w:noWrap/>
            <w:vAlign w:val="center"/>
            <w:hideMark/>
          </w:tcPr>
          <w:p w14:paraId="5C01F3F0" w14:textId="77777777" w:rsidR="00935F92" w:rsidRPr="00935F92" w:rsidRDefault="00935F92" w:rsidP="00935F92">
            <w:pPr>
              <w:spacing w:after="0" w:line="240" w:lineRule="auto"/>
              <w:jc w:val="right"/>
              <w:rPr>
                <w:color w:val="000000"/>
                <w:sz w:val="18"/>
                <w:szCs w:val="18"/>
                <w:lang w:eastAsia="sk-SK"/>
              </w:rPr>
            </w:pPr>
            <w:r w:rsidRPr="00935F92">
              <w:rPr>
                <w:color w:val="000000"/>
                <w:sz w:val="18"/>
                <w:szCs w:val="18"/>
                <w:lang w:eastAsia="sk-SK"/>
              </w:rPr>
              <w:t>289 211</w:t>
            </w:r>
          </w:p>
        </w:tc>
        <w:tc>
          <w:tcPr>
            <w:tcW w:w="602" w:type="pct"/>
            <w:tcBorders>
              <w:top w:val="nil"/>
              <w:left w:val="nil"/>
              <w:bottom w:val="single" w:sz="4" w:space="0" w:color="auto"/>
              <w:right w:val="nil"/>
            </w:tcBorders>
            <w:noWrap/>
            <w:vAlign w:val="center"/>
            <w:hideMark/>
          </w:tcPr>
          <w:p w14:paraId="51F81301" w14:textId="53BA8181"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900 094</w:t>
            </w:r>
          </w:p>
        </w:tc>
        <w:tc>
          <w:tcPr>
            <w:tcW w:w="537" w:type="pct"/>
            <w:tcBorders>
              <w:top w:val="nil"/>
              <w:left w:val="nil"/>
              <w:bottom w:val="single" w:sz="4" w:space="0" w:color="auto"/>
              <w:right w:val="nil"/>
            </w:tcBorders>
            <w:noWrap/>
            <w:vAlign w:val="center"/>
            <w:hideMark/>
          </w:tcPr>
          <w:p w14:paraId="34FDFEE1" w14:textId="69FCCE33" w:rsidR="00935F92" w:rsidRPr="00710788" w:rsidRDefault="00935F92" w:rsidP="00935F92">
            <w:pPr>
              <w:spacing w:after="0" w:line="240" w:lineRule="auto"/>
              <w:jc w:val="right"/>
              <w:rPr>
                <w:color w:val="000000"/>
                <w:sz w:val="18"/>
                <w:szCs w:val="18"/>
                <w:highlight w:val="yellow"/>
                <w:lang w:eastAsia="sk-SK"/>
              </w:rPr>
            </w:pPr>
            <w:r>
              <w:rPr>
                <w:color w:val="000000"/>
                <w:sz w:val="18"/>
                <w:szCs w:val="18"/>
              </w:rPr>
              <w:t>-1 505 590</w:t>
            </w:r>
          </w:p>
        </w:tc>
      </w:tr>
      <w:tr w:rsidR="0036369D" w:rsidRPr="00710788" w14:paraId="7CEB7F4B" w14:textId="77777777" w:rsidTr="0036369D">
        <w:trPr>
          <w:trHeight w:val="269"/>
        </w:trPr>
        <w:tc>
          <w:tcPr>
            <w:tcW w:w="1442" w:type="pct"/>
            <w:tcBorders>
              <w:top w:val="single" w:sz="4" w:space="0" w:color="auto"/>
              <w:left w:val="nil"/>
              <w:bottom w:val="nil"/>
              <w:right w:val="nil"/>
            </w:tcBorders>
            <w:vAlign w:val="center"/>
            <w:hideMark/>
          </w:tcPr>
          <w:p w14:paraId="07972E28"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Výdavky spolu</w:t>
            </w:r>
          </w:p>
        </w:tc>
        <w:tc>
          <w:tcPr>
            <w:tcW w:w="615" w:type="pct"/>
            <w:tcBorders>
              <w:top w:val="single" w:sz="4" w:space="0" w:color="auto"/>
              <w:left w:val="nil"/>
              <w:bottom w:val="nil"/>
              <w:right w:val="nil"/>
            </w:tcBorders>
            <w:vAlign w:val="center"/>
            <w:hideMark/>
          </w:tcPr>
          <w:p w14:paraId="4DD25FB0" w14:textId="77777777" w:rsidR="0036369D" w:rsidRPr="00935F92" w:rsidRDefault="0036369D" w:rsidP="0036369D">
            <w:pPr>
              <w:spacing w:after="0" w:line="240" w:lineRule="auto"/>
              <w:jc w:val="center"/>
              <w:rPr>
                <w:b/>
                <w:bCs/>
                <w:sz w:val="18"/>
                <w:szCs w:val="18"/>
                <w:lang w:eastAsia="sk-SK"/>
              </w:rPr>
            </w:pPr>
            <w:r w:rsidRPr="00935F92">
              <w:rPr>
                <w:b/>
                <w:bCs/>
                <w:sz w:val="18"/>
                <w:szCs w:val="18"/>
                <w:lang w:eastAsia="sk-SK"/>
              </w:rPr>
              <w:t>TE</w:t>
            </w:r>
          </w:p>
        </w:tc>
        <w:tc>
          <w:tcPr>
            <w:tcW w:w="602" w:type="pct"/>
            <w:tcBorders>
              <w:top w:val="single" w:sz="4" w:space="0" w:color="auto"/>
              <w:left w:val="nil"/>
              <w:bottom w:val="nil"/>
              <w:right w:val="nil"/>
            </w:tcBorders>
            <w:noWrap/>
            <w:vAlign w:val="center"/>
            <w:hideMark/>
          </w:tcPr>
          <w:p w14:paraId="1AADD4C2" w14:textId="15E16E7D"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47 372 661</w:t>
            </w:r>
          </w:p>
        </w:tc>
        <w:tc>
          <w:tcPr>
            <w:tcW w:w="601" w:type="pct"/>
            <w:tcBorders>
              <w:top w:val="single" w:sz="4" w:space="0" w:color="auto"/>
              <w:left w:val="nil"/>
              <w:bottom w:val="nil"/>
              <w:right w:val="nil"/>
            </w:tcBorders>
            <w:noWrap/>
            <w:vAlign w:val="center"/>
            <w:hideMark/>
          </w:tcPr>
          <w:p w14:paraId="19C7C695" w14:textId="5095CDF1"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59 595 751</w:t>
            </w:r>
          </w:p>
        </w:tc>
        <w:tc>
          <w:tcPr>
            <w:tcW w:w="601" w:type="pct"/>
            <w:tcBorders>
              <w:top w:val="single" w:sz="4" w:space="0" w:color="auto"/>
              <w:left w:val="nil"/>
              <w:bottom w:val="nil"/>
              <w:right w:val="nil"/>
            </w:tcBorders>
            <w:noWrap/>
            <w:vAlign w:val="center"/>
            <w:hideMark/>
          </w:tcPr>
          <w:p w14:paraId="201A0D22" w14:textId="77777777" w:rsidR="0036369D" w:rsidRPr="00935F92" w:rsidRDefault="0036369D" w:rsidP="0036369D">
            <w:pPr>
              <w:spacing w:after="0" w:line="240" w:lineRule="auto"/>
              <w:jc w:val="right"/>
              <w:rPr>
                <w:b/>
                <w:bCs/>
                <w:color w:val="000000"/>
                <w:sz w:val="18"/>
                <w:szCs w:val="18"/>
                <w:lang w:eastAsia="sk-SK"/>
              </w:rPr>
            </w:pPr>
            <w:r w:rsidRPr="00935F92">
              <w:rPr>
                <w:b/>
                <w:bCs/>
                <w:color w:val="000000"/>
                <w:sz w:val="18"/>
                <w:szCs w:val="18"/>
                <w:lang w:eastAsia="sk-SK"/>
              </w:rPr>
              <w:t>61 321 229</w:t>
            </w:r>
          </w:p>
        </w:tc>
        <w:tc>
          <w:tcPr>
            <w:tcW w:w="602" w:type="pct"/>
            <w:tcBorders>
              <w:top w:val="single" w:sz="4" w:space="0" w:color="auto"/>
              <w:left w:val="nil"/>
              <w:bottom w:val="nil"/>
              <w:right w:val="nil"/>
            </w:tcBorders>
            <w:noWrap/>
            <w:vAlign w:val="center"/>
            <w:hideMark/>
          </w:tcPr>
          <w:p w14:paraId="2276A460" w14:textId="6E9FBAC5"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61 806 358</w:t>
            </w:r>
          </w:p>
        </w:tc>
        <w:tc>
          <w:tcPr>
            <w:tcW w:w="537" w:type="pct"/>
            <w:tcBorders>
              <w:top w:val="single" w:sz="4" w:space="0" w:color="auto"/>
              <w:left w:val="nil"/>
              <w:bottom w:val="nil"/>
              <w:right w:val="nil"/>
            </w:tcBorders>
            <w:noWrap/>
            <w:vAlign w:val="center"/>
            <w:hideMark/>
          </w:tcPr>
          <w:p w14:paraId="3C8CB43E" w14:textId="532D5F51"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2 210 607</w:t>
            </w:r>
          </w:p>
        </w:tc>
      </w:tr>
      <w:tr w:rsidR="0036369D" w:rsidRPr="00710788" w14:paraId="24216FF1" w14:textId="77777777" w:rsidTr="0036369D">
        <w:trPr>
          <w:trHeight w:val="92"/>
        </w:trPr>
        <w:tc>
          <w:tcPr>
            <w:tcW w:w="1442" w:type="pct"/>
            <w:tcBorders>
              <w:top w:val="nil"/>
              <w:left w:val="nil"/>
              <w:bottom w:val="single" w:sz="4" w:space="0" w:color="auto"/>
              <w:right w:val="nil"/>
            </w:tcBorders>
            <w:noWrap/>
            <w:vAlign w:val="center"/>
            <w:hideMark/>
          </w:tcPr>
          <w:p w14:paraId="717F591A"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 HDP</w:t>
            </w:r>
          </w:p>
        </w:tc>
        <w:tc>
          <w:tcPr>
            <w:tcW w:w="615" w:type="pct"/>
            <w:tcBorders>
              <w:top w:val="nil"/>
              <w:left w:val="nil"/>
              <w:bottom w:val="single" w:sz="4" w:space="0" w:color="auto"/>
              <w:right w:val="nil"/>
            </w:tcBorders>
            <w:noWrap/>
            <w:vAlign w:val="center"/>
            <w:hideMark/>
          </w:tcPr>
          <w:p w14:paraId="3D8A3A33"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 </w:t>
            </w:r>
          </w:p>
        </w:tc>
        <w:tc>
          <w:tcPr>
            <w:tcW w:w="602" w:type="pct"/>
            <w:tcBorders>
              <w:top w:val="nil"/>
              <w:left w:val="nil"/>
              <w:bottom w:val="single" w:sz="4" w:space="0" w:color="auto"/>
              <w:right w:val="nil"/>
            </w:tcBorders>
            <w:noWrap/>
            <w:vAlign w:val="center"/>
            <w:hideMark/>
          </w:tcPr>
          <w:p w14:paraId="7AE784D3" w14:textId="14CDD83D"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43,1</w:t>
            </w:r>
          </w:p>
        </w:tc>
        <w:tc>
          <w:tcPr>
            <w:tcW w:w="601" w:type="pct"/>
            <w:tcBorders>
              <w:top w:val="nil"/>
              <w:left w:val="nil"/>
              <w:bottom w:val="single" w:sz="4" w:space="0" w:color="auto"/>
              <w:right w:val="nil"/>
            </w:tcBorders>
            <w:noWrap/>
            <w:vAlign w:val="center"/>
            <w:hideMark/>
          </w:tcPr>
          <w:p w14:paraId="1EDF8BBD" w14:textId="29A708C3"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48,2</w:t>
            </w:r>
          </w:p>
        </w:tc>
        <w:tc>
          <w:tcPr>
            <w:tcW w:w="601" w:type="pct"/>
            <w:tcBorders>
              <w:top w:val="nil"/>
              <w:left w:val="nil"/>
              <w:bottom w:val="single" w:sz="4" w:space="0" w:color="auto"/>
              <w:right w:val="nil"/>
            </w:tcBorders>
            <w:noWrap/>
            <w:vAlign w:val="center"/>
            <w:hideMark/>
          </w:tcPr>
          <w:p w14:paraId="01009985" w14:textId="77777777" w:rsidR="0036369D" w:rsidRPr="00935F92" w:rsidRDefault="0036369D" w:rsidP="0036369D">
            <w:pPr>
              <w:spacing w:after="0" w:line="240" w:lineRule="auto"/>
              <w:jc w:val="right"/>
              <w:rPr>
                <w:b/>
                <w:bCs/>
                <w:color w:val="000000"/>
                <w:sz w:val="18"/>
                <w:szCs w:val="18"/>
                <w:lang w:eastAsia="sk-SK"/>
              </w:rPr>
            </w:pPr>
            <w:r w:rsidRPr="00935F92">
              <w:rPr>
                <w:b/>
                <w:bCs/>
                <w:color w:val="000000"/>
                <w:sz w:val="18"/>
                <w:szCs w:val="18"/>
                <w:lang w:eastAsia="sk-SK"/>
              </w:rPr>
              <w:t>46,7</w:t>
            </w:r>
          </w:p>
        </w:tc>
        <w:tc>
          <w:tcPr>
            <w:tcW w:w="602" w:type="pct"/>
            <w:tcBorders>
              <w:top w:val="nil"/>
              <w:left w:val="nil"/>
              <w:bottom w:val="single" w:sz="4" w:space="0" w:color="auto"/>
              <w:right w:val="nil"/>
            </w:tcBorders>
            <w:noWrap/>
            <w:vAlign w:val="center"/>
            <w:hideMark/>
          </w:tcPr>
          <w:p w14:paraId="0F0E3E37" w14:textId="5AA9093D"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47,5</w:t>
            </w:r>
          </w:p>
        </w:tc>
        <w:tc>
          <w:tcPr>
            <w:tcW w:w="537" w:type="pct"/>
            <w:tcBorders>
              <w:top w:val="nil"/>
              <w:left w:val="nil"/>
              <w:bottom w:val="single" w:sz="4" w:space="0" w:color="auto"/>
              <w:right w:val="nil"/>
            </w:tcBorders>
            <w:noWrap/>
            <w:vAlign w:val="center"/>
            <w:hideMark/>
          </w:tcPr>
          <w:p w14:paraId="30756E9E" w14:textId="6948CF95"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-0,8</w:t>
            </w:r>
          </w:p>
        </w:tc>
      </w:tr>
      <w:tr w:rsidR="0036369D" w:rsidRPr="00710788" w14:paraId="0C78565B" w14:textId="77777777" w:rsidTr="0036369D">
        <w:trPr>
          <w:trHeight w:val="269"/>
        </w:trPr>
        <w:tc>
          <w:tcPr>
            <w:tcW w:w="1442" w:type="pct"/>
            <w:tcBorders>
              <w:top w:val="nil"/>
              <w:left w:val="nil"/>
              <w:bottom w:val="nil"/>
              <w:right w:val="nil"/>
            </w:tcBorders>
            <w:noWrap/>
            <w:vAlign w:val="center"/>
            <w:hideMark/>
          </w:tcPr>
          <w:p w14:paraId="31D025CA" w14:textId="77777777" w:rsidR="0036369D" w:rsidRPr="00935F92" w:rsidRDefault="0036369D" w:rsidP="0036369D">
            <w:pPr>
              <w:spacing w:after="0" w:line="240" w:lineRule="auto"/>
              <w:rPr>
                <w:b/>
                <w:bCs/>
                <w:color w:val="000000"/>
                <w:sz w:val="18"/>
                <w:szCs w:val="18"/>
                <w:lang w:eastAsia="sk-SK"/>
              </w:rPr>
            </w:pPr>
            <w:r w:rsidRPr="00935F92">
              <w:rPr>
                <w:b/>
                <w:bCs/>
                <w:color w:val="000000"/>
                <w:sz w:val="18"/>
                <w:szCs w:val="18"/>
                <w:lang w:eastAsia="sk-SK"/>
              </w:rPr>
              <w:t>Bežné výdavky</w:t>
            </w:r>
          </w:p>
        </w:tc>
        <w:tc>
          <w:tcPr>
            <w:tcW w:w="615" w:type="pct"/>
            <w:tcBorders>
              <w:top w:val="nil"/>
              <w:left w:val="nil"/>
              <w:bottom w:val="nil"/>
              <w:right w:val="nil"/>
            </w:tcBorders>
            <w:noWrap/>
            <w:vAlign w:val="center"/>
            <w:hideMark/>
          </w:tcPr>
          <w:p w14:paraId="19467F2E" w14:textId="77777777" w:rsidR="0036369D" w:rsidRPr="00935F92" w:rsidRDefault="0036369D" w:rsidP="0036369D">
            <w:pPr>
              <w:spacing w:after="0" w:line="240" w:lineRule="auto"/>
              <w:rPr>
                <w:b/>
                <w:bCs/>
                <w:color w:val="000000"/>
                <w:sz w:val="18"/>
                <w:szCs w:val="18"/>
                <w:lang w:eastAsia="sk-SK"/>
              </w:rPr>
            </w:pPr>
          </w:p>
        </w:tc>
        <w:tc>
          <w:tcPr>
            <w:tcW w:w="602" w:type="pct"/>
            <w:tcBorders>
              <w:top w:val="nil"/>
              <w:left w:val="nil"/>
              <w:bottom w:val="nil"/>
              <w:right w:val="nil"/>
            </w:tcBorders>
            <w:noWrap/>
            <w:vAlign w:val="center"/>
            <w:hideMark/>
          </w:tcPr>
          <w:p w14:paraId="4089B9CD" w14:textId="342BC244" w:rsidR="0036369D" w:rsidRPr="00710788" w:rsidRDefault="0036369D" w:rsidP="0036369D">
            <w:pPr>
              <w:spacing w:after="0" w:line="240" w:lineRule="auto"/>
              <w:jc w:val="right"/>
              <w:rPr>
                <w:b/>
                <w:bCs/>
                <w:sz w:val="18"/>
                <w:szCs w:val="18"/>
                <w:highlight w:val="yellow"/>
                <w:lang w:eastAsia="sk-SK"/>
              </w:rPr>
            </w:pPr>
            <w:r>
              <w:rPr>
                <w:b/>
                <w:bCs/>
                <w:sz w:val="18"/>
                <w:szCs w:val="18"/>
              </w:rPr>
              <w:t>43 290 605</w:t>
            </w:r>
          </w:p>
        </w:tc>
        <w:tc>
          <w:tcPr>
            <w:tcW w:w="601" w:type="pct"/>
            <w:tcBorders>
              <w:top w:val="nil"/>
              <w:left w:val="nil"/>
              <w:bottom w:val="nil"/>
              <w:right w:val="nil"/>
            </w:tcBorders>
            <w:noWrap/>
            <w:vAlign w:val="center"/>
            <w:hideMark/>
          </w:tcPr>
          <w:p w14:paraId="7EA9C480" w14:textId="5D5B7F27" w:rsidR="0036369D" w:rsidRPr="00710788" w:rsidRDefault="0036369D" w:rsidP="0036369D">
            <w:pPr>
              <w:spacing w:after="0" w:line="240" w:lineRule="auto"/>
              <w:jc w:val="right"/>
              <w:rPr>
                <w:b/>
                <w:bCs/>
                <w:sz w:val="18"/>
                <w:szCs w:val="18"/>
                <w:highlight w:val="yellow"/>
                <w:lang w:eastAsia="sk-SK"/>
              </w:rPr>
            </w:pPr>
            <w:r>
              <w:rPr>
                <w:b/>
                <w:bCs/>
                <w:sz w:val="18"/>
                <w:szCs w:val="18"/>
              </w:rPr>
              <w:t>53 040 115</w:t>
            </w:r>
          </w:p>
        </w:tc>
        <w:tc>
          <w:tcPr>
            <w:tcW w:w="601" w:type="pct"/>
            <w:tcBorders>
              <w:top w:val="nil"/>
              <w:left w:val="nil"/>
              <w:bottom w:val="nil"/>
              <w:right w:val="nil"/>
            </w:tcBorders>
            <w:noWrap/>
            <w:vAlign w:val="center"/>
            <w:hideMark/>
          </w:tcPr>
          <w:p w14:paraId="51E44E8C" w14:textId="77777777" w:rsidR="0036369D" w:rsidRPr="00935F92" w:rsidRDefault="0036369D" w:rsidP="0036369D">
            <w:pPr>
              <w:spacing w:after="0" w:line="240" w:lineRule="auto"/>
              <w:jc w:val="right"/>
              <w:rPr>
                <w:b/>
                <w:bCs/>
                <w:sz w:val="18"/>
                <w:szCs w:val="18"/>
                <w:lang w:eastAsia="sk-SK"/>
              </w:rPr>
            </w:pPr>
            <w:r w:rsidRPr="00935F92">
              <w:rPr>
                <w:b/>
                <w:bCs/>
                <w:sz w:val="18"/>
                <w:szCs w:val="18"/>
                <w:lang w:eastAsia="sk-SK"/>
              </w:rPr>
              <w:t>55 915 001</w:t>
            </w:r>
          </w:p>
        </w:tc>
        <w:tc>
          <w:tcPr>
            <w:tcW w:w="602" w:type="pct"/>
            <w:tcBorders>
              <w:top w:val="nil"/>
              <w:left w:val="nil"/>
              <w:bottom w:val="nil"/>
              <w:right w:val="nil"/>
            </w:tcBorders>
            <w:noWrap/>
            <w:vAlign w:val="center"/>
            <w:hideMark/>
          </w:tcPr>
          <w:p w14:paraId="3EA62800" w14:textId="0C7F51F1" w:rsidR="0036369D" w:rsidRPr="00710788" w:rsidRDefault="0036369D" w:rsidP="0036369D">
            <w:pPr>
              <w:spacing w:after="0" w:line="240" w:lineRule="auto"/>
              <w:jc w:val="right"/>
              <w:rPr>
                <w:b/>
                <w:bCs/>
                <w:sz w:val="18"/>
                <w:szCs w:val="18"/>
                <w:highlight w:val="yellow"/>
                <w:lang w:eastAsia="sk-SK"/>
              </w:rPr>
            </w:pPr>
            <w:r>
              <w:rPr>
                <w:b/>
                <w:bCs/>
                <w:sz w:val="18"/>
                <w:szCs w:val="18"/>
              </w:rPr>
              <w:t>56 531 387</w:t>
            </w:r>
          </w:p>
        </w:tc>
        <w:tc>
          <w:tcPr>
            <w:tcW w:w="537" w:type="pct"/>
            <w:tcBorders>
              <w:top w:val="nil"/>
              <w:left w:val="nil"/>
              <w:bottom w:val="nil"/>
              <w:right w:val="nil"/>
            </w:tcBorders>
            <w:noWrap/>
            <w:vAlign w:val="center"/>
            <w:hideMark/>
          </w:tcPr>
          <w:p w14:paraId="07596B5C" w14:textId="7790AFDA" w:rsidR="0036369D" w:rsidRPr="00710788" w:rsidRDefault="0036369D" w:rsidP="0036369D">
            <w:pPr>
              <w:spacing w:after="0" w:line="240" w:lineRule="auto"/>
              <w:jc w:val="right"/>
              <w:rPr>
                <w:b/>
                <w:bCs/>
                <w:sz w:val="18"/>
                <w:szCs w:val="18"/>
                <w:highlight w:val="yellow"/>
                <w:lang w:eastAsia="sk-SK"/>
              </w:rPr>
            </w:pPr>
            <w:r>
              <w:rPr>
                <w:b/>
                <w:bCs/>
                <w:sz w:val="18"/>
                <w:szCs w:val="18"/>
              </w:rPr>
              <w:t>3 491 272</w:t>
            </w:r>
          </w:p>
        </w:tc>
      </w:tr>
      <w:tr w:rsidR="0036369D" w:rsidRPr="00710788" w14:paraId="5DC875F0" w14:textId="77777777" w:rsidTr="0036369D">
        <w:trPr>
          <w:trHeight w:val="269"/>
        </w:trPr>
        <w:tc>
          <w:tcPr>
            <w:tcW w:w="1442" w:type="pct"/>
            <w:tcBorders>
              <w:top w:val="nil"/>
              <w:left w:val="nil"/>
              <w:bottom w:val="nil"/>
              <w:right w:val="nil"/>
            </w:tcBorders>
            <w:noWrap/>
            <w:vAlign w:val="center"/>
            <w:hideMark/>
          </w:tcPr>
          <w:p w14:paraId="7F95A1CB"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Kompenzácie zamestnancov</w:t>
            </w:r>
          </w:p>
        </w:tc>
        <w:tc>
          <w:tcPr>
            <w:tcW w:w="615" w:type="pct"/>
            <w:tcBorders>
              <w:top w:val="nil"/>
              <w:left w:val="nil"/>
              <w:bottom w:val="nil"/>
              <w:right w:val="nil"/>
            </w:tcBorders>
            <w:noWrap/>
            <w:vAlign w:val="center"/>
            <w:hideMark/>
          </w:tcPr>
          <w:p w14:paraId="2A6CE68D"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D.1P</w:t>
            </w:r>
          </w:p>
        </w:tc>
        <w:tc>
          <w:tcPr>
            <w:tcW w:w="602" w:type="pct"/>
            <w:tcBorders>
              <w:top w:val="nil"/>
              <w:left w:val="nil"/>
              <w:bottom w:val="nil"/>
              <w:right w:val="nil"/>
            </w:tcBorders>
            <w:noWrap/>
            <w:vAlign w:val="center"/>
            <w:hideMark/>
          </w:tcPr>
          <w:p w14:paraId="2ED5882A" w14:textId="55F3D053" w:rsidR="0036369D" w:rsidRPr="00710788" w:rsidRDefault="0036369D" w:rsidP="0036369D">
            <w:pPr>
              <w:spacing w:after="0" w:line="240" w:lineRule="auto"/>
              <w:jc w:val="right"/>
              <w:rPr>
                <w:sz w:val="18"/>
                <w:szCs w:val="18"/>
                <w:highlight w:val="yellow"/>
                <w:lang w:eastAsia="sk-SK"/>
              </w:rPr>
            </w:pPr>
            <w:r>
              <w:rPr>
                <w:sz w:val="18"/>
                <w:szCs w:val="18"/>
              </w:rPr>
              <w:t>11 895 741</w:t>
            </w:r>
          </w:p>
        </w:tc>
        <w:tc>
          <w:tcPr>
            <w:tcW w:w="601" w:type="pct"/>
            <w:tcBorders>
              <w:top w:val="nil"/>
              <w:left w:val="nil"/>
              <w:bottom w:val="nil"/>
              <w:right w:val="nil"/>
            </w:tcBorders>
            <w:noWrap/>
            <w:vAlign w:val="center"/>
            <w:hideMark/>
          </w:tcPr>
          <w:p w14:paraId="50D57E09" w14:textId="608FFE72" w:rsidR="0036369D" w:rsidRPr="00710788" w:rsidRDefault="0036369D" w:rsidP="0036369D">
            <w:pPr>
              <w:spacing w:after="0" w:line="240" w:lineRule="auto"/>
              <w:jc w:val="right"/>
              <w:rPr>
                <w:sz w:val="18"/>
                <w:szCs w:val="18"/>
                <w:highlight w:val="yellow"/>
                <w:lang w:eastAsia="sk-SK"/>
              </w:rPr>
            </w:pPr>
            <w:r>
              <w:rPr>
                <w:sz w:val="18"/>
                <w:szCs w:val="18"/>
              </w:rPr>
              <w:t>13 550 980</w:t>
            </w:r>
          </w:p>
        </w:tc>
        <w:tc>
          <w:tcPr>
            <w:tcW w:w="601" w:type="pct"/>
            <w:tcBorders>
              <w:top w:val="nil"/>
              <w:left w:val="nil"/>
              <w:bottom w:val="nil"/>
              <w:right w:val="nil"/>
            </w:tcBorders>
            <w:noWrap/>
            <w:vAlign w:val="center"/>
            <w:hideMark/>
          </w:tcPr>
          <w:p w14:paraId="295103C0"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14 013 313</w:t>
            </w:r>
          </w:p>
        </w:tc>
        <w:tc>
          <w:tcPr>
            <w:tcW w:w="602" w:type="pct"/>
            <w:tcBorders>
              <w:top w:val="nil"/>
              <w:left w:val="nil"/>
              <w:bottom w:val="nil"/>
              <w:right w:val="nil"/>
            </w:tcBorders>
            <w:noWrap/>
            <w:vAlign w:val="center"/>
            <w:hideMark/>
          </w:tcPr>
          <w:p w14:paraId="2409A67B" w14:textId="02E7B791" w:rsidR="0036369D" w:rsidRPr="00710788" w:rsidRDefault="0036369D" w:rsidP="0036369D">
            <w:pPr>
              <w:spacing w:after="0" w:line="240" w:lineRule="auto"/>
              <w:jc w:val="right"/>
              <w:rPr>
                <w:sz w:val="18"/>
                <w:szCs w:val="18"/>
                <w:highlight w:val="yellow"/>
                <w:lang w:eastAsia="sk-SK"/>
              </w:rPr>
            </w:pPr>
            <w:r>
              <w:rPr>
                <w:sz w:val="18"/>
                <w:szCs w:val="18"/>
              </w:rPr>
              <w:t>14 847 296</w:t>
            </w:r>
          </w:p>
        </w:tc>
        <w:tc>
          <w:tcPr>
            <w:tcW w:w="537" w:type="pct"/>
            <w:tcBorders>
              <w:top w:val="nil"/>
              <w:left w:val="nil"/>
              <w:bottom w:val="nil"/>
              <w:right w:val="nil"/>
            </w:tcBorders>
            <w:noWrap/>
            <w:vAlign w:val="center"/>
            <w:hideMark/>
          </w:tcPr>
          <w:p w14:paraId="21448C56" w14:textId="766269CC" w:rsidR="0036369D" w:rsidRPr="00710788" w:rsidRDefault="0036369D" w:rsidP="0036369D">
            <w:pPr>
              <w:spacing w:after="0" w:line="240" w:lineRule="auto"/>
              <w:jc w:val="right"/>
              <w:rPr>
                <w:sz w:val="18"/>
                <w:szCs w:val="18"/>
                <w:highlight w:val="yellow"/>
                <w:lang w:eastAsia="sk-SK"/>
              </w:rPr>
            </w:pPr>
            <w:r>
              <w:rPr>
                <w:sz w:val="18"/>
                <w:szCs w:val="18"/>
              </w:rPr>
              <w:t>1 296 316</w:t>
            </w:r>
          </w:p>
        </w:tc>
      </w:tr>
      <w:tr w:rsidR="0036369D" w:rsidRPr="00710788" w14:paraId="00482E76" w14:textId="77777777" w:rsidTr="0036369D">
        <w:trPr>
          <w:trHeight w:val="269"/>
        </w:trPr>
        <w:tc>
          <w:tcPr>
            <w:tcW w:w="1442" w:type="pct"/>
            <w:tcBorders>
              <w:top w:val="nil"/>
              <w:left w:val="nil"/>
              <w:bottom w:val="nil"/>
              <w:right w:val="nil"/>
            </w:tcBorders>
            <w:noWrap/>
            <w:vAlign w:val="center"/>
            <w:hideMark/>
          </w:tcPr>
          <w:p w14:paraId="6E6168F4"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Medzispotreba</w:t>
            </w:r>
          </w:p>
        </w:tc>
        <w:tc>
          <w:tcPr>
            <w:tcW w:w="615" w:type="pct"/>
            <w:tcBorders>
              <w:top w:val="nil"/>
              <w:left w:val="nil"/>
              <w:bottom w:val="nil"/>
              <w:right w:val="nil"/>
            </w:tcBorders>
            <w:noWrap/>
            <w:vAlign w:val="center"/>
            <w:hideMark/>
          </w:tcPr>
          <w:p w14:paraId="2A0440A5"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P.2</w:t>
            </w:r>
          </w:p>
        </w:tc>
        <w:tc>
          <w:tcPr>
            <w:tcW w:w="602" w:type="pct"/>
            <w:tcBorders>
              <w:top w:val="nil"/>
              <w:left w:val="nil"/>
              <w:bottom w:val="nil"/>
              <w:right w:val="nil"/>
            </w:tcBorders>
            <w:noWrap/>
            <w:vAlign w:val="center"/>
            <w:hideMark/>
          </w:tcPr>
          <w:p w14:paraId="0030B1EB" w14:textId="0946C1CE" w:rsidR="0036369D" w:rsidRPr="00710788" w:rsidRDefault="0036369D" w:rsidP="0036369D">
            <w:pPr>
              <w:spacing w:after="0" w:line="240" w:lineRule="auto"/>
              <w:jc w:val="right"/>
              <w:rPr>
                <w:sz w:val="18"/>
                <w:szCs w:val="18"/>
                <w:highlight w:val="yellow"/>
                <w:lang w:eastAsia="sk-SK"/>
              </w:rPr>
            </w:pPr>
            <w:r>
              <w:rPr>
                <w:sz w:val="18"/>
                <w:szCs w:val="18"/>
              </w:rPr>
              <w:t>6 599 950</w:t>
            </w:r>
          </w:p>
        </w:tc>
        <w:tc>
          <w:tcPr>
            <w:tcW w:w="601" w:type="pct"/>
            <w:tcBorders>
              <w:top w:val="nil"/>
              <w:left w:val="nil"/>
              <w:bottom w:val="nil"/>
              <w:right w:val="nil"/>
            </w:tcBorders>
            <w:noWrap/>
            <w:vAlign w:val="center"/>
            <w:hideMark/>
          </w:tcPr>
          <w:p w14:paraId="67262BC8" w14:textId="75642494" w:rsidR="0036369D" w:rsidRPr="00710788" w:rsidRDefault="0036369D" w:rsidP="0036369D">
            <w:pPr>
              <w:spacing w:after="0" w:line="240" w:lineRule="auto"/>
              <w:jc w:val="right"/>
              <w:rPr>
                <w:sz w:val="18"/>
                <w:szCs w:val="18"/>
                <w:highlight w:val="yellow"/>
                <w:lang w:eastAsia="sk-SK"/>
              </w:rPr>
            </w:pPr>
            <w:r>
              <w:rPr>
                <w:sz w:val="18"/>
                <w:szCs w:val="18"/>
              </w:rPr>
              <w:t>6 675 677</w:t>
            </w:r>
          </w:p>
        </w:tc>
        <w:tc>
          <w:tcPr>
            <w:tcW w:w="601" w:type="pct"/>
            <w:tcBorders>
              <w:top w:val="nil"/>
              <w:left w:val="nil"/>
              <w:bottom w:val="nil"/>
              <w:right w:val="nil"/>
            </w:tcBorders>
            <w:noWrap/>
            <w:vAlign w:val="center"/>
            <w:hideMark/>
          </w:tcPr>
          <w:p w14:paraId="3E6A8654"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8 140 103</w:t>
            </w:r>
          </w:p>
        </w:tc>
        <w:tc>
          <w:tcPr>
            <w:tcW w:w="602" w:type="pct"/>
            <w:tcBorders>
              <w:top w:val="nil"/>
              <w:left w:val="nil"/>
              <w:bottom w:val="nil"/>
              <w:right w:val="nil"/>
            </w:tcBorders>
            <w:noWrap/>
            <w:vAlign w:val="center"/>
            <w:hideMark/>
          </w:tcPr>
          <w:p w14:paraId="17B0113F" w14:textId="5FECF1A4" w:rsidR="0036369D" w:rsidRPr="00710788" w:rsidRDefault="0036369D" w:rsidP="0036369D">
            <w:pPr>
              <w:spacing w:after="0" w:line="240" w:lineRule="auto"/>
              <w:jc w:val="right"/>
              <w:rPr>
                <w:sz w:val="18"/>
                <w:szCs w:val="18"/>
                <w:highlight w:val="yellow"/>
                <w:lang w:eastAsia="sk-SK"/>
              </w:rPr>
            </w:pPr>
            <w:r>
              <w:rPr>
                <w:sz w:val="18"/>
                <w:szCs w:val="18"/>
              </w:rPr>
              <w:t>7 422 960</w:t>
            </w:r>
          </w:p>
        </w:tc>
        <w:tc>
          <w:tcPr>
            <w:tcW w:w="537" w:type="pct"/>
            <w:tcBorders>
              <w:top w:val="nil"/>
              <w:left w:val="nil"/>
              <w:bottom w:val="nil"/>
              <w:right w:val="nil"/>
            </w:tcBorders>
            <w:noWrap/>
            <w:vAlign w:val="center"/>
            <w:hideMark/>
          </w:tcPr>
          <w:p w14:paraId="5892515C" w14:textId="15523B9B" w:rsidR="0036369D" w:rsidRPr="00710788" w:rsidRDefault="0036369D" w:rsidP="0036369D">
            <w:pPr>
              <w:spacing w:after="0" w:line="240" w:lineRule="auto"/>
              <w:jc w:val="right"/>
              <w:rPr>
                <w:sz w:val="18"/>
                <w:szCs w:val="18"/>
                <w:highlight w:val="yellow"/>
                <w:lang w:eastAsia="sk-SK"/>
              </w:rPr>
            </w:pPr>
            <w:r>
              <w:rPr>
                <w:sz w:val="18"/>
                <w:szCs w:val="18"/>
              </w:rPr>
              <w:t>747 283</w:t>
            </w:r>
          </w:p>
        </w:tc>
      </w:tr>
      <w:tr w:rsidR="0036369D" w:rsidRPr="00710788" w14:paraId="5450751F" w14:textId="77777777" w:rsidTr="0036369D">
        <w:trPr>
          <w:trHeight w:val="269"/>
        </w:trPr>
        <w:tc>
          <w:tcPr>
            <w:tcW w:w="1442" w:type="pct"/>
            <w:tcBorders>
              <w:top w:val="nil"/>
              <w:left w:val="nil"/>
              <w:bottom w:val="nil"/>
              <w:right w:val="nil"/>
            </w:tcBorders>
            <w:noWrap/>
            <w:vAlign w:val="center"/>
            <w:hideMark/>
          </w:tcPr>
          <w:p w14:paraId="6C2B17E4"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Dane</w:t>
            </w:r>
          </w:p>
        </w:tc>
        <w:tc>
          <w:tcPr>
            <w:tcW w:w="615" w:type="pct"/>
            <w:tcBorders>
              <w:top w:val="nil"/>
              <w:left w:val="nil"/>
              <w:bottom w:val="nil"/>
              <w:right w:val="nil"/>
            </w:tcBorders>
            <w:noWrap/>
            <w:vAlign w:val="center"/>
            <w:hideMark/>
          </w:tcPr>
          <w:p w14:paraId="4C407A6B"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D.2P+D.5P</w:t>
            </w:r>
          </w:p>
        </w:tc>
        <w:tc>
          <w:tcPr>
            <w:tcW w:w="602" w:type="pct"/>
            <w:tcBorders>
              <w:top w:val="nil"/>
              <w:left w:val="nil"/>
              <w:bottom w:val="nil"/>
              <w:right w:val="nil"/>
            </w:tcBorders>
            <w:noWrap/>
            <w:vAlign w:val="center"/>
            <w:hideMark/>
          </w:tcPr>
          <w:p w14:paraId="60A53502" w14:textId="222143C7" w:rsidR="0036369D" w:rsidRPr="00710788" w:rsidRDefault="0036369D" w:rsidP="0036369D">
            <w:pPr>
              <w:spacing w:after="0" w:line="240" w:lineRule="auto"/>
              <w:jc w:val="right"/>
              <w:rPr>
                <w:sz w:val="18"/>
                <w:szCs w:val="18"/>
                <w:highlight w:val="yellow"/>
                <w:lang w:eastAsia="sk-SK"/>
              </w:rPr>
            </w:pPr>
            <w:r>
              <w:rPr>
                <w:sz w:val="18"/>
                <w:szCs w:val="18"/>
              </w:rPr>
              <w:t>133 320</w:t>
            </w:r>
          </w:p>
        </w:tc>
        <w:tc>
          <w:tcPr>
            <w:tcW w:w="601" w:type="pct"/>
            <w:tcBorders>
              <w:top w:val="nil"/>
              <w:left w:val="nil"/>
              <w:bottom w:val="nil"/>
              <w:right w:val="nil"/>
            </w:tcBorders>
            <w:noWrap/>
            <w:vAlign w:val="center"/>
            <w:hideMark/>
          </w:tcPr>
          <w:p w14:paraId="3CEF7B46" w14:textId="25BAAC05" w:rsidR="0036369D" w:rsidRPr="00710788" w:rsidRDefault="0036369D" w:rsidP="0036369D">
            <w:pPr>
              <w:spacing w:after="0" w:line="240" w:lineRule="auto"/>
              <w:jc w:val="right"/>
              <w:rPr>
                <w:sz w:val="18"/>
                <w:szCs w:val="18"/>
                <w:highlight w:val="yellow"/>
                <w:lang w:eastAsia="sk-SK"/>
              </w:rPr>
            </w:pPr>
            <w:r>
              <w:rPr>
                <w:sz w:val="18"/>
                <w:szCs w:val="18"/>
              </w:rPr>
              <w:t>101 644</w:t>
            </w:r>
          </w:p>
        </w:tc>
        <w:tc>
          <w:tcPr>
            <w:tcW w:w="601" w:type="pct"/>
            <w:tcBorders>
              <w:top w:val="nil"/>
              <w:left w:val="nil"/>
              <w:bottom w:val="nil"/>
              <w:right w:val="nil"/>
            </w:tcBorders>
            <w:noWrap/>
            <w:vAlign w:val="center"/>
            <w:hideMark/>
          </w:tcPr>
          <w:p w14:paraId="4A58F556"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146 406</w:t>
            </w:r>
          </w:p>
        </w:tc>
        <w:tc>
          <w:tcPr>
            <w:tcW w:w="602" w:type="pct"/>
            <w:tcBorders>
              <w:top w:val="nil"/>
              <w:left w:val="nil"/>
              <w:bottom w:val="nil"/>
              <w:right w:val="nil"/>
            </w:tcBorders>
            <w:noWrap/>
            <w:vAlign w:val="center"/>
            <w:hideMark/>
          </w:tcPr>
          <w:p w14:paraId="51C8B3F7" w14:textId="4409C241" w:rsidR="0036369D" w:rsidRPr="00710788" w:rsidRDefault="0036369D" w:rsidP="0036369D">
            <w:pPr>
              <w:spacing w:after="0" w:line="240" w:lineRule="auto"/>
              <w:jc w:val="right"/>
              <w:rPr>
                <w:sz w:val="18"/>
                <w:szCs w:val="18"/>
                <w:highlight w:val="yellow"/>
                <w:lang w:eastAsia="sk-SK"/>
              </w:rPr>
            </w:pPr>
            <w:r>
              <w:rPr>
                <w:sz w:val="18"/>
                <w:szCs w:val="18"/>
              </w:rPr>
              <w:t>179 175</w:t>
            </w:r>
          </w:p>
        </w:tc>
        <w:tc>
          <w:tcPr>
            <w:tcW w:w="537" w:type="pct"/>
            <w:tcBorders>
              <w:top w:val="nil"/>
              <w:left w:val="nil"/>
              <w:bottom w:val="nil"/>
              <w:right w:val="nil"/>
            </w:tcBorders>
            <w:noWrap/>
            <w:vAlign w:val="center"/>
            <w:hideMark/>
          </w:tcPr>
          <w:p w14:paraId="1BACEEC3" w14:textId="285E9ACF" w:rsidR="0036369D" w:rsidRPr="00710788" w:rsidRDefault="0036369D" w:rsidP="0036369D">
            <w:pPr>
              <w:spacing w:after="0" w:line="240" w:lineRule="auto"/>
              <w:jc w:val="right"/>
              <w:rPr>
                <w:sz w:val="18"/>
                <w:szCs w:val="18"/>
                <w:highlight w:val="yellow"/>
                <w:lang w:eastAsia="sk-SK"/>
              </w:rPr>
            </w:pPr>
            <w:r>
              <w:rPr>
                <w:sz w:val="18"/>
                <w:szCs w:val="18"/>
              </w:rPr>
              <w:t>77 531</w:t>
            </w:r>
          </w:p>
        </w:tc>
      </w:tr>
      <w:tr w:rsidR="0036369D" w:rsidRPr="00710788" w14:paraId="2E6C17FE" w14:textId="77777777" w:rsidTr="0036369D">
        <w:trPr>
          <w:trHeight w:val="269"/>
        </w:trPr>
        <w:tc>
          <w:tcPr>
            <w:tcW w:w="1442" w:type="pct"/>
            <w:tcBorders>
              <w:top w:val="nil"/>
              <w:left w:val="nil"/>
              <w:bottom w:val="nil"/>
              <w:right w:val="nil"/>
            </w:tcBorders>
            <w:noWrap/>
            <w:vAlign w:val="center"/>
            <w:hideMark/>
          </w:tcPr>
          <w:p w14:paraId="2DAA0EA3"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Subvencie</w:t>
            </w:r>
          </w:p>
        </w:tc>
        <w:tc>
          <w:tcPr>
            <w:tcW w:w="615" w:type="pct"/>
            <w:tcBorders>
              <w:top w:val="nil"/>
              <w:left w:val="nil"/>
              <w:bottom w:val="nil"/>
              <w:right w:val="nil"/>
            </w:tcBorders>
            <w:noWrap/>
            <w:vAlign w:val="center"/>
            <w:hideMark/>
          </w:tcPr>
          <w:p w14:paraId="70005E06"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D.3P</w:t>
            </w:r>
          </w:p>
        </w:tc>
        <w:tc>
          <w:tcPr>
            <w:tcW w:w="602" w:type="pct"/>
            <w:tcBorders>
              <w:top w:val="nil"/>
              <w:left w:val="nil"/>
              <w:bottom w:val="nil"/>
              <w:right w:val="nil"/>
            </w:tcBorders>
            <w:noWrap/>
            <w:vAlign w:val="center"/>
            <w:hideMark/>
          </w:tcPr>
          <w:p w14:paraId="59241213" w14:textId="334C19E7" w:rsidR="0036369D" w:rsidRPr="00710788" w:rsidRDefault="0036369D" w:rsidP="0036369D">
            <w:pPr>
              <w:spacing w:after="0" w:line="240" w:lineRule="auto"/>
              <w:jc w:val="right"/>
              <w:rPr>
                <w:sz w:val="18"/>
                <w:szCs w:val="18"/>
                <w:highlight w:val="yellow"/>
                <w:lang w:eastAsia="sk-SK"/>
              </w:rPr>
            </w:pPr>
            <w:r>
              <w:rPr>
                <w:sz w:val="18"/>
                <w:szCs w:val="18"/>
              </w:rPr>
              <w:t>1 196 408</w:t>
            </w:r>
          </w:p>
        </w:tc>
        <w:tc>
          <w:tcPr>
            <w:tcW w:w="601" w:type="pct"/>
            <w:tcBorders>
              <w:top w:val="nil"/>
              <w:left w:val="nil"/>
              <w:bottom w:val="nil"/>
              <w:right w:val="nil"/>
            </w:tcBorders>
            <w:noWrap/>
            <w:vAlign w:val="center"/>
            <w:hideMark/>
          </w:tcPr>
          <w:p w14:paraId="57D65385" w14:textId="1F69ECA4" w:rsidR="0036369D" w:rsidRPr="00710788" w:rsidRDefault="0036369D" w:rsidP="0036369D">
            <w:pPr>
              <w:spacing w:after="0" w:line="240" w:lineRule="auto"/>
              <w:jc w:val="right"/>
              <w:rPr>
                <w:sz w:val="18"/>
                <w:szCs w:val="18"/>
                <w:highlight w:val="yellow"/>
                <w:lang w:eastAsia="sk-SK"/>
              </w:rPr>
            </w:pPr>
            <w:r>
              <w:rPr>
                <w:sz w:val="18"/>
                <w:szCs w:val="18"/>
              </w:rPr>
              <w:t>4 181 709</w:t>
            </w:r>
          </w:p>
        </w:tc>
        <w:tc>
          <w:tcPr>
            <w:tcW w:w="601" w:type="pct"/>
            <w:tcBorders>
              <w:top w:val="nil"/>
              <w:left w:val="nil"/>
              <w:bottom w:val="nil"/>
              <w:right w:val="nil"/>
            </w:tcBorders>
            <w:noWrap/>
            <w:vAlign w:val="center"/>
            <w:hideMark/>
          </w:tcPr>
          <w:p w14:paraId="544EEF61"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1 946 263</w:t>
            </w:r>
          </w:p>
        </w:tc>
        <w:tc>
          <w:tcPr>
            <w:tcW w:w="602" w:type="pct"/>
            <w:tcBorders>
              <w:top w:val="nil"/>
              <w:left w:val="nil"/>
              <w:bottom w:val="nil"/>
              <w:right w:val="nil"/>
            </w:tcBorders>
            <w:noWrap/>
            <w:vAlign w:val="center"/>
            <w:hideMark/>
          </w:tcPr>
          <w:p w14:paraId="734242D0" w14:textId="6AA73A1C" w:rsidR="0036369D" w:rsidRPr="00710788" w:rsidRDefault="0036369D" w:rsidP="0036369D">
            <w:pPr>
              <w:spacing w:after="0" w:line="240" w:lineRule="auto"/>
              <w:jc w:val="right"/>
              <w:rPr>
                <w:sz w:val="18"/>
                <w:szCs w:val="18"/>
                <w:highlight w:val="yellow"/>
                <w:lang w:eastAsia="sk-SK"/>
              </w:rPr>
            </w:pPr>
            <w:r>
              <w:rPr>
                <w:sz w:val="18"/>
                <w:szCs w:val="18"/>
              </w:rPr>
              <w:t>2 215 792</w:t>
            </w:r>
          </w:p>
        </w:tc>
        <w:tc>
          <w:tcPr>
            <w:tcW w:w="537" w:type="pct"/>
            <w:tcBorders>
              <w:top w:val="nil"/>
              <w:left w:val="nil"/>
              <w:bottom w:val="nil"/>
              <w:right w:val="nil"/>
            </w:tcBorders>
            <w:noWrap/>
            <w:vAlign w:val="center"/>
            <w:hideMark/>
          </w:tcPr>
          <w:p w14:paraId="500A18F4" w14:textId="71A0C533" w:rsidR="0036369D" w:rsidRPr="00710788" w:rsidRDefault="0036369D" w:rsidP="0036369D">
            <w:pPr>
              <w:spacing w:after="0" w:line="240" w:lineRule="auto"/>
              <w:jc w:val="right"/>
              <w:rPr>
                <w:sz w:val="18"/>
                <w:szCs w:val="18"/>
                <w:highlight w:val="yellow"/>
                <w:lang w:eastAsia="sk-SK"/>
              </w:rPr>
            </w:pPr>
            <w:r>
              <w:rPr>
                <w:sz w:val="18"/>
                <w:szCs w:val="18"/>
              </w:rPr>
              <w:t>-1 965 917</w:t>
            </w:r>
          </w:p>
        </w:tc>
      </w:tr>
      <w:tr w:rsidR="0036369D" w:rsidRPr="00710788" w14:paraId="48A663DD" w14:textId="77777777" w:rsidTr="0036369D">
        <w:trPr>
          <w:trHeight w:val="182"/>
        </w:trPr>
        <w:tc>
          <w:tcPr>
            <w:tcW w:w="1442" w:type="pct"/>
            <w:tcBorders>
              <w:top w:val="nil"/>
              <w:left w:val="nil"/>
              <w:bottom w:val="nil"/>
              <w:right w:val="nil"/>
            </w:tcBorders>
            <w:noWrap/>
            <w:vAlign w:val="center"/>
            <w:hideMark/>
          </w:tcPr>
          <w:p w14:paraId="03E12C77"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Dôchodky z majetku</w:t>
            </w:r>
          </w:p>
        </w:tc>
        <w:tc>
          <w:tcPr>
            <w:tcW w:w="615" w:type="pct"/>
            <w:tcBorders>
              <w:top w:val="nil"/>
              <w:left w:val="nil"/>
              <w:bottom w:val="nil"/>
              <w:right w:val="nil"/>
            </w:tcBorders>
            <w:noWrap/>
            <w:vAlign w:val="center"/>
            <w:hideMark/>
          </w:tcPr>
          <w:p w14:paraId="707385C1"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D.4P</w:t>
            </w:r>
          </w:p>
        </w:tc>
        <w:tc>
          <w:tcPr>
            <w:tcW w:w="602" w:type="pct"/>
            <w:tcBorders>
              <w:top w:val="nil"/>
              <w:left w:val="nil"/>
              <w:bottom w:val="nil"/>
              <w:right w:val="nil"/>
            </w:tcBorders>
            <w:noWrap/>
            <w:vAlign w:val="center"/>
            <w:hideMark/>
          </w:tcPr>
          <w:p w14:paraId="1ADF239E" w14:textId="7133C5A3" w:rsidR="0036369D" w:rsidRPr="00710788" w:rsidRDefault="0036369D" w:rsidP="0036369D">
            <w:pPr>
              <w:spacing w:after="0" w:line="240" w:lineRule="auto"/>
              <w:jc w:val="right"/>
              <w:rPr>
                <w:sz w:val="18"/>
                <w:szCs w:val="18"/>
                <w:highlight w:val="yellow"/>
                <w:lang w:eastAsia="sk-SK"/>
              </w:rPr>
            </w:pPr>
            <w:r>
              <w:rPr>
                <w:sz w:val="18"/>
                <w:szCs w:val="18"/>
              </w:rPr>
              <w:t>1 139 048</w:t>
            </w:r>
          </w:p>
        </w:tc>
        <w:tc>
          <w:tcPr>
            <w:tcW w:w="601" w:type="pct"/>
            <w:tcBorders>
              <w:top w:val="nil"/>
              <w:left w:val="nil"/>
              <w:bottom w:val="nil"/>
              <w:right w:val="nil"/>
            </w:tcBorders>
            <w:noWrap/>
            <w:vAlign w:val="center"/>
            <w:hideMark/>
          </w:tcPr>
          <w:p w14:paraId="7D662A74" w14:textId="1670D4DE" w:rsidR="0036369D" w:rsidRPr="00710788" w:rsidRDefault="0036369D" w:rsidP="0036369D">
            <w:pPr>
              <w:spacing w:after="0" w:line="240" w:lineRule="auto"/>
              <w:jc w:val="right"/>
              <w:rPr>
                <w:sz w:val="18"/>
                <w:szCs w:val="18"/>
                <w:highlight w:val="yellow"/>
                <w:lang w:eastAsia="sk-SK"/>
              </w:rPr>
            </w:pPr>
            <w:r>
              <w:rPr>
                <w:sz w:val="18"/>
                <w:szCs w:val="18"/>
              </w:rPr>
              <w:t>1 428 032</w:t>
            </w:r>
          </w:p>
        </w:tc>
        <w:tc>
          <w:tcPr>
            <w:tcW w:w="601" w:type="pct"/>
            <w:tcBorders>
              <w:top w:val="nil"/>
              <w:left w:val="nil"/>
              <w:bottom w:val="nil"/>
              <w:right w:val="nil"/>
            </w:tcBorders>
            <w:noWrap/>
            <w:vAlign w:val="center"/>
            <w:hideMark/>
          </w:tcPr>
          <w:p w14:paraId="53779DF9"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1 829 596</w:t>
            </w:r>
          </w:p>
        </w:tc>
        <w:tc>
          <w:tcPr>
            <w:tcW w:w="602" w:type="pct"/>
            <w:tcBorders>
              <w:top w:val="nil"/>
              <w:left w:val="nil"/>
              <w:bottom w:val="nil"/>
              <w:right w:val="nil"/>
            </w:tcBorders>
            <w:noWrap/>
            <w:vAlign w:val="center"/>
            <w:hideMark/>
          </w:tcPr>
          <w:p w14:paraId="2EF440C9" w14:textId="620BA260" w:rsidR="0036369D" w:rsidRPr="00710788" w:rsidRDefault="0036369D" w:rsidP="0036369D">
            <w:pPr>
              <w:spacing w:after="0" w:line="240" w:lineRule="auto"/>
              <w:jc w:val="right"/>
              <w:rPr>
                <w:sz w:val="18"/>
                <w:szCs w:val="18"/>
                <w:highlight w:val="yellow"/>
                <w:lang w:eastAsia="sk-SK"/>
              </w:rPr>
            </w:pPr>
            <w:r>
              <w:rPr>
                <w:sz w:val="18"/>
                <w:szCs w:val="18"/>
              </w:rPr>
              <w:t>1 850 046</w:t>
            </w:r>
          </w:p>
        </w:tc>
        <w:tc>
          <w:tcPr>
            <w:tcW w:w="537" w:type="pct"/>
            <w:tcBorders>
              <w:top w:val="nil"/>
              <w:left w:val="nil"/>
              <w:bottom w:val="nil"/>
              <w:right w:val="nil"/>
            </w:tcBorders>
            <w:noWrap/>
            <w:vAlign w:val="center"/>
            <w:hideMark/>
          </w:tcPr>
          <w:p w14:paraId="6B662500" w14:textId="72A22EC2" w:rsidR="0036369D" w:rsidRPr="00710788" w:rsidRDefault="0036369D" w:rsidP="0036369D">
            <w:pPr>
              <w:spacing w:after="0" w:line="240" w:lineRule="auto"/>
              <w:jc w:val="right"/>
              <w:rPr>
                <w:sz w:val="18"/>
                <w:szCs w:val="18"/>
                <w:highlight w:val="yellow"/>
                <w:lang w:eastAsia="sk-SK"/>
              </w:rPr>
            </w:pPr>
            <w:r>
              <w:rPr>
                <w:sz w:val="18"/>
                <w:szCs w:val="18"/>
              </w:rPr>
              <w:t>422 014</w:t>
            </w:r>
          </w:p>
        </w:tc>
      </w:tr>
      <w:tr w:rsidR="0036369D" w:rsidRPr="00710788" w14:paraId="7E0E24ED" w14:textId="77777777" w:rsidTr="0036369D">
        <w:trPr>
          <w:trHeight w:val="269"/>
        </w:trPr>
        <w:tc>
          <w:tcPr>
            <w:tcW w:w="1442" w:type="pct"/>
            <w:tcBorders>
              <w:top w:val="nil"/>
              <w:left w:val="nil"/>
              <w:bottom w:val="nil"/>
              <w:right w:val="nil"/>
            </w:tcBorders>
            <w:noWrap/>
            <w:vAlign w:val="center"/>
            <w:hideMark/>
          </w:tcPr>
          <w:p w14:paraId="325200A9"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Celkové sociálne transfery</w:t>
            </w:r>
          </w:p>
        </w:tc>
        <w:tc>
          <w:tcPr>
            <w:tcW w:w="615" w:type="pct"/>
            <w:tcBorders>
              <w:top w:val="nil"/>
              <w:left w:val="nil"/>
              <w:bottom w:val="nil"/>
              <w:right w:val="nil"/>
            </w:tcBorders>
            <w:noWrap/>
            <w:vAlign w:val="center"/>
            <w:hideMark/>
          </w:tcPr>
          <w:p w14:paraId="0EF0120A"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D.6P</w:t>
            </w:r>
          </w:p>
        </w:tc>
        <w:tc>
          <w:tcPr>
            <w:tcW w:w="602" w:type="pct"/>
            <w:tcBorders>
              <w:top w:val="nil"/>
              <w:left w:val="nil"/>
              <w:bottom w:val="nil"/>
              <w:right w:val="nil"/>
            </w:tcBorders>
            <w:noWrap/>
            <w:vAlign w:val="center"/>
            <w:hideMark/>
          </w:tcPr>
          <w:p w14:paraId="2AF0B76A" w14:textId="67F3A3A9" w:rsidR="0036369D" w:rsidRPr="00710788" w:rsidRDefault="0036369D" w:rsidP="0036369D">
            <w:pPr>
              <w:spacing w:after="0" w:line="240" w:lineRule="auto"/>
              <w:jc w:val="right"/>
              <w:rPr>
                <w:color w:val="000000"/>
                <w:sz w:val="18"/>
                <w:szCs w:val="18"/>
                <w:highlight w:val="yellow"/>
                <w:lang w:eastAsia="sk-SK"/>
              </w:rPr>
            </w:pPr>
            <w:r>
              <w:rPr>
                <w:color w:val="000000"/>
                <w:sz w:val="18"/>
                <w:szCs w:val="18"/>
              </w:rPr>
              <w:t>19 737 497</w:t>
            </w:r>
          </w:p>
        </w:tc>
        <w:tc>
          <w:tcPr>
            <w:tcW w:w="601" w:type="pct"/>
            <w:tcBorders>
              <w:top w:val="nil"/>
              <w:left w:val="nil"/>
              <w:bottom w:val="nil"/>
              <w:right w:val="nil"/>
            </w:tcBorders>
            <w:noWrap/>
            <w:vAlign w:val="center"/>
            <w:hideMark/>
          </w:tcPr>
          <w:p w14:paraId="6FB936AB" w14:textId="41745EB2" w:rsidR="0036369D" w:rsidRPr="00710788" w:rsidRDefault="0036369D" w:rsidP="0036369D">
            <w:pPr>
              <w:spacing w:after="0" w:line="240" w:lineRule="auto"/>
              <w:jc w:val="right"/>
              <w:rPr>
                <w:color w:val="000000"/>
                <w:sz w:val="18"/>
                <w:szCs w:val="18"/>
                <w:highlight w:val="yellow"/>
                <w:lang w:eastAsia="sk-SK"/>
              </w:rPr>
            </w:pPr>
            <w:r>
              <w:rPr>
                <w:color w:val="000000"/>
                <w:sz w:val="18"/>
                <w:szCs w:val="18"/>
              </w:rPr>
              <w:t>24 445 514</w:t>
            </w:r>
          </w:p>
        </w:tc>
        <w:tc>
          <w:tcPr>
            <w:tcW w:w="601" w:type="pct"/>
            <w:tcBorders>
              <w:top w:val="nil"/>
              <w:left w:val="nil"/>
              <w:bottom w:val="nil"/>
              <w:right w:val="nil"/>
            </w:tcBorders>
            <w:noWrap/>
            <w:vAlign w:val="center"/>
            <w:hideMark/>
          </w:tcPr>
          <w:p w14:paraId="2F73442B" w14:textId="77777777" w:rsidR="0036369D" w:rsidRPr="00935F92" w:rsidRDefault="0036369D" w:rsidP="0036369D">
            <w:pPr>
              <w:spacing w:after="0" w:line="240" w:lineRule="auto"/>
              <w:jc w:val="right"/>
              <w:rPr>
                <w:color w:val="000000"/>
                <w:sz w:val="18"/>
                <w:szCs w:val="18"/>
                <w:lang w:eastAsia="sk-SK"/>
              </w:rPr>
            </w:pPr>
            <w:r w:rsidRPr="00935F92">
              <w:rPr>
                <w:color w:val="000000"/>
                <w:sz w:val="18"/>
                <w:szCs w:val="18"/>
                <w:lang w:eastAsia="sk-SK"/>
              </w:rPr>
              <w:t>26 763 482</w:t>
            </w:r>
          </w:p>
        </w:tc>
        <w:tc>
          <w:tcPr>
            <w:tcW w:w="602" w:type="pct"/>
            <w:tcBorders>
              <w:top w:val="nil"/>
              <w:left w:val="nil"/>
              <w:bottom w:val="nil"/>
              <w:right w:val="nil"/>
            </w:tcBorders>
            <w:noWrap/>
            <w:vAlign w:val="center"/>
            <w:hideMark/>
          </w:tcPr>
          <w:p w14:paraId="740AFDCF" w14:textId="434B7C4B" w:rsidR="0036369D" w:rsidRPr="00710788" w:rsidRDefault="0036369D" w:rsidP="0036369D">
            <w:pPr>
              <w:spacing w:after="0" w:line="240" w:lineRule="auto"/>
              <w:jc w:val="right"/>
              <w:rPr>
                <w:color w:val="000000"/>
                <w:sz w:val="18"/>
                <w:szCs w:val="18"/>
                <w:highlight w:val="yellow"/>
                <w:lang w:eastAsia="sk-SK"/>
              </w:rPr>
            </w:pPr>
            <w:r>
              <w:rPr>
                <w:color w:val="000000"/>
                <w:sz w:val="18"/>
                <w:szCs w:val="18"/>
              </w:rPr>
              <w:t>27 260 610</w:t>
            </w:r>
          </w:p>
        </w:tc>
        <w:tc>
          <w:tcPr>
            <w:tcW w:w="537" w:type="pct"/>
            <w:tcBorders>
              <w:top w:val="nil"/>
              <w:left w:val="nil"/>
              <w:bottom w:val="nil"/>
              <w:right w:val="nil"/>
            </w:tcBorders>
            <w:noWrap/>
            <w:vAlign w:val="center"/>
            <w:hideMark/>
          </w:tcPr>
          <w:p w14:paraId="64B7E662" w14:textId="1816D6AE" w:rsidR="0036369D" w:rsidRPr="00710788" w:rsidRDefault="0036369D" w:rsidP="0036369D">
            <w:pPr>
              <w:spacing w:after="0" w:line="240" w:lineRule="auto"/>
              <w:jc w:val="right"/>
              <w:rPr>
                <w:color w:val="000000"/>
                <w:sz w:val="18"/>
                <w:szCs w:val="18"/>
                <w:highlight w:val="yellow"/>
                <w:lang w:eastAsia="sk-SK"/>
              </w:rPr>
            </w:pPr>
            <w:r>
              <w:rPr>
                <w:color w:val="000000"/>
                <w:sz w:val="18"/>
                <w:szCs w:val="18"/>
              </w:rPr>
              <w:t>2 815 096</w:t>
            </w:r>
          </w:p>
        </w:tc>
      </w:tr>
      <w:tr w:rsidR="0036369D" w:rsidRPr="00710788" w14:paraId="6F44A1BC" w14:textId="77777777" w:rsidTr="0036369D">
        <w:trPr>
          <w:trHeight w:val="269"/>
        </w:trPr>
        <w:tc>
          <w:tcPr>
            <w:tcW w:w="1442" w:type="pct"/>
            <w:tcBorders>
              <w:top w:val="nil"/>
              <w:left w:val="nil"/>
              <w:bottom w:val="nil"/>
              <w:right w:val="nil"/>
            </w:tcBorders>
            <w:noWrap/>
            <w:vAlign w:val="center"/>
            <w:hideMark/>
          </w:tcPr>
          <w:p w14:paraId="7FAB8471"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 Sociálne dávky okrem    </w:t>
            </w:r>
          </w:p>
          <w:p w14:paraId="7204D610"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naturálnych soc. transf.</w:t>
            </w:r>
          </w:p>
        </w:tc>
        <w:tc>
          <w:tcPr>
            <w:tcW w:w="615" w:type="pct"/>
            <w:tcBorders>
              <w:top w:val="nil"/>
              <w:left w:val="nil"/>
              <w:bottom w:val="nil"/>
              <w:right w:val="nil"/>
            </w:tcBorders>
            <w:noWrap/>
            <w:vAlign w:val="center"/>
            <w:hideMark/>
          </w:tcPr>
          <w:p w14:paraId="3E951D1F"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D.62P</w:t>
            </w:r>
          </w:p>
        </w:tc>
        <w:tc>
          <w:tcPr>
            <w:tcW w:w="602" w:type="pct"/>
            <w:tcBorders>
              <w:top w:val="nil"/>
              <w:left w:val="nil"/>
              <w:bottom w:val="nil"/>
              <w:right w:val="nil"/>
            </w:tcBorders>
            <w:noWrap/>
            <w:vAlign w:val="center"/>
            <w:hideMark/>
          </w:tcPr>
          <w:p w14:paraId="798B0B18" w14:textId="447A35AD" w:rsidR="0036369D" w:rsidRPr="00710788" w:rsidRDefault="0036369D" w:rsidP="0036369D">
            <w:pPr>
              <w:spacing w:after="0" w:line="240" w:lineRule="auto"/>
              <w:jc w:val="right"/>
              <w:rPr>
                <w:sz w:val="18"/>
                <w:szCs w:val="18"/>
                <w:highlight w:val="yellow"/>
                <w:lang w:eastAsia="sk-SK"/>
              </w:rPr>
            </w:pPr>
            <w:r>
              <w:rPr>
                <w:sz w:val="18"/>
                <w:szCs w:val="18"/>
              </w:rPr>
              <w:t>15 921 990</w:t>
            </w:r>
          </w:p>
        </w:tc>
        <w:tc>
          <w:tcPr>
            <w:tcW w:w="601" w:type="pct"/>
            <w:tcBorders>
              <w:top w:val="nil"/>
              <w:left w:val="nil"/>
              <w:bottom w:val="nil"/>
              <w:right w:val="nil"/>
            </w:tcBorders>
            <w:noWrap/>
            <w:vAlign w:val="center"/>
            <w:hideMark/>
          </w:tcPr>
          <w:p w14:paraId="663599F1" w14:textId="410F041C" w:rsidR="0036369D" w:rsidRPr="00710788" w:rsidRDefault="0036369D" w:rsidP="0036369D">
            <w:pPr>
              <w:spacing w:after="0" w:line="240" w:lineRule="auto"/>
              <w:jc w:val="right"/>
              <w:rPr>
                <w:sz w:val="18"/>
                <w:szCs w:val="18"/>
                <w:highlight w:val="yellow"/>
                <w:lang w:eastAsia="sk-SK"/>
              </w:rPr>
            </w:pPr>
            <w:r>
              <w:rPr>
                <w:sz w:val="18"/>
                <w:szCs w:val="18"/>
              </w:rPr>
              <w:t>20 154 949</w:t>
            </w:r>
          </w:p>
        </w:tc>
        <w:tc>
          <w:tcPr>
            <w:tcW w:w="601" w:type="pct"/>
            <w:tcBorders>
              <w:top w:val="nil"/>
              <w:left w:val="nil"/>
              <w:bottom w:val="nil"/>
              <w:right w:val="nil"/>
            </w:tcBorders>
            <w:noWrap/>
            <w:vAlign w:val="center"/>
            <w:hideMark/>
          </w:tcPr>
          <w:p w14:paraId="315FA711"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21 826 293</w:t>
            </w:r>
          </w:p>
        </w:tc>
        <w:tc>
          <w:tcPr>
            <w:tcW w:w="602" w:type="pct"/>
            <w:tcBorders>
              <w:top w:val="nil"/>
              <w:left w:val="nil"/>
              <w:bottom w:val="nil"/>
              <w:right w:val="nil"/>
            </w:tcBorders>
            <w:noWrap/>
            <w:vAlign w:val="center"/>
            <w:hideMark/>
          </w:tcPr>
          <w:p w14:paraId="3D98FBF6" w14:textId="2AEEB5B4" w:rsidR="0036369D" w:rsidRPr="00710788" w:rsidRDefault="0036369D" w:rsidP="0036369D">
            <w:pPr>
              <w:spacing w:after="0" w:line="240" w:lineRule="auto"/>
              <w:jc w:val="right"/>
              <w:rPr>
                <w:sz w:val="18"/>
                <w:szCs w:val="18"/>
                <w:highlight w:val="yellow"/>
                <w:lang w:eastAsia="sk-SK"/>
              </w:rPr>
            </w:pPr>
            <w:r>
              <w:rPr>
                <w:sz w:val="18"/>
                <w:szCs w:val="18"/>
              </w:rPr>
              <w:t>22 371 473</w:t>
            </w:r>
          </w:p>
        </w:tc>
        <w:tc>
          <w:tcPr>
            <w:tcW w:w="537" w:type="pct"/>
            <w:tcBorders>
              <w:top w:val="nil"/>
              <w:left w:val="nil"/>
              <w:bottom w:val="nil"/>
              <w:right w:val="nil"/>
            </w:tcBorders>
            <w:noWrap/>
            <w:vAlign w:val="center"/>
            <w:hideMark/>
          </w:tcPr>
          <w:p w14:paraId="3106DC77" w14:textId="5CA1DBFA" w:rsidR="0036369D" w:rsidRPr="00710788" w:rsidRDefault="0036369D" w:rsidP="0036369D">
            <w:pPr>
              <w:spacing w:after="0" w:line="240" w:lineRule="auto"/>
              <w:jc w:val="right"/>
              <w:rPr>
                <w:sz w:val="18"/>
                <w:szCs w:val="18"/>
                <w:highlight w:val="yellow"/>
                <w:lang w:eastAsia="sk-SK"/>
              </w:rPr>
            </w:pPr>
            <w:r>
              <w:rPr>
                <w:sz w:val="18"/>
                <w:szCs w:val="18"/>
              </w:rPr>
              <w:t>2 216 524</w:t>
            </w:r>
          </w:p>
        </w:tc>
      </w:tr>
      <w:tr w:rsidR="0036369D" w:rsidRPr="00710788" w14:paraId="55AA1EE8" w14:textId="77777777" w:rsidTr="0036369D">
        <w:trPr>
          <w:trHeight w:val="269"/>
        </w:trPr>
        <w:tc>
          <w:tcPr>
            <w:tcW w:w="1442" w:type="pct"/>
            <w:tcBorders>
              <w:top w:val="nil"/>
              <w:left w:val="nil"/>
              <w:bottom w:val="nil"/>
              <w:right w:val="nil"/>
            </w:tcBorders>
            <w:noWrap/>
            <w:vAlign w:val="center"/>
            <w:hideMark/>
          </w:tcPr>
          <w:p w14:paraId="36FDA7B4"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 Naturálne sociálne transfery</w:t>
            </w:r>
          </w:p>
        </w:tc>
        <w:tc>
          <w:tcPr>
            <w:tcW w:w="615" w:type="pct"/>
            <w:tcBorders>
              <w:top w:val="nil"/>
              <w:left w:val="nil"/>
              <w:bottom w:val="nil"/>
              <w:right w:val="nil"/>
            </w:tcBorders>
            <w:noWrap/>
            <w:vAlign w:val="center"/>
            <w:hideMark/>
          </w:tcPr>
          <w:p w14:paraId="3C17685A"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D.632P</w:t>
            </w:r>
          </w:p>
        </w:tc>
        <w:tc>
          <w:tcPr>
            <w:tcW w:w="602" w:type="pct"/>
            <w:tcBorders>
              <w:top w:val="nil"/>
              <w:left w:val="nil"/>
              <w:bottom w:val="nil"/>
              <w:right w:val="nil"/>
            </w:tcBorders>
            <w:noWrap/>
            <w:vAlign w:val="center"/>
            <w:hideMark/>
          </w:tcPr>
          <w:p w14:paraId="690B14DE" w14:textId="2006B648" w:rsidR="0036369D" w:rsidRPr="00710788" w:rsidRDefault="0036369D" w:rsidP="0036369D">
            <w:pPr>
              <w:spacing w:after="0" w:line="240" w:lineRule="auto"/>
              <w:jc w:val="right"/>
              <w:rPr>
                <w:sz w:val="18"/>
                <w:szCs w:val="18"/>
                <w:highlight w:val="yellow"/>
                <w:lang w:eastAsia="sk-SK"/>
              </w:rPr>
            </w:pPr>
            <w:r>
              <w:rPr>
                <w:sz w:val="18"/>
                <w:szCs w:val="18"/>
              </w:rPr>
              <w:t>3 815 507</w:t>
            </w:r>
          </w:p>
        </w:tc>
        <w:tc>
          <w:tcPr>
            <w:tcW w:w="601" w:type="pct"/>
            <w:tcBorders>
              <w:top w:val="nil"/>
              <w:left w:val="nil"/>
              <w:bottom w:val="nil"/>
              <w:right w:val="nil"/>
            </w:tcBorders>
            <w:noWrap/>
            <w:vAlign w:val="center"/>
            <w:hideMark/>
          </w:tcPr>
          <w:p w14:paraId="692C701F" w14:textId="52A4EA1C" w:rsidR="0036369D" w:rsidRPr="00710788" w:rsidRDefault="0036369D" w:rsidP="0036369D">
            <w:pPr>
              <w:spacing w:after="0" w:line="240" w:lineRule="auto"/>
              <w:jc w:val="right"/>
              <w:rPr>
                <w:sz w:val="18"/>
                <w:szCs w:val="18"/>
                <w:highlight w:val="yellow"/>
                <w:lang w:eastAsia="sk-SK"/>
              </w:rPr>
            </w:pPr>
            <w:r>
              <w:rPr>
                <w:sz w:val="18"/>
                <w:szCs w:val="18"/>
              </w:rPr>
              <w:t>4 290 565</w:t>
            </w:r>
          </w:p>
        </w:tc>
        <w:tc>
          <w:tcPr>
            <w:tcW w:w="601" w:type="pct"/>
            <w:tcBorders>
              <w:top w:val="nil"/>
              <w:left w:val="nil"/>
              <w:bottom w:val="nil"/>
              <w:right w:val="nil"/>
            </w:tcBorders>
            <w:noWrap/>
            <w:vAlign w:val="center"/>
            <w:hideMark/>
          </w:tcPr>
          <w:p w14:paraId="68D64F8B"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4 937 189</w:t>
            </w:r>
          </w:p>
        </w:tc>
        <w:tc>
          <w:tcPr>
            <w:tcW w:w="602" w:type="pct"/>
            <w:tcBorders>
              <w:top w:val="nil"/>
              <w:left w:val="nil"/>
              <w:bottom w:val="nil"/>
              <w:right w:val="nil"/>
            </w:tcBorders>
            <w:noWrap/>
            <w:vAlign w:val="center"/>
            <w:hideMark/>
          </w:tcPr>
          <w:p w14:paraId="00B67220" w14:textId="15083170" w:rsidR="0036369D" w:rsidRPr="00710788" w:rsidRDefault="0036369D" w:rsidP="0036369D">
            <w:pPr>
              <w:spacing w:after="0" w:line="240" w:lineRule="auto"/>
              <w:jc w:val="right"/>
              <w:rPr>
                <w:sz w:val="18"/>
                <w:szCs w:val="18"/>
                <w:highlight w:val="yellow"/>
                <w:lang w:eastAsia="sk-SK"/>
              </w:rPr>
            </w:pPr>
            <w:r>
              <w:rPr>
                <w:sz w:val="18"/>
                <w:szCs w:val="18"/>
              </w:rPr>
              <w:t>4 889 137</w:t>
            </w:r>
          </w:p>
        </w:tc>
        <w:tc>
          <w:tcPr>
            <w:tcW w:w="537" w:type="pct"/>
            <w:tcBorders>
              <w:top w:val="nil"/>
              <w:left w:val="nil"/>
              <w:bottom w:val="nil"/>
              <w:right w:val="nil"/>
            </w:tcBorders>
            <w:noWrap/>
            <w:vAlign w:val="center"/>
            <w:hideMark/>
          </w:tcPr>
          <w:p w14:paraId="7244D4F1" w14:textId="74E37562" w:rsidR="0036369D" w:rsidRPr="00710788" w:rsidRDefault="0036369D" w:rsidP="0036369D">
            <w:pPr>
              <w:spacing w:after="0" w:line="240" w:lineRule="auto"/>
              <w:jc w:val="right"/>
              <w:rPr>
                <w:sz w:val="18"/>
                <w:szCs w:val="18"/>
                <w:highlight w:val="yellow"/>
                <w:lang w:eastAsia="sk-SK"/>
              </w:rPr>
            </w:pPr>
            <w:r>
              <w:rPr>
                <w:sz w:val="18"/>
                <w:szCs w:val="18"/>
              </w:rPr>
              <w:t>598 572</w:t>
            </w:r>
          </w:p>
        </w:tc>
      </w:tr>
      <w:tr w:rsidR="0036369D" w:rsidRPr="00710788" w14:paraId="5B1DF361" w14:textId="77777777" w:rsidTr="0036369D">
        <w:trPr>
          <w:trHeight w:val="269"/>
        </w:trPr>
        <w:tc>
          <w:tcPr>
            <w:tcW w:w="1442" w:type="pct"/>
            <w:tcBorders>
              <w:top w:val="nil"/>
              <w:left w:val="nil"/>
              <w:bottom w:val="nil"/>
              <w:right w:val="nil"/>
            </w:tcBorders>
            <w:noWrap/>
            <w:vAlign w:val="center"/>
            <w:hideMark/>
          </w:tcPr>
          <w:p w14:paraId="7A708B4F"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Ostatné bežné transfery</w:t>
            </w:r>
          </w:p>
        </w:tc>
        <w:tc>
          <w:tcPr>
            <w:tcW w:w="615" w:type="pct"/>
            <w:tcBorders>
              <w:top w:val="nil"/>
              <w:left w:val="nil"/>
              <w:bottom w:val="nil"/>
              <w:right w:val="nil"/>
            </w:tcBorders>
            <w:noWrap/>
            <w:vAlign w:val="center"/>
            <w:hideMark/>
          </w:tcPr>
          <w:p w14:paraId="4A9D5E85"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D.7P</w:t>
            </w:r>
          </w:p>
        </w:tc>
        <w:tc>
          <w:tcPr>
            <w:tcW w:w="602" w:type="pct"/>
            <w:tcBorders>
              <w:top w:val="nil"/>
              <w:left w:val="nil"/>
              <w:bottom w:val="nil"/>
              <w:right w:val="nil"/>
            </w:tcBorders>
            <w:noWrap/>
            <w:vAlign w:val="center"/>
            <w:hideMark/>
          </w:tcPr>
          <w:p w14:paraId="123FE1DF" w14:textId="330D91B6" w:rsidR="0036369D" w:rsidRPr="00710788" w:rsidRDefault="0036369D" w:rsidP="0036369D">
            <w:pPr>
              <w:spacing w:after="0" w:line="240" w:lineRule="auto"/>
              <w:jc w:val="right"/>
              <w:rPr>
                <w:sz w:val="18"/>
                <w:szCs w:val="18"/>
                <w:highlight w:val="yellow"/>
                <w:lang w:eastAsia="sk-SK"/>
              </w:rPr>
            </w:pPr>
            <w:r>
              <w:rPr>
                <w:sz w:val="18"/>
                <w:szCs w:val="18"/>
              </w:rPr>
              <w:t>2 588 641</w:t>
            </w:r>
          </w:p>
        </w:tc>
        <w:tc>
          <w:tcPr>
            <w:tcW w:w="601" w:type="pct"/>
            <w:tcBorders>
              <w:top w:val="nil"/>
              <w:left w:val="nil"/>
              <w:bottom w:val="nil"/>
              <w:right w:val="nil"/>
            </w:tcBorders>
            <w:noWrap/>
            <w:vAlign w:val="center"/>
            <w:hideMark/>
          </w:tcPr>
          <w:p w14:paraId="37C8DB6A" w14:textId="3304C7DA" w:rsidR="0036369D" w:rsidRPr="00710788" w:rsidRDefault="0036369D" w:rsidP="0036369D">
            <w:pPr>
              <w:spacing w:after="0" w:line="240" w:lineRule="auto"/>
              <w:jc w:val="right"/>
              <w:rPr>
                <w:sz w:val="18"/>
                <w:szCs w:val="18"/>
                <w:highlight w:val="yellow"/>
                <w:lang w:eastAsia="sk-SK"/>
              </w:rPr>
            </w:pPr>
            <w:r>
              <w:rPr>
                <w:sz w:val="18"/>
                <w:szCs w:val="18"/>
              </w:rPr>
              <w:t>2 656 559</w:t>
            </w:r>
          </w:p>
        </w:tc>
        <w:tc>
          <w:tcPr>
            <w:tcW w:w="601" w:type="pct"/>
            <w:tcBorders>
              <w:top w:val="nil"/>
              <w:left w:val="nil"/>
              <w:bottom w:val="nil"/>
              <w:right w:val="nil"/>
            </w:tcBorders>
            <w:noWrap/>
            <w:vAlign w:val="center"/>
            <w:hideMark/>
          </w:tcPr>
          <w:p w14:paraId="2F963C36"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3 075 838</w:t>
            </w:r>
          </w:p>
        </w:tc>
        <w:tc>
          <w:tcPr>
            <w:tcW w:w="602" w:type="pct"/>
            <w:tcBorders>
              <w:top w:val="nil"/>
              <w:left w:val="nil"/>
              <w:bottom w:val="nil"/>
              <w:right w:val="nil"/>
            </w:tcBorders>
            <w:noWrap/>
            <w:vAlign w:val="center"/>
            <w:hideMark/>
          </w:tcPr>
          <w:p w14:paraId="3190C121" w14:textId="0CB3BD0A" w:rsidR="0036369D" w:rsidRPr="00710788" w:rsidRDefault="0036369D" w:rsidP="0036369D">
            <w:pPr>
              <w:spacing w:after="0" w:line="240" w:lineRule="auto"/>
              <w:jc w:val="right"/>
              <w:rPr>
                <w:sz w:val="18"/>
                <w:szCs w:val="18"/>
                <w:highlight w:val="yellow"/>
                <w:lang w:eastAsia="sk-SK"/>
              </w:rPr>
            </w:pPr>
            <w:r>
              <w:rPr>
                <w:sz w:val="18"/>
                <w:szCs w:val="18"/>
              </w:rPr>
              <w:t>2 755 508</w:t>
            </w:r>
          </w:p>
        </w:tc>
        <w:tc>
          <w:tcPr>
            <w:tcW w:w="537" w:type="pct"/>
            <w:tcBorders>
              <w:top w:val="nil"/>
              <w:left w:val="nil"/>
              <w:bottom w:val="nil"/>
              <w:right w:val="nil"/>
            </w:tcBorders>
            <w:noWrap/>
            <w:vAlign w:val="center"/>
            <w:hideMark/>
          </w:tcPr>
          <w:p w14:paraId="194DDCD7" w14:textId="38519CE8" w:rsidR="0036369D" w:rsidRPr="00710788" w:rsidRDefault="0036369D" w:rsidP="0036369D">
            <w:pPr>
              <w:spacing w:after="0" w:line="240" w:lineRule="auto"/>
              <w:jc w:val="right"/>
              <w:rPr>
                <w:sz w:val="18"/>
                <w:szCs w:val="18"/>
                <w:highlight w:val="yellow"/>
                <w:lang w:eastAsia="sk-SK"/>
              </w:rPr>
            </w:pPr>
            <w:r>
              <w:rPr>
                <w:sz w:val="18"/>
                <w:szCs w:val="18"/>
              </w:rPr>
              <w:t>98 949</w:t>
            </w:r>
          </w:p>
        </w:tc>
      </w:tr>
      <w:tr w:rsidR="0036369D" w:rsidRPr="00710788" w14:paraId="3CC6CF5E" w14:textId="77777777" w:rsidTr="0036369D">
        <w:trPr>
          <w:trHeight w:val="187"/>
        </w:trPr>
        <w:tc>
          <w:tcPr>
            <w:tcW w:w="1442" w:type="pct"/>
            <w:tcBorders>
              <w:top w:val="nil"/>
              <w:left w:val="nil"/>
              <w:bottom w:val="nil"/>
              <w:right w:val="nil"/>
            </w:tcBorders>
            <w:noWrap/>
            <w:vAlign w:val="center"/>
            <w:hideMark/>
          </w:tcPr>
          <w:p w14:paraId="270EB0D3" w14:textId="77777777" w:rsidR="0036369D" w:rsidRPr="00935F92" w:rsidRDefault="0036369D" w:rsidP="0036369D">
            <w:pPr>
              <w:spacing w:after="0" w:line="240" w:lineRule="auto"/>
              <w:rPr>
                <w:b/>
                <w:bCs/>
                <w:color w:val="000000"/>
                <w:sz w:val="18"/>
                <w:szCs w:val="18"/>
                <w:lang w:eastAsia="sk-SK"/>
              </w:rPr>
            </w:pPr>
            <w:r w:rsidRPr="00935F92">
              <w:rPr>
                <w:b/>
                <w:bCs/>
                <w:color w:val="000000"/>
                <w:sz w:val="18"/>
                <w:szCs w:val="18"/>
                <w:lang w:eastAsia="sk-SK"/>
              </w:rPr>
              <w:lastRenderedPageBreak/>
              <w:t>Kapitálové výdavky</w:t>
            </w:r>
          </w:p>
        </w:tc>
        <w:tc>
          <w:tcPr>
            <w:tcW w:w="615" w:type="pct"/>
            <w:tcBorders>
              <w:top w:val="nil"/>
              <w:left w:val="nil"/>
              <w:bottom w:val="nil"/>
              <w:right w:val="nil"/>
            </w:tcBorders>
            <w:noWrap/>
            <w:vAlign w:val="center"/>
            <w:hideMark/>
          </w:tcPr>
          <w:p w14:paraId="79A2474C" w14:textId="77777777" w:rsidR="0036369D" w:rsidRPr="00710788" w:rsidRDefault="0036369D" w:rsidP="0036369D">
            <w:pPr>
              <w:spacing w:after="0" w:line="240" w:lineRule="auto"/>
              <w:rPr>
                <w:b/>
                <w:bCs/>
                <w:color w:val="000000"/>
                <w:sz w:val="18"/>
                <w:szCs w:val="18"/>
                <w:highlight w:val="yellow"/>
                <w:lang w:eastAsia="sk-SK"/>
              </w:rPr>
            </w:pPr>
          </w:p>
        </w:tc>
        <w:tc>
          <w:tcPr>
            <w:tcW w:w="602" w:type="pct"/>
            <w:tcBorders>
              <w:top w:val="nil"/>
              <w:left w:val="nil"/>
              <w:bottom w:val="nil"/>
              <w:right w:val="nil"/>
            </w:tcBorders>
            <w:noWrap/>
            <w:vAlign w:val="center"/>
            <w:hideMark/>
          </w:tcPr>
          <w:p w14:paraId="619614BC" w14:textId="4C316D3B" w:rsidR="0036369D" w:rsidRPr="00710788" w:rsidRDefault="0036369D" w:rsidP="0036369D">
            <w:pPr>
              <w:spacing w:after="0" w:line="240" w:lineRule="auto"/>
              <w:jc w:val="right"/>
              <w:rPr>
                <w:b/>
                <w:bCs/>
                <w:sz w:val="18"/>
                <w:szCs w:val="18"/>
                <w:highlight w:val="yellow"/>
                <w:lang w:eastAsia="sk-SK"/>
              </w:rPr>
            </w:pPr>
            <w:r>
              <w:rPr>
                <w:b/>
                <w:bCs/>
                <w:sz w:val="18"/>
                <w:szCs w:val="18"/>
              </w:rPr>
              <w:t>4 082 056</w:t>
            </w:r>
          </w:p>
        </w:tc>
        <w:tc>
          <w:tcPr>
            <w:tcW w:w="601" w:type="pct"/>
            <w:tcBorders>
              <w:top w:val="nil"/>
              <w:left w:val="nil"/>
              <w:bottom w:val="nil"/>
              <w:right w:val="nil"/>
            </w:tcBorders>
            <w:noWrap/>
            <w:vAlign w:val="center"/>
            <w:hideMark/>
          </w:tcPr>
          <w:p w14:paraId="55A66050" w14:textId="50FB8945" w:rsidR="0036369D" w:rsidRPr="00710788" w:rsidRDefault="0036369D" w:rsidP="0036369D">
            <w:pPr>
              <w:spacing w:after="0" w:line="240" w:lineRule="auto"/>
              <w:jc w:val="right"/>
              <w:rPr>
                <w:b/>
                <w:bCs/>
                <w:sz w:val="18"/>
                <w:szCs w:val="18"/>
                <w:highlight w:val="yellow"/>
                <w:lang w:eastAsia="sk-SK"/>
              </w:rPr>
            </w:pPr>
            <w:r>
              <w:rPr>
                <w:b/>
                <w:bCs/>
                <w:sz w:val="18"/>
                <w:szCs w:val="18"/>
              </w:rPr>
              <w:t>6 555 636</w:t>
            </w:r>
          </w:p>
        </w:tc>
        <w:tc>
          <w:tcPr>
            <w:tcW w:w="601" w:type="pct"/>
            <w:tcBorders>
              <w:top w:val="nil"/>
              <w:left w:val="nil"/>
              <w:bottom w:val="nil"/>
              <w:right w:val="nil"/>
            </w:tcBorders>
            <w:noWrap/>
            <w:vAlign w:val="center"/>
            <w:hideMark/>
          </w:tcPr>
          <w:p w14:paraId="6AC9CC1B" w14:textId="77777777" w:rsidR="0036369D" w:rsidRPr="00935F92" w:rsidRDefault="0036369D" w:rsidP="0036369D">
            <w:pPr>
              <w:spacing w:after="0" w:line="240" w:lineRule="auto"/>
              <w:jc w:val="right"/>
              <w:rPr>
                <w:b/>
                <w:bCs/>
                <w:sz w:val="18"/>
                <w:szCs w:val="18"/>
                <w:lang w:eastAsia="sk-SK"/>
              </w:rPr>
            </w:pPr>
            <w:r w:rsidRPr="00935F92">
              <w:rPr>
                <w:b/>
                <w:bCs/>
                <w:sz w:val="18"/>
                <w:szCs w:val="18"/>
                <w:lang w:eastAsia="sk-SK"/>
              </w:rPr>
              <w:t>5 406 228</w:t>
            </w:r>
          </w:p>
        </w:tc>
        <w:tc>
          <w:tcPr>
            <w:tcW w:w="602" w:type="pct"/>
            <w:tcBorders>
              <w:top w:val="nil"/>
              <w:left w:val="nil"/>
              <w:bottom w:val="nil"/>
              <w:right w:val="nil"/>
            </w:tcBorders>
            <w:noWrap/>
            <w:vAlign w:val="center"/>
            <w:hideMark/>
          </w:tcPr>
          <w:p w14:paraId="5AA808FD" w14:textId="6822C3AA" w:rsidR="0036369D" w:rsidRPr="00710788" w:rsidRDefault="0036369D" w:rsidP="0036369D">
            <w:pPr>
              <w:spacing w:after="0" w:line="240" w:lineRule="auto"/>
              <w:jc w:val="right"/>
              <w:rPr>
                <w:b/>
                <w:bCs/>
                <w:sz w:val="18"/>
                <w:szCs w:val="18"/>
                <w:highlight w:val="yellow"/>
                <w:lang w:eastAsia="sk-SK"/>
              </w:rPr>
            </w:pPr>
            <w:r>
              <w:rPr>
                <w:b/>
                <w:bCs/>
                <w:sz w:val="18"/>
                <w:szCs w:val="18"/>
              </w:rPr>
              <w:t>5 274 971</w:t>
            </w:r>
          </w:p>
        </w:tc>
        <w:tc>
          <w:tcPr>
            <w:tcW w:w="537" w:type="pct"/>
            <w:tcBorders>
              <w:top w:val="nil"/>
              <w:left w:val="nil"/>
              <w:bottom w:val="nil"/>
              <w:right w:val="nil"/>
            </w:tcBorders>
            <w:noWrap/>
            <w:vAlign w:val="center"/>
            <w:hideMark/>
          </w:tcPr>
          <w:p w14:paraId="7B6DC260" w14:textId="17D6E561" w:rsidR="0036369D" w:rsidRPr="00710788" w:rsidRDefault="0036369D" w:rsidP="0036369D">
            <w:pPr>
              <w:spacing w:after="0" w:line="240" w:lineRule="auto"/>
              <w:jc w:val="right"/>
              <w:rPr>
                <w:b/>
                <w:bCs/>
                <w:sz w:val="18"/>
                <w:szCs w:val="18"/>
                <w:highlight w:val="yellow"/>
                <w:lang w:eastAsia="sk-SK"/>
              </w:rPr>
            </w:pPr>
            <w:r>
              <w:rPr>
                <w:b/>
                <w:bCs/>
                <w:sz w:val="18"/>
                <w:szCs w:val="18"/>
              </w:rPr>
              <w:t>-1 280 665</w:t>
            </w:r>
          </w:p>
        </w:tc>
      </w:tr>
      <w:tr w:rsidR="0036369D" w:rsidRPr="00710788" w14:paraId="4F306913" w14:textId="77777777" w:rsidTr="0036369D">
        <w:trPr>
          <w:trHeight w:val="269"/>
        </w:trPr>
        <w:tc>
          <w:tcPr>
            <w:tcW w:w="1442" w:type="pct"/>
            <w:tcBorders>
              <w:top w:val="nil"/>
              <w:left w:val="nil"/>
              <w:bottom w:val="nil"/>
              <w:right w:val="nil"/>
            </w:tcBorders>
            <w:noWrap/>
            <w:vAlign w:val="center"/>
            <w:hideMark/>
          </w:tcPr>
          <w:p w14:paraId="320E119B"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Kapitálové investície</w:t>
            </w:r>
          </w:p>
        </w:tc>
        <w:tc>
          <w:tcPr>
            <w:tcW w:w="615" w:type="pct"/>
            <w:tcBorders>
              <w:top w:val="nil"/>
              <w:left w:val="nil"/>
              <w:bottom w:val="nil"/>
              <w:right w:val="nil"/>
            </w:tcBorders>
            <w:noWrap/>
            <w:vAlign w:val="center"/>
            <w:hideMark/>
          </w:tcPr>
          <w:p w14:paraId="60C63395"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P.5L</w:t>
            </w:r>
          </w:p>
        </w:tc>
        <w:tc>
          <w:tcPr>
            <w:tcW w:w="602" w:type="pct"/>
            <w:tcBorders>
              <w:top w:val="nil"/>
              <w:left w:val="nil"/>
              <w:bottom w:val="nil"/>
              <w:right w:val="nil"/>
            </w:tcBorders>
            <w:noWrap/>
            <w:vAlign w:val="center"/>
            <w:hideMark/>
          </w:tcPr>
          <w:p w14:paraId="2EB5D7E3" w14:textId="63CFDD6B" w:rsidR="0036369D" w:rsidRPr="00710788" w:rsidRDefault="0036369D" w:rsidP="0036369D">
            <w:pPr>
              <w:spacing w:after="0" w:line="240" w:lineRule="auto"/>
              <w:jc w:val="right"/>
              <w:rPr>
                <w:sz w:val="18"/>
                <w:szCs w:val="18"/>
                <w:highlight w:val="yellow"/>
                <w:lang w:eastAsia="sk-SK"/>
              </w:rPr>
            </w:pPr>
            <w:r>
              <w:rPr>
                <w:sz w:val="18"/>
                <w:szCs w:val="18"/>
              </w:rPr>
              <w:t>3 444 660</w:t>
            </w:r>
          </w:p>
        </w:tc>
        <w:tc>
          <w:tcPr>
            <w:tcW w:w="601" w:type="pct"/>
            <w:tcBorders>
              <w:top w:val="nil"/>
              <w:left w:val="nil"/>
              <w:bottom w:val="nil"/>
              <w:right w:val="nil"/>
            </w:tcBorders>
            <w:noWrap/>
            <w:vAlign w:val="center"/>
            <w:hideMark/>
          </w:tcPr>
          <w:p w14:paraId="1127E381" w14:textId="77A09EFD" w:rsidR="0036369D" w:rsidRPr="00710788" w:rsidRDefault="0036369D" w:rsidP="0036369D">
            <w:pPr>
              <w:spacing w:after="0" w:line="240" w:lineRule="auto"/>
              <w:jc w:val="right"/>
              <w:rPr>
                <w:sz w:val="18"/>
                <w:szCs w:val="18"/>
                <w:highlight w:val="yellow"/>
                <w:lang w:eastAsia="sk-SK"/>
              </w:rPr>
            </w:pPr>
            <w:r>
              <w:rPr>
                <w:sz w:val="18"/>
                <w:szCs w:val="18"/>
              </w:rPr>
              <w:t>4 590 329</w:t>
            </w:r>
          </w:p>
        </w:tc>
        <w:tc>
          <w:tcPr>
            <w:tcW w:w="601" w:type="pct"/>
            <w:tcBorders>
              <w:top w:val="nil"/>
              <w:left w:val="nil"/>
              <w:bottom w:val="nil"/>
              <w:right w:val="nil"/>
            </w:tcBorders>
            <w:noWrap/>
            <w:vAlign w:val="center"/>
            <w:hideMark/>
          </w:tcPr>
          <w:p w14:paraId="424F7CA4"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4 547 382</w:t>
            </w:r>
          </w:p>
        </w:tc>
        <w:tc>
          <w:tcPr>
            <w:tcW w:w="602" w:type="pct"/>
            <w:tcBorders>
              <w:top w:val="nil"/>
              <w:left w:val="nil"/>
              <w:bottom w:val="nil"/>
              <w:right w:val="nil"/>
            </w:tcBorders>
            <w:noWrap/>
            <w:vAlign w:val="center"/>
            <w:hideMark/>
          </w:tcPr>
          <w:p w14:paraId="7E6D82EE" w14:textId="3A32A678" w:rsidR="0036369D" w:rsidRPr="00710788" w:rsidRDefault="0036369D" w:rsidP="0036369D">
            <w:pPr>
              <w:spacing w:after="0" w:line="240" w:lineRule="auto"/>
              <w:jc w:val="right"/>
              <w:rPr>
                <w:sz w:val="18"/>
                <w:szCs w:val="18"/>
                <w:highlight w:val="yellow"/>
                <w:lang w:eastAsia="sk-SK"/>
              </w:rPr>
            </w:pPr>
            <w:r>
              <w:rPr>
                <w:sz w:val="18"/>
                <w:szCs w:val="18"/>
              </w:rPr>
              <w:t>4 693 784</w:t>
            </w:r>
          </w:p>
        </w:tc>
        <w:tc>
          <w:tcPr>
            <w:tcW w:w="537" w:type="pct"/>
            <w:tcBorders>
              <w:top w:val="nil"/>
              <w:left w:val="nil"/>
              <w:bottom w:val="nil"/>
              <w:right w:val="nil"/>
            </w:tcBorders>
            <w:noWrap/>
            <w:vAlign w:val="center"/>
            <w:hideMark/>
          </w:tcPr>
          <w:p w14:paraId="4A44DF1E" w14:textId="7A01C254" w:rsidR="0036369D" w:rsidRPr="00710788" w:rsidRDefault="0036369D" w:rsidP="0036369D">
            <w:pPr>
              <w:spacing w:after="0" w:line="240" w:lineRule="auto"/>
              <w:jc w:val="right"/>
              <w:rPr>
                <w:sz w:val="18"/>
                <w:szCs w:val="18"/>
                <w:highlight w:val="yellow"/>
                <w:lang w:eastAsia="sk-SK"/>
              </w:rPr>
            </w:pPr>
            <w:r>
              <w:rPr>
                <w:sz w:val="18"/>
                <w:szCs w:val="18"/>
              </w:rPr>
              <w:t>103 455</w:t>
            </w:r>
          </w:p>
        </w:tc>
      </w:tr>
      <w:tr w:rsidR="0036369D" w:rsidRPr="00710788" w14:paraId="44750681" w14:textId="77777777" w:rsidTr="0036369D">
        <w:trPr>
          <w:trHeight w:val="269"/>
        </w:trPr>
        <w:tc>
          <w:tcPr>
            <w:tcW w:w="1442" w:type="pct"/>
            <w:tcBorders>
              <w:top w:val="nil"/>
              <w:left w:val="nil"/>
              <w:bottom w:val="nil"/>
              <w:right w:val="nil"/>
            </w:tcBorders>
            <w:noWrap/>
            <w:vAlign w:val="center"/>
            <w:hideMark/>
          </w:tcPr>
          <w:p w14:paraId="0F3BDC51"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 Tvorba hrubého fixného kapitálu</w:t>
            </w:r>
          </w:p>
        </w:tc>
        <w:tc>
          <w:tcPr>
            <w:tcW w:w="615" w:type="pct"/>
            <w:tcBorders>
              <w:top w:val="nil"/>
              <w:left w:val="nil"/>
              <w:bottom w:val="nil"/>
              <w:right w:val="nil"/>
            </w:tcBorders>
            <w:noWrap/>
            <w:vAlign w:val="center"/>
            <w:hideMark/>
          </w:tcPr>
          <w:p w14:paraId="067FBDCF"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P.51G</w:t>
            </w:r>
          </w:p>
        </w:tc>
        <w:tc>
          <w:tcPr>
            <w:tcW w:w="602" w:type="pct"/>
            <w:tcBorders>
              <w:top w:val="nil"/>
              <w:left w:val="nil"/>
              <w:bottom w:val="nil"/>
              <w:right w:val="nil"/>
            </w:tcBorders>
            <w:noWrap/>
            <w:vAlign w:val="center"/>
            <w:hideMark/>
          </w:tcPr>
          <w:p w14:paraId="6DA17262" w14:textId="7055EB89" w:rsidR="0036369D" w:rsidRPr="00710788" w:rsidRDefault="0036369D" w:rsidP="0036369D">
            <w:pPr>
              <w:spacing w:after="0" w:line="240" w:lineRule="auto"/>
              <w:jc w:val="right"/>
              <w:rPr>
                <w:sz w:val="18"/>
                <w:szCs w:val="18"/>
                <w:highlight w:val="yellow"/>
                <w:lang w:eastAsia="sk-SK"/>
              </w:rPr>
            </w:pPr>
            <w:r>
              <w:rPr>
                <w:sz w:val="18"/>
                <w:szCs w:val="18"/>
              </w:rPr>
              <w:t>3 378 789</w:t>
            </w:r>
          </w:p>
        </w:tc>
        <w:tc>
          <w:tcPr>
            <w:tcW w:w="601" w:type="pct"/>
            <w:tcBorders>
              <w:top w:val="nil"/>
              <w:left w:val="nil"/>
              <w:bottom w:val="nil"/>
              <w:right w:val="nil"/>
            </w:tcBorders>
            <w:noWrap/>
            <w:vAlign w:val="center"/>
            <w:hideMark/>
          </w:tcPr>
          <w:p w14:paraId="65ADFEAE" w14:textId="66EE952C" w:rsidR="0036369D" w:rsidRPr="00710788" w:rsidRDefault="0036369D" w:rsidP="0036369D">
            <w:pPr>
              <w:spacing w:after="0" w:line="240" w:lineRule="auto"/>
              <w:jc w:val="right"/>
              <w:rPr>
                <w:sz w:val="18"/>
                <w:szCs w:val="18"/>
                <w:highlight w:val="yellow"/>
                <w:lang w:eastAsia="sk-SK"/>
              </w:rPr>
            </w:pPr>
            <w:r>
              <w:rPr>
                <w:sz w:val="18"/>
                <w:szCs w:val="18"/>
              </w:rPr>
              <w:t>4 389 692</w:t>
            </w:r>
          </w:p>
        </w:tc>
        <w:tc>
          <w:tcPr>
            <w:tcW w:w="601" w:type="pct"/>
            <w:tcBorders>
              <w:top w:val="nil"/>
              <w:left w:val="nil"/>
              <w:bottom w:val="nil"/>
              <w:right w:val="nil"/>
            </w:tcBorders>
            <w:noWrap/>
            <w:vAlign w:val="center"/>
            <w:hideMark/>
          </w:tcPr>
          <w:p w14:paraId="5F103466"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4 404 507</w:t>
            </w:r>
          </w:p>
        </w:tc>
        <w:tc>
          <w:tcPr>
            <w:tcW w:w="602" w:type="pct"/>
            <w:tcBorders>
              <w:top w:val="nil"/>
              <w:left w:val="nil"/>
              <w:bottom w:val="nil"/>
              <w:right w:val="nil"/>
            </w:tcBorders>
            <w:noWrap/>
            <w:vAlign w:val="center"/>
            <w:hideMark/>
          </w:tcPr>
          <w:p w14:paraId="0BB70912" w14:textId="141FA25B" w:rsidR="0036369D" w:rsidRPr="00710788" w:rsidRDefault="0036369D" w:rsidP="0036369D">
            <w:pPr>
              <w:spacing w:after="0" w:line="240" w:lineRule="auto"/>
              <w:jc w:val="right"/>
              <w:rPr>
                <w:sz w:val="18"/>
                <w:szCs w:val="18"/>
                <w:highlight w:val="yellow"/>
                <w:lang w:eastAsia="sk-SK"/>
              </w:rPr>
            </w:pPr>
            <w:r>
              <w:rPr>
                <w:sz w:val="18"/>
                <w:szCs w:val="18"/>
              </w:rPr>
              <w:t>4 624 989</w:t>
            </w:r>
          </w:p>
        </w:tc>
        <w:tc>
          <w:tcPr>
            <w:tcW w:w="537" w:type="pct"/>
            <w:tcBorders>
              <w:top w:val="nil"/>
              <w:left w:val="nil"/>
              <w:bottom w:val="nil"/>
              <w:right w:val="nil"/>
            </w:tcBorders>
            <w:noWrap/>
            <w:vAlign w:val="center"/>
            <w:hideMark/>
          </w:tcPr>
          <w:p w14:paraId="07E3AD1E" w14:textId="64ACC97F" w:rsidR="0036369D" w:rsidRPr="00710788" w:rsidRDefault="0036369D" w:rsidP="0036369D">
            <w:pPr>
              <w:spacing w:after="0" w:line="240" w:lineRule="auto"/>
              <w:jc w:val="right"/>
              <w:rPr>
                <w:sz w:val="18"/>
                <w:szCs w:val="18"/>
                <w:highlight w:val="yellow"/>
                <w:lang w:eastAsia="sk-SK"/>
              </w:rPr>
            </w:pPr>
            <w:r>
              <w:rPr>
                <w:sz w:val="18"/>
                <w:szCs w:val="18"/>
              </w:rPr>
              <w:t>235 297</w:t>
            </w:r>
          </w:p>
        </w:tc>
      </w:tr>
      <w:tr w:rsidR="0036369D" w:rsidRPr="00710788" w14:paraId="6456F7A6" w14:textId="77777777" w:rsidTr="0036369D">
        <w:trPr>
          <w:trHeight w:val="269"/>
        </w:trPr>
        <w:tc>
          <w:tcPr>
            <w:tcW w:w="1442" w:type="pct"/>
            <w:tcBorders>
              <w:top w:val="nil"/>
              <w:left w:val="nil"/>
              <w:bottom w:val="nil"/>
              <w:right w:val="nil"/>
            </w:tcBorders>
            <w:noWrap/>
            <w:vAlign w:val="center"/>
            <w:hideMark/>
          </w:tcPr>
          <w:p w14:paraId="58875BF4"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 Zmena st. zásob + Nadobudnutie        </w:t>
            </w:r>
          </w:p>
          <w:p w14:paraId="5BDF785B"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Úbytok cenností</w:t>
            </w:r>
          </w:p>
        </w:tc>
        <w:tc>
          <w:tcPr>
            <w:tcW w:w="615" w:type="pct"/>
            <w:tcBorders>
              <w:top w:val="nil"/>
              <w:left w:val="nil"/>
              <w:bottom w:val="nil"/>
              <w:right w:val="nil"/>
            </w:tcBorders>
            <w:noWrap/>
            <w:vAlign w:val="center"/>
            <w:hideMark/>
          </w:tcPr>
          <w:p w14:paraId="2719174C"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P.5M</w:t>
            </w:r>
          </w:p>
        </w:tc>
        <w:tc>
          <w:tcPr>
            <w:tcW w:w="602" w:type="pct"/>
            <w:tcBorders>
              <w:top w:val="nil"/>
              <w:left w:val="nil"/>
              <w:bottom w:val="nil"/>
              <w:right w:val="nil"/>
            </w:tcBorders>
            <w:noWrap/>
            <w:vAlign w:val="center"/>
            <w:hideMark/>
          </w:tcPr>
          <w:p w14:paraId="089F8918" w14:textId="755C0E8D" w:rsidR="0036369D" w:rsidRPr="00710788" w:rsidRDefault="0036369D" w:rsidP="0036369D">
            <w:pPr>
              <w:spacing w:after="0" w:line="240" w:lineRule="auto"/>
              <w:jc w:val="right"/>
              <w:rPr>
                <w:sz w:val="18"/>
                <w:szCs w:val="18"/>
                <w:highlight w:val="yellow"/>
                <w:lang w:eastAsia="sk-SK"/>
              </w:rPr>
            </w:pPr>
            <w:r>
              <w:rPr>
                <w:sz w:val="18"/>
                <w:szCs w:val="18"/>
              </w:rPr>
              <w:t>38 827</w:t>
            </w:r>
          </w:p>
        </w:tc>
        <w:tc>
          <w:tcPr>
            <w:tcW w:w="601" w:type="pct"/>
            <w:tcBorders>
              <w:top w:val="nil"/>
              <w:left w:val="nil"/>
              <w:bottom w:val="nil"/>
              <w:right w:val="nil"/>
            </w:tcBorders>
            <w:noWrap/>
            <w:vAlign w:val="center"/>
            <w:hideMark/>
          </w:tcPr>
          <w:p w14:paraId="6B5AFFF5" w14:textId="163F742D" w:rsidR="0036369D" w:rsidRPr="00710788" w:rsidRDefault="0036369D" w:rsidP="0036369D">
            <w:pPr>
              <w:spacing w:after="0" w:line="240" w:lineRule="auto"/>
              <w:jc w:val="right"/>
              <w:rPr>
                <w:sz w:val="18"/>
                <w:szCs w:val="18"/>
                <w:highlight w:val="yellow"/>
                <w:lang w:eastAsia="sk-SK"/>
              </w:rPr>
            </w:pPr>
            <w:r>
              <w:rPr>
                <w:sz w:val="18"/>
                <w:szCs w:val="18"/>
              </w:rPr>
              <w:t>149 735</w:t>
            </w:r>
          </w:p>
        </w:tc>
        <w:tc>
          <w:tcPr>
            <w:tcW w:w="601" w:type="pct"/>
            <w:tcBorders>
              <w:top w:val="nil"/>
              <w:left w:val="nil"/>
              <w:bottom w:val="nil"/>
              <w:right w:val="nil"/>
            </w:tcBorders>
            <w:noWrap/>
            <w:vAlign w:val="center"/>
            <w:hideMark/>
          </w:tcPr>
          <w:p w14:paraId="1D1A5A95"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112 464</w:t>
            </w:r>
          </w:p>
        </w:tc>
        <w:tc>
          <w:tcPr>
            <w:tcW w:w="602" w:type="pct"/>
            <w:tcBorders>
              <w:top w:val="nil"/>
              <w:left w:val="nil"/>
              <w:bottom w:val="nil"/>
              <w:right w:val="nil"/>
            </w:tcBorders>
            <w:noWrap/>
            <w:vAlign w:val="center"/>
            <w:hideMark/>
          </w:tcPr>
          <w:p w14:paraId="1711D448" w14:textId="46D9985C" w:rsidR="0036369D" w:rsidRPr="00710788" w:rsidRDefault="0036369D" w:rsidP="0036369D">
            <w:pPr>
              <w:spacing w:after="0" w:line="240" w:lineRule="auto"/>
              <w:jc w:val="right"/>
              <w:rPr>
                <w:sz w:val="18"/>
                <w:szCs w:val="18"/>
                <w:highlight w:val="yellow"/>
                <w:lang w:eastAsia="sk-SK"/>
              </w:rPr>
            </w:pPr>
            <w:r>
              <w:rPr>
                <w:sz w:val="18"/>
                <w:szCs w:val="18"/>
              </w:rPr>
              <w:t>69 064</w:t>
            </w:r>
          </w:p>
        </w:tc>
        <w:tc>
          <w:tcPr>
            <w:tcW w:w="537" w:type="pct"/>
            <w:tcBorders>
              <w:top w:val="nil"/>
              <w:left w:val="nil"/>
              <w:bottom w:val="nil"/>
              <w:right w:val="nil"/>
            </w:tcBorders>
            <w:noWrap/>
            <w:vAlign w:val="center"/>
            <w:hideMark/>
          </w:tcPr>
          <w:p w14:paraId="220992F1" w14:textId="15CA0DBB" w:rsidR="0036369D" w:rsidRPr="00710788" w:rsidRDefault="0036369D" w:rsidP="0036369D">
            <w:pPr>
              <w:spacing w:after="0" w:line="240" w:lineRule="auto"/>
              <w:jc w:val="right"/>
              <w:rPr>
                <w:sz w:val="18"/>
                <w:szCs w:val="18"/>
                <w:highlight w:val="yellow"/>
                <w:lang w:eastAsia="sk-SK"/>
              </w:rPr>
            </w:pPr>
            <w:r>
              <w:rPr>
                <w:sz w:val="18"/>
                <w:szCs w:val="18"/>
              </w:rPr>
              <w:t>-80 671</w:t>
            </w:r>
          </w:p>
        </w:tc>
      </w:tr>
      <w:tr w:rsidR="0036369D" w:rsidRPr="00710788" w14:paraId="09BE4BCD" w14:textId="77777777" w:rsidTr="0036369D">
        <w:trPr>
          <w:trHeight w:val="205"/>
        </w:trPr>
        <w:tc>
          <w:tcPr>
            <w:tcW w:w="1442" w:type="pct"/>
            <w:tcBorders>
              <w:top w:val="nil"/>
              <w:left w:val="nil"/>
              <w:bottom w:val="nil"/>
              <w:right w:val="nil"/>
            </w:tcBorders>
            <w:noWrap/>
            <w:vAlign w:val="center"/>
            <w:hideMark/>
          </w:tcPr>
          <w:p w14:paraId="77677BCF"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 Nadobud. mínus úbytok nef. </w:t>
            </w:r>
          </w:p>
          <w:p w14:paraId="5805B29A"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 xml:space="preserve">   neproduk. aktív</w:t>
            </w:r>
          </w:p>
        </w:tc>
        <w:tc>
          <w:tcPr>
            <w:tcW w:w="615" w:type="pct"/>
            <w:tcBorders>
              <w:top w:val="nil"/>
              <w:left w:val="nil"/>
              <w:bottom w:val="nil"/>
              <w:right w:val="nil"/>
            </w:tcBorders>
            <w:noWrap/>
            <w:vAlign w:val="center"/>
            <w:hideMark/>
          </w:tcPr>
          <w:p w14:paraId="6DA1A844"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NP</w:t>
            </w:r>
          </w:p>
        </w:tc>
        <w:tc>
          <w:tcPr>
            <w:tcW w:w="602" w:type="pct"/>
            <w:tcBorders>
              <w:top w:val="nil"/>
              <w:left w:val="nil"/>
              <w:bottom w:val="nil"/>
              <w:right w:val="nil"/>
            </w:tcBorders>
            <w:noWrap/>
            <w:vAlign w:val="center"/>
            <w:hideMark/>
          </w:tcPr>
          <w:p w14:paraId="6DC12F3D" w14:textId="32139ED5" w:rsidR="0036369D" w:rsidRPr="00710788" w:rsidRDefault="0036369D" w:rsidP="0036369D">
            <w:pPr>
              <w:spacing w:after="0" w:line="240" w:lineRule="auto"/>
              <w:jc w:val="right"/>
              <w:rPr>
                <w:sz w:val="18"/>
                <w:szCs w:val="18"/>
                <w:highlight w:val="yellow"/>
                <w:lang w:eastAsia="sk-SK"/>
              </w:rPr>
            </w:pPr>
            <w:r>
              <w:rPr>
                <w:sz w:val="18"/>
                <w:szCs w:val="18"/>
              </w:rPr>
              <w:t>27 044</w:t>
            </w:r>
          </w:p>
        </w:tc>
        <w:tc>
          <w:tcPr>
            <w:tcW w:w="601" w:type="pct"/>
            <w:tcBorders>
              <w:top w:val="nil"/>
              <w:left w:val="nil"/>
              <w:bottom w:val="nil"/>
              <w:right w:val="nil"/>
            </w:tcBorders>
            <w:noWrap/>
            <w:vAlign w:val="center"/>
            <w:hideMark/>
          </w:tcPr>
          <w:p w14:paraId="273E1ECA" w14:textId="4C7ECDB7" w:rsidR="0036369D" w:rsidRPr="00710788" w:rsidRDefault="0036369D" w:rsidP="0036369D">
            <w:pPr>
              <w:spacing w:after="0" w:line="240" w:lineRule="auto"/>
              <w:jc w:val="right"/>
              <w:rPr>
                <w:sz w:val="18"/>
                <w:szCs w:val="18"/>
                <w:highlight w:val="yellow"/>
                <w:lang w:eastAsia="sk-SK"/>
              </w:rPr>
            </w:pPr>
            <w:r>
              <w:rPr>
                <w:sz w:val="18"/>
                <w:szCs w:val="18"/>
              </w:rPr>
              <w:t>50 902</w:t>
            </w:r>
          </w:p>
        </w:tc>
        <w:tc>
          <w:tcPr>
            <w:tcW w:w="601" w:type="pct"/>
            <w:tcBorders>
              <w:top w:val="nil"/>
              <w:left w:val="nil"/>
              <w:bottom w:val="nil"/>
              <w:right w:val="nil"/>
            </w:tcBorders>
            <w:noWrap/>
            <w:vAlign w:val="center"/>
            <w:hideMark/>
          </w:tcPr>
          <w:p w14:paraId="152FE6F4"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30 411</w:t>
            </w:r>
          </w:p>
        </w:tc>
        <w:tc>
          <w:tcPr>
            <w:tcW w:w="602" w:type="pct"/>
            <w:tcBorders>
              <w:top w:val="nil"/>
              <w:left w:val="nil"/>
              <w:bottom w:val="nil"/>
              <w:right w:val="nil"/>
            </w:tcBorders>
            <w:noWrap/>
            <w:vAlign w:val="center"/>
            <w:hideMark/>
          </w:tcPr>
          <w:p w14:paraId="69BBE1A0" w14:textId="000247A8" w:rsidR="0036369D" w:rsidRPr="00710788" w:rsidRDefault="0036369D" w:rsidP="0036369D">
            <w:pPr>
              <w:spacing w:after="0" w:line="240" w:lineRule="auto"/>
              <w:jc w:val="right"/>
              <w:rPr>
                <w:sz w:val="18"/>
                <w:szCs w:val="18"/>
                <w:highlight w:val="yellow"/>
                <w:lang w:eastAsia="sk-SK"/>
              </w:rPr>
            </w:pPr>
            <w:r>
              <w:rPr>
                <w:sz w:val="18"/>
                <w:szCs w:val="18"/>
              </w:rPr>
              <w:t>-269</w:t>
            </w:r>
          </w:p>
        </w:tc>
        <w:tc>
          <w:tcPr>
            <w:tcW w:w="537" w:type="pct"/>
            <w:tcBorders>
              <w:top w:val="nil"/>
              <w:left w:val="nil"/>
              <w:bottom w:val="nil"/>
              <w:right w:val="nil"/>
            </w:tcBorders>
            <w:noWrap/>
            <w:vAlign w:val="center"/>
            <w:hideMark/>
          </w:tcPr>
          <w:p w14:paraId="67CB9FCC" w14:textId="3DD0A900" w:rsidR="0036369D" w:rsidRPr="00710788" w:rsidRDefault="0036369D" w:rsidP="0036369D">
            <w:pPr>
              <w:spacing w:after="0" w:line="240" w:lineRule="auto"/>
              <w:jc w:val="right"/>
              <w:rPr>
                <w:sz w:val="18"/>
                <w:szCs w:val="18"/>
                <w:highlight w:val="yellow"/>
                <w:lang w:eastAsia="sk-SK"/>
              </w:rPr>
            </w:pPr>
            <w:r>
              <w:rPr>
                <w:sz w:val="18"/>
                <w:szCs w:val="18"/>
              </w:rPr>
              <w:t>-51 171</w:t>
            </w:r>
          </w:p>
        </w:tc>
      </w:tr>
      <w:tr w:rsidR="0036369D" w:rsidRPr="00710788" w14:paraId="5DF819A9" w14:textId="77777777" w:rsidTr="0036369D">
        <w:trPr>
          <w:trHeight w:val="170"/>
        </w:trPr>
        <w:tc>
          <w:tcPr>
            <w:tcW w:w="1442" w:type="pct"/>
            <w:tcBorders>
              <w:top w:val="nil"/>
              <w:left w:val="nil"/>
              <w:bottom w:val="single" w:sz="4" w:space="0" w:color="auto"/>
              <w:right w:val="nil"/>
            </w:tcBorders>
            <w:noWrap/>
            <w:vAlign w:val="center"/>
            <w:hideMark/>
          </w:tcPr>
          <w:p w14:paraId="646EA028" w14:textId="77777777" w:rsidR="0036369D" w:rsidRPr="00935F92" w:rsidRDefault="0036369D" w:rsidP="0036369D">
            <w:pPr>
              <w:spacing w:after="0" w:line="240" w:lineRule="auto"/>
              <w:rPr>
                <w:color w:val="000000"/>
                <w:sz w:val="18"/>
                <w:szCs w:val="18"/>
                <w:lang w:eastAsia="sk-SK"/>
              </w:rPr>
            </w:pPr>
            <w:r w:rsidRPr="00935F92">
              <w:rPr>
                <w:color w:val="000000"/>
                <w:sz w:val="18"/>
                <w:szCs w:val="18"/>
                <w:lang w:eastAsia="sk-SK"/>
              </w:rPr>
              <w:t>Kapitálové transfery</w:t>
            </w:r>
          </w:p>
        </w:tc>
        <w:tc>
          <w:tcPr>
            <w:tcW w:w="615" w:type="pct"/>
            <w:tcBorders>
              <w:top w:val="nil"/>
              <w:left w:val="nil"/>
              <w:bottom w:val="single" w:sz="4" w:space="0" w:color="auto"/>
              <w:right w:val="nil"/>
            </w:tcBorders>
            <w:noWrap/>
            <w:vAlign w:val="center"/>
            <w:hideMark/>
          </w:tcPr>
          <w:p w14:paraId="03031093" w14:textId="77777777" w:rsidR="0036369D" w:rsidRPr="00935F92" w:rsidRDefault="0036369D" w:rsidP="0036369D">
            <w:pPr>
              <w:spacing w:after="0" w:line="240" w:lineRule="auto"/>
              <w:jc w:val="center"/>
              <w:rPr>
                <w:color w:val="000000"/>
                <w:sz w:val="18"/>
                <w:szCs w:val="18"/>
                <w:lang w:eastAsia="sk-SK"/>
              </w:rPr>
            </w:pPr>
            <w:r w:rsidRPr="00935F92">
              <w:rPr>
                <w:color w:val="000000"/>
                <w:sz w:val="18"/>
                <w:szCs w:val="18"/>
                <w:lang w:eastAsia="sk-SK"/>
              </w:rPr>
              <w:t>D.9P</w:t>
            </w:r>
          </w:p>
        </w:tc>
        <w:tc>
          <w:tcPr>
            <w:tcW w:w="602" w:type="pct"/>
            <w:tcBorders>
              <w:top w:val="nil"/>
              <w:left w:val="nil"/>
              <w:bottom w:val="nil"/>
              <w:right w:val="nil"/>
            </w:tcBorders>
            <w:noWrap/>
            <w:vAlign w:val="center"/>
            <w:hideMark/>
          </w:tcPr>
          <w:p w14:paraId="279F9C6A" w14:textId="15EEFCF8" w:rsidR="0036369D" w:rsidRPr="00710788" w:rsidRDefault="0036369D" w:rsidP="0036369D">
            <w:pPr>
              <w:spacing w:after="0" w:line="240" w:lineRule="auto"/>
              <w:jc w:val="right"/>
              <w:rPr>
                <w:sz w:val="18"/>
                <w:szCs w:val="18"/>
                <w:highlight w:val="yellow"/>
                <w:lang w:eastAsia="sk-SK"/>
              </w:rPr>
            </w:pPr>
            <w:r>
              <w:rPr>
                <w:sz w:val="18"/>
                <w:szCs w:val="18"/>
              </w:rPr>
              <w:t>637 396</w:t>
            </w:r>
          </w:p>
        </w:tc>
        <w:tc>
          <w:tcPr>
            <w:tcW w:w="601" w:type="pct"/>
            <w:tcBorders>
              <w:top w:val="nil"/>
              <w:left w:val="nil"/>
              <w:bottom w:val="nil"/>
              <w:right w:val="nil"/>
            </w:tcBorders>
            <w:noWrap/>
            <w:vAlign w:val="center"/>
            <w:hideMark/>
          </w:tcPr>
          <w:p w14:paraId="31404D27" w14:textId="10B22CB9" w:rsidR="0036369D" w:rsidRPr="00710788" w:rsidRDefault="0036369D" w:rsidP="0036369D">
            <w:pPr>
              <w:spacing w:after="0" w:line="240" w:lineRule="auto"/>
              <w:jc w:val="right"/>
              <w:rPr>
                <w:sz w:val="18"/>
                <w:szCs w:val="18"/>
                <w:highlight w:val="yellow"/>
                <w:lang w:eastAsia="sk-SK"/>
              </w:rPr>
            </w:pPr>
            <w:r>
              <w:rPr>
                <w:sz w:val="18"/>
                <w:szCs w:val="18"/>
              </w:rPr>
              <w:t>1 965 307</w:t>
            </w:r>
          </w:p>
        </w:tc>
        <w:tc>
          <w:tcPr>
            <w:tcW w:w="601" w:type="pct"/>
            <w:tcBorders>
              <w:top w:val="nil"/>
              <w:left w:val="nil"/>
              <w:bottom w:val="nil"/>
              <w:right w:val="nil"/>
            </w:tcBorders>
            <w:noWrap/>
            <w:vAlign w:val="center"/>
            <w:hideMark/>
          </w:tcPr>
          <w:p w14:paraId="0ADC95F5" w14:textId="77777777" w:rsidR="0036369D" w:rsidRPr="00935F92" w:rsidRDefault="0036369D" w:rsidP="0036369D">
            <w:pPr>
              <w:spacing w:after="0" w:line="240" w:lineRule="auto"/>
              <w:jc w:val="right"/>
              <w:rPr>
                <w:sz w:val="18"/>
                <w:szCs w:val="18"/>
                <w:lang w:eastAsia="sk-SK"/>
              </w:rPr>
            </w:pPr>
            <w:r w:rsidRPr="00935F92">
              <w:rPr>
                <w:sz w:val="18"/>
                <w:szCs w:val="18"/>
                <w:lang w:eastAsia="sk-SK"/>
              </w:rPr>
              <w:t>858 846</w:t>
            </w:r>
          </w:p>
        </w:tc>
        <w:tc>
          <w:tcPr>
            <w:tcW w:w="602" w:type="pct"/>
            <w:tcBorders>
              <w:top w:val="nil"/>
              <w:left w:val="nil"/>
              <w:bottom w:val="nil"/>
              <w:right w:val="nil"/>
            </w:tcBorders>
            <w:noWrap/>
            <w:vAlign w:val="center"/>
            <w:hideMark/>
          </w:tcPr>
          <w:p w14:paraId="4B7181BD" w14:textId="00E46F98" w:rsidR="0036369D" w:rsidRPr="00710788" w:rsidRDefault="0036369D" w:rsidP="0036369D">
            <w:pPr>
              <w:spacing w:after="0" w:line="240" w:lineRule="auto"/>
              <w:jc w:val="right"/>
              <w:rPr>
                <w:sz w:val="18"/>
                <w:szCs w:val="18"/>
                <w:highlight w:val="yellow"/>
                <w:lang w:eastAsia="sk-SK"/>
              </w:rPr>
            </w:pPr>
            <w:r>
              <w:rPr>
                <w:sz w:val="18"/>
                <w:szCs w:val="18"/>
              </w:rPr>
              <w:t>581 187</w:t>
            </w:r>
          </w:p>
        </w:tc>
        <w:tc>
          <w:tcPr>
            <w:tcW w:w="537" w:type="pct"/>
            <w:tcBorders>
              <w:top w:val="nil"/>
              <w:left w:val="nil"/>
              <w:bottom w:val="nil"/>
              <w:right w:val="nil"/>
            </w:tcBorders>
            <w:noWrap/>
            <w:vAlign w:val="center"/>
            <w:hideMark/>
          </w:tcPr>
          <w:p w14:paraId="5C8B102B" w14:textId="67D65BEB" w:rsidR="0036369D" w:rsidRPr="00710788" w:rsidRDefault="0036369D" w:rsidP="0036369D">
            <w:pPr>
              <w:spacing w:after="0" w:line="240" w:lineRule="auto"/>
              <w:jc w:val="right"/>
              <w:rPr>
                <w:sz w:val="18"/>
                <w:szCs w:val="18"/>
                <w:highlight w:val="yellow"/>
                <w:lang w:eastAsia="sk-SK"/>
              </w:rPr>
            </w:pPr>
            <w:r>
              <w:rPr>
                <w:sz w:val="18"/>
                <w:szCs w:val="18"/>
              </w:rPr>
              <w:t>-1 384 120</w:t>
            </w:r>
          </w:p>
        </w:tc>
      </w:tr>
      <w:tr w:rsidR="0036369D" w:rsidRPr="00710788" w14:paraId="6B900E7C" w14:textId="77777777" w:rsidTr="0036369D">
        <w:trPr>
          <w:trHeight w:val="218"/>
        </w:trPr>
        <w:tc>
          <w:tcPr>
            <w:tcW w:w="1442" w:type="pct"/>
            <w:tcBorders>
              <w:top w:val="single" w:sz="4" w:space="0" w:color="auto"/>
              <w:left w:val="nil"/>
              <w:bottom w:val="nil"/>
              <w:right w:val="nil"/>
            </w:tcBorders>
            <w:vAlign w:val="center"/>
            <w:hideMark/>
          </w:tcPr>
          <w:p w14:paraId="11FD52A5"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Čisté pôžičky poskytnuté (+) / prijaté (-)</w:t>
            </w:r>
          </w:p>
        </w:tc>
        <w:tc>
          <w:tcPr>
            <w:tcW w:w="615" w:type="pct"/>
            <w:tcBorders>
              <w:top w:val="single" w:sz="4" w:space="0" w:color="auto"/>
              <w:left w:val="nil"/>
              <w:bottom w:val="nil"/>
              <w:right w:val="nil"/>
            </w:tcBorders>
            <w:vAlign w:val="center"/>
            <w:hideMark/>
          </w:tcPr>
          <w:p w14:paraId="3E584D26" w14:textId="77777777" w:rsidR="0036369D" w:rsidRPr="00935F92" w:rsidRDefault="0036369D" w:rsidP="0036369D">
            <w:pPr>
              <w:spacing w:after="0" w:line="240" w:lineRule="auto"/>
              <w:jc w:val="center"/>
              <w:rPr>
                <w:b/>
                <w:bCs/>
                <w:sz w:val="18"/>
                <w:szCs w:val="18"/>
                <w:lang w:eastAsia="sk-SK"/>
              </w:rPr>
            </w:pPr>
            <w:r w:rsidRPr="00935F92">
              <w:rPr>
                <w:b/>
                <w:bCs/>
                <w:sz w:val="18"/>
                <w:szCs w:val="18"/>
                <w:lang w:eastAsia="sk-SK"/>
              </w:rPr>
              <w:t>B.9</w:t>
            </w:r>
          </w:p>
        </w:tc>
        <w:tc>
          <w:tcPr>
            <w:tcW w:w="602" w:type="pct"/>
            <w:tcBorders>
              <w:top w:val="single" w:sz="4" w:space="0" w:color="auto"/>
              <w:left w:val="nil"/>
              <w:bottom w:val="nil"/>
              <w:right w:val="nil"/>
            </w:tcBorders>
            <w:noWrap/>
            <w:vAlign w:val="center"/>
            <w:hideMark/>
          </w:tcPr>
          <w:p w14:paraId="5C947009" w14:textId="2937B355"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-1 719 504</w:t>
            </w:r>
          </w:p>
        </w:tc>
        <w:tc>
          <w:tcPr>
            <w:tcW w:w="601" w:type="pct"/>
            <w:tcBorders>
              <w:top w:val="single" w:sz="4" w:space="0" w:color="auto"/>
              <w:left w:val="nil"/>
              <w:bottom w:val="nil"/>
              <w:right w:val="nil"/>
            </w:tcBorders>
            <w:noWrap/>
            <w:vAlign w:val="center"/>
            <w:hideMark/>
          </w:tcPr>
          <w:p w14:paraId="459B032E" w14:textId="44841C97"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-6 542 106</w:t>
            </w:r>
          </w:p>
        </w:tc>
        <w:tc>
          <w:tcPr>
            <w:tcW w:w="601" w:type="pct"/>
            <w:tcBorders>
              <w:top w:val="single" w:sz="4" w:space="0" w:color="auto"/>
              <w:left w:val="nil"/>
              <w:bottom w:val="nil"/>
              <w:right w:val="nil"/>
            </w:tcBorders>
            <w:noWrap/>
            <w:vAlign w:val="center"/>
            <w:hideMark/>
          </w:tcPr>
          <w:p w14:paraId="66D5C37D" w14:textId="77777777" w:rsidR="0036369D" w:rsidRPr="00935F92" w:rsidRDefault="0036369D" w:rsidP="0036369D">
            <w:pPr>
              <w:spacing w:after="0" w:line="240" w:lineRule="auto"/>
              <w:jc w:val="right"/>
              <w:rPr>
                <w:b/>
                <w:bCs/>
                <w:color w:val="000000"/>
                <w:sz w:val="18"/>
                <w:szCs w:val="18"/>
                <w:lang w:eastAsia="sk-SK"/>
              </w:rPr>
            </w:pPr>
            <w:r w:rsidRPr="00935F92">
              <w:rPr>
                <w:b/>
                <w:bCs/>
                <w:color w:val="000000"/>
                <w:sz w:val="18"/>
                <w:szCs w:val="18"/>
                <w:lang w:eastAsia="sk-SK"/>
              </w:rPr>
              <w:t>-7 840 706</w:t>
            </w:r>
          </w:p>
        </w:tc>
        <w:tc>
          <w:tcPr>
            <w:tcW w:w="602" w:type="pct"/>
            <w:tcBorders>
              <w:top w:val="single" w:sz="4" w:space="0" w:color="auto"/>
              <w:left w:val="nil"/>
              <w:bottom w:val="nil"/>
              <w:right w:val="nil"/>
            </w:tcBorders>
            <w:noWrap/>
            <w:vAlign w:val="center"/>
            <w:hideMark/>
          </w:tcPr>
          <w:p w14:paraId="31B99310" w14:textId="32FC6010"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-7 157 068</w:t>
            </w:r>
          </w:p>
        </w:tc>
        <w:tc>
          <w:tcPr>
            <w:tcW w:w="537" w:type="pct"/>
            <w:tcBorders>
              <w:top w:val="single" w:sz="4" w:space="0" w:color="auto"/>
              <w:left w:val="nil"/>
              <w:bottom w:val="nil"/>
              <w:right w:val="nil"/>
            </w:tcBorders>
            <w:noWrap/>
            <w:vAlign w:val="center"/>
            <w:hideMark/>
          </w:tcPr>
          <w:p w14:paraId="374BA1EF" w14:textId="2CFD27C2"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-614 962</w:t>
            </w:r>
          </w:p>
        </w:tc>
      </w:tr>
      <w:tr w:rsidR="0036369D" w:rsidRPr="00710788" w14:paraId="1183EA73" w14:textId="77777777" w:rsidTr="0036369D">
        <w:trPr>
          <w:trHeight w:val="60"/>
        </w:trPr>
        <w:tc>
          <w:tcPr>
            <w:tcW w:w="1442" w:type="pct"/>
            <w:tcBorders>
              <w:top w:val="nil"/>
              <w:left w:val="nil"/>
              <w:bottom w:val="single" w:sz="4" w:space="0" w:color="auto"/>
              <w:right w:val="nil"/>
            </w:tcBorders>
            <w:noWrap/>
            <w:vAlign w:val="center"/>
            <w:hideMark/>
          </w:tcPr>
          <w:p w14:paraId="1088A1E3"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 HDP</w:t>
            </w:r>
          </w:p>
        </w:tc>
        <w:tc>
          <w:tcPr>
            <w:tcW w:w="615" w:type="pct"/>
            <w:tcBorders>
              <w:top w:val="nil"/>
              <w:left w:val="nil"/>
              <w:bottom w:val="single" w:sz="4" w:space="0" w:color="auto"/>
              <w:right w:val="nil"/>
            </w:tcBorders>
            <w:noWrap/>
            <w:vAlign w:val="center"/>
            <w:hideMark/>
          </w:tcPr>
          <w:p w14:paraId="64B7383C"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 </w:t>
            </w:r>
          </w:p>
        </w:tc>
        <w:tc>
          <w:tcPr>
            <w:tcW w:w="602" w:type="pct"/>
            <w:tcBorders>
              <w:top w:val="nil"/>
              <w:left w:val="nil"/>
              <w:bottom w:val="single" w:sz="4" w:space="0" w:color="auto"/>
              <w:right w:val="nil"/>
            </w:tcBorders>
            <w:noWrap/>
            <w:vAlign w:val="center"/>
            <w:hideMark/>
          </w:tcPr>
          <w:p w14:paraId="63F54D88" w14:textId="74110662"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-1,6</w:t>
            </w:r>
          </w:p>
        </w:tc>
        <w:tc>
          <w:tcPr>
            <w:tcW w:w="601" w:type="pct"/>
            <w:tcBorders>
              <w:top w:val="nil"/>
              <w:left w:val="nil"/>
              <w:bottom w:val="single" w:sz="4" w:space="0" w:color="auto"/>
              <w:right w:val="nil"/>
            </w:tcBorders>
            <w:noWrap/>
            <w:vAlign w:val="center"/>
            <w:hideMark/>
          </w:tcPr>
          <w:p w14:paraId="54AC3E49" w14:textId="3D44F67B"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-5,3</w:t>
            </w:r>
          </w:p>
        </w:tc>
        <w:tc>
          <w:tcPr>
            <w:tcW w:w="601" w:type="pct"/>
            <w:tcBorders>
              <w:top w:val="nil"/>
              <w:left w:val="nil"/>
              <w:bottom w:val="single" w:sz="4" w:space="0" w:color="auto"/>
              <w:right w:val="nil"/>
            </w:tcBorders>
            <w:noWrap/>
            <w:vAlign w:val="center"/>
            <w:hideMark/>
          </w:tcPr>
          <w:p w14:paraId="6EDE553A" w14:textId="77777777" w:rsidR="0036369D" w:rsidRPr="00935F92" w:rsidRDefault="0036369D" w:rsidP="0036369D">
            <w:pPr>
              <w:spacing w:after="0" w:line="240" w:lineRule="auto"/>
              <w:jc w:val="right"/>
              <w:rPr>
                <w:b/>
                <w:bCs/>
                <w:color w:val="000000"/>
                <w:sz w:val="18"/>
                <w:szCs w:val="18"/>
                <w:lang w:eastAsia="sk-SK"/>
              </w:rPr>
            </w:pPr>
            <w:r w:rsidRPr="00935F92">
              <w:rPr>
                <w:b/>
                <w:bCs/>
                <w:color w:val="000000"/>
                <w:sz w:val="18"/>
                <w:szCs w:val="18"/>
                <w:lang w:eastAsia="sk-SK"/>
              </w:rPr>
              <w:t>-6,0</w:t>
            </w:r>
          </w:p>
        </w:tc>
        <w:tc>
          <w:tcPr>
            <w:tcW w:w="602" w:type="pct"/>
            <w:tcBorders>
              <w:top w:val="nil"/>
              <w:left w:val="nil"/>
              <w:bottom w:val="single" w:sz="4" w:space="0" w:color="auto"/>
              <w:right w:val="nil"/>
            </w:tcBorders>
            <w:noWrap/>
            <w:vAlign w:val="center"/>
            <w:hideMark/>
          </w:tcPr>
          <w:p w14:paraId="627882B0" w14:textId="7FE53E65"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-5,5</w:t>
            </w:r>
          </w:p>
        </w:tc>
        <w:tc>
          <w:tcPr>
            <w:tcW w:w="537" w:type="pct"/>
            <w:tcBorders>
              <w:top w:val="nil"/>
              <w:left w:val="nil"/>
              <w:bottom w:val="single" w:sz="4" w:space="0" w:color="auto"/>
              <w:right w:val="nil"/>
            </w:tcBorders>
            <w:noWrap/>
            <w:vAlign w:val="center"/>
            <w:hideMark/>
          </w:tcPr>
          <w:p w14:paraId="443A7414" w14:textId="0A06CFAC"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-0,2</w:t>
            </w:r>
          </w:p>
        </w:tc>
      </w:tr>
      <w:tr w:rsidR="0036369D" w:rsidRPr="002C4859" w14:paraId="674196F7" w14:textId="77777777" w:rsidTr="0036369D">
        <w:trPr>
          <w:trHeight w:val="269"/>
        </w:trPr>
        <w:tc>
          <w:tcPr>
            <w:tcW w:w="1442" w:type="pct"/>
            <w:tcBorders>
              <w:top w:val="nil"/>
              <w:left w:val="nil"/>
              <w:bottom w:val="single" w:sz="4" w:space="0" w:color="auto"/>
              <w:right w:val="nil"/>
            </w:tcBorders>
            <w:noWrap/>
            <w:vAlign w:val="center"/>
            <w:hideMark/>
          </w:tcPr>
          <w:p w14:paraId="0CC606B0"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HDP</w:t>
            </w:r>
          </w:p>
        </w:tc>
        <w:tc>
          <w:tcPr>
            <w:tcW w:w="615" w:type="pct"/>
            <w:tcBorders>
              <w:top w:val="nil"/>
              <w:left w:val="nil"/>
              <w:bottom w:val="single" w:sz="4" w:space="0" w:color="auto"/>
              <w:right w:val="nil"/>
            </w:tcBorders>
            <w:noWrap/>
            <w:vAlign w:val="center"/>
            <w:hideMark/>
          </w:tcPr>
          <w:p w14:paraId="23FB374D" w14:textId="77777777" w:rsidR="0036369D" w:rsidRPr="00935F92" w:rsidRDefault="0036369D" w:rsidP="0036369D">
            <w:pPr>
              <w:spacing w:after="0" w:line="240" w:lineRule="auto"/>
              <w:rPr>
                <w:b/>
                <w:bCs/>
                <w:sz w:val="18"/>
                <w:szCs w:val="18"/>
                <w:lang w:eastAsia="sk-SK"/>
              </w:rPr>
            </w:pPr>
            <w:r w:rsidRPr="00935F92">
              <w:rPr>
                <w:b/>
                <w:bCs/>
                <w:sz w:val="18"/>
                <w:szCs w:val="18"/>
                <w:lang w:eastAsia="sk-SK"/>
              </w:rPr>
              <w:t> </w:t>
            </w:r>
          </w:p>
        </w:tc>
        <w:tc>
          <w:tcPr>
            <w:tcW w:w="602" w:type="pct"/>
            <w:tcBorders>
              <w:top w:val="single" w:sz="4" w:space="0" w:color="auto"/>
              <w:left w:val="nil"/>
              <w:bottom w:val="single" w:sz="4" w:space="0" w:color="auto"/>
              <w:right w:val="nil"/>
            </w:tcBorders>
            <w:noWrap/>
            <w:vAlign w:val="center"/>
            <w:hideMark/>
          </w:tcPr>
          <w:p w14:paraId="778542A3" w14:textId="26986F62"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109 959 757</w:t>
            </w:r>
          </w:p>
        </w:tc>
        <w:tc>
          <w:tcPr>
            <w:tcW w:w="601" w:type="pct"/>
            <w:tcBorders>
              <w:top w:val="single" w:sz="4" w:space="0" w:color="auto"/>
              <w:left w:val="nil"/>
              <w:bottom w:val="single" w:sz="4" w:space="0" w:color="auto"/>
              <w:right w:val="nil"/>
            </w:tcBorders>
            <w:noWrap/>
            <w:vAlign w:val="center"/>
            <w:hideMark/>
          </w:tcPr>
          <w:p w14:paraId="4E5A53DC" w14:textId="2FDDB1D7"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123 538 698</w:t>
            </w:r>
          </w:p>
        </w:tc>
        <w:tc>
          <w:tcPr>
            <w:tcW w:w="601" w:type="pct"/>
            <w:tcBorders>
              <w:top w:val="single" w:sz="4" w:space="0" w:color="auto"/>
              <w:left w:val="nil"/>
              <w:bottom w:val="single" w:sz="4" w:space="0" w:color="auto"/>
              <w:right w:val="nil"/>
            </w:tcBorders>
            <w:noWrap/>
            <w:vAlign w:val="center"/>
            <w:hideMark/>
          </w:tcPr>
          <w:p w14:paraId="7A500772" w14:textId="77777777" w:rsidR="0036369D" w:rsidRPr="00935F92" w:rsidRDefault="0036369D" w:rsidP="0036369D">
            <w:pPr>
              <w:spacing w:after="0" w:line="240" w:lineRule="auto"/>
              <w:jc w:val="right"/>
              <w:rPr>
                <w:b/>
                <w:bCs/>
                <w:color w:val="000000"/>
                <w:sz w:val="18"/>
                <w:szCs w:val="18"/>
                <w:lang w:eastAsia="sk-SK"/>
              </w:rPr>
            </w:pPr>
            <w:r w:rsidRPr="00935F92">
              <w:rPr>
                <w:b/>
                <w:bCs/>
                <w:color w:val="000000"/>
                <w:sz w:val="18"/>
                <w:szCs w:val="18"/>
                <w:lang w:eastAsia="sk-SK"/>
              </w:rPr>
              <w:t>131 335 110</w:t>
            </w:r>
          </w:p>
        </w:tc>
        <w:tc>
          <w:tcPr>
            <w:tcW w:w="602" w:type="pct"/>
            <w:tcBorders>
              <w:top w:val="single" w:sz="4" w:space="0" w:color="auto"/>
              <w:left w:val="nil"/>
              <w:bottom w:val="single" w:sz="4" w:space="0" w:color="auto"/>
              <w:right w:val="nil"/>
            </w:tcBorders>
            <w:noWrap/>
            <w:vAlign w:val="center"/>
            <w:hideMark/>
          </w:tcPr>
          <w:p w14:paraId="6B3A8929" w14:textId="0372E062" w:rsidR="0036369D" w:rsidRPr="00710788" w:rsidRDefault="0036369D" w:rsidP="0036369D">
            <w:pPr>
              <w:spacing w:after="0" w:line="240" w:lineRule="auto"/>
              <w:jc w:val="right"/>
              <w:rPr>
                <w:b/>
                <w:bCs/>
                <w:color w:val="000000"/>
                <w:sz w:val="18"/>
                <w:szCs w:val="18"/>
                <w:highlight w:val="yellow"/>
                <w:lang w:eastAsia="sk-SK"/>
              </w:rPr>
            </w:pPr>
            <w:r>
              <w:rPr>
                <w:b/>
                <w:bCs/>
                <w:color w:val="000000"/>
                <w:sz w:val="18"/>
                <w:szCs w:val="18"/>
              </w:rPr>
              <w:t>130 207 520</w:t>
            </w:r>
          </w:p>
        </w:tc>
        <w:tc>
          <w:tcPr>
            <w:tcW w:w="537" w:type="pct"/>
            <w:tcBorders>
              <w:top w:val="single" w:sz="4" w:space="0" w:color="auto"/>
              <w:left w:val="nil"/>
              <w:bottom w:val="single" w:sz="4" w:space="0" w:color="auto"/>
              <w:right w:val="nil"/>
            </w:tcBorders>
            <w:noWrap/>
            <w:vAlign w:val="center"/>
            <w:hideMark/>
          </w:tcPr>
          <w:p w14:paraId="3FACE7B3" w14:textId="27A01AF3" w:rsidR="0036369D" w:rsidRPr="002C4859" w:rsidRDefault="0036369D" w:rsidP="0036369D">
            <w:pPr>
              <w:spacing w:after="0" w:line="240" w:lineRule="auto"/>
              <w:jc w:val="right"/>
              <w:rPr>
                <w:b/>
                <w:bCs/>
                <w:color w:val="000000"/>
                <w:sz w:val="18"/>
                <w:szCs w:val="18"/>
                <w:lang w:eastAsia="sk-SK"/>
              </w:rPr>
            </w:pPr>
            <w:r>
              <w:rPr>
                <w:b/>
                <w:bCs/>
                <w:color w:val="000000"/>
                <w:sz w:val="18"/>
                <w:szCs w:val="18"/>
              </w:rPr>
              <w:t>6 668 822</w:t>
            </w:r>
          </w:p>
        </w:tc>
      </w:tr>
    </w:tbl>
    <w:p w14:paraId="033E7435" w14:textId="0176222F" w:rsidR="00CE690F" w:rsidRDefault="00935F92" w:rsidP="00935F92">
      <w:pPr>
        <w:spacing w:after="0" w:line="240" w:lineRule="auto"/>
        <w:jc w:val="center"/>
        <w:rPr>
          <w:i/>
          <w:sz w:val="16"/>
          <w:szCs w:val="16"/>
        </w:rPr>
      </w:pPr>
      <w:r>
        <w:rPr>
          <w:i/>
          <w:sz w:val="16"/>
          <w:szCs w:val="16"/>
        </w:rPr>
        <w:t xml:space="preserve"> </w:t>
      </w:r>
      <w:r w:rsidR="00CF0228">
        <w:rPr>
          <w:i/>
          <w:sz w:val="16"/>
          <w:szCs w:val="16"/>
        </w:rPr>
        <w:t xml:space="preserve">* </w:t>
      </w:r>
      <w:r w:rsidR="00677331">
        <w:rPr>
          <w:i/>
          <w:sz w:val="16"/>
          <w:szCs w:val="16"/>
        </w:rPr>
        <w:t>Prípadné r</w:t>
      </w:r>
      <w:r w:rsidR="00CF0228">
        <w:rPr>
          <w:i/>
          <w:sz w:val="16"/>
          <w:szCs w:val="16"/>
        </w:rPr>
        <w:t>ozdiely</w:t>
      </w:r>
      <w:r w:rsidR="00677331">
        <w:rPr>
          <w:i/>
          <w:sz w:val="16"/>
          <w:szCs w:val="16"/>
        </w:rPr>
        <w:t xml:space="preserve"> sú</w:t>
      </w:r>
      <w:r w:rsidR="00CF0228">
        <w:rPr>
          <w:i/>
          <w:sz w:val="16"/>
          <w:szCs w:val="16"/>
        </w:rPr>
        <w:t xml:space="preserve"> spôsobené zaokrúhľovaním.</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sidR="00CE690F" w:rsidRPr="00010A5C">
        <w:rPr>
          <w:iCs/>
          <w:sz w:val="16"/>
          <w:szCs w:val="16"/>
        </w:rPr>
        <w:t>Zdroj: MF SR, ŠÚ SR</w:t>
      </w:r>
    </w:p>
    <w:p w14:paraId="73EF995B" w14:textId="7DB51127" w:rsidR="008D430E" w:rsidRPr="00A87016" w:rsidRDefault="008D430E" w:rsidP="00A87016">
      <w:pPr>
        <w:spacing w:after="0" w:line="240" w:lineRule="auto"/>
        <w:rPr>
          <w:iCs/>
          <w:sz w:val="18"/>
          <w:szCs w:val="18"/>
        </w:rPr>
      </w:pPr>
      <w:r w:rsidRPr="00A87016">
        <w:rPr>
          <w:iCs/>
          <w:sz w:val="16"/>
          <w:szCs w:val="16"/>
          <w:vertAlign w:val="superscript"/>
        </w:rPr>
        <w:t>1)</w:t>
      </w:r>
      <w:r w:rsidRPr="00A87016">
        <w:rPr>
          <w:iCs/>
          <w:sz w:val="16"/>
          <w:szCs w:val="16"/>
        </w:rPr>
        <w:t>Hodnoty za EÚ prostriedky sú uvedené bez zahraničných grantov</w:t>
      </w:r>
    </w:p>
    <w:p w14:paraId="214B910F" w14:textId="77777777" w:rsidR="00812B28" w:rsidRDefault="00812B28" w:rsidP="00AA46C8">
      <w:pPr>
        <w:pStyle w:val="Nadpis3"/>
        <w:numPr>
          <w:ilvl w:val="0"/>
          <w:numId w:val="0"/>
        </w:numPr>
        <w:ind w:left="1800"/>
      </w:pPr>
    </w:p>
    <w:p w14:paraId="16D867CF" w14:textId="20380CB0" w:rsidR="003D050C" w:rsidRPr="00674FDD" w:rsidRDefault="003D050C" w:rsidP="00AA46C8">
      <w:pPr>
        <w:pStyle w:val="Nadpis3"/>
        <w:numPr>
          <w:ilvl w:val="0"/>
          <w:numId w:val="0"/>
        </w:numPr>
        <w:ind w:left="1800"/>
        <w:rPr>
          <w:sz w:val="24"/>
          <w:szCs w:val="24"/>
        </w:rPr>
      </w:pPr>
      <w:bookmarkStart w:id="32" w:name="_Toc212461600"/>
      <w:r w:rsidRPr="00674FDD">
        <w:t>2.1.1.</w:t>
      </w:r>
      <w:r w:rsidR="003F00CD" w:rsidRPr="00674FDD">
        <w:tab/>
      </w:r>
      <w:r w:rsidRPr="00674FDD">
        <w:t>Príjmy verejnej správy</w:t>
      </w:r>
      <w:bookmarkEnd w:id="32"/>
    </w:p>
    <w:p w14:paraId="7CA2E119" w14:textId="6B104E9E" w:rsidR="00045E30" w:rsidRPr="00674FDD" w:rsidRDefault="008B07BD" w:rsidP="008B07BD">
      <w:pPr>
        <w:spacing w:after="120" w:line="240" w:lineRule="auto"/>
        <w:jc w:val="both"/>
        <w:rPr>
          <w:szCs w:val="22"/>
        </w:rPr>
      </w:pPr>
      <w:r w:rsidRPr="00674FDD">
        <w:rPr>
          <w:b/>
          <w:szCs w:val="22"/>
        </w:rPr>
        <w:t>Celkové príjmy rozpočtu verejnej správy v metodike ESA 2010 dosiahli v roku 202</w:t>
      </w:r>
      <w:r w:rsidR="00674FDD" w:rsidRPr="00674FDD">
        <w:rPr>
          <w:b/>
          <w:szCs w:val="22"/>
        </w:rPr>
        <w:t>4</w:t>
      </w:r>
      <w:r w:rsidRPr="00674FDD">
        <w:rPr>
          <w:b/>
          <w:szCs w:val="22"/>
        </w:rPr>
        <w:t xml:space="preserve"> výšku </w:t>
      </w:r>
      <w:r w:rsidR="00BA07FB" w:rsidRPr="00674FDD">
        <w:rPr>
          <w:b/>
          <w:szCs w:val="22"/>
        </w:rPr>
        <w:t>5</w:t>
      </w:r>
      <w:r w:rsidR="00674FDD" w:rsidRPr="00674FDD">
        <w:rPr>
          <w:b/>
          <w:szCs w:val="22"/>
        </w:rPr>
        <w:t>4</w:t>
      </w:r>
      <w:r w:rsidR="00045E30" w:rsidRPr="00674FDD">
        <w:rPr>
          <w:b/>
          <w:szCs w:val="22"/>
        </w:rPr>
        <w:t> </w:t>
      </w:r>
      <w:r w:rsidR="00674FDD" w:rsidRPr="00674FDD">
        <w:rPr>
          <w:b/>
          <w:szCs w:val="22"/>
        </w:rPr>
        <w:t>649</w:t>
      </w:r>
      <w:r w:rsidR="00045E30" w:rsidRPr="00674FDD">
        <w:rPr>
          <w:b/>
          <w:szCs w:val="22"/>
        </w:rPr>
        <w:t> </w:t>
      </w:r>
      <w:r w:rsidR="00674FDD" w:rsidRPr="00674FDD">
        <w:rPr>
          <w:b/>
          <w:szCs w:val="22"/>
        </w:rPr>
        <w:t>290</w:t>
      </w:r>
      <w:r w:rsidR="00045E30" w:rsidRPr="00674FDD">
        <w:rPr>
          <w:b/>
          <w:szCs w:val="22"/>
        </w:rPr>
        <w:t> tis. eur</w:t>
      </w:r>
      <w:r w:rsidR="000851CB">
        <w:rPr>
          <w:b/>
          <w:szCs w:val="22"/>
        </w:rPr>
        <w:t> </w:t>
      </w:r>
      <w:r w:rsidR="00045E30" w:rsidRPr="00674FDD">
        <w:rPr>
          <w:b/>
          <w:szCs w:val="22"/>
        </w:rPr>
        <w:t>(4</w:t>
      </w:r>
      <w:r w:rsidR="00674FDD" w:rsidRPr="00674FDD">
        <w:rPr>
          <w:b/>
          <w:szCs w:val="22"/>
        </w:rPr>
        <w:t>2</w:t>
      </w:r>
      <w:r w:rsidR="00045E30" w:rsidRPr="00674FDD">
        <w:rPr>
          <w:b/>
          <w:szCs w:val="22"/>
        </w:rPr>
        <w:t>,</w:t>
      </w:r>
      <w:r w:rsidR="00674FDD" w:rsidRPr="00674FDD">
        <w:rPr>
          <w:b/>
          <w:szCs w:val="22"/>
        </w:rPr>
        <w:t>0</w:t>
      </w:r>
      <w:r w:rsidR="00045E30" w:rsidRPr="00674FDD">
        <w:rPr>
          <w:b/>
          <w:szCs w:val="22"/>
        </w:rPr>
        <w:t> %</w:t>
      </w:r>
      <w:r w:rsidR="00010A5C">
        <w:rPr>
          <w:b/>
          <w:szCs w:val="22"/>
        </w:rPr>
        <w:t> </w:t>
      </w:r>
      <w:r w:rsidR="00045E30" w:rsidRPr="00674FDD">
        <w:rPr>
          <w:b/>
          <w:szCs w:val="22"/>
        </w:rPr>
        <w:t>HDP)</w:t>
      </w:r>
      <w:r w:rsidR="00045E30" w:rsidRPr="00674FDD">
        <w:rPr>
          <w:szCs w:val="22"/>
        </w:rPr>
        <w:t xml:space="preserve"> a medziročne </w:t>
      </w:r>
      <w:r w:rsidR="001321DE">
        <w:rPr>
          <w:szCs w:val="22"/>
        </w:rPr>
        <w:t>poklesli</w:t>
      </w:r>
      <w:r w:rsidR="00045E30" w:rsidRPr="00674FDD">
        <w:rPr>
          <w:szCs w:val="22"/>
        </w:rPr>
        <w:t xml:space="preserve"> </w:t>
      </w:r>
      <w:r w:rsidR="00C02738" w:rsidRPr="00674FDD">
        <w:rPr>
          <w:szCs w:val="22"/>
        </w:rPr>
        <w:t xml:space="preserve">voči HDP </w:t>
      </w:r>
      <w:r w:rsidR="00045E30" w:rsidRPr="00674FDD">
        <w:rPr>
          <w:szCs w:val="22"/>
        </w:rPr>
        <w:t>o</w:t>
      </w:r>
      <w:r w:rsidR="00677331">
        <w:rPr>
          <w:szCs w:val="22"/>
        </w:rPr>
        <w:t> </w:t>
      </w:r>
      <w:r w:rsidR="00045E30" w:rsidRPr="00674FDD">
        <w:rPr>
          <w:szCs w:val="22"/>
        </w:rPr>
        <w:t>1,</w:t>
      </w:r>
      <w:r w:rsidR="00674FDD" w:rsidRPr="00674FDD">
        <w:rPr>
          <w:szCs w:val="22"/>
        </w:rPr>
        <w:t>0</w:t>
      </w:r>
      <w:r w:rsidR="00045E30" w:rsidRPr="00674FDD">
        <w:rPr>
          <w:szCs w:val="22"/>
        </w:rPr>
        <w:t xml:space="preserve"> p. b., </w:t>
      </w:r>
      <w:r w:rsidR="001321DE" w:rsidRPr="001321DE">
        <w:rPr>
          <w:szCs w:val="22"/>
        </w:rPr>
        <w:t>ale v nominálnej hodnote vzrástli</w:t>
      </w:r>
      <w:r w:rsidR="00045E30" w:rsidRPr="00674FDD">
        <w:rPr>
          <w:szCs w:val="22"/>
        </w:rPr>
        <w:t xml:space="preserve"> o </w:t>
      </w:r>
      <w:r w:rsidR="00674FDD" w:rsidRPr="00674FDD">
        <w:rPr>
          <w:szCs w:val="22"/>
        </w:rPr>
        <w:t>1</w:t>
      </w:r>
      <w:r w:rsidR="00045E30" w:rsidRPr="00674FDD">
        <w:rPr>
          <w:szCs w:val="22"/>
        </w:rPr>
        <w:t> </w:t>
      </w:r>
      <w:r w:rsidR="00674FDD" w:rsidRPr="00674FDD">
        <w:rPr>
          <w:szCs w:val="22"/>
        </w:rPr>
        <w:t>595</w:t>
      </w:r>
      <w:r w:rsidR="00045E30" w:rsidRPr="00674FDD">
        <w:rPr>
          <w:szCs w:val="22"/>
        </w:rPr>
        <w:t> </w:t>
      </w:r>
      <w:r w:rsidR="00674FDD" w:rsidRPr="00674FDD">
        <w:rPr>
          <w:szCs w:val="22"/>
        </w:rPr>
        <w:t>645</w:t>
      </w:r>
      <w:r w:rsidR="00045E30" w:rsidRPr="00674FDD">
        <w:rPr>
          <w:szCs w:val="22"/>
        </w:rPr>
        <w:t> tis. eur.</w:t>
      </w:r>
      <w:r w:rsidR="001321DE" w:rsidRPr="001321DE">
        <w:t xml:space="preserve"> </w:t>
      </w:r>
    </w:p>
    <w:p w14:paraId="1D378DF0" w14:textId="70617573" w:rsidR="00273D06" w:rsidRPr="00273D06" w:rsidRDefault="008B07BD" w:rsidP="00273D06">
      <w:pPr>
        <w:spacing w:after="0" w:line="240" w:lineRule="auto"/>
        <w:jc w:val="both"/>
        <w:rPr>
          <w:szCs w:val="22"/>
        </w:rPr>
      </w:pPr>
      <w:r w:rsidRPr="00273D06">
        <w:rPr>
          <w:szCs w:val="22"/>
        </w:rPr>
        <w:t xml:space="preserve">Nárast dosiahli takmer všetky druhy príjmov, najvýraznejší nárast zaznamenali </w:t>
      </w:r>
      <w:r w:rsidR="001F1397" w:rsidRPr="00273D06">
        <w:rPr>
          <w:szCs w:val="22"/>
        </w:rPr>
        <w:t xml:space="preserve">príjmy </w:t>
      </w:r>
      <w:r w:rsidR="001F1397" w:rsidRPr="009F5875">
        <w:rPr>
          <w:szCs w:val="22"/>
        </w:rPr>
        <w:t>z dan</w:t>
      </w:r>
      <w:r w:rsidR="00812B28">
        <w:rPr>
          <w:szCs w:val="22"/>
        </w:rPr>
        <w:t>e</w:t>
      </w:r>
      <w:r w:rsidR="001F1397" w:rsidRPr="009F5875">
        <w:rPr>
          <w:szCs w:val="22"/>
        </w:rPr>
        <w:t xml:space="preserve"> z príjmov</w:t>
      </w:r>
      <w:r w:rsidR="001F1397" w:rsidRPr="00273D06">
        <w:rPr>
          <w:szCs w:val="22"/>
        </w:rPr>
        <w:t xml:space="preserve"> fyzických osôb – z podnikania a inej samostatne zárobkovej činnosti o 35,4 %, daň z nehnuteľnosti a</w:t>
      </w:r>
      <w:r w:rsidR="00E34AAE">
        <w:rPr>
          <w:szCs w:val="22"/>
        </w:rPr>
        <w:t> </w:t>
      </w:r>
      <w:r w:rsidR="001F1397" w:rsidRPr="00273D06">
        <w:rPr>
          <w:szCs w:val="22"/>
        </w:rPr>
        <w:t>iné</w:t>
      </w:r>
      <w:r w:rsidR="00E34AAE">
        <w:rPr>
          <w:szCs w:val="22"/>
        </w:rPr>
        <w:t xml:space="preserve"> (ide o daň zo stavieb, z pozemkov, z bytov a daň za užívania verejného priestranstva)</w:t>
      </w:r>
      <w:r w:rsidR="001F1397" w:rsidRPr="00273D06">
        <w:rPr>
          <w:szCs w:val="22"/>
        </w:rPr>
        <w:t xml:space="preserve"> o 24,9</w:t>
      </w:r>
      <w:r w:rsidR="00010A5C">
        <w:rPr>
          <w:szCs w:val="22"/>
        </w:rPr>
        <w:t> </w:t>
      </w:r>
      <w:r w:rsidR="001F1397" w:rsidRPr="00273D06">
        <w:rPr>
          <w:szCs w:val="22"/>
        </w:rPr>
        <w:t xml:space="preserve">%, </w:t>
      </w:r>
      <w:r w:rsidR="00273D06" w:rsidRPr="00273D06">
        <w:rPr>
          <w:szCs w:val="22"/>
        </w:rPr>
        <w:t>daň vyberaná zrážkou o 22,9 %, úroky o 19,8 % a príspevky na sociálne zabezpečenie o 10,7 %.</w:t>
      </w:r>
      <w:r w:rsidR="00812B28">
        <w:rPr>
          <w:szCs w:val="22"/>
        </w:rPr>
        <w:t xml:space="preserve"> </w:t>
      </w:r>
      <w:r w:rsidRPr="00273D06">
        <w:rPr>
          <w:szCs w:val="22"/>
        </w:rPr>
        <w:t>Na druhej strane v roku 202</w:t>
      </w:r>
      <w:r w:rsidR="00273D06" w:rsidRPr="00273D06">
        <w:rPr>
          <w:szCs w:val="22"/>
        </w:rPr>
        <w:t>4</w:t>
      </w:r>
      <w:r w:rsidRPr="00273D06">
        <w:rPr>
          <w:szCs w:val="22"/>
        </w:rPr>
        <w:t xml:space="preserve"> došlo k poklesu príjmov </w:t>
      </w:r>
      <w:r w:rsidR="00273D06" w:rsidRPr="00273D06">
        <w:rPr>
          <w:szCs w:val="22"/>
        </w:rPr>
        <w:t>z kapitálových transferov o 62,6 %, ostatných bežných daní z dôchodkov o 34,8</w:t>
      </w:r>
      <w:r w:rsidR="00010A5C">
        <w:rPr>
          <w:szCs w:val="22"/>
        </w:rPr>
        <w:t> </w:t>
      </w:r>
      <w:r w:rsidR="00273D06" w:rsidRPr="00273D06">
        <w:rPr>
          <w:szCs w:val="22"/>
        </w:rPr>
        <w:t>% a ostatných bežných transferov o 15,8 %.</w:t>
      </w:r>
    </w:p>
    <w:p w14:paraId="458681B3" w14:textId="77777777" w:rsidR="000D79E1" w:rsidRPr="00812B28" w:rsidRDefault="000D79E1" w:rsidP="000D79E1">
      <w:pPr>
        <w:spacing w:after="0"/>
        <w:rPr>
          <w:b/>
          <w:color w:val="4F81BD" w:themeColor="accent1"/>
          <w:szCs w:val="22"/>
          <w:highlight w:val="yellow"/>
        </w:rPr>
      </w:pPr>
    </w:p>
    <w:p w14:paraId="5F43ECF7" w14:textId="25FBBCCB" w:rsidR="00151939" w:rsidRPr="000B26C6" w:rsidRDefault="00151939" w:rsidP="00812B28">
      <w:pPr>
        <w:spacing w:after="120"/>
        <w:rPr>
          <w:b/>
          <w:color w:val="4F81BD" w:themeColor="accent1"/>
          <w:sz w:val="24"/>
          <w:szCs w:val="24"/>
        </w:rPr>
      </w:pPr>
      <w:r w:rsidRPr="000B26C6">
        <w:rPr>
          <w:b/>
          <w:color w:val="4F81BD" w:themeColor="accent1"/>
          <w:sz w:val="24"/>
          <w:szCs w:val="24"/>
        </w:rPr>
        <w:t>Daňové a odvodové príjmy</w:t>
      </w:r>
    </w:p>
    <w:p w14:paraId="64ECBA1E" w14:textId="69A55FA8" w:rsidR="0077285F" w:rsidRDefault="000B26C6" w:rsidP="0077285F">
      <w:pPr>
        <w:spacing w:after="120" w:line="240" w:lineRule="auto"/>
        <w:jc w:val="both"/>
        <w:rPr>
          <w:szCs w:val="22"/>
        </w:rPr>
      </w:pPr>
      <w:r w:rsidRPr="001C7A7B">
        <w:rPr>
          <w:szCs w:val="22"/>
        </w:rPr>
        <w:t xml:space="preserve">Daňové a odvodové príjmy v roku 2024 tvorili 85 % všetkých príjmov verejnej správy a oproti roku 2023 vzrástli o 7,1 %. Väčšina daňových príjmov zaznamenala medziročný nárast. Rast daní je výsledkom rastu makroekonomických ukazovateľov a vplyvom nových legislatívnych opatrení. V roku 2024 narástol nominálny </w:t>
      </w:r>
      <w:r w:rsidR="00812B28">
        <w:rPr>
          <w:szCs w:val="22"/>
        </w:rPr>
        <w:t>HDP</w:t>
      </w:r>
      <w:r w:rsidRPr="001C7A7B">
        <w:rPr>
          <w:szCs w:val="22"/>
        </w:rPr>
        <w:t xml:space="preserve"> o 5,4 % (podľa jesennej notifikácie)</w:t>
      </w:r>
      <w:r w:rsidR="009F5875">
        <w:rPr>
          <w:rStyle w:val="Odkaznapoznmkupodiarou"/>
          <w:szCs w:val="22"/>
        </w:rPr>
        <w:footnoteReference w:id="5"/>
      </w:r>
      <w:r w:rsidRPr="001C7A7B">
        <w:rPr>
          <w:szCs w:val="22"/>
        </w:rPr>
        <w:t>, reálny o 2,1 %. Rast miezd na úrovni 6,6</w:t>
      </w:r>
      <w:r w:rsidR="00010A5C">
        <w:rPr>
          <w:szCs w:val="22"/>
        </w:rPr>
        <w:t> </w:t>
      </w:r>
      <w:r w:rsidRPr="001C7A7B">
        <w:rPr>
          <w:szCs w:val="22"/>
        </w:rPr>
        <w:t>% zvýšil príjmy DPFO zo závislej činnosti, sociálnych a zdravotných odvodov. Nárast spotreby domácností o 6,5 % sa pretavil do výrazne vyššieho výberu dan</w:t>
      </w:r>
      <w:r w:rsidR="00FC50DB">
        <w:rPr>
          <w:szCs w:val="22"/>
        </w:rPr>
        <w:t>e</w:t>
      </w:r>
      <w:r w:rsidRPr="001C7A7B">
        <w:rPr>
          <w:szCs w:val="22"/>
        </w:rPr>
        <w:t xml:space="preserve"> z pridanej hodnoty.</w:t>
      </w:r>
    </w:p>
    <w:p w14:paraId="1BF5352F" w14:textId="1C5B1D85" w:rsidR="000B26C6" w:rsidRDefault="000B26C6" w:rsidP="00812B28">
      <w:pPr>
        <w:spacing w:after="0" w:line="240" w:lineRule="auto"/>
        <w:jc w:val="both"/>
        <w:rPr>
          <w:szCs w:val="22"/>
        </w:rPr>
      </w:pPr>
      <w:r w:rsidRPr="001C7A7B">
        <w:rPr>
          <w:szCs w:val="22"/>
        </w:rPr>
        <w:t xml:space="preserve">Silný rast ekonomiky sa neprejavil v plnej miere do rastu daňových príjmov, čo </w:t>
      </w:r>
      <w:r w:rsidR="00FC50DB">
        <w:rPr>
          <w:szCs w:val="22"/>
        </w:rPr>
        <w:t>sa najvýraznejšie ukázalo</w:t>
      </w:r>
      <w:r w:rsidRPr="001C7A7B">
        <w:rPr>
          <w:szCs w:val="22"/>
        </w:rPr>
        <w:t xml:space="preserve"> pri</w:t>
      </w:r>
      <w:r w:rsidR="00010A5C">
        <w:rPr>
          <w:szCs w:val="22"/>
        </w:rPr>
        <w:t> </w:t>
      </w:r>
      <w:r w:rsidRPr="001C7A7B">
        <w:rPr>
          <w:szCs w:val="22"/>
        </w:rPr>
        <w:t>DPH a DPFO zo závislej činnosti. Nové legislatívne opatrenia, ako rozšírenie osobitného odvodu z podnikania v regulovaných odvetviach pre banky, zníženie sadzby odvodu do II. piliera, zvýšenie sadzby zdravotného poistného zamestnávateľa o</w:t>
      </w:r>
      <w:r w:rsidR="00010A5C">
        <w:rPr>
          <w:szCs w:val="22"/>
        </w:rPr>
        <w:t> </w:t>
      </w:r>
      <w:r w:rsidRPr="001C7A7B">
        <w:rPr>
          <w:szCs w:val="22"/>
        </w:rPr>
        <w:t>1</w:t>
      </w:r>
      <w:r w:rsidR="00010A5C">
        <w:rPr>
          <w:szCs w:val="22"/>
        </w:rPr>
        <w:t> </w:t>
      </w:r>
      <w:r w:rsidRPr="001C7A7B">
        <w:rPr>
          <w:szCs w:val="22"/>
        </w:rPr>
        <w:t>p.</w:t>
      </w:r>
      <w:r w:rsidR="00010A5C">
        <w:rPr>
          <w:szCs w:val="22"/>
        </w:rPr>
        <w:t> </w:t>
      </w:r>
      <w:r w:rsidRPr="001C7A7B">
        <w:rPr>
          <w:szCs w:val="22"/>
        </w:rPr>
        <w:t>b. a ďalšie zvýšili príjmy medziročne o viac ako 1,5</w:t>
      </w:r>
      <w:r w:rsidR="00010A5C">
        <w:rPr>
          <w:szCs w:val="22"/>
        </w:rPr>
        <w:t> </w:t>
      </w:r>
      <w:r w:rsidRPr="001C7A7B">
        <w:rPr>
          <w:szCs w:val="22"/>
        </w:rPr>
        <w:t>mld.</w:t>
      </w:r>
      <w:r w:rsidR="00010A5C">
        <w:rPr>
          <w:szCs w:val="22"/>
        </w:rPr>
        <w:t> </w:t>
      </w:r>
      <w:r w:rsidRPr="001C7A7B">
        <w:rPr>
          <w:szCs w:val="22"/>
        </w:rPr>
        <w:t>eur.</w:t>
      </w:r>
    </w:p>
    <w:p w14:paraId="0BDACE61" w14:textId="7DB96CDB" w:rsidR="00A87016" w:rsidRDefault="00A87016" w:rsidP="00D162A9">
      <w:pPr>
        <w:pStyle w:val="Popis"/>
      </w:pPr>
      <w:bookmarkStart w:id="33" w:name="_Toc212124631"/>
      <w:r>
        <w:t xml:space="preserve">Tabuľka </w:t>
      </w:r>
      <w:r w:rsidR="00CA4B84">
        <w:fldChar w:fldCharType="begin"/>
      </w:r>
      <w:r w:rsidR="00CA4B84">
        <w:instrText xml:space="preserve"> SEQ Tabuľka \* ARABIC </w:instrText>
      </w:r>
      <w:r w:rsidR="00CA4B84">
        <w:fldChar w:fldCharType="separate"/>
      </w:r>
      <w:r w:rsidR="00076866">
        <w:rPr>
          <w:noProof/>
        </w:rPr>
        <w:t>10</w:t>
      </w:r>
      <w:r w:rsidR="00CA4B84">
        <w:rPr>
          <w:noProof/>
        </w:rPr>
        <w:fldChar w:fldCharType="end"/>
      </w:r>
      <w:r>
        <w:t xml:space="preserve"> - </w:t>
      </w:r>
      <w:r w:rsidRPr="00BA4DDE">
        <w:t>Daňové a odvodové príjmy ESA 2010</w:t>
      </w:r>
      <w:r>
        <w:t xml:space="preserve"> (v tis. eur)</w:t>
      </w:r>
      <w:bookmarkEnd w:id="33"/>
    </w:p>
    <w:tbl>
      <w:tblPr>
        <w:tblW w:w="5000" w:type="pct"/>
        <w:tblLayout w:type="fixed"/>
        <w:tblCellMar>
          <w:left w:w="70" w:type="dxa"/>
          <w:right w:w="70" w:type="dxa"/>
        </w:tblCellMar>
        <w:tblLook w:val="04A0" w:firstRow="1" w:lastRow="0" w:firstColumn="1" w:lastColumn="0" w:noHBand="0" w:noVBand="1"/>
      </w:tblPr>
      <w:tblGrid>
        <w:gridCol w:w="4579"/>
        <w:gridCol w:w="1193"/>
        <w:gridCol w:w="1193"/>
        <w:gridCol w:w="1193"/>
        <w:gridCol w:w="1337"/>
      </w:tblGrid>
      <w:tr w:rsidR="000B26C6" w:rsidRPr="002C13B8" w14:paraId="07DF3B94" w14:textId="77777777" w:rsidTr="00A87016">
        <w:trPr>
          <w:trHeight w:val="255"/>
        </w:trPr>
        <w:tc>
          <w:tcPr>
            <w:tcW w:w="2411" w:type="pct"/>
            <w:tcBorders>
              <w:top w:val="single" w:sz="4" w:space="0" w:color="auto"/>
              <w:left w:val="nil"/>
              <w:bottom w:val="single" w:sz="4" w:space="0" w:color="auto"/>
              <w:right w:val="nil"/>
            </w:tcBorders>
            <w:noWrap/>
            <w:vAlign w:val="bottom"/>
            <w:hideMark/>
          </w:tcPr>
          <w:p w14:paraId="098FC0F4" w14:textId="77777777" w:rsidR="000B26C6" w:rsidRPr="00CF1A21" w:rsidRDefault="000B26C6" w:rsidP="000B26C6">
            <w:pPr>
              <w:spacing w:after="0" w:line="240" w:lineRule="auto"/>
              <w:rPr>
                <w:color w:val="000000"/>
                <w:sz w:val="20"/>
                <w:szCs w:val="20"/>
                <w:lang w:eastAsia="sk-SK"/>
              </w:rPr>
            </w:pPr>
            <w:r w:rsidRPr="00CF1A21">
              <w:rPr>
                <w:color w:val="000000"/>
                <w:sz w:val="20"/>
                <w:szCs w:val="20"/>
                <w:lang w:eastAsia="sk-SK"/>
              </w:rPr>
              <w:t> </w:t>
            </w:r>
          </w:p>
        </w:tc>
        <w:tc>
          <w:tcPr>
            <w:tcW w:w="628" w:type="pct"/>
            <w:tcBorders>
              <w:top w:val="single" w:sz="4" w:space="0" w:color="auto"/>
              <w:left w:val="nil"/>
              <w:bottom w:val="single" w:sz="4" w:space="0" w:color="auto"/>
              <w:right w:val="nil"/>
            </w:tcBorders>
            <w:noWrap/>
            <w:vAlign w:val="center"/>
          </w:tcPr>
          <w:p w14:paraId="6AE9FD12" w14:textId="77777777" w:rsidR="000B26C6" w:rsidRPr="00CF1A21" w:rsidRDefault="000B26C6" w:rsidP="000B26C6">
            <w:pPr>
              <w:spacing w:after="0" w:line="240" w:lineRule="auto"/>
              <w:jc w:val="center"/>
              <w:rPr>
                <w:b/>
                <w:bCs/>
                <w:color w:val="000000"/>
                <w:sz w:val="20"/>
                <w:szCs w:val="20"/>
                <w:lang w:eastAsia="sk-SK"/>
              </w:rPr>
            </w:pPr>
            <w:r w:rsidRPr="00CF1A21">
              <w:rPr>
                <w:b/>
                <w:bCs/>
                <w:color w:val="000000"/>
                <w:sz w:val="20"/>
                <w:szCs w:val="20"/>
                <w:lang w:eastAsia="sk-SK"/>
              </w:rPr>
              <w:t>202</w:t>
            </w:r>
            <w:r>
              <w:rPr>
                <w:b/>
                <w:bCs/>
                <w:color w:val="000000"/>
                <w:sz w:val="20"/>
                <w:szCs w:val="20"/>
                <w:lang w:eastAsia="sk-SK"/>
              </w:rPr>
              <w:t>2</w:t>
            </w:r>
          </w:p>
        </w:tc>
        <w:tc>
          <w:tcPr>
            <w:tcW w:w="628" w:type="pct"/>
            <w:tcBorders>
              <w:top w:val="single" w:sz="4" w:space="0" w:color="auto"/>
              <w:left w:val="nil"/>
              <w:bottom w:val="single" w:sz="4" w:space="0" w:color="auto"/>
              <w:right w:val="nil"/>
            </w:tcBorders>
            <w:noWrap/>
            <w:vAlign w:val="center"/>
          </w:tcPr>
          <w:p w14:paraId="2D9E90BA" w14:textId="77777777" w:rsidR="000B26C6" w:rsidRPr="00CF1A21" w:rsidRDefault="000B26C6" w:rsidP="000B26C6">
            <w:pPr>
              <w:spacing w:after="0" w:line="240" w:lineRule="auto"/>
              <w:jc w:val="center"/>
              <w:rPr>
                <w:b/>
                <w:bCs/>
                <w:color w:val="000000"/>
                <w:sz w:val="20"/>
                <w:szCs w:val="20"/>
                <w:lang w:eastAsia="sk-SK"/>
              </w:rPr>
            </w:pPr>
            <w:r w:rsidRPr="00CF1A21">
              <w:rPr>
                <w:b/>
                <w:bCs/>
                <w:color w:val="000000"/>
                <w:sz w:val="20"/>
                <w:szCs w:val="20"/>
                <w:lang w:eastAsia="sk-SK"/>
              </w:rPr>
              <w:t>202</w:t>
            </w:r>
            <w:r>
              <w:rPr>
                <w:b/>
                <w:bCs/>
                <w:color w:val="000000"/>
                <w:sz w:val="20"/>
                <w:szCs w:val="20"/>
                <w:lang w:eastAsia="sk-SK"/>
              </w:rPr>
              <w:t>3</w:t>
            </w:r>
          </w:p>
        </w:tc>
        <w:tc>
          <w:tcPr>
            <w:tcW w:w="628" w:type="pct"/>
            <w:tcBorders>
              <w:top w:val="single" w:sz="4" w:space="0" w:color="auto"/>
              <w:left w:val="nil"/>
              <w:bottom w:val="single" w:sz="4" w:space="0" w:color="auto"/>
              <w:right w:val="nil"/>
            </w:tcBorders>
            <w:noWrap/>
            <w:vAlign w:val="center"/>
          </w:tcPr>
          <w:p w14:paraId="37230CB5" w14:textId="77777777" w:rsidR="000B26C6" w:rsidRPr="00CF1A21" w:rsidRDefault="000B26C6" w:rsidP="000B26C6">
            <w:pPr>
              <w:spacing w:after="0" w:line="240" w:lineRule="auto"/>
              <w:jc w:val="center"/>
              <w:rPr>
                <w:b/>
                <w:bCs/>
                <w:color w:val="000000"/>
                <w:sz w:val="20"/>
                <w:szCs w:val="20"/>
                <w:lang w:eastAsia="sk-SK"/>
              </w:rPr>
            </w:pPr>
            <w:r w:rsidRPr="00CF1A21">
              <w:rPr>
                <w:b/>
                <w:bCs/>
                <w:color w:val="000000"/>
                <w:sz w:val="20"/>
                <w:szCs w:val="20"/>
                <w:lang w:eastAsia="sk-SK"/>
              </w:rPr>
              <w:t>202</w:t>
            </w:r>
            <w:r>
              <w:rPr>
                <w:b/>
                <w:bCs/>
                <w:color w:val="000000"/>
                <w:sz w:val="20"/>
                <w:szCs w:val="20"/>
                <w:lang w:eastAsia="sk-SK"/>
              </w:rPr>
              <w:t>4</w:t>
            </w:r>
          </w:p>
        </w:tc>
        <w:tc>
          <w:tcPr>
            <w:tcW w:w="704" w:type="pct"/>
            <w:tcBorders>
              <w:top w:val="single" w:sz="4" w:space="0" w:color="auto"/>
              <w:left w:val="nil"/>
              <w:bottom w:val="single" w:sz="4" w:space="0" w:color="auto"/>
              <w:right w:val="nil"/>
            </w:tcBorders>
            <w:noWrap/>
            <w:vAlign w:val="center"/>
            <w:hideMark/>
          </w:tcPr>
          <w:p w14:paraId="56AB4D20" w14:textId="77777777" w:rsidR="000B26C6" w:rsidRPr="00CF1A21" w:rsidRDefault="000B26C6" w:rsidP="000B26C6">
            <w:pPr>
              <w:spacing w:after="0" w:line="240" w:lineRule="auto"/>
              <w:jc w:val="center"/>
              <w:rPr>
                <w:b/>
                <w:bCs/>
                <w:color w:val="000000"/>
                <w:sz w:val="20"/>
                <w:szCs w:val="20"/>
                <w:lang w:eastAsia="sk-SK"/>
              </w:rPr>
            </w:pPr>
            <w:r w:rsidRPr="00CF1A21">
              <w:rPr>
                <w:b/>
                <w:bCs/>
                <w:color w:val="000000"/>
                <w:sz w:val="20"/>
                <w:szCs w:val="20"/>
                <w:lang w:eastAsia="sk-SK"/>
              </w:rPr>
              <w:t>202</w:t>
            </w:r>
            <w:r>
              <w:rPr>
                <w:b/>
                <w:bCs/>
                <w:color w:val="000000"/>
                <w:sz w:val="20"/>
                <w:szCs w:val="20"/>
                <w:lang w:eastAsia="sk-SK"/>
              </w:rPr>
              <w:t>4</w:t>
            </w:r>
            <w:r w:rsidRPr="00CF1A21">
              <w:rPr>
                <w:b/>
                <w:bCs/>
                <w:color w:val="000000"/>
                <w:sz w:val="20"/>
                <w:szCs w:val="20"/>
                <w:lang w:eastAsia="sk-SK"/>
              </w:rPr>
              <w:t>/202</w:t>
            </w:r>
            <w:r>
              <w:rPr>
                <w:b/>
                <w:bCs/>
                <w:color w:val="000000"/>
                <w:sz w:val="20"/>
                <w:szCs w:val="20"/>
                <w:lang w:eastAsia="sk-SK"/>
              </w:rPr>
              <w:t>3</w:t>
            </w:r>
          </w:p>
          <w:p w14:paraId="04BAA882" w14:textId="77777777" w:rsidR="000B26C6" w:rsidRPr="00CF1A21" w:rsidRDefault="000B26C6" w:rsidP="000B26C6">
            <w:pPr>
              <w:spacing w:after="0" w:line="240" w:lineRule="auto"/>
              <w:jc w:val="center"/>
              <w:rPr>
                <w:b/>
                <w:bCs/>
                <w:color w:val="000000"/>
                <w:sz w:val="20"/>
                <w:szCs w:val="20"/>
                <w:lang w:eastAsia="sk-SK"/>
              </w:rPr>
            </w:pPr>
            <w:r w:rsidRPr="00CF1A21">
              <w:rPr>
                <w:b/>
                <w:bCs/>
                <w:color w:val="000000"/>
                <w:sz w:val="20"/>
                <w:szCs w:val="20"/>
                <w:lang w:eastAsia="sk-SK"/>
              </w:rPr>
              <w:t>(v %)</w:t>
            </w:r>
          </w:p>
        </w:tc>
      </w:tr>
      <w:tr w:rsidR="000B26C6" w:rsidRPr="002C13B8" w14:paraId="68DA69DC" w14:textId="77777777" w:rsidTr="00A87016">
        <w:trPr>
          <w:trHeight w:val="270"/>
        </w:trPr>
        <w:tc>
          <w:tcPr>
            <w:tcW w:w="2411" w:type="pct"/>
            <w:tcBorders>
              <w:top w:val="nil"/>
              <w:left w:val="nil"/>
              <w:bottom w:val="nil"/>
              <w:right w:val="nil"/>
            </w:tcBorders>
            <w:noWrap/>
            <w:vAlign w:val="center"/>
            <w:hideMark/>
          </w:tcPr>
          <w:p w14:paraId="19FD40A9" w14:textId="77777777" w:rsidR="000B26C6" w:rsidRPr="00CF1A21" w:rsidRDefault="000B26C6" w:rsidP="000B26C6">
            <w:pPr>
              <w:spacing w:after="0" w:line="240" w:lineRule="auto"/>
              <w:rPr>
                <w:b/>
                <w:bCs/>
                <w:color w:val="000000"/>
                <w:sz w:val="18"/>
                <w:szCs w:val="18"/>
                <w:lang w:eastAsia="sk-SK"/>
              </w:rPr>
            </w:pPr>
            <w:r w:rsidRPr="00CF1A21">
              <w:rPr>
                <w:b/>
                <w:bCs/>
                <w:color w:val="000000"/>
                <w:sz w:val="18"/>
                <w:szCs w:val="18"/>
                <w:lang w:eastAsia="sk-SK"/>
              </w:rPr>
              <w:t>Daňové a odvodové príjmy VS</w:t>
            </w:r>
          </w:p>
        </w:tc>
        <w:tc>
          <w:tcPr>
            <w:tcW w:w="628" w:type="pct"/>
            <w:tcBorders>
              <w:top w:val="nil"/>
              <w:left w:val="nil"/>
              <w:bottom w:val="nil"/>
              <w:right w:val="nil"/>
            </w:tcBorders>
            <w:noWrap/>
            <w:vAlign w:val="center"/>
          </w:tcPr>
          <w:p w14:paraId="23A64719" w14:textId="77777777" w:rsidR="000B26C6" w:rsidRPr="00592BC6" w:rsidRDefault="000B26C6" w:rsidP="000B26C6">
            <w:pPr>
              <w:spacing w:after="0" w:line="240" w:lineRule="auto"/>
              <w:jc w:val="right"/>
              <w:rPr>
                <w:b/>
                <w:bCs/>
                <w:color w:val="000000"/>
                <w:sz w:val="18"/>
                <w:szCs w:val="18"/>
                <w:highlight w:val="yellow"/>
                <w:lang w:eastAsia="sk-SK"/>
              </w:rPr>
            </w:pPr>
            <w:r>
              <w:rPr>
                <w:b/>
                <w:bCs/>
                <w:sz w:val="18"/>
                <w:szCs w:val="18"/>
              </w:rPr>
              <w:t>38 982 506</w:t>
            </w:r>
          </w:p>
        </w:tc>
        <w:tc>
          <w:tcPr>
            <w:tcW w:w="628" w:type="pct"/>
            <w:tcBorders>
              <w:top w:val="nil"/>
              <w:left w:val="nil"/>
              <w:bottom w:val="nil"/>
              <w:right w:val="nil"/>
            </w:tcBorders>
            <w:noWrap/>
            <w:vAlign w:val="center"/>
          </w:tcPr>
          <w:p w14:paraId="3D024A4C" w14:textId="77777777" w:rsidR="000B26C6" w:rsidRPr="00592BC6" w:rsidRDefault="000B26C6" w:rsidP="000B26C6">
            <w:pPr>
              <w:spacing w:after="0" w:line="240" w:lineRule="auto"/>
              <w:jc w:val="right"/>
              <w:rPr>
                <w:b/>
                <w:bCs/>
                <w:color w:val="000000"/>
                <w:sz w:val="18"/>
                <w:szCs w:val="18"/>
                <w:highlight w:val="yellow"/>
                <w:lang w:eastAsia="sk-SK"/>
              </w:rPr>
            </w:pPr>
            <w:r>
              <w:rPr>
                <w:b/>
                <w:bCs/>
                <w:sz w:val="18"/>
                <w:szCs w:val="18"/>
              </w:rPr>
              <w:t>43 534 806</w:t>
            </w:r>
          </w:p>
        </w:tc>
        <w:tc>
          <w:tcPr>
            <w:tcW w:w="628" w:type="pct"/>
            <w:tcBorders>
              <w:top w:val="nil"/>
              <w:left w:val="nil"/>
              <w:bottom w:val="nil"/>
              <w:right w:val="nil"/>
            </w:tcBorders>
            <w:noWrap/>
            <w:vAlign w:val="center"/>
          </w:tcPr>
          <w:p w14:paraId="1BE912A3" w14:textId="77777777" w:rsidR="000B26C6" w:rsidRPr="00592BC6" w:rsidRDefault="000B26C6" w:rsidP="000B26C6">
            <w:pPr>
              <w:spacing w:after="0" w:line="240" w:lineRule="auto"/>
              <w:jc w:val="right"/>
              <w:rPr>
                <w:b/>
                <w:bCs/>
                <w:sz w:val="18"/>
                <w:szCs w:val="18"/>
                <w:highlight w:val="yellow"/>
                <w:lang w:eastAsia="sk-SK"/>
              </w:rPr>
            </w:pPr>
            <w:r>
              <w:rPr>
                <w:b/>
                <w:bCs/>
                <w:sz w:val="18"/>
                <w:szCs w:val="18"/>
              </w:rPr>
              <w:t>46 640 119</w:t>
            </w:r>
          </w:p>
        </w:tc>
        <w:tc>
          <w:tcPr>
            <w:tcW w:w="704" w:type="pct"/>
            <w:tcBorders>
              <w:top w:val="nil"/>
              <w:left w:val="nil"/>
              <w:bottom w:val="nil"/>
              <w:right w:val="nil"/>
            </w:tcBorders>
            <w:noWrap/>
            <w:vAlign w:val="center"/>
          </w:tcPr>
          <w:p w14:paraId="577CC690" w14:textId="77777777" w:rsidR="000B26C6" w:rsidRPr="00592BC6" w:rsidRDefault="000B26C6" w:rsidP="000B26C6">
            <w:pPr>
              <w:spacing w:after="0" w:line="240" w:lineRule="auto"/>
              <w:jc w:val="center"/>
              <w:rPr>
                <w:b/>
                <w:bCs/>
                <w:sz w:val="18"/>
                <w:szCs w:val="18"/>
                <w:highlight w:val="yellow"/>
                <w:lang w:eastAsia="sk-SK"/>
              </w:rPr>
            </w:pPr>
            <w:r>
              <w:rPr>
                <w:b/>
                <w:bCs/>
                <w:color w:val="000000"/>
                <w:sz w:val="18"/>
                <w:szCs w:val="18"/>
              </w:rPr>
              <w:t>7,1</w:t>
            </w:r>
          </w:p>
        </w:tc>
      </w:tr>
      <w:tr w:rsidR="000B26C6" w:rsidRPr="002C13B8" w14:paraId="441E1452" w14:textId="77777777" w:rsidTr="00A87016">
        <w:trPr>
          <w:trHeight w:val="255"/>
        </w:trPr>
        <w:tc>
          <w:tcPr>
            <w:tcW w:w="2411" w:type="pct"/>
            <w:tcBorders>
              <w:top w:val="nil"/>
              <w:left w:val="nil"/>
              <w:bottom w:val="single" w:sz="4" w:space="0" w:color="auto"/>
              <w:right w:val="nil"/>
            </w:tcBorders>
            <w:noWrap/>
            <w:vAlign w:val="center"/>
            <w:hideMark/>
          </w:tcPr>
          <w:p w14:paraId="1E1C1E2D" w14:textId="77777777" w:rsidR="000B26C6" w:rsidRPr="00CF1A21" w:rsidRDefault="000B26C6" w:rsidP="000B26C6">
            <w:pPr>
              <w:spacing w:after="0" w:line="240" w:lineRule="auto"/>
              <w:ind w:firstLineChars="100" w:firstLine="180"/>
              <w:rPr>
                <w:color w:val="000000"/>
                <w:sz w:val="18"/>
                <w:szCs w:val="18"/>
                <w:lang w:eastAsia="sk-SK"/>
              </w:rPr>
            </w:pPr>
            <w:r w:rsidRPr="00CF1A21">
              <w:rPr>
                <w:color w:val="000000"/>
                <w:sz w:val="18"/>
                <w:szCs w:val="18"/>
                <w:lang w:eastAsia="sk-SK"/>
              </w:rPr>
              <w:t>v % HDP (daňová kvóta 2)</w:t>
            </w:r>
            <w:r>
              <w:rPr>
                <w:color w:val="000000"/>
                <w:sz w:val="18"/>
                <w:szCs w:val="18"/>
                <w:lang w:eastAsia="sk-SK"/>
              </w:rPr>
              <w:t xml:space="preserve"> (podľa jesennej notifikácie)</w:t>
            </w:r>
          </w:p>
        </w:tc>
        <w:tc>
          <w:tcPr>
            <w:tcW w:w="628" w:type="pct"/>
            <w:tcBorders>
              <w:top w:val="nil"/>
              <w:left w:val="nil"/>
              <w:bottom w:val="single" w:sz="4" w:space="0" w:color="auto"/>
              <w:right w:val="nil"/>
            </w:tcBorders>
            <w:noWrap/>
            <w:vAlign w:val="center"/>
          </w:tcPr>
          <w:p w14:paraId="37BE647D" w14:textId="77777777" w:rsidR="000B26C6" w:rsidRPr="00592BC6" w:rsidRDefault="000B26C6" w:rsidP="000B26C6">
            <w:pPr>
              <w:spacing w:after="0" w:line="240" w:lineRule="auto"/>
              <w:jc w:val="right"/>
              <w:rPr>
                <w:color w:val="FF0000"/>
                <w:sz w:val="18"/>
                <w:szCs w:val="18"/>
                <w:highlight w:val="yellow"/>
                <w:lang w:eastAsia="sk-SK"/>
              </w:rPr>
            </w:pPr>
            <w:r>
              <w:rPr>
                <w:color w:val="000000"/>
                <w:sz w:val="18"/>
                <w:szCs w:val="18"/>
              </w:rPr>
              <w:t>35,45</w:t>
            </w:r>
          </w:p>
        </w:tc>
        <w:tc>
          <w:tcPr>
            <w:tcW w:w="628" w:type="pct"/>
            <w:tcBorders>
              <w:top w:val="nil"/>
              <w:left w:val="nil"/>
              <w:bottom w:val="single" w:sz="4" w:space="0" w:color="auto"/>
              <w:right w:val="nil"/>
            </w:tcBorders>
            <w:noWrap/>
            <w:vAlign w:val="center"/>
          </w:tcPr>
          <w:p w14:paraId="1E21D578" w14:textId="77777777" w:rsidR="000B26C6" w:rsidRPr="00592BC6" w:rsidRDefault="000B26C6" w:rsidP="000B26C6">
            <w:pPr>
              <w:spacing w:after="0" w:line="240" w:lineRule="auto"/>
              <w:jc w:val="right"/>
              <w:rPr>
                <w:color w:val="FF0000"/>
                <w:sz w:val="18"/>
                <w:szCs w:val="18"/>
                <w:highlight w:val="yellow"/>
                <w:lang w:eastAsia="sk-SK"/>
              </w:rPr>
            </w:pPr>
            <w:r>
              <w:rPr>
                <w:color w:val="000000"/>
                <w:sz w:val="18"/>
                <w:szCs w:val="18"/>
              </w:rPr>
              <w:t>35,24</w:t>
            </w:r>
          </w:p>
        </w:tc>
        <w:tc>
          <w:tcPr>
            <w:tcW w:w="628" w:type="pct"/>
            <w:tcBorders>
              <w:top w:val="nil"/>
              <w:left w:val="nil"/>
              <w:bottom w:val="single" w:sz="4" w:space="0" w:color="auto"/>
              <w:right w:val="nil"/>
            </w:tcBorders>
            <w:noWrap/>
            <w:vAlign w:val="center"/>
          </w:tcPr>
          <w:p w14:paraId="13073011" w14:textId="77777777" w:rsidR="000B26C6" w:rsidRPr="00592BC6" w:rsidRDefault="000B26C6" w:rsidP="000B26C6">
            <w:pPr>
              <w:spacing w:after="0" w:line="240" w:lineRule="auto"/>
              <w:jc w:val="right"/>
              <w:rPr>
                <w:color w:val="FF0000"/>
                <w:sz w:val="18"/>
                <w:szCs w:val="18"/>
                <w:highlight w:val="yellow"/>
                <w:lang w:eastAsia="sk-SK"/>
              </w:rPr>
            </w:pPr>
            <w:r>
              <w:rPr>
                <w:color w:val="000000"/>
                <w:sz w:val="18"/>
                <w:szCs w:val="18"/>
              </w:rPr>
              <w:t>35,82</w:t>
            </w:r>
          </w:p>
        </w:tc>
        <w:tc>
          <w:tcPr>
            <w:tcW w:w="704" w:type="pct"/>
            <w:tcBorders>
              <w:top w:val="nil"/>
              <w:left w:val="nil"/>
              <w:bottom w:val="single" w:sz="4" w:space="0" w:color="auto"/>
              <w:right w:val="nil"/>
            </w:tcBorders>
            <w:noWrap/>
            <w:vAlign w:val="center"/>
          </w:tcPr>
          <w:p w14:paraId="15CBBCFE"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 </w:t>
            </w:r>
          </w:p>
        </w:tc>
      </w:tr>
      <w:tr w:rsidR="000B26C6" w:rsidRPr="002C13B8" w14:paraId="42405B6B" w14:textId="77777777" w:rsidTr="00A87016">
        <w:trPr>
          <w:trHeight w:val="270"/>
        </w:trPr>
        <w:tc>
          <w:tcPr>
            <w:tcW w:w="2411" w:type="pct"/>
            <w:tcBorders>
              <w:top w:val="nil"/>
              <w:left w:val="nil"/>
              <w:bottom w:val="nil"/>
              <w:right w:val="nil"/>
            </w:tcBorders>
            <w:noWrap/>
            <w:vAlign w:val="center"/>
            <w:hideMark/>
          </w:tcPr>
          <w:p w14:paraId="50FE6288" w14:textId="77777777" w:rsidR="000B26C6" w:rsidRPr="00CF1A21" w:rsidRDefault="000B26C6" w:rsidP="000B26C6">
            <w:pPr>
              <w:spacing w:after="0" w:line="240" w:lineRule="auto"/>
              <w:rPr>
                <w:b/>
                <w:bCs/>
                <w:color w:val="000000"/>
                <w:sz w:val="18"/>
                <w:szCs w:val="18"/>
                <w:lang w:eastAsia="sk-SK"/>
              </w:rPr>
            </w:pPr>
            <w:r w:rsidRPr="00CF1A21">
              <w:rPr>
                <w:b/>
                <w:bCs/>
                <w:color w:val="000000"/>
                <w:sz w:val="18"/>
                <w:szCs w:val="18"/>
                <w:lang w:eastAsia="sk-SK"/>
              </w:rPr>
              <w:t>Dane z produkcie a dovozu</w:t>
            </w:r>
          </w:p>
        </w:tc>
        <w:tc>
          <w:tcPr>
            <w:tcW w:w="628" w:type="pct"/>
            <w:tcBorders>
              <w:top w:val="nil"/>
              <w:left w:val="nil"/>
              <w:bottom w:val="nil"/>
              <w:right w:val="nil"/>
            </w:tcBorders>
            <w:noWrap/>
            <w:vAlign w:val="center"/>
          </w:tcPr>
          <w:p w14:paraId="4A16E5F4" w14:textId="77777777" w:rsidR="000B26C6" w:rsidRPr="00592BC6" w:rsidRDefault="000B26C6" w:rsidP="000B26C6">
            <w:pPr>
              <w:spacing w:after="0" w:line="240" w:lineRule="auto"/>
              <w:jc w:val="right"/>
              <w:rPr>
                <w:b/>
                <w:bCs/>
                <w:sz w:val="18"/>
                <w:szCs w:val="18"/>
                <w:highlight w:val="yellow"/>
                <w:lang w:eastAsia="sk-SK"/>
              </w:rPr>
            </w:pPr>
            <w:r>
              <w:rPr>
                <w:b/>
                <w:bCs/>
                <w:sz w:val="18"/>
                <w:szCs w:val="18"/>
              </w:rPr>
              <w:t>13 220 902</w:t>
            </w:r>
          </w:p>
        </w:tc>
        <w:tc>
          <w:tcPr>
            <w:tcW w:w="628" w:type="pct"/>
            <w:tcBorders>
              <w:top w:val="nil"/>
              <w:left w:val="nil"/>
              <w:bottom w:val="nil"/>
              <w:right w:val="nil"/>
            </w:tcBorders>
            <w:noWrap/>
            <w:vAlign w:val="center"/>
          </w:tcPr>
          <w:p w14:paraId="6B80A6B7" w14:textId="77777777" w:rsidR="000B26C6" w:rsidRPr="00592BC6" w:rsidRDefault="000B26C6" w:rsidP="000B26C6">
            <w:pPr>
              <w:spacing w:after="0" w:line="240" w:lineRule="auto"/>
              <w:jc w:val="right"/>
              <w:rPr>
                <w:b/>
                <w:bCs/>
                <w:color w:val="FF0000"/>
                <w:sz w:val="18"/>
                <w:szCs w:val="18"/>
                <w:highlight w:val="yellow"/>
                <w:lang w:eastAsia="sk-SK"/>
              </w:rPr>
            </w:pPr>
            <w:r>
              <w:rPr>
                <w:b/>
                <w:bCs/>
                <w:sz w:val="18"/>
                <w:szCs w:val="18"/>
              </w:rPr>
              <w:t>14 854 634</w:t>
            </w:r>
          </w:p>
        </w:tc>
        <w:tc>
          <w:tcPr>
            <w:tcW w:w="628" w:type="pct"/>
            <w:tcBorders>
              <w:top w:val="nil"/>
              <w:left w:val="nil"/>
              <w:bottom w:val="nil"/>
              <w:right w:val="nil"/>
            </w:tcBorders>
            <w:noWrap/>
            <w:vAlign w:val="center"/>
          </w:tcPr>
          <w:p w14:paraId="4188BBF5" w14:textId="77777777" w:rsidR="000B26C6" w:rsidRPr="00592BC6" w:rsidRDefault="000B26C6" w:rsidP="000B26C6">
            <w:pPr>
              <w:spacing w:after="0" w:line="240" w:lineRule="auto"/>
              <w:jc w:val="right"/>
              <w:rPr>
                <w:b/>
                <w:bCs/>
                <w:sz w:val="18"/>
                <w:szCs w:val="18"/>
                <w:highlight w:val="yellow"/>
                <w:lang w:eastAsia="sk-SK"/>
              </w:rPr>
            </w:pPr>
            <w:r>
              <w:rPr>
                <w:b/>
                <w:bCs/>
                <w:sz w:val="18"/>
                <w:szCs w:val="18"/>
              </w:rPr>
              <w:t>15 147 175</w:t>
            </w:r>
          </w:p>
        </w:tc>
        <w:tc>
          <w:tcPr>
            <w:tcW w:w="704" w:type="pct"/>
            <w:tcBorders>
              <w:top w:val="nil"/>
              <w:left w:val="nil"/>
              <w:bottom w:val="nil"/>
              <w:right w:val="nil"/>
            </w:tcBorders>
            <w:noWrap/>
            <w:vAlign w:val="center"/>
          </w:tcPr>
          <w:p w14:paraId="359F7B0C" w14:textId="77777777" w:rsidR="000B26C6" w:rsidRPr="00592BC6" w:rsidRDefault="000B26C6" w:rsidP="000B26C6">
            <w:pPr>
              <w:spacing w:after="0" w:line="240" w:lineRule="auto"/>
              <w:jc w:val="center"/>
              <w:rPr>
                <w:b/>
                <w:bCs/>
                <w:sz w:val="18"/>
                <w:szCs w:val="18"/>
                <w:highlight w:val="yellow"/>
                <w:lang w:eastAsia="sk-SK"/>
              </w:rPr>
            </w:pPr>
            <w:r>
              <w:rPr>
                <w:b/>
                <w:bCs/>
                <w:color w:val="000000"/>
                <w:sz w:val="18"/>
                <w:szCs w:val="18"/>
              </w:rPr>
              <w:t>2,0</w:t>
            </w:r>
          </w:p>
        </w:tc>
      </w:tr>
      <w:tr w:rsidR="000B26C6" w:rsidRPr="002C13B8" w14:paraId="388E170C" w14:textId="77777777" w:rsidTr="00A87016">
        <w:trPr>
          <w:trHeight w:val="270"/>
        </w:trPr>
        <w:tc>
          <w:tcPr>
            <w:tcW w:w="2411" w:type="pct"/>
            <w:tcBorders>
              <w:top w:val="nil"/>
              <w:left w:val="nil"/>
              <w:bottom w:val="nil"/>
              <w:right w:val="nil"/>
            </w:tcBorders>
            <w:vAlign w:val="center"/>
            <w:hideMark/>
          </w:tcPr>
          <w:p w14:paraId="39FFEC77" w14:textId="77777777" w:rsidR="000B26C6" w:rsidRPr="00CF1A21" w:rsidRDefault="000B26C6" w:rsidP="000B26C6">
            <w:pPr>
              <w:spacing w:after="0" w:line="240" w:lineRule="auto"/>
              <w:ind w:firstLineChars="300" w:firstLine="540"/>
              <w:rPr>
                <w:color w:val="000000"/>
                <w:sz w:val="18"/>
                <w:szCs w:val="18"/>
                <w:lang w:eastAsia="sk-SK"/>
              </w:rPr>
            </w:pPr>
            <w:r w:rsidRPr="00CF1A21">
              <w:rPr>
                <w:color w:val="000000"/>
                <w:sz w:val="18"/>
                <w:szCs w:val="18"/>
                <w:lang w:eastAsia="sk-SK"/>
              </w:rPr>
              <w:t xml:space="preserve"> - Daň z pridanej hodnoty</w:t>
            </w:r>
          </w:p>
        </w:tc>
        <w:tc>
          <w:tcPr>
            <w:tcW w:w="628" w:type="pct"/>
            <w:tcBorders>
              <w:top w:val="nil"/>
              <w:left w:val="nil"/>
              <w:bottom w:val="nil"/>
              <w:right w:val="nil"/>
            </w:tcBorders>
            <w:noWrap/>
            <w:vAlign w:val="center"/>
          </w:tcPr>
          <w:p w14:paraId="2A1F6DD8" w14:textId="77777777" w:rsidR="000B26C6" w:rsidRPr="00592BC6" w:rsidRDefault="000B26C6" w:rsidP="000B26C6">
            <w:pPr>
              <w:spacing w:after="0" w:line="240" w:lineRule="auto"/>
              <w:jc w:val="right"/>
              <w:rPr>
                <w:sz w:val="18"/>
                <w:szCs w:val="18"/>
                <w:highlight w:val="yellow"/>
                <w:lang w:eastAsia="sk-SK"/>
              </w:rPr>
            </w:pPr>
            <w:r>
              <w:rPr>
                <w:sz w:val="18"/>
                <w:szCs w:val="18"/>
              </w:rPr>
              <w:t>8 555 714</w:t>
            </w:r>
          </w:p>
        </w:tc>
        <w:tc>
          <w:tcPr>
            <w:tcW w:w="628" w:type="pct"/>
            <w:tcBorders>
              <w:top w:val="nil"/>
              <w:left w:val="nil"/>
              <w:bottom w:val="nil"/>
              <w:right w:val="nil"/>
            </w:tcBorders>
            <w:noWrap/>
            <w:vAlign w:val="center"/>
          </w:tcPr>
          <w:p w14:paraId="12C5BE6E"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9 732 960</w:t>
            </w:r>
          </w:p>
        </w:tc>
        <w:tc>
          <w:tcPr>
            <w:tcW w:w="628" w:type="pct"/>
            <w:tcBorders>
              <w:top w:val="nil"/>
              <w:left w:val="nil"/>
              <w:bottom w:val="nil"/>
              <w:right w:val="nil"/>
            </w:tcBorders>
            <w:noWrap/>
            <w:vAlign w:val="center"/>
          </w:tcPr>
          <w:p w14:paraId="472735F6" w14:textId="77777777" w:rsidR="000B26C6" w:rsidRPr="00592BC6" w:rsidRDefault="000B26C6" w:rsidP="000B26C6">
            <w:pPr>
              <w:spacing w:after="0" w:line="240" w:lineRule="auto"/>
              <w:jc w:val="right"/>
              <w:rPr>
                <w:sz w:val="18"/>
                <w:szCs w:val="18"/>
                <w:highlight w:val="yellow"/>
                <w:lang w:eastAsia="sk-SK"/>
              </w:rPr>
            </w:pPr>
            <w:r>
              <w:rPr>
                <w:sz w:val="18"/>
                <w:szCs w:val="18"/>
              </w:rPr>
              <w:t>9 914 696</w:t>
            </w:r>
          </w:p>
        </w:tc>
        <w:tc>
          <w:tcPr>
            <w:tcW w:w="704" w:type="pct"/>
            <w:tcBorders>
              <w:top w:val="nil"/>
              <w:left w:val="nil"/>
              <w:bottom w:val="nil"/>
              <w:right w:val="nil"/>
            </w:tcBorders>
            <w:noWrap/>
            <w:vAlign w:val="center"/>
          </w:tcPr>
          <w:p w14:paraId="464DFA74"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1,9</w:t>
            </w:r>
          </w:p>
        </w:tc>
      </w:tr>
      <w:tr w:rsidR="000B26C6" w:rsidRPr="002C13B8" w14:paraId="11442873" w14:textId="77777777" w:rsidTr="00A87016">
        <w:trPr>
          <w:trHeight w:val="270"/>
        </w:trPr>
        <w:tc>
          <w:tcPr>
            <w:tcW w:w="2411" w:type="pct"/>
            <w:tcBorders>
              <w:top w:val="nil"/>
              <w:left w:val="nil"/>
              <w:bottom w:val="nil"/>
              <w:right w:val="nil"/>
            </w:tcBorders>
            <w:vAlign w:val="center"/>
            <w:hideMark/>
          </w:tcPr>
          <w:p w14:paraId="3E16F835" w14:textId="77777777" w:rsidR="000B26C6" w:rsidRPr="00CF1A21" w:rsidRDefault="000B26C6" w:rsidP="000B26C6">
            <w:pPr>
              <w:spacing w:after="0" w:line="240" w:lineRule="auto"/>
              <w:ind w:firstLineChars="300" w:firstLine="540"/>
              <w:rPr>
                <w:color w:val="000000"/>
                <w:sz w:val="18"/>
                <w:szCs w:val="18"/>
                <w:lang w:eastAsia="sk-SK"/>
              </w:rPr>
            </w:pPr>
            <w:r w:rsidRPr="00CF1A21">
              <w:rPr>
                <w:color w:val="000000"/>
                <w:sz w:val="18"/>
                <w:szCs w:val="18"/>
                <w:lang w:eastAsia="sk-SK"/>
              </w:rPr>
              <w:t xml:space="preserve"> - Spotrebné dane</w:t>
            </w:r>
          </w:p>
        </w:tc>
        <w:tc>
          <w:tcPr>
            <w:tcW w:w="628" w:type="pct"/>
            <w:tcBorders>
              <w:top w:val="nil"/>
              <w:left w:val="nil"/>
              <w:bottom w:val="nil"/>
              <w:right w:val="nil"/>
            </w:tcBorders>
            <w:noWrap/>
            <w:vAlign w:val="center"/>
          </w:tcPr>
          <w:p w14:paraId="123CE2B9" w14:textId="77777777" w:rsidR="000B26C6" w:rsidRPr="00592BC6" w:rsidRDefault="000B26C6" w:rsidP="000B26C6">
            <w:pPr>
              <w:spacing w:after="0" w:line="240" w:lineRule="auto"/>
              <w:jc w:val="right"/>
              <w:rPr>
                <w:sz w:val="18"/>
                <w:szCs w:val="18"/>
                <w:highlight w:val="yellow"/>
                <w:lang w:eastAsia="sk-SK"/>
              </w:rPr>
            </w:pPr>
            <w:r>
              <w:rPr>
                <w:sz w:val="18"/>
                <w:szCs w:val="18"/>
              </w:rPr>
              <w:t>2 797 344</w:t>
            </w:r>
          </w:p>
        </w:tc>
        <w:tc>
          <w:tcPr>
            <w:tcW w:w="628" w:type="pct"/>
            <w:tcBorders>
              <w:top w:val="nil"/>
              <w:left w:val="nil"/>
              <w:bottom w:val="nil"/>
              <w:right w:val="nil"/>
            </w:tcBorders>
            <w:noWrap/>
            <w:vAlign w:val="center"/>
          </w:tcPr>
          <w:p w14:paraId="44D2820A"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3 020 848</w:t>
            </w:r>
          </w:p>
        </w:tc>
        <w:tc>
          <w:tcPr>
            <w:tcW w:w="628" w:type="pct"/>
            <w:tcBorders>
              <w:top w:val="nil"/>
              <w:left w:val="nil"/>
              <w:bottom w:val="nil"/>
              <w:right w:val="nil"/>
            </w:tcBorders>
            <w:noWrap/>
            <w:vAlign w:val="center"/>
          </w:tcPr>
          <w:p w14:paraId="5AD38143" w14:textId="77777777" w:rsidR="000B26C6" w:rsidRPr="00592BC6" w:rsidRDefault="000B26C6" w:rsidP="000B26C6">
            <w:pPr>
              <w:spacing w:after="0" w:line="240" w:lineRule="auto"/>
              <w:jc w:val="right"/>
              <w:rPr>
                <w:sz w:val="18"/>
                <w:szCs w:val="18"/>
                <w:highlight w:val="yellow"/>
                <w:lang w:eastAsia="sk-SK"/>
              </w:rPr>
            </w:pPr>
            <w:r>
              <w:rPr>
                <w:sz w:val="18"/>
                <w:szCs w:val="18"/>
              </w:rPr>
              <w:t>2 883 848</w:t>
            </w:r>
          </w:p>
        </w:tc>
        <w:tc>
          <w:tcPr>
            <w:tcW w:w="704" w:type="pct"/>
            <w:tcBorders>
              <w:top w:val="nil"/>
              <w:left w:val="nil"/>
              <w:bottom w:val="nil"/>
              <w:right w:val="nil"/>
            </w:tcBorders>
            <w:noWrap/>
            <w:vAlign w:val="center"/>
          </w:tcPr>
          <w:p w14:paraId="7F12DA0D"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-4,5</w:t>
            </w:r>
          </w:p>
        </w:tc>
      </w:tr>
      <w:tr w:rsidR="000B26C6" w:rsidRPr="002C13B8" w14:paraId="74D6609B" w14:textId="77777777" w:rsidTr="00A87016">
        <w:trPr>
          <w:trHeight w:val="270"/>
        </w:trPr>
        <w:tc>
          <w:tcPr>
            <w:tcW w:w="2411" w:type="pct"/>
            <w:tcBorders>
              <w:top w:val="nil"/>
              <w:left w:val="nil"/>
              <w:bottom w:val="nil"/>
              <w:right w:val="nil"/>
            </w:tcBorders>
            <w:vAlign w:val="center"/>
            <w:hideMark/>
          </w:tcPr>
          <w:p w14:paraId="7ED083D6" w14:textId="77777777" w:rsidR="000B26C6" w:rsidRPr="00CF1A21" w:rsidRDefault="000B26C6" w:rsidP="000B26C6">
            <w:pPr>
              <w:spacing w:after="0" w:line="240" w:lineRule="auto"/>
              <w:ind w:firstLineChars="300" w:firstLine="540"/>
              <w:rPr>
                <w:color w:val="000000"/>
                <w:sz w:val="18"/>
                <w:szCs w:val="18"/>
                <w:lang w:eastAsia="sk-SK"/>
              </w:rPr>
            </w:pPr>
            <w:r w:rsidRPr="00CF1A21">
              <w:rPr>
                <w:color w:val="000000"/>
                <w:sz w:val="18"/>
                <w:szCs w:val="18"/>
                <w:lang w:eastAsia="sk-SK"/>
              </w:rPr>
              <w:t xml:space="preserve"> - Daň z nehnuteľností a iné</w:t>
            </w:r>
          </w:p>
        </w:tc>
        <w:tc>
          <w:tcPr>
            <w:tcW w:w="628" w:type="pct"/>
            <w:tcBorders>
              <w:top w:val="nil"/>
              <w:left w:val="nil"/>
              <w:bottom w:val="nil"/>
              <w:right w:val="nil"/>
            </w:tcBorders>
            <w:noWrap/>
            <w:vAlign w:val="center"/>
          </w:tcPr>
          <w:p w14:paraId="205EB490" w14:textId="77777777" w:rsidR="000B26C6" w:rsidRPr="00592BC6" w:rsidRDefault="000B26C6" w:rsidP="000B26C6">
            <w:pPr>
              <w:spacing w:after="0" w:line="240" w:lineRule="auto"/>
              <w:jc w:val="right"/>
              <w:rPr>
                <w:sz w:val="18"/>
                <w:szCs w:val="18"/>
                <w:highlight w:val="yellow"/>
                <w:lang w:eastAsia="sk-SK"/>
              </w:rPr>
            </w:pPr>
            <w:r>
              <w:rPr>
                <w:sz w:val="18"/>
                <w:szCs w:val="18"/>
              </w:rPr>
              <w:t>431 799</w:t>
            </w:r>
          </w:p>
        </w:tc>
        <w:tc>
          <w:tcPr>
            <w:tcW w:w="628" w:type="pct"/>
            <w:tcBorders>
              <w:top w:val="nil"/>
              <w:left w:val="nil"/>
              <w:bottom w:val="nil"/>
              <w:right w:val="nil"/>
            </w:tcBorders>
            <w:noWrap/>
            <w:vAlign w:val="center"/>
          </w:tcPr>
          <w:p w14:paraId="6C41A9B0"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469 705</w:t>
            </w:r>
          </w:p>
        </w:tc>
        <w:tc>
          <w:tcPr>
            <w:tcW w:w="628" w:type="pct"/>
            <w:tcBorders>
              <w:top w:val="nil"/>
              <w:left w:val="nil"/>
              <w:bottom w:val="nil"/>
              <w:right w:val="nil"/>
            </w:tcBorders>
            <w:noWrap/>
            <w:vAlign w:val="center"/>
          </w:tcPr>
          <w:p w14:paraId="2E17B9AD" w14:textId="77777777" w:rsidR="000B26C6" w:rsidRPr="00592BC6" w:rsidRDefault="000B26C6" w:rsidP="000B26C6">
            <w:pPr>
              <w:spacing w:after="0" w:line="240" w:lineRule="auto"/>
              <w:jc w:val="right"/>
              <w:rPr>
                <w:sz w:val="18"/>
                <w:szCs w:val="18"/>
                <w:highlight w:val="yellow"/>
                <w:lang w:eastAsia="sk-SK"/>
              </w:rPr>
            </w:pPr>
            <w:r>
              <w:rPr>
                <w:sz w:val="18"/>
                <w:szCs w:val="18"/>
              </w:rPr>
              <w:t>586 805</w:t>
            </w:r>
          </w:p>
        </w:tc>
        <w:tc>
          <w:tcPr>
            <w:tcW w:w="704" w:type="pct"/>
            <w:tcBorders>
              <w:top w:val="nil"/>
              <w:left w:val="nil"/>
              <w:bottom w:val="nil"/>
              <w:right w:val="nil"/>
            </w:tcBorders>
            <w:noWrap/>
            <w:vAlign w:val="center"/>
          </w:tcPr>
          <w:p w14:paraId="5F3AFBAF"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24,9</w:t>
            </w:r>
          </w:p>
        </w:tc>
      </w:tr>
      <w:tr w:rsidR="000B26C6" w:rsidRPr="002C13B8" w14:paraId="6C12FA36" w14:textId="77777777" w:rsidTr="00A87016">
        <w:trPr>
          <w:trHeight w:val="270"/>
        </w:trPr>
        <w:tc>
          <w:tcPr>
            <w:tcW w:w="2411" w:type="pct"/>
            <w:tcBorders>
              <w:top w:val="nil"/>
              <w:left w:val="nil"/>
              <w:bottom w:val="nil"/>
              <w:right w:val="nil"/>
            </w:tcBorders>
            <w:vAlign w:val="center"/>
            <w:hideMark/>
          </w:tcPr>
          <w:p w14:paraId="5F451A0F" w14:textId="77777777" w:rsidR="000B26C6" w:rsidRPr="00CF1A21" w:rsidRDefault="000B26C6" w:rsidP="000B26C6">
            <w:pPr>
              <w:spacing w:after="0" w:line="240" w:lineRule="auto"/>
              <w:rPr>
                <w:b/>
                <w:bCs/>
                <w:color w:val="000000"/>
                <w:sz w:val="18"/>
                <w:szCs w:val="18"/>
                <w:lang w:eastAsia="sk-SK"/>
              </w:rPr>
            </w:pPr>
            <w:r w:rsidRPr="00CF1A21">
              <w:rPr>
                <w:b/>
                <w:bCs/>
                <w:color w:val="000000"/>
                <w:sz w:val="18"/>
                <w:szCs w:val="18"/>
                <w:lang w:eastAsia="sk-SK"/>
              </w:rPr>
              <w:t>Bežné dane z dôchodkov, majetku</w:t>
            </w:r>
          </w:p>
        </w:tc>
        <w:tc>
          <w:tcPr>
            <w:tcW w:w="628" w:type="pct"/>
            <w:tcBorders>
              <w:top w:val="nil"/>
              <w:left w:val="nil"/>
              <w:bottom w:val="nil"/>
              <w:right w:val="nil"/>
            </w:tcBorders>
            <w:noWrap/>
            <w:vAlign w:val="center"/>
          </w:tcPr>
          <w:p w14:paraId="7905A61C" w14:textId="77777777" w:rsidR="000B26C6" w:rsidRPr="00592BC6" w:rsidRDefault="000B26C6" w:rsidP="000B26C6">
            <w:pPr>
              <w:spacing w:after="0" w:line="240" w:lineRule="auto"/>
              <w:jc w:val="right"/>
              <w:rPr>
                <w:b/>
                <w:bCs/>
                <w:sz w:val="18"/>
                <w:szCs w:val="18"/>
                <w:highlight w:val="yellow"/>
                <w:lang w:eastAsia="sk-SK"/>
              </w:rPr>
            </w:pPr>
            <w:r>
              <w:rPr>
                <w:b/>
                <w:bCs/>
                <w:sz w:val="18"/>
                <w:szCs w:val="18"/>
              </w:rPr>
              <w:t>9 166 084</w:t>
            </w:r>
          </w:p>
        </w:tc>
        <w:tc>
          <w:tcPr>
            <w:tcW w:w="628" w:type="pct"/>
            <w:tcBorders>
              <w:top w:val="nil"/>
              <w:left w:val="nil"/>
              <w:bottom w:val="nil"/>
              <w:right w:val="nil"/>
            </w:tcBorders>
            <w:noWrap/>
            <w:vAlign w:val="center"/>
          </w:tcPr>
          <w:p w14:paraId="68C27941" w14:textId="77777777" w:rsidR="000B26C6" w:rsidRPr="00592BC6" w:rsidRDefault="000B26C6" w:rsidP="000B26C6">
            <w:pPr>
              <w:spacing w:after="0" w:line="240" w:lineRule="auto"/>
              <w:jc w:val="right"/>
              <w:rPr>
                <w:b/>
                <w:bCs/>
                <w:color w:val="FF0000"/>
                <w:sz w:val="18"/>
                <w:szCs w:val="18"/>
                <w:highlight w:val="yellow"/>
                <w:lang w:eastAsia="sk-SK"/>
              </w:rPr>
            </w:pPr>
            <w:r>
              <w:rPr>
                <w:b/>
                <w:bCs/>
                <w:sz w:val="18"/>
                <w:szCs w:val="18"/>
              </w:rPr>
              <w:t>9 734 509</w:t>
            </w:r>
          </w:p>
        </w:tc>
        <w:tc>
          <w:tcPr>
            <w:tcW w:w="628" w:type="pct"/>
            <w:tcBorders>
              <w:top w:val="nil"/>
              <w:left w:val="nil"/>
              <w:bottom w:val="nil"/>
              <w:right w:val="nil"/>
            </w:tcBorders>
            <w:noWrap/>
            <w:vAlign w:val="center"/>
          </w:tcPr>
          <w:p w14:paraId="07B2A0D6" w14:textId="77777777" w:rsidR="000B26C6" w:rsidRPr="00592BC6" w:rsidRDefault="000B26C6" w:rsidP="000B26C6">
            <w:pPr>
              <w:spacing w:after="0" w:line="240" w:lineRule="auto"/>
              <w:jc w:val="right"/>
              <w:rPr>
                <w:b/>
                <w:bCs/>
                <w:sz w:val="18"/>
                <w:szCs w:val="18"/>
                <w:highlight w:val="yellow"/>
                <w:lang w:eastAsia="sk-SK"/>
              </w:rPr>
            </w:pPr>
            <w:r>
              <w:rPr>
                <w:b/>
                <w:bCs/>
                <w:sz w:val="18"/>
                <w:szCs w:val="18"/>
              </w:rPr>
              <w:t>10 528 281</w:t>
            </w:r>
          </w:p>
        </w:tc>
        <w:tc>
          <w:tcPr>
            <w:tcW w:w="704" w:type="pct"/>
            <w:tcBorders>
              <w:top w:val="nil"/>
              <w:left w:val="nil"/>
              <w:bottom w:val="nil"/>
              <w:right w:val="nil"/>
            </w:tcBorders>
            <w:noWrap/>
            <w:vAlign w:val="center"/>
          </w:tcPr>
          <w:p w14:paraId="6AD0ECA2" w14:textId="77777777" w:rsidR="000B26C6" w:rsidRPr="00592BC6" w:rsidRDefault="000B26C6" w:rsidP="000B26C6">
            <w:pPr>
              <w:spacing w:after="0" w:line="240" w:lineRule="auto"/>
              <w:jc w:val="center"/>
              <w:rPr>
                <w:b/>
                <w:bCs/>
                <w:sz w:val="18"/>
                <w:szCs w:val="18"/>
                <w:highlight w:val="yellow"/>
                <w:lang w:eastAsia="sk-SK"/>
              </w:rPr>
            </w:pPr>
            <w:r>
              <w:rPr>
                <w:b/>
                <w:bCs/>
                <w:color w:val="000000"/>
                <w:sz w:val="18"/>
                <w:szCs w:val="18"/>
              </w:rPr>
              <w:t>8,2</w:t>
            </w:r>
          </w:p>
        </w:tc>
      </w:tr>
      <w:tr w:rsidR="000B26C6" w:rsidRPr="002C13B8" w14:paraId="7DE63CA9" w14:textId="77777777" w:rsidTr="00A87016">
        <w:trPr>
          <w:trHeight w:val="270"/>
        </w:trPr>
        <w:tc>
          <w:tcPr>
            <w:tcW w:w="2411" w:type="pct"/>
            <w:tcBorders>
              <w:top w:val="nil"/>
              <w:left w:val="nil"/>
              <w:bottom w:val="nil"/>
              <w:right w:val="nil"/>
            </w:tcBorders>
            <w:vAlign w:val="center"/>
            <w:hideMark/>
          </w:tcPr>
          <w:p w14:paraId="2F15D118" w14:textId="77777777" w:rsidR="000B26C6" w:rsidRPr="00CF1A21" w:rsidRDefault="000B26C6" w:rsidP="000B26C6">
            <w:pPr>
              <w:spacing w:after="0" w:line="240" w:lineRule="auto"/>
              <w:ind w:firstLineChars="300" w:firstLine="540"/>
              <w:rPr>
                <w:color w:val="000000"/>
                <w:sz w:val="18"/>
                <w:szCs w:val="18"/>
                <w:lang w:eastAsia="sk-SK"/>
              </w:rPr>
            </w:pPr>
            <w:r w:rsidRPr="00CF1A21">
              <w:rPr>
                <w:color w:val="000000"/>
                <w:sz w:val="18"/>
                <w:szCs w:val="18"/>
                <w:lang w:eastAsia="sk-SK"/>
              </w:rPr>
              <w:lastRenderedPageBreak/>
              <w:t xml:space="preserve"> - Daň z príjmov fyzických osôb</w:t>
            </w:r>
          </w:p>
        </w:tc>
        <w:tc>
          <w:tcPr>
            <w:tcW w:w="628" w:type="pct"/>
            <w:tcBorders>
              <w:top w:val="nil"/>
              <w:left w:val="nil"/>
              <w:bottom w:val="nil"/>
              <w:right w:val="nil"/>
            </w:tcBorders>
            <w:noWrap/>
            <w:vAlign w:val="center"/>
          </w:tcPr>
          <w:p w14:paraId="730359B6" w14:textId="77777777" w:rsidR="000B26C6" w:rsidRPr="00592BC6" w:rsidRDefault="000B26C6" w:rsidP="000B26C6">
            <w:pPr>
              <w:spacing w:after="0" w:line="240" w:lineRule="auto"/>
              <w:jc w:val="right"/>
              <w:rPr>
                <w:sz w:val="18"/>
                <w:szCs w:val="18"/>
                <w:highlight w:val="yellow"/>
                <w:lang w:eastAsia="sk-SK"/>
              </w:rPr>
            </w:pPr>
            <w:r>
              <w:rPr>
                <w:sz w:val="18"/>
                <w:szCs w:val="18"/>
              </w:rPr>
              <w:t>4 163 867</w:t>
            </w:r>
          </w:p>
        </w:tc>
        <w:tc>
          <w:tcPr>
            <w:tcW w:w="628" w:type="pct"/>
            <w:tcBorders>
              <w:top w:val="nil"/>
              <w:left w:val="nil"/>
              <w:bottom w:val="nil"/>
              <w:right w:val="nil"/>
            </w:tcBorders>
            <w:noWrap/>
            <w:vAlign w:val="center"/>
          </w:tcPr>
          <w:p w14:paraId="62958CB5"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4 685 372</w:t>
            </w:r>
          </w:p>
        </w:tc>
        <w:tc>
          <w:tcPr>
            <w:tcW w:w="628" w:type="pct"/>
            <w:tcBorders>
              <w:top w:val="nil"/>
              <w:left w:val="nil"/>
              <w:bottom w:val="nil"/>
              <w:right w:val="nil"/>
            </w:tcBorders>
            <w:noWrap/>
            <w:vAlign w:val="center"/>
          </w:tcPr>
          <w:p w14:paraId="1E43E3AF" w14:textId="77777777" w:rsidR="000B26C6" w:rsidRPr="00592BC6" w:rsidRDefault="000B26C6" w:rsidP="000B26C6">
            <w:pPr>
              <w:spacing w:after="0" w:line="240" w:lineRule="auto"/>
              <w:jc w:val="right"/>
              <w:rPr>
                <w:sz w:val="18"/>
                <w:szCs w:val="18"/>
                <w:highlight w:val="yellow"/>
                <w:lang w:eastAsia="sk-SK"/>
              </w:rPr>
            </w:pPr>
            <w:r>
              <w:rPr>
                <w:sz w:val="18"/>
                <w:szCs w:val="18"/>
              </w:rPr>
              <w:t>4 812 682</w:t>
            </w:r>
          </w:p>
        </w:tc>
        <w:tc>
          <w:tcPr>
            <w:tcW w:w="704" w:type="pct"/>
            <w:tcBorders>
              <w:top w:val="nil"/>
              <w:left w:val="nil"/>
              <w:bottom w:val="nil"/>
              <w:right w:val="nil"/>
            </w:tcBorders>
            <w:noWrap/>
            <w:vAlign w:val="center"/>
          </w:tcPr>
          <w:p w14:paraId="2D826194"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2,7</w:t>
            </w:r>
          </w:p>
        </w:tc>
      </w:tr>
      <w:tr w:rsidR="000B26C6" w:rsidRPr="002C13B8" w14:paraId="40FD1B03" w14:textId="77777777" w:rsidTr="00A87016">
        <w:trPr>
          <w:trHeight w:val="270"/>
        </w:trPr>
        <w:tc>
          <w:tcPr>
            <w:tcW w:w="2411" w:type="pct"/>
            <w:tcBorders>
              <w:top w:val="nil"/>
              <w:left w:val="nil"/>
              <w:bottom w:val="nil"/>
              <w:right w:val="nil"/>
            </w:tcBorders>
            <w:noWrap/>
            <w:vAlign w:val="center"/>
            <w:hideMark/>
          </w:tcPr>
          <w:p w14:paraId="04B20DB1" w14:textId="77777777" w:rsidR="000B26C6" w:rsidRPr="00CF1A21" w:rsidRDefault="000B26C6" w:rsidP="000B26C6">
            <w:pPr>
              <w:spacing w:after="0" w:line="240" w:lineRule="auto"/>
              <w:rPr>
                <w:color w:val="000000"/>
                <w:sz w:val="18"/>
                <w:szCs w:val="18"/>
                <w:lang w:eastAsia="sk-SK"/>
              </w:rPr>
            </w:pPr>
            <w:r>
              <w:rPr>
                <w:color w:val="000000"/>
                <w:sz w:val="18"/>
                <w:szCs w:val="18"/>
                <w:lang w:eastAsia="sk-SK"/>
              </w:rPr>
              <w:t xml:space="preserve">                     </w:t>
            </w:r>
            <w:r w:rsidRPr="00CF1A21">
              <w:rPr>
                <w:color w:val="000000"/>
                <w:sz w:val="18"/>
                <w:szCs w:val="18"/>
                <w:lang w:eastAsia="sk-SK"/>
              </w:rPr>
              <w:t xml:space="preserve"> - z toho: zo závislej činnosti</w:t>
            </w:r>
          </w:p>
        </w:tc>
        <w:tc>
          <w:tcPr>
            <w:tcW w:w="628" w:type="pct"/>
            <w:tcBorders>
              <w:top w:val="nil"/>
              <w:left w:val="nil"/>
              <w:bottom w:val="nil"/>
              <w:right w:val="nil"/>
            </w:tcBorders>
            <w:noWrap/>
            <w:vAlign w:val="center"/>
          </w:tcPr>
          <w:p w14:paraId="3DC4012A" w14:textId="77777777" w:rsidR="000B26C6" w:rsidRPr="00592BC6" w:rsidRDefault="000B26C6" w:rsidP="000B26C6">
            <w:pPr>
              <w:spacing w:after="0" w:line="240" w:lineRule="auto"/>
              <w:jc w:val="right"/>
              <w:rPr>
                <w:color w:val="000000"/>
                <w:sz w:val="18"/>
                <w:szCs w:val="18"/>
                <w:highlight w:val="yellow"/>
                <w:lang w:eastAsia="sk-SK"/>
              </w:rPr>
            </w:pPr>
            <w:r>
              <w:rPr>
                <w:sz w:val="18"/>
                <w:szCs w:val="18"/>
              </w:rPr>
              <w:t>4 003 904</w:t>
            </w:r>
          </w:p>
        </w:tc>
        <w:tc>
          <w:tcPr>
            <w:tcW w:w="628" w:type="pct"/>
            <w:tcBorders>
              <w:top w:val="nil"/>
              <w:left w:val="nil"/>
              <w:bottom w:val="nil"/>
              <w:right w:val="nil"/>
            </w:tcBorders>
            <w:noWrap/>
            <w:vAlign w:val="center"/>
          </w:tcPr>
          <w:p w14:paraId="236D7523"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4 541 839</w:t>
            </w:r>
          </w:p>
        </w:tc>
        <w:tc>
          <w:tcPr>
            <w:tcW w:w="628" w:type="pct"/>
            <w:tcBorders>
              <w:top w:val="nil"/>
              <w:left w:val="nil"/>
              <w:bottom w:val="nil"/>
              <w:right w:val="nil"/>
            </w:tcBorders>
            <w:noWrap/>
            <w:vAlign w:val="center"/>
          </w:tcPr>
          <w:p w14:paraId="39338121" w14:textId="77777777" w:rsidR="000B26C6" w:rsidRPr="00592BC6" w:rsidRDefault="000B26C6" w:rsidP="000B26C6">
            <w:pPr>
              <w:spacing w:after="0" w:line="240" w:lineRule="auto"/>
              <w:jc w:val="right"/>
              <w:rPr>
                <w:sz w:val="18"/>
                <w:szCs w:val="18"/>
                <w:highlight w:val="yellow"/>
                <w:lang w:eastAsia="sk-SK"/>
              </w:rPr>
            </w:pPr>
            <w:r>
              <w:rPr>
                <w:sz w:val="18"/>
                <w:szCs w:val="18"/>
              </w:rPr>
              <w:t>4 618 283</w:t>
            </w:r>
          </w:p>
        </w:tc>
        <w:tc>
          <w:tcPr>
            <w:tcW w:w="704" w:type="pct"/>
            <w:tcBorders>
              <w:top w:val="nil"/>
              <w:left w:val="nil"/>
              <w:bottom w:val="nil"/>
              <w:right w:val="nil"/>
            </w:tcBorders>
            <w:noWrap/>
            <w:vAlign w:val="center"/>
          </w:tcPr>
          <w:p w14:paraId="07ED986C"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1,7</w:t>
            </w:r>
          </w:p>
        </w:tc>
      </w:tr>
      <w:tr w:rsidR="000B26C6" w:rsidRPr="002C13B8" w14:paraId="7F226481" w14:textId="77777777" w:rsidTr="00A87016">
        <w:trPr>
          <w:trHeight w:val="270"/>
        </w:trPr>
        <w:tc>
          <w:tcPr>
            <w:tcW w:w="2411" w:type="pct"/>
            <w:tcBorders>
              <w:top w:val="nil"/>
              <w:left w:val="nil"/>
              <w:bottom w:val="nil"/>
              <w:right w:val="nil"/>
            </w:tcBorders>
            <w:noWrap/>
            <w:vAlign w:val="center"/>
          </w:tcPr>
          <w:p w14:paraId="49020946" w14:textId="77777777" w:rsidR="000B26C6" w:rsidRPr="00CF1A21" w:rsidRDefault="000B26C6" w:rsidP="000B26C6">
            <w:pPr>
              <w:spacing w:after="0" w:line="240" w:lineRule="auto"/>
              <w:ind w:firstLineChars="300" w:firstLine="540"/>
              <w:rPr>
                <w:color w:val="000000"/>
                <w:sz w:val="18"/>
                <w:szCs w:val="18"/>
                <w:lang w:eastAsia="sk-SK"/>
              </w:rPr>
            </w:pPr>
            <w:r w:rsidRPr="00CF1A21">
              <w:rPr>
                <w:color w:val="000000"/>
                <w:sz w:val="18"/>
                <w:szCs w:val="18"/>
                <w:lang w:eastAsia="sk-SK"/>
              </w:rPr>
              <w:t xml:space="preserve">                       z podnikania a inej sam. zár. činnosti</w:t>
            </w:r>
          </w:p>
        </w:tc>
        <w:tc>
          <w:tcPr>
            <w:tcW w:w="628" w:type="pct"/>
            <w:tcBorders>
              <w:top w:val="nil"/>
              <w:left w:val="nil"/>
              <w:bottom w:val="nil"/>
              <w:right w:val="nil"/>
            </w:tcBorders>
            <w:noWrap/>
            <w:vAlign w:val="center"/>
          </w:tcPr>
          <w:p w14:paraId="6E2A8B55" w14:textId="77777777" w:rsidR="000B26C6" w:rsidRPr="00592BC6" w:rsidRDefault="000B26C6" w:rsidP="000B26C6">
            <w:pPr>
              <w:spacing w:after="0" w:line="240" w:lineRule="auto"/>
              <w:jc w:val="right"/>
              <w:rPr>
                <w:sz w:val="18"/>
                <w:szCs w:val="18"/>
                <w:highlight w:val="yellow"/>
              </w:rPr>
            </w:pPr>
            <w:r>
              <w:rPr>
                <w:sz w:val="18"/>
                <w:szCs w:val="18"/>
              </w:rPr>
              <w:t>159 965</w:t>
            </w:r>
          </w:p>
        </w:tc>
        <w:tc>
          <w:tcPr>
            <w:tcW w:w="628" w:type="pct"/>
            <w:tcBorders>
              <w:top w:val="nil"/>
              <w:left w:val="nil"/>
              <w:bottom w:val="nil"/>
              <w:right w:val="nil"/>
            </w:tcBorders>
            <w:noWrap/>
            <w:vAlign w:val="center"/>
          </w:tcPr>
          <w:p w14:paraId="713031F7" w14:textId="77777777" w:rsidR="000B26C6" w:rsidRPr="00592BC6" w:rsidRDefault="000B26C6" w:rsidP="000B26C6">
            <w:pPr>
              <w:spacing w:after="0" w:line="240" w:lineRule="auto"/>
              <w:jc w:val="right"/>
              <w:rPr>
                <w:color w:val="000000"/>
                <w:sz w:val="18"/>
                <w:szCs w:val="18"/>
                <w:highlight w:val="yellow"/>
              </w:rPr>
            </w:pPr>
            <w:r>
              <w:rPr>
                <w:sz w:val="18"/>
                <w:szCs w:val="18"/>
              </w:rPr>
              <w:t>143 532</w:t>
            </w:r>
          </w:p>
        </w:tc>
        <w:tc>
          <w:tcPr>
            <w:tcW w:w="628" w:type="pct"/>
            <w:tcBorders>
              <w:top w:val="nil"/>
              <w:left w:val="nil"/>
              <w:bottom w:val="nil"/>
              <w:right w:val="nil"/>
            </w:tcBorders>
            <w:noWrap/>
            <w:vAlign w:val="center"/>
          </w:tcPr>
          <w:p w14:paraId="60F9B4C2" w14:textId="77777777" w:rsidR="000B26C6" w:rsidRPr="00592BC6" w:rsidRDefault="000B26C6" w:rsidP="000B26C6">
            <w:pPr>
              <w:spacing w:after="0" w:line="240" w:lineRule="auto"/>
              <w:jc w:val="right"/>
              <w:rPr>
                <w:sz w:val="18"/>
                <w:szCs w:val="18"/>
                <w:highlight w:val="yellow"/>
                <w:lang w:eastAsia="sk-SK"/>
              </w:rPr>
            </w:pPr>
            <w:r>
              <w:rPr>
                <w:sz w:val="18"/>
                <w:szCs w:val="18"/>
              </w:rPr>
              <w:t>194 400</w:t>
            </w:r>
          </w:p>
        </w:tc>
        <w:tc>
          <w:tcPr>
            <w:tcW w:w="704" w:type="pct"/>
            <w:tcBorders>
              <w:top w:val="nil"/>
              <w:left w:val="nil"/>
              <w:bottom w:val="nil"/>
              <w:right w:val="nil"/>
            </w:tcBorders>
            <w:noWrap/>
            <w:vAlign w:val="center"/>
          </w:tcPr>
          <w:p w14:paraId="66986332"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35,4</w:t>
            </w:r>
          </w:p>
        </w:tc>
      </w:tr>
      <w:tr w:rsidR="007B0DE0" w:rsidRPr="002C13B8" w14:paraId="50C9B2E9" w14:textId="77777777" w:rsidTr="00A87016">
        <w:trPr>
          <w:trHeight w:val="270"/>
        </w:trPr>
        <w:tc>
          <w:tcPr>
            <w:tcW w:w="2411" w:type="pct"/>
            <w:tcBorders>
              <w:top w:val="nil"/>
              <w:left w:val="nil"/>
              <w:bottom w:val="nil"/>
              <w:right w:val="nil"/>
            </w:tcBorders>
            <w:noWrap/>
            <w:vAlign w:val="center"/>
            <w:hideMark/>
          </w:tcPr>
          <w:p w14:paraId="6576A5EB" w14:textId="356FB980" w:rsidR="007B0DE0" w:rsidRPr="00CF1A21" w:rsidRDefault="007B0DE0" w:rsidP="007B0DE0">
            <w:pPr>
              <w:spacing w:after="0" w:line="240" w:lineRule="auto"/>
              <w:ind w:firstLineChars="300" w:firstLine="540"/>
              <w:rPr>
                <w:color w:val="000000"/>
                <w:sz w:val="18"/>
                <w:szCs w:val="18"/>
                <w:lang w:eastAsia="sk-SK"/>
              </w:rPr>
            </w:pPr>
            <w:r w:rsidRPr="00232DCB">
              <w:rPr>
                <w:color w:val="000000"/>
                <w:sz w:val="18"/>
                <w:szCs w:val="18"/>
                <w:lang w:eastAsia="sk-SK"/>
              </w:rPr>
              <w:t xml:space="preserve"> - Daň z príjmov právnických osôb  </w:t>
            </w:r>
          </w:p>
        </w:tc>
        <w:tc>
          <w:tcPr>
            <w:tcW w:w="628" w:type="pct"/>
            <w:tcBorders>
              <w:top w:val="nil"/>
              <w:left w:val="nil"/>
              <w:bottom w:val="nil"/>
              <w:right w:val="nil"/>
            </w:tcBorders>
            <w:noWrap/>
            <w:vAlign w:val="center"/>
          </w:tcPr>
          <w:p w14:paraId="13C8085B" w14:textId="77777777" w:rsidR="007B0DE0" w:rsidRPr="00592BC6" w:rsidRDefault="007B0DE0" w:rsidP="007B0DE0">
            <w:pPr>
              <w:spacing w:after="0" w:line="240" w:lineRule="auto"/>
              <w:jc w:val="right"/>
              <w:rPr>
                <w:color w:val="000000"/>
                <w:sz w:val="18"/>
                <w:szCs w:val="18"/>
                <w:highlight w:val="yellow"/>
                <w:lang w:eastAsia="sk-SK"/>
              </w:rPr>
            </w:pPr>
            <w:r>
              <w:rPr>
                <w:sz w:val="18"/>
                <w:szCs w:val="18"/>
              </w:rPr>
              <w:t>4 533 790</w:t>
            </w:r>
          </w:p>
        </w:tc>
        <w:tc>
          <w:tcPr>
            <w:tcW w:w="628" w:type="pct"/>
            <w:tcBorders>
              <w:top w:val="nil"/>
              <w:left w:val="nil"/>
              <w:bottom w:val="nil"/>
              <w:right w:val="nil"/>
            </w:tcBorders>
            <w:noWrap/>
            <w:vAlign w:val="center"/>
          </w:tcPr>
          <w:p w14:paraId="7BF558AE" w14:textId="77777777" w:rsidR="007B0DE0" w:rsidRPr="00592BC6" w:rsidRDefault="007B0DE0" w:rsidP="007B0DE0">
            <w:pPr>
              <w:spacing w:after="0" w:line="240" w:lineRule="auto"/>
              <w:jc w:val="right"/>
              <w:rPr>
                <w:color w:val="FF0000"/>
                <w:sz w:val="18"/>
                <w:szCs w:val="18"/>
                <w:highlight w:val="yellow"/>
                <w:lang w:eastAsia="sk-SK"/>
              </w:rPr>
            </w:pPr>
            <w:r>
              <w:rPr>
                <w:sz w:val="18"/>
                <w:szCs w:val="18"/>
              </w:rPr>
              <w:t>4 490 789</w:t>
            </w:r>
          </w:p>
        </w:tc>
        <w:tc>
          <w:tcPr>
            <w:tcW w:w="628" w:type="pct"/>
            <w:tcBorders>
              <w:top w:val="nil"/>
              <w:left w:val="nil"/>
              <w:bottom w:val="nil"/>
              <w:right w:val="nil"/>
            </w:tcBorders>
            <w:noWrap/>
            <w:vAlign w:val="center"/>
          </w:tcPr>
          <w:p w14:paraId="0E58124F" w14:textId="77777777" w:rsidR="007B0DE0" w:rsidRPr="00592BC6" w:rsidRDefault="007B0DE0" w:rsidP="007B0DE0">
            <w:pPr>
              <w:spacing w:after="0" w:line="240" w:lineRule="auto"/>
              <w:jc w:val="right"/>
              <w:rPr>
                <w:sz w:val="18"/>
                <w:szCs w:val="18"/>
                <w:highlight w:val="yellow"/>
                <w:lang w:eastAsia="sk-SK"/>
              </w:rPr>
            </w:pPr>
            <w:r>
              <w:rPr>
                <w:sz w:val="18"/>
                <w:szCs w:val="18"/>
              </w:rPr>
              <w:t>5 082 133</w:t>
            </w:r>
          </w:p>
        </w:tc>
        <w:tc>
          <w:tcPr>
            <w:tcW w:w="704" w:type="pct"/>
            <w:tcBorders>
              <w:top w:val="nil"/>
              <w:left w:val="nil"/>
              <w:bottom w:val="nil"/>
              <w:right w:val="nil"/>
            </w:tcBorders>
            <w:noWrap/>
            <w:vAlign w:val="center"/>
          </w:tcPr>
          <w:p w14:paraId="63C3275B" w14:textId="77777777" w:rsidR="007B0DE0" w:rsidRPr="00592BC6" w:rsidRDefault="007B0DE0" w:rsidP="007B0DE0">
            <w:pPr>
              <w:spacing w:after="0" w:line="240" w:lineRule="auto"/>
              <w:jc w:val="center"/>
              <w:rPr>
                <w:sz w:val="18"/>
                <w:szCs w:val="18"/>
                <w:highlight w:val="yellow"/>
                <w:lang w:eastAsia="sk-SK"/>
              </w:rPr>
            </w:pPr>
            <w:r>
              <w:rPr>
                <w:color w:val="000000"/>
                <w:sz w:val="18"/>
                <w:szCs w:val="18"/>
              </w:rPr>
              <w:t>13,2</w:t>
            </w:r>
          </w:p>
        </w:tc>
      </w:tr>
      <w:tr w:rsidR="007B0DE0" w:rsidRPr="002C13B8" w14:paraId="1757A46A" w14:textId="77777777" w:rsidTr="00A87016">
        <w:trPr>
          <w:trHeight w:val="270"/>
        </w:trPr>
        <w:tc>
          <w:tcPr>
            <w:tcW w:w="2411" w:type="pct"/>
            <w:tcBorders>
              <w:top w:val="nil"/>
              <w:left w:val="nil"/>
              <w:bottom w:val="nil"/>
              <w:right w:val="nil"/>
            </w:tcBorders>
            <w:noWrap/>
            <w:vAlign w:val="center"/>
          </w:tcPr>
          <w:p w14:paraId="64E18137" w14:textId="2C73D8B6" w:rsidR="007B0DE0" w:rsidRPr="00CF1A21" w:rsidRDefault="007B0DE0" w:rsidP="007B0DE0">
            <w:pPr>
              <w:spacing w:after="0" w:line="240" w:lineRule="auto"/>
              <w:ind w:firstLineChars="300" w:firstLine="540"/>
              <w:rPr>
                <w:color w:val="000000"/>
                <w:sz w:val="18"/>
                <w:szCs w:val="18"/>
                <w:lang w:eastAsia="sk-SK"/>
              </w:rPr>
            </w:pPr>
            <w:r w:rsidRPr="00232DCB">
              <w:rPr>
                <w:color w:val="000000"/>
                <w:sz w:val="18"/>
                <w:szCs w:val="18"/>
              </w:rPr>
              <w:t xml:space="preserve">         - z toho: daň z príjmu právnických osôb</w:t>
            </w:r>
          </w:p>
        </w:tc>
        <w:tc>
          <w:tcPr>
            <w:tcW w:w="628" w:type="pct"/>
            <w:tcBorders>
              <w:top w:val="nil"/>
              <w:left w:val="nil"/>
              <w:bottom w:val="nil"/>
              <w:right w:val="nil"/>
            </w:tcBorders>
            <w:noWrap/>
            <w:vAlign w:val="center"/>
          </w:tcPr>
          <w:p w14:paraId="3A26FC63" w14:textId="77777777" w:rsidR="007B0DE0" w:rsidRDefault="007B0DE0" w:rsidP="007B0DE0">
            <w:pPr>
              <w:spacing w:after="0" w:line="240" w:lineRule="auto"/>
              <w:jc w:val="right"/>
              <w:rPr>
                <w:sz w:val="18"/>
                <w:szCs w:val="18"/>
              </w:rPr>
            </w:pPr>
            <w:r>
              <w:rPr>
                <w:sz w:val="18"/>
                <w:szCs w:val="18"/>
              </w:rPr>
              <w:t>3 918 697</w:t>
            </w:r>
          </w:p>
        </w:tc>
        <w:tc>
          <w:tcPr>
            <w:tcW w:w="628" w:type="pct"/>
            <w:tcBorders>
              <w:top w:val="nil"/>
              <w:left w:val="nil"/>
              <w:bottom w:val="nil"/>
              <w:right w:val="nil"/>
            </w:tcBorders>
            <w:noWrap/>
            <w:vAlign w:val="center"/>
          </w:tcPr>
          <w:p w14:paraId="04AD40E7" w14:textId="77777777" w:rsidR="007B0DE0" w:rsidRDefault="007B0DE0" w:rsidP="007B0DE0">
            <w:pPr>
              <w:spacing w:after="0" w:line="240" w:lineRule="auto"/>
              <w:jc w:val="right"/>
              <w:rPr>
                <w:sz w:val="18"/>
                <w:szCs w:val="18"/>
              </w:rPr>
            </w:pPr>
            <w:r>
              <w:rPr>
                <w:sz w:val="18"/>
                <w:szCs w:val="18"/>
              </w:rPr>
              <w:t>4 355 830</w:t>
            </w:r>
          </w:p>
        </w:tc>
        <w:tc>
          <w:tcPr>
            <w:tcW w:w="628" w:type="pct"/>
            <w:tcBorders>
              <w:top w:val="nil"/>
              <w:left w:val="nil"/>
              <w:bottom w:val="nil"/>
              <w:right w:val="nil"/>
            </w:tcBorders>
            <w:noWrap/>
            <w:vAlign w:val="center"/>
          </w:tcPr>
          <w:p w14:paraId="059F96B8" w14:textId="77777777" w:rsidR="007B0DE0" w:rsidRDefault="007B0DE0" w:rsidP="007B0DE0">
            <w:pPr>
              <w:spacing w:after="0" w:line="240" w:lineRule="auto"/>
              <w:jc w:val="right"/>
              <w:rPr>
                <w:sz w:val="18"/>
                <w:szCs w:val="18"/>
              </w:rPr>
            </w:pPr>
            <w:r>
              <w:rPr>
                <w:sz w:val="18"/>
                <w:szCs w:val="18"/>
              </w:rPr>
              <w:t>4 492 841</w:t>
            </w:r>
          </w:p>
        </w:tc>
        <w:tc>
          <w:tcPr>
            <w:tcW w:w="704" w:type="pct"/>
            <w:tcBorders>
              <w:top w:val="nil"/>
              <w:left w:val="nil"/>
              <w:bottom w:val="nil"/>
              <w:right w:val="nil"/>
            </w:tcBorders>
            <w:noWrap/>
            <w:vAlign w:val="center"/>
          </w:tcPr>
          <w:p w14:paraId="5665B82E" w14:textId="77777777" w:rsidR="007B0DE0" w:rsidRDefault="007B0DE0" w:rsidP="007B0DE0">
            <w:pPr>
              <w:spacing w:after="0" w:line="240" w:lineRule="auto"/>
              <w:jc w:val="center"/>
              <w:rPr>
                <w:color w:val="000000"/>
                <w:sz w:val="18"/>
                <w:szCs w:val="18"/>
              </w:rPr>
            </w:pPr>
            <w:r>
              <w:rPr>
                <w:color w:val="000000"/>
                <w:sz w:val="18"/>
                <w:szCs w:val="18"/>
              </w:rPr>
              <w:t>3,1</w:t>
            </w:r>
          </w:p>
        </w:tc>
      </w:tr>
      <w:tr w:rsidR="007B0DE0" w:rsidRPr="002C13B8" w14:paraId="22F32897" w14:textId="77777777" w:rsidTr="00A87016">
        <w:trPr>
          <w:trHeight w:val="270"/>
        </w:trPr>
        <w:tc>
          <w:tcPr>
            <w:tcW w:w="2411" w:type="pct"/>
            <w:tcBorders>
              <w:top w:val="nil"/>
              <w:left w:val="nil"/>
              <w:bottom w:val="nil"/>
              <w:right w:val="nil"/>
            </w:tcBorders>
            <w:noWrap/>
            <w:vAlign w:val="center"/>
          </w:tcPr>
          <w:p w14:paraId="5D2756E9" w14:textId="77777777" w:rsidR="00E34AAE" w:rsidRDefault="007B0DE0" w:rsidP="007B0DE0">
            <w:pPr>
              <w:spacing w:after="0" w:line="240" w:lineRule="auto"/>
              <w:ind w:firstLineChars="300" w:firstLine="540"/>
              <w:rPr>
                <w:color w:val="000000"/>
                <w:sz w:val="18"/>
                <w:szCs w:val="18"/>
              </w:rPr>
            </w:pPr>
            <w:r w:rsidRPr="00232DCB">
              <w:rPr>
                <w:color w:val="000000"/>
                <w:sz w:val="18"/>
                <w:szCs w:val="18"/>
              </w:rPr>
              <w:t xml:space="preserve">                       osobitný odvod z podnikania v regul. </w:t>
            </w:r>
            <w:r w:rsidR="00E34AAE">
              <w:rPr>
                <w:color w:val="000000"/>
                <w:sz w:val="18"/>
                <w:szCs w:val="18"/>
              </w:rPr>
              <w:t xml:space="preserve"> </w:t>
            </w:r>
          </w:p>
          <w:p w14:paraId="184B38F9" w14:textId="51406C21" w:rsidR="007B0DE0" w:rsidRPr="00CF1A21" w:rsidRDefault="00E34AAE" w:rsidP="007B0DE0">
            <w:pPr>
              <w:spacing w:after="0" w:line="240" w:lineRule="auto"/>
              <w:ind w:firstLineChars="300" w:firstLine="540"/>
              <w:rPr>
                <w:color w:val="000000"/>
                <w:sz w:val="18"/>
                <w:szCs w:val="18"/>
                <w:lang w:eastAsia="sk-SK"/>
              </w:rPr>
            </w:pPr>
            <w:r>
              <w:rPr>
                <w:color w:val="000000"/>
                <w:sz w:val="18"/>
                <w:szCs w:val="18"/>
              </w:rPr>
              <w:t xml:space="preserve">                       </w:t>
            </w:r>
            <w:r w:rsidR="007B0DE0" w:rsidRPr="00232DCB">
              <w:rPr>
                <w:color w:val="000000"/>
                <w:sz w:val="18"/>
                <w:szCs w:val="18"/>
              </w:rPr>
              <w:t>odvet</w:t>
            </w:r>
            <w:r w:rsidR="00F416F5">
              <w:rPr>
                <w:color w:val="000000"/>
                <w:sz w:val="18"/>
                <w:szCs w:val="18"/>
              </w:rPr>
              <w:t>viach</w:t>
            </w:r>
          </w:p>
        </w:tc>
        <w:tc>
          <w:tcPr>
            <w:tcW w:w="628" w:type="pct"/>
            <w:tcBorders>
              <w:top w:val="nil"/>
              <w:left w:val="nil"/>
              <w:bottom w:val="nil"/>
              <w:right w:val="nil"/>
            </w:tcBorders>
            <w:noWrap/>
            <w:vAlign w:val="center"/>
          </w:tcPr>
          <w:p w14:paraId="18D5605B" w14:textId="3C628A06" w:rsidR="007B0DE0" w:rsidRDefault="007B0DE0" w:rsidP="007B0DE0">
            <w:pPr>
              <w:spacing w:after="0" w:line="240" w:lineRule="auto"/>
              <w:jc w:val="right"/>
              <w:rPr>
                <w:sz w:val="18"/>
                <w:szCs w:val="18"/>
              </w:rPr>
            </w:pPr>
            <w:r>
              <w:rPr>
                <w:sz w:val="18"/>
                <w:szCs w:val="18"/>
              </w:rPr>
              <w:t>95 416</w:t>
            </w:r>
          </w:p>
        </w:tc>
        <w:tc>
          <w:tcPr>
            <w:tcW w:w="628" w:type="pct"/>
            <w:tcBorders>
              <w:top w:val="nil"/>
              <w:left w:val="nil"/>
              <w:bottom w:val="nil"/>
              <w:right w:val="nil"/>
            </w:tcBorders>
            <w:noWrap/>
            <w:vAlign w:val="center"/>
          </w:tcPr>
          <w:p w14:paraId="4CDE49DE" w14:textId="77777777" w:rsidR="007B0DE0" w:rsidRDefault="007B0DE0" w:rsidP="007B0DE0">
            <w:pPr>
              <w:spacing w:after="0" w:line="240" w:lineRule="auto"/>
              <w:jc w:val="right"/>
              <w:rPr>
                <w:sz w:val="18"/>
                <w:szCs w:val="18"/>
              </w:rPr>
            </w:pPr>
            <w:r>
              <w:rPr>
                <w:sz w:val="18"/>
                <w:szCs w:val="18"/>
              </w:rPr>
              <w:t>134 959</w:t>
            </w:r>
          </w:p>
        </w:tc>
        <w:tc>
          <w:tcPr>
            <w:tcW w:w="628" w:type="pct"/>
            <w:tcBorders>
              <w:top w:val="nil"/>
              <w:left w:val="nil"/>
              <w:bottom w:val="nil"/>
              <w:right w:val="nil"/>
            </w:tcBorders>
            <w:noWrap/>
            <w:vAlign w:val="center"/>
          </w:tcPr>
          <w:p w14:paraId="06C49614" w14:textId="77777777" w:rsidR="007B0DE0" w:rsidRDefault="007B0DE0" w:rsidP="007B0DE0">
            <w:pPr>
              <w:spacing w:after="0" w:line="240" w:lineRule="auto"/>
              <w:jc w:val="right"/>
              <w:rPr>
                <w:sz w:val="18"/>
                <w:szCs w:val="18"/>
              </w:rPr>
            </w:pPr>
            <w:r>
              <w:rPr>
                <w:sz w:val="18"/>
                <w:szCs w:val="18"/>
              </w:rPr>
              <w:t>533 620</w:t>
            </w:r>
          </w:p>
        </w:tc>
        <w:tc>
          <w:tcPr>
            <w:tcW w:w="704" w:type="pct"/>
            <w:tcBorders>
              <w:top w:val="nil"/>
              <w:left w:val="nil"/>
              <w:bottom w:val="nil"/>
              <w:right w:val="nil"/>
            </w:tcBorders>
            <w:noWrap/>
            <w:vAlign w:val="center"/>
          </w:tcPr>
          <w:p w14:paraId="3EBE3B3B" w14:textId="77777777" w:rsidR="007B0DE0" w:rsidRDefault="007B0DE0" w:rsidP="007B0DE0">
            <w:pPr>
              <w:spacing w:after="0" w:line="240" w:lineRule="auto"/>
              <w:jc w:val="center"/>
              <w:rPr>
                <w:color w:val="000000"/>
                <w:sz w:val="18"/>
                <w:szCs w:val="18"/>
              </w:rPr>
            </w:pPr>
            <w:r>
              <w:rPr>
                <w:color w:val="000000"/>
                <w:sz w:val="18"/>
                <w:szCs w:val="18"/>
              </w:rPr>
              <w:t>295,4</w:t>
            </w:r>
          </w:p>
        </w:tc>
      </w:tr>
      <w:tr w:rsidR="007B0DE0" w:rsidRPr="002C13B8" w14:paraId="0A27603B" w14:textId="77777777" w:rsidTr="00A87016">
        <w:trPr>
          <w:trHeight w:val="270"/>
        </w:trPr>
        <w:tc>
          <w:tcPr>
            <w:tcW w:w="2411" w:type="pct"/>
            <w:tcBorders>
              <w:top w:val="nil"/>
              <w:left w:val="nil"/>
              <w:bottom w:val="nil"/>
              <w:right w:val="nil"/>
            </w:tcBorders>
            <w:noWrap/>
            <w:vAlign w:val="center"/>
          </w:tcPr>
          <w:p w14:paraId="656900BF" w14:textId="2E671713" w:rsidR="007B0DE0" w:rsidRPr="00CF1A21" w:rsidRDefault="007B0DE0" w:rsidP="007B0DE0">
            <w:pPr>
              <w:spacing w:after="0" w:line="240" w:lineRule="auto"/>
              <w:ind w:firstLineChars="300" w:firstLine="540"/>
              <w:rPr>
                <w:color w:val="000000"/>
                <w:sz w:val="18"/>
                <w:szCs w:val="18"/>
                <w:lang w:eastAsia="sk-SK"/>
              </w:rPr>
            </w:pPr>
            <w:r w:rsidRPr="00232DCB">
              <w:rPr>
                <w:color w:val="000000"/>
                <w:sz w:val="18"/>
                <w:szCs w:val="18"/>
              </w:rPr>
              <w:t xml:space="preserve">                       Solidárny príspevok</w:t>
            </w:r>
          </w:p>
        </w:tc>
        <w:tc>
          <w:tcPr>
            <w:tcW w:w="628" w:type="pct"/>
            <w:tcBorders>
              <w:top w:val="nil"/>
              <w:left w:val="nil"/>
              <w:bottom w:val="nil"/>
              <w:right w:val="nil"/>
            </w:tcBorders>
            <w:noWrap/>
            <w:vAlign w:val="center"/>
          </w:tcPr>
          <w:p w14:paraId="084E7BB4" w14:textId="77777777" w:rsidR="007B0DE0" w:rsidRDefault="007B0DE0" w:rsidP="007B0DE0">
            <w:pPr>
              <w:spacing w:after="0" w:line="240" w:lineRule="auto"/>
              <w:jc w:val="right"/>
              <w:rPr>
                <w:sz w:val="18"/>
                <w:szCs w:val="18"/>
              </w:rPr>
            </w:pPr>
            <w:r>
              <w:rPr>
                <w:sz w:val="18"/>
                <w:szCs w:val="18"/>
              </w:rPr>
              <w:t>519 677</w:t>
            </w:r>
          </w:p>
        </w:tc>
        <w:tc>
          <w:tcPr>
            <w:tcW w:w="628" w:type="pct"/>
            <w:tcBorders>
              <w:top w:val="nil"/>
              <w:left w:val="nil"/>
              <w:bottom w:val="nil"/>
              <w:right w:val="nil"/>
            </w:tcBorders>
            <w:noWrap/>
            <w:vAlign w:val="center"/>
          </w:tcPr>
          <w:p w14:paraId="45EC5379" w14:textId="77777777" w:rsidR="007B0DE0" w:rsidRDefault="007B0DE0" w:rsidP="007B0DE0">
            <w:pPr>
              <w:spacing w:after="0" w:line="240" w:lineRule="auto"/>
              <w:jc w:val="right"/>
              <w:rPr>
                <w:sz w:val="18"/>
                <w:szCs w:val="18"/>
              </w:rPr>
            </w:pPr>
            <w:r>
              <w:rPr>
                <w:sz w:val="18"/>
                <w:szCs w:val="18"/>
              </w:rPr>
              <w:t>0</w:t>
            </w:r>
          </w:p>
        </w:tc>
        <w:tc>
          <w:tcPr>
            <w:tcW w:w="628" w:type="pct"/>
            <w:tcBorders>
              <w:top w:val="nil"/>
              <w:left w:val="nil"/>
              <w:bottom w:val="nil"/>
              <w:right w:val="nil"/>
            </w:tcBorders>
            <w:noWrap/>
            <w:vAlign w:val="center"/>
          </w:tcPr>
          <w:p w14:paraId="164B33CF" w14:textId="77777777" w:rsidR="007B0DE0" w:rsidRDefault="007B0DE0" w:rsidP="007B0DE0">
            <w:pPr>
              <w:spacing w:after="0" w:line="240" w:lineRule="auto"/>
              <w:jc w:val="right"/>
              <w:rPr>
                <w:sz w:val="18"/>
                <w:szCs w:val="18"/>
              </w:rPr>
            </w:pPr>
            <w:r>
              <w:rPr>
                <w:sz w:val="18"/>
                <w:szCs w:val="18"/>
              </w:rPr>
              <w:t>55 672</w:t>
            </w:r>
          </w:p>
        </w:tc>
        <w:tc>
          <w:tcPr>
            <w:tcW w:w="704" w:type="pct"/>
            <w:tcBorders>
              <w:top w:val="nil"/>
              <w:left w:val="nil"/>
              <w:bottom w:val="nil"/>
              <w:right w:val="nil"/>
            </w:tcBorders>
            <w:noWrap/>
            <w:vAlign w:val="center"/>
          </w:tcPr>
          <w:p w14:paraId="5E0F406C" w14:textId="15E68F6C" w:rsidR="007B0DE0" w:rsidRDefault="007B0DE0" w:rsidP="007B0DE0">
            <w:pPr>
              <w:spacing w:after="0" w:line="240" w:lineRule="auto"/>
              <w:jc w:val="center"/>
              <w:rPr>
                <w:color w:val="000000"/>
                <w:sz w:val="18"/>
                <w:szCs w:val="18"/>
              </w:rPr>
            </w:pPr>
            <w:r>
              <w:rPr>
                <w:color w:val="000000"/>
                <w:sz w:val="18"/>
                <w:szCs w:val="18"/>
              </w:rPr>
              <w:t>-</w:t>
            </w:r>
          </w:p>
        </w:tc>
      </w:tr>
      <w:tr w:rsidR="000B26C6" w:rsidRPr="002C13B8" w14:paraId="3FF38AD4" w14:textId="77777777" w:rsidTr="00A87016">
        <w:trPr>
          <w:trHeight w:val="270"/>
        </w:trPr>
        <w:tc>
          <w:tcPr>
            <w:tcW w:w="2411" w:type="pct"/>
            <w:tcBorders>
              <w:top w:val="nil"/>
              <w:left w:val="nil"/>
              <w:bottom w:val="nil"/>
              <w:right w:val="nil"/>
            </w:tcBorders>
            <w:noWrap/>
            <w:vAlign w:val="center"/>
            <w:hideMark/>
          </w:tcPr>
          <w:p w14:paraId="23A3679D" w14:textId="77777777" w:rsidR="000B26C6" w:rsidRPr="00CF1A21" w:rsidRDefault="000B26C6" w:rsidP="000B26C6">
            <w:pPr>
              <w:spacing w:after="0" w:line="240" w:lineRule="auto"/>
              <w:ind w:firstLineChars="300" w:firstLine="540"/>
              <w:rPr>
                <w:color w:val="000000"/>
                <w:sz w:val="18"/>
                <w:szCs w:val="18"/>
                <w:lang w:eastAsia="sk-SK"/>
              </w:rPr>
            </w:pPr>
            <w:r w:rsidRPr="00CF1A21">
              <w:rPr>
                <w:color w:val="000000"/>
                <w:sz w:val="18"/>
                <w:szCs w:val="18"/>
                <w:lang w:eastAsia="sk-SK"/>
              </w:rPr>
              <w:t xml:space="preserve"> - Daň z príjmov vyberaná zrážkou</w:t>
            </w:r>
          </w:p>
        </w:tc>
        <w:tc>
          <w:tcPr>
            <w:tcW w:w="628" w:type="pct"/>
            <w:tcBorders>
              <w:top w:val="nil"/>
              <w:left w:val="nil"/>
              <w:bottom w:val="nil"/>
              <w:right w:val="nil"/>
            </w:tcBorders>
            <w:noWrap/>
            <w:vAlign w:val="center"/>
          </w:tcPr>
          <w:p w14:paraId="4ECAC402" w14:textId="77777777" w:rsidR="000B26C6" w:rsidRPr="00592BC6" w:rsidRDefault="000B26C6" w:rsidP="000B26C6">
            <w:pPr>
              <w:spacing w:after="0" w:line="240" w:lineRule="auto"/>
              <w:jc w:val="right"/>
              <w:rPr>
                <w:color w:val="000000"/>
                <w:sz w:val="18"/>
                <w:szCs w:val="18"/>
                <w:highlight w:val="yellow"/>
                <w:lang w:eastAsia="sk-SK"/>
              </w:rPr>
            </w:pPr>
            <w:r>
              <w:rPr>
                <w:sz w:val="18"/>
                <w:szCs w:val="18"/>
              </w:rPr>
              <w:t>314 764</w:t>
            </w:r>
          </w:p>
        </w:tc>
        <w:tc>
          <w:tcPr>
            <w:tcW w:w="628" w:type="pct"/>
            <w:tcBorders>
              <w:top w:val="nil"/>
              <w:left w:val="nil"/>
              <w:bottom w:val="nil"/>
              <w:right w:val="nil"/>
            </w:tcBorders>
            <w:noWrap/>
            <w:vAlign w:val="center"/>
          </w:tcPr>
          <w:p w14:paraId="53CE4FA0"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430 574</w:t>
            </w:r>
          </w:p>
        </w:tc>
        <w:tc>
          <w:tcPr>
            <w:tcW w:w="628" w:type="pct"/>
            <w:tcBorders>
              <w:top w:val="nil"/>
              <w:left w:val="nil"/>
              <w:bottom w:val="nil"/>
              <w:right w:val="nil"/>
            </w:tcBorders>
            <w:noWrap/>
            <w:vAlign w:val="center"/>
          </w:tcPr>
          <w:p w14:paraId="2CD1913B" w14:textId="77777777" w:rsidR="000B26C6" w:rsidRPr="00592BC6" w:rsidRDefault="000B26C6" w:rsidP="000B26C6">
            <w:pPr>
              <w:spacing w:after="0" w:line="240" w:lineRule="auto"/>
              <w:jc w:val="right"/>
              <w:rPr>
                <w:sz w:val="18"/>
                <w:szCs w:val="18"/>
                <w:highlight w:val="yellow"/>
                <w:lang w:eastAsia="sk-SK"/>
              </w:rPr>
            </w:pPr>
            <w:r>
              <w:rPr>
                <w:sz w:val="18"/>
                <w:szCs w:val="18"/>
              </w:rPr>
              <w:t>529 151</w:t>
            </w:r>
          </w:p>
        </w:tc>
        <w:tc>
          <w:tcPr>
            <w:tcW w:w="704" w:type="pct"/>
            <w:tcBorders>
              <w:top w:val="nil"/>
              <w:left w:val="nil"/>
              <w:bottom w:val="nil"/>
              <w:right w:val="nil"/>
            </w:tcBorders>
            <w:noWrap/>
            <w:vAlign w:val="center"/>
          </w:tcPr>
          <w:p w14:paraId="7EBD51AE"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22,9</w:t>
            </w:r>
          </w:p>
        </w:tc>
      </w:tr>
      <w:tr w:rsidR="000B26C6" w:rsidRPr="002C13B8" w14:paraId="5DAC2E49" w14:textId="77777777" w:rsidTr="00A87016">
        <w:trPr>
          <w:trHeight w:val="270"/>
        </w:trPr>
        <w:tc>
          <w:tcPr>
            <w:tcW w:w="2411" w:type="pct"/>
            <w:tcBorders>
              <w:top w:val="nil"/>
              <w:left w:val="nil"/>
              <w:bottom w:val="nil"/>
              <w:right w:val="nil"/>
            </w:tcBorders>
            <w:noWrap/>
            <w:vAlign w:val="center"/>
            <w:hideMark/>
          </w:tcPr>
          <w:p w14:paraId="7D21C25A" w14:textId="77777777" w:rsidR="000B26C6" w:rsidRPr="00CF1A21" w:rsidRDefault="000B26C6" w:rsidP="000B26C6">
            <w:pPr>
              <w:spacing w:after="0" w:line="240" w:lineRule="auto"/>
              <w:ind w:firstLineChars="300" w:firstLine="540"/>
              <w:rPr>
                <w:color w:val="000000"/>
                <w:sz w:val="18"/>
                <w:szCs w:val="18"/>
                <w:lang w:eastAsia="sk-SK"/>
              </w:rPr>
            </w:pPr>
            <w:r w:rsidRPr="00CF1A21">
              <w:rPr>
                <w:color w:val="000000"/>
                <w:sz w:val="18"/>
                <w:szCs w:val="18"/>
                <w:lang w:eastAsia="sk-SK"/>
              </w:rPr>
              <w:t xml:space="preserve"> - Dane z majetku a iné</w:t>
            </w:r>
          </w:p>
        </w:tc>
        <w:tc>
          <w:tcPr>
            <w:tcW w:w="628" w:type="pct"/>
            <w:tcBorders>
              <w:top w:val="nil"/>
              <w:left w:val="nil"/>
              <w:bottom w:val="nil"/>
              <w:right w:val="nil"/>
            </w:tcBorders>
            <w:noWrap/>
            <w:vAlign w:val="center"/>
          </w:tcPr>
          <w:p w14:paraId="1329E0A6" w14:textId="77777777" w:rsidR="000B26C6" w:rsidRPr="00592BC6" w:rsidRDefault="000B26C6" w:rsidP="000B26C6">
            <w:pPr>
              <w:spacing w:after="0" w:line="240" w:lineRule="auto"/>
              <w:jc w:val="right"/>
              <w:rPr>
                <w:color w:val="000000"/>
                <w:sz w:val="18"/>
                <w:szCs w:val="18"/>
                <w:highlight w:val="yellow"/>
                <w:lang w:eastAsia="sk-SK"/>
              </w:rPr>
            </w:pPr>
            <w:r>
              <w:rPr>
                <w:sz w:val="18"/>
                <w:szCs w:val="18"/>
              </w:rPr>
              <w:t>36 978</w:t>
            </w:r>
          </w:p>
        </w:tc>
        <w:tc>
          <w:tcPr>
            <w:tcW w:w="628" w:type="pct"/>
            <w:tcBorders>
              <w:top w:val="nil"/>
              <w:left w:val="nil"/>
              <w:bottom w:val="nil"/>
              <w:right w:val="nil"/>
            </w:tcBorders>
            <w:noWrap/>
            <w:vAlign w:val="center"/>
          </w:tcPr>
          <w:p w14:paraId="489BEDC9"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39 950</w:t>
            </w:r>
          </w:p>
        </w:tc>
        <w:tc>
          <w:tcPr>
            <w:tcW w:w="628" w:type="pct"/>
            <w:tcBorders>
              <w:top w:val="nil"/>
              <w:left w:val="nil"/>
              <w:bottom w:val="nil"/>
              <w:right w:val="nil"/>
            </w:tcBorders>
            <w:noWrap/>
            <w:vAlign w:val="center"/>
          </w:tcPr>
          <w:p w14:paraId="20FE1BAD" w14:textId="77777777" w:rsidR="000B26C6" w:rsidRPr="00592BC6" w:rsidRDefault="000B26C6" w:rsidP="000B26C6">
            <w:pPr>
              <w:spacing w:after="0" w:line="240" w:lineRule="auto"/>
              <w:jc w:val="right"/>
              <w:rPr>
                <w:sz w:val="18"/>
                <w:szCs w:val="18"/>
                <w:highlight w:val="yellow"/>
                <w:lang w:eastAsia="sk-SK"/>
              </w:rPr>
            </w:pPr>
            <w:r>
              <w:rPr>
                <w:sz w:val="18"/>
                <w:szCs w:val="18"/>
              </w:rPr>
              <w:t>47 076</w:t>
            </w:r>
          </w:p>
        </w:tc>
        <w:tc>
          <w:tcPr>
            <w:tcW w:w="704" w:type="pct"/>
            <w:tcBorders>
              <w:top w:val="nil"/>
              <w:left w:val="nil"/>
              <w:bottom w:val="nil"/>
              <w:right w:val="nil"/>
            </w:tcBorders>
            <w:noWrap/>
            <w:vAlign w:val="center"/>
          </w:tcPr>
          <w:p w14:paraId="4F7885A7"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17,8</w:t>
            </w:r>
          </w:p>
        </w:tc>
      </w:tr>
      <w:tr w:rsidR="000B26C6" w:rsidRPr="002C13B8" w14:paraId="4C31A131" w14:textId="77777777" w:rsidTr="00A87016">
        <w:trPr>
          <w:trHeight w:val="270"/>
        </w:trPr>
        <w:tc>
          <w:tcPr>
            <w:tcW w:w="2411" w:type="pct"/>
            <w:tcBorders>
              <w:top w:val="nil"/>
              <w:left w:val="nil"/>
              <w:bottom w:val="nil"/>
              <w:right w:val="nil"/>
            </w:tcBorders>
            <w:noWrap/>
            <w:vAlign w:val="center"/>
            <w:hideMark/>
          </w:tcPr>
          <w:p w14:paraId="31787F76" w14:textId="77777777" w:rsidR="000B26C6" w:rsidRPr="00CF1A21" w:rsidRDefault="000B26C6" w:rsidP="000B26C6">
            <w:pPr>
              <w:spacing w:after="0" w:line="240" w:lineRule="auto"/>
              <w:rPr>
                <w:b/>
                <w:bCs/>
                <w:color w:val="000000"/>
                <w:sz w:val="18"/>
                <w:szCs w:val="18"/>
                <w:lang w:eastAsia="sk-SK"/>
              </w:rPr>
            </w:pPr>
            <w:r w:rsidRPr="00CF1A21">
              <w:rPr>
                <w:b/>
                <w:bCs/>
                <w:color w:val="000000"/>
                <w:sz w:val="18"/>
                <w:szCs w:val="18"/>
                <w:lang w:eastAsia="sk-SK"/>
              </w:rPr>
              <w:t>Dane z kapitálu</w:t>
            </w:r>
          </w:p>
        </w:tc>
        <w:tc>
          <w:tcPr>
            <w:tcW w:w="628" w:type="pct"/>
            <w:tcBorders>
              <w:top w:val="nil"/>
              <w:left w:val="nil"/>
              <w:bottom w:val="nil"/>
              <w:right w:val="nil"/>
            </w:tcBorders>
            <w:noWrap/>
            <w:vAlign w:val="center"/>
          </w:tcPr>
          <w:p w14:paraId="76BE9CA5" w14:textId="77777777" w:rsidR="000B26C6" w:rsidRPr="00592BC6" w:rsidRDefault="000B26C6" w:rsidP="000B26C6">
            <w:pPr>
              <w:spacing w:after="0" w:line="240" w:lineRule="auto"/>
              <w:jc w:val="right"/>
              <w:rPr>
                <w:b/>
                <w:bCs/>
                <w:color w:val="000000"/>
                <w:sz w:val="18"/>
                <w:szCs w:val="18"/>
                <w:highlight w:val="yellow"/>
                <w:lang w:eastAsia="sk-SK"/>
              </w:rPr>
            </w:pPr>
            <w:r>
              <w:rPr>
                <w:b/>
                <w:bCs/>
                <w:sz w:val="18"/>
                <w:szCs w:val="18"/>
              </w:rPr>
              <w:t>0</w:t>
            </w:r>
          </w:p>
        </w:tc>
        <w:tc>
          <w:tcPr>
            <w:tcW w:w="628" w:type="pct"/>
            <w:tcBorders>
              <w:top w:val="nil"/>
              <w:left w:val="nil"/>
              <w:bottom w:val="nil"/>
              <w:right w:val="nil"/>
            </w:tcBorders>
            <w:noWrap/>
            <w:vAlign w:val="center"/>
          </w:tcPr>
          <w:p w14:paraId="098C4A6D" w14:textId="77777777" w:rsidR="000B26C6" w:rsidRPr="00592BC6" w:rsidRDefault="000B26C6" w:rsidP="000B26C6">
            <w:pPr>
              <w:spacing w:after="0" w:line="240" w:lineRule="auto"/>
              <w:jc w:val="right"/>
              <w:rPr>
                <w:b/>
                <w:bCs/>
                <w:color w:val="FF0000"/>
                <w:sz w:val="18"/>
                <w:szCs w:val="18"/>
                <w:highlight w:val="yellow"/>
                <w:lang w:eastAsia="sk-SK"/>
              </w:rPr>
            </w:pPr>
            <w:r>
              <w:rPr>
                <w:b/>
                <w:bCs/>
                <w:sz w:val="18"/>
                <w:szCs w:val="18"/>
              </w:rPr>
              <w:t>0</w:t>
            </w:r>
          </w:p>
        </w:tc>
        <w:tc>
          <w:tcPr>
            <w:tcW w:w="628" w:type="pct"/>
            <w:tcBorders>
              <w:top w:val="nil"/>
              <w:left w:val="nil"/>
              <w:bottom w:val="nil"/>
              <w:right w:val="nil"/>
            </w:tcBorders>
            <w:noWrap/>
            <w:vAlign w:val="center"/>
          </w:tcPr>
          <w:p w14:paraId="660FDB09" w14:textId="77777777" w:rsidR="000B26C6" w:rsidRPr="00592BC6" w:rsidRDefault="000B26C6" w:rsidP="000B26C6">
            <w:pPr>
              <w:spacing w:after="0" w:line="240" w:lineRule="auto"/>
              <w:jc w:val="right"/>
              <w:rPr>
                <w:b/>
                <w:bCs/>
                <w:sz w:val="18"/>
                <w:szCs w:val="18"/>
                <w:highlight w:val="yellow"/>
                <w:lang w:eastAsia="sk-SK"/>
              </w:rPr>
            </w:pPr>
            <w:r>
              <w:rPr>
                <w:b/>
                <w:bCs/>
                <w:sz w:val="18"/>
                <w:szCs w:val="18"/>
              </w:rPr>
              <w:t>0</w:t>
            </w:r>
          </w:p>
        </w:tc>
        <w:tc>
          <w:tcPr>
            <w:tcW w:w="704" w:type="pct"/>
            <w:tcBorders>
              <w:top w:val="nil"/>
              <w:left w:val="nil"/>
              <w:bottom w:val="nil"/>
              <w:right w:val="nil"/>
            </w:tcBorders>
            <w:noWrap/>
            <w:vAlign w:val="center"/>
          </w:tcPr>
          <w:p w14:paraId="0952E541" w14:textId="77777777" w:rsidR="000B26C6" w:rsidRPr="00592BC6" w:rsidRDefault="000B26C6" w:rsidP="000B26C6">
            <w:pPr>
              <w:spacing w:after="0" w:line="240" w:lineRule="auto"/>
              <w:jc w:val="center"/>
              <w:rPr>
                <w:b/>
                <w:bCs/>
                <w:sz w:val="18"/>
                <w:szCs w:val="18"/>
                <w:highlight w:val="yellow"/>
                <w:lang w:eastAsia="sk-SK"/>
              </w:rPr>
            </w:pPr>
          </w:p>
        </w:tc>
      </w:tr>
      <w:tr w:rsidR="000B26C6" w:rsidRPr="002C13B8" w14:paraId="35588ACA" w14:textId="77777777" w:rsidTr="00A87016">
        <w:trPr>
          <w:trHeight w:val="270"/>
        </w:trPr>
        <w:tc>
          <w:tcPr>
            <w:tcW w:w="2411" w:type="pct"/>
            <w:tcBorders>
              <w:top w:val="nil"/>
              <w:left w:val="nil"/>
              <w:bottom w:val="nil"/>
              <w:right w:val="nil"/>
            </w:tcBorders>
            <w:noWrap/>
            <w:vAlign w:val="center"/>
            <w:hideMark/>
          </w:tcPr>
          <w:p w14:paraId="27019F95" w14:textId="77777777" w:rsidR="000B26C6" w:rsidRPr="00CF1A21" w:rsidRDefault="000B26C6" w:rsidP="000B26C6">
            <w:pPr>
              <w:spacing w:after="0" w:line="240" w:lineRule="auto"/>
              <w:rPr>
                <w:b/>
                <w:bCs/>
                <w:color w:val="000000"/>
                <w:sz w:val="18"/>
                <w:szCs w:val="18"/>
                <w:lang w:eastAsia="sk-SK"/>
              </w:rPr>
            </w:pPr>
            <w:r w:rsidRPr="00CF1A21">
              <w:rPr>
                <w:b/>
                <w:bCs/>
                <w:color w:val="000000"/>
                <w:sz w:val="18"/>
                <w:szCs w:val="18"/>
                <w:lang w:eastAsia="sk-SK"/>
              </w:rPr>
              <w:t>Príspevky na sociálne zabezpečenie</w:t>
            </w:r>
          </w:p>
        </w:tc>
        <w:tc>
          <w:tcPr>
            <w:tcW w:w="628" w:type="pct"/>
            <w:tcBorders>
              <w:top w:val="nil"/>
              <w:left w:val="nil"/>
              <w:bottom w:val="nil"/>
              <w:right w:val="nil"/>
            </w:tcBorders>
            <w:noWrap/>
            <w:vAlign w:val="center"/>
          </w:tcPr>
          <w:p w14:paraId="0453D540" w14:textId="77777777" w:rsidR="000B26C6" w:rsidRPr="00592BC6" w:rsidRDefault="000B26C6" w:rsidP="000B26C6">
            <w:pPr>
              <w:spacing w:after="0" w:line="240" w:lineRule="auto"/>
              <w:jc w:val="right"/>
              <w:rPr>
                <w:b/>
                <w:bCs/>
                <w:color w:val="000000"/>
                <w:sz w:val="18"/>
                <w:szCs w:val="18"/>
                <w:highlight w:val="yellow"/>
                <w:lang w:eastAsia="sk-SK"/>
              </w:rPr>
            </w:pPr>
            <w:r>
              <w:rPr>
                <w:b/>
                <w:bCs/>
                <w:sz w:val="18"/>
                <w:szCs w:val="18"/>
              </w:rPr>
              <w:t>16 595 520</w:t>
            </w:r>
          </w:p>
        </w:tc>
        <w:tc>
          <w:tcPr>
            <w:tcW w:w="628" w:type="pct"/>
            <w:tcBorders>
              <w:top w:val="nil"/>
              <w:left w:val="nil"/>
              <w:bottom w:val="nil"/>
              <w:right w:val="nil"/>
            </w:tcBorders>
            <w:noWrap/>
            <w:vAlign w:val="center"/>
          </w:tcPr>
          <w:p w14:paraId="1F289B9E" w14:textId="77777777" w:rsidR="000B26C6" w:rsidRPr="00592BC6" w:rsidRDefault="000B26C6" w:rsidP="000B26C6">
            <w:pPr>
              <w:spacing w:after="0" w:line="240" w:lineRule="auto"/>
              <w:jc w:val="right"/>
              <w:rPr>
                <w:b/>
                <w:bCs/>
                <w:color w:val="FF0000"/>
                <w:sz w:val="18"/>
                <w:szCs w:val="18"/>
                <w:highlight w:val="yellow"/>
                <w:lang w:eastAsia="sk-SK"/>
              </w:rPr>
            </w:pPr>
            <w:r>
              <w:rPr>
                <w:b/>
                <w:bCs/>
                <w:sz w:val="18"/>
                <w:szCs w:val="18"/>
              </w:rPr>
              <w:t>18 945 663</w:t>
            </w:r>
          </w:p>
        </w:tc>
        <w:tc>
          <w:tcPr>
            <w:tcW w:w="628" w:type="pct"/>
            <w:tcBorders>
              <w:top w:val="nil"/>
              <w:left w:val="nil"/>
              <w:bottom w:val="nil"/>
              <w:right w:val="nil"/>
            </w:tcBorders>
            <w:noWrap/>
            <w:vAlign w:val="center"/>
          </w:tcPr>
          <w:p w14:paraId="73E6CC0B" w14:textId="77777777" w:rsidR="000B26C6" w:rsidRPr="00592BC6" w:rsidRDefault="000B26C6" w:rsidP="000B26C6">
            <w:pPr>
              <w:spacing w:after="0" w:line="240" w:lineRule="auto"/>
              <w:jc w:val="right"/>
              <w:rPr>
                <w:b/>
                <w:bCs/>
                <w:sz w:val="18"/>
                <w:szCs w:val="18"/>
                <w:highlight w:val="yellow"/>
                <w:lang w:eastAsia="sk-SK"/>
              </w:rPr>
            </w:pPr>
            <w:r>
              <w:rPr>
                <w:b/>
                <w:bCs/>
                <w:sz w:val="18"/>
                <w:szCs w:val="18"/>
              </w:rPr>
              <w:t>20 964 663</w:t>
            </w:r>
          </w:p>
        </w:tc>
        <w:tc>
          <w:tcPr>
            <w:tcW w:w="704" w:type="pct"/>
            <w:tcBorders>
              <w:top w:val="nil"/>
              <w:left w:val="nil"/>
              <w:bottom w:val="nil"/>
              <w:right w:val="nil"/>
            </w:tcBorders>
            <w:noWrap/>
            <w:vAlign w:val="center"/>
          </w:tcPr>
          <w:p w14:paraId="782EC56B" w14:textId="77777777" w:rsidR="000B26C6" w:rsidRPr="00592BC6" w:rsidRDefault="000B26C6" w:rsidP="000B26C6">
            <w:pPr>
              <w:spacing w:after="0" w:line="240" w:lineRule="auto"/>
              <w:jc w:val="center"/>
              <w:rPr>
                <w:b/>
                <w:bCs/>
                <w:sz w:val="18"/>
                <w:szCs w:val="18"/>
                <w:highlight w:val="yellow"/>
                <w:lang w:eastAsia="sk-SK"/>
              </w:rPr>
            </w:pPr>
            <w:r>
              <w:rPr>
                <w:b/>
                <w:bCs/>
                <w:color w:val="000000"/>
                <w:sz w:val="18"/>
                <w:szCs w:val="18"/>
              </w:rPr>
              <w:t>10,7</w:t>
            </w:r>
          </w:p>
        </w:tc>
      </w:tr>
      <w:tr w:rsidR="000B26C6" w:rsidRPr="002C13B8" w14:paraId="4265A780" w14:textId="77777777" w:rsidTr="00A87016">
        <w:trPr>
          <w:trHeight w:val="270"/>
        </w:trPr>
        <w:tc>
          <w:tcPr>
            <w:tcW w:w="2411" w:type="pct"/>
            <w:tcBorders>
              <w:top w:val="nil"/>
              <w:left w:val="nil"/>
              <w:right w:val="nil"/>
            </w:tcBorders>
            <w:noWrap/>
            <w:vAlign w:val="center"/>
            <w:hideMark/>
          </w:tcPr>
          <w:p w14:paraId="20D13709" w14:textId="77777777" w:rsidR="000B26C6" w:rsidRPr="00CF1A21" w:rsidRDefault="000B26C6" w:rsidP="000B26C6">
            <w:pPr>
              <w:spacing w:after="0" w:line="240" w:lineRule="auto"/>
              <w:ind w:firstLineChars="200" w:firstLine="360"/>
              <w:rPr>
                <w:color w:val="000000"/>
                <w:sz w:val="18"/>
                <w:szCs w:val="18"/>
                <w:lang w:eastAsia="sk-SK"/>
              </w:rPr>
            </w:pPr>
            <w:r w:rsidRPr="00CF1A21">
              <w:rPr>
                <w:color w:val="000000"/>
                <w:sz w:val="18"/>
                <w:szCs w:val="18"/>
                <w:lang w:eastAsia="sk-SK"/>
              </w:rPr>
              <w:t>Skutočné príspevky na sociálne zabezpečenie</w:t>
            </w:r>
          </w:p>
        </w:tc>
        <w:tc>
          <w:tcPr>
            <w:tcW w:w="628" w:type="pct"/>
            <w:tcBorders>
              <w:top w:val="nil"/>
              <w:left w:val="nil"/>
              <w:right w:val="nil"/>
            </w:tcBorders>
            <w:noWrap/>
            <w:vAlign w:val="center"/>
          </w:tcPr>
          <w:p w14:paraId="15390AF8" w14:textId="77777777" w:rsidR="000B26C6" w:rsidRPr="00592BC6" w:rsidRDefault="000B26C6" w:rsidP="000B26C6">
            <w:pPr>
              <w:spacing w:after="0" w:line="240" w:lineRule="auto"/>
              <w:jc w:val="right"/>
              <w:rPr>
                <w:sz w:val="18"/>
                <w:szCs w:val="18"/>
                <w:highlight w:val="yellow"/>
                <w:lang w:eastAsia="sk-SK"/>
              </w:rPr>
            </w:pPr>
            <w:r>
              <w:rPr>
                <w:sz w:val="18"/>
                <w:szCs w:val="18"/>
              </w:rPr>
              <w:t>16 194 025</w:t>
            </w:r>
          </w:p>
        </w:tc>
        <w:tc>
          <w:tcPr>
            <w:tcW w:w="628" w:type="pct"/>
            <w:tcBorders>
              <w:top w:val="nil"/>
              <w:left w:val="nil"/>
              <w:right w:val="nil"/>
            </w:tcBorders>
            <w:noWrap/>
            <w:vAlign w:val="center"/>
          </w:tcPr>
          <w:p w14:paraId="4866967F"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18 523 359</w:t>
            </w:r>
          </w:p>
        </w:tc>
        <w:tc>
          <w:tcPr>
            <w:tcW w:w="628" w:type="pct"/>
            <w:tcBorders>
              <w:top w:val="nil"/>
              <w:left w:val="nil"/>
              <w:right w:val="nil"/>
            </w:tcBorders>
            <w:noWrap/>
            <w:vAlign w:val="center"/>
          </w:tcPr>
          <w:p w14:paraId="22A86E24" w14:textId="77777777" w:rsidR="000B26C6" w:rsidRPr="00592BC6" w:rsidRDefault="000B26C6" w:rsidP="000B26C6">
            <w:pPr>
              <w:spacing w:after="0" w:line="240" w:lineRule="auto"/>
              <w:jc w:val="right"/>
              <w:rPr>
                <w:sz w:val="18"/>
                <w:szCs w:val="18"/>
                <w:highlight w:val="yellow"/>
                <w:lang w:eastAsia="sk-SK"/>
              </w:rPr>
            </w:pPr>
            <w:r>
              <w:rPr>
                <w:sz w:val="18"/>
                <w:szCs w:val="18"/>
              </w:rPr>
              <w:t>20 427 699</w:t>
            </w:r>
          </w:p>
        </w:tc>
        <w:tc>
          <w:tcPr>
            <w:tcW w:w="704" w:type="pct"/>
            <w:tcBorders>
              <w:top w:val="nil"/>
              <w:left w:val="nil"/>
              <w:right w:val="nil"/>
            </w:tcBorders>
            <w:noWrap/>
            <w:vAlign w:val="center"/>
          </w:tcPr>
          <w:p w14:paraId="3296130D"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10,3</w:t>
            </w:r>
          </w:p>
        </w:tc>
      </w:tr>
      <w:tr w:rsidR="000B26C6" w:rsidRPr="002C13B8" w14:paraId="59B02254" w14:textId="77777777" w:rsidTr="00A87016">
        <w:trPr>
          <w:trHeight w:val="270"/>
        </w:trPr>
        <w:tc>
          <w:tcPr>
            <w:tcW w:w="2411" w:type="pct"/>
            <w:tcBorders>
              <w:top w:val="nil"/>
              <w:left w:val="nil"/>
              <w:right w:val="nil"/>
            </w:tcBorders>
            <w:noWrap/>
            <w:vAlign w:val="center"/>
          </w:tcPr>
          <w:p w14:paraId="50D7A1CE" w14:textId="77777777" w:rsidR="000B26C6" w:rsidRPr="00CF1A21" w:rsidRDefault="000B26C6" w:rsidP="000B26C6">
            <w:pPr>
              <w:spacing w:after="0" w:line="240" w:lineRule="auto"/>
              <w:ind w:firstLineChars="200" w:firstLine="360"/>
              <w:rPr>
                <w:color w:val="000000"/>
                <w:sz w:val="18"/>
                <w:szCs w:val="18"/>
                <w:lang w:eastAsia="sk-SK"/>
              </w:rPr>
            </w:pPr>
            <w:r w:rsidRPr="00CF1A21">
              <w:rPr>
                <w:color w:val="000000"/>
                <w:sz w:val="18"/>
                <w:szCs w:val="18"/>
              </w:rPr>
              <w:t xml:space="preserve"> - z toho EAO + dlžné</w:t>
            </w:r>
          </w:p>
        </w:tc>
        <w:tc>
          <w:tcPr>
            <w:tcW w:w="628" w:type="pct"/>
            <w:tcBorders>
              <w:top w:val="nil"/>
              <w:left w:val="nil"/>
              <w:right w:val="nil"/>
            </w:tcBorders>
            <w:noWrap/>
            <w:vAlign w:val="center"/>
          </w:tcPr>
          <w:p w14:paraId="7B674089" w14:textId="77777777" w:rsidR="000B26C6" w:rsidRPr="00592BC6" w:rsidRDefault="000B26C6" w:rsidP="000B26C6">
            <w:pPr>
              <w:spacing w:after="0" w:line="240" w:lineRule="auto"/>
              <w:jc w:val="right"/>
              <w:rPr>
                <w:color w:val="000000"/>
                <w:sz w:val="18"/>
                <w:szCs w:val="18"/>
                <w:highlight w:val="yellow"/>
              </w:rPr>
            </w:pPr>
            <w:r>
              <w:rPr>
                <w:sz w:val="18"/>
                <w:szCs w:val="18"/>
              </w:rPr>
              <w:t>14 171 322</w:t>
            </w:r>
          </w:p>
        </w:tc>
        <w:tc>
          <w:tcPr>
            <w:tcW w:w="628" w:type="pct"/>
            <w:tcBorders>
              <w:top w:val="nil"/>
              <w:left w:val="nil"/>
              <w:right w:val="nil"/>
            </w:tcBorders>
            <w:noWrap/>
            <w:vAlign w:val="center"/>
          </w:tcPr>
          <w:p w14:paraId="4323CCC4" w14:textId="77777777" w:rsidR="000B26C6" w:rsidRPr="00592BC6" w:rsidRDefault="000B26C6" w:rsidP="000B26C6">
            <w:pPr>
              <w:spacing w:after="0" w:line="240" w:lineRule="auto"/>
              <w:jc w:val="right"/>
              <w:rPr>
                <w:color w:val="000000"/>
                <w:sz w:val="18"/>
                <w:szCs w:val="18"/>
                <w:highlight w:val="yellow"/>
              </w:rPr>
            </w:pPr>
            <w:r>
              <w:rPr>
                <w:sz w:val="18"/>
                <w:szCs w:val="18"/>
              </w:rPr>
              <w:t>15 340 057</w:t>
            </w:r>
          </w:p>
        </w:tc>
        <w:tc>
          <w:tcPr>
            <w:tcW w:w="628" w:type="pct"/>
            <w:tcBorders>
              <w:top w:val="nil"/>
              <w:left w:val="nil"/>
              <w:right w:val="nil"/>
            </w:tcBorders>
            <w:noWrap/>
            <w:vAlign w:val="center"/>
          </w:tcPr>
          <w:p w14:paraId="4F7364ED" w14:textId="77777777" w:rsidR="000B26C6" w:rsidRPr="00592BC6" w:rsidRDefault="000B26C6" w:rsidP="000B26C6">
            <w:pPr>
              <w:spacing w:after="0" w:line="240" w:lineRule="auto"/>
              <w:jc w:val="right"/>
              <w:rPr>
                <w:color w:val="000000"/>
                <w:sz w:val="18"/>
                <w:szCs w:val="18"/>
                <w:highlight w:val="yellow"/>
              </w:rPr>
            </w:pPr>
            <w:r>
              <w:rPr>
                <w:sz w:val="18"/>
                <w:szCs w:val="18"/>
              </w:rPr>
              <w:t>17 303 235</w:t>
            </w:r>
          </w:p>
        </w:tc>
        <w:tc>
          <w:tcPr>
            <w:tcW w:w="704" w:type="pct"/>
            <w:tcBorders>
              <w:top w:val="nil"/>
              <w:left w:val="nil"/>
              <w:right w:val="nil"/>
            </w:tcBorders>
            <w:noWrap/>
            <w:vAlign w:val="center"/>
          </w:tcPr>
          <w:p w14:paraId="18F3BD41" w14:textId="77777777" w:rsidR="000B26C6" w:rsidRPr="00592BC6" w:rsidRDefault="000B26C6" w:rsidP="000B26C6">
            <w:pPr>
              <w:spacing w:after="0" w:line="240" w:lineRule="auto"/>
              <w:jc w:val="center"/>
              <w:rPr>
                <w:color w:val="000000"/>
                <w:sz w:val="18"/>
                <w:szCs w:val="18"/>
                <w:highlight w:val="yellow"/>
              </w:rPr>
            </w:pPr>
            <w:r>
              <w:rPr>
                <w:color w:val="000000"/>
                <w:sz w:val="18"/>
                <w:szCs w:val="18"/>
              </w:rPr>
              <w:t>12,8</w:t>
            </w:r>
          </w:p>
        </w:tc>
      </w:tr>
      <w:tr w:rsidR="000B26C6" w:rsidRPr="002C13B8" w14:paraId="4815D57C" w14:textId="77777777" w:rsidTr="00A87016">
        <w:trPr>
          <w:trHeight w:val="270"/>
        </w:trPr>
        <w:tc>
          <w:tcPr>
            <w:tcW w:w="2411" w:type="pct"/>
            <w:tcBorders>
              <w:top w:val="nil"/>
              <w:left w:val="nil"/>
              <w:right w:val="nil"/>
            </w:tcBorders>
            <w:noWrap/>
            <w:vAlign w:val="center"/>
          </w:tcPr>
          <w:p w14:paraId="5521E7CD" w14:textId="77777777" w:rsidR="000B26C6" w:rsidRPr="00CF1A21" w:rsidRDefault="000B26C6" w:rsidP="000B26C6">
            <w:pPr>
              <w:spacing w:after="0" w:line="240" w:lineRule="auto"/>
              <w:ind w:firstLineChars="200" w:firstLine="360"/>
              <w:rPr>
                <w:color w:val="000000"/>
                <w:sz w:val="18"/>
                <w:szCs w:val="18"/>
                <w:lang w:eastAsia="sk-SK"/>
              </w:rPr>
            </w:pPr>
            <w:r w:rsidRPr="00CF1A21">
              <w:rPr>
                <w:color w:val="000000"/>
                <w:sz w:val="18"/>
                <w:szCs w:val="18"/>
              </w:rPr>
              <w:t xml:space="preserve"> - z toho ostatné*</w:t>
            </w:r>
          </w:p>
        </w:tc>
        <w:tc>
          <w:tcPr>
            <w:tcW w:w="628" w:type="pct"/>
            <w:tcBorders>
              <w:top w:val="nil"/>
              <w:left w:val="nil"/>
              <w:right w:val="nil"/>
            </w:tcBorders>
            <w:noWrap/>
            <w:vAlign w:val="center"/>
          </w:tcPr>
          <w:p w14:paraId="10C683E9" w14:textId="77777777" w:rsidR="000B26C6" w:rsidRPr="00592BC6" w:rsidRDefault="000B26C6" w:rsidP="000B26C6">
            <w:pPr>
              <w:spacing w:after="0" w:line="240" w:lineRule="auto"/>
              <w:jc w:val="right"/>
              <w:rPr>
                <w:color w:val="000000"/>
                <w:sz w:val="18"/>
                <w:szCs w:val="18"/>
                <w:highlight w:val="yellow"/>
              </w:rPr>
            </w:pPr>
            <w:r>
              <w:rPr>
                <w:sz w:val="18"/>
                <w:szCs w:val="18"/>
              </w:rPr>
              <w:t>2 022 703</w:t>
            </w:r>
          </w:p>
        </w:tc>
        <w:tc>
          <w:tcPr>
            <w:tcW w:w="628" w:type="pct"/>
            <w:tcBorders>
              <w:top w:val="nil"/>
              <w:left w:val="nil"/>
              <w:right w:val="nil"/>
            </w:tcBorders>
            <w:noWrap/>
            <w:vAlign w:val="center"/>
          </w:tcPr>
          <w:p w14:paraId="2ABF2C5B" w14:textId="77777777" w:rsidR="000B26C6" w:rsidRPr="00592BC6" w:rsidRDefault="000B26C6" w:rsidP="000B26C6">
            <w:pPr>
              <w:spacing w:after="0" w:line="240" w:lineRule="auto"/>
              <w:jc w:val="right"/>
              <w:rPr>
                <w:color w:val="000000"/>
                <w:sz w:val="18"/>
                <w:szCs w:val="18"/>
                <w:highlight w:val="yellow"/>
              </w:rPr>
            </w:pPr>
            <w:r>
              <w:rPr>
                <w:sz w:val="18"/>
                <w:szCs w:val="18"/>
              </w:rPr>
              <w:t>3 183 302</w:t>
            </w:r>
          </w:p>
        </w:tc>
        <w:tc>
          <w:tcPr>
            <w:tcW w:w="628" w:type="pct"/>
            <w:tcBorders>
              <w:top w:val="nil"/>
              <w:left w:val="nil"/>
              <w:right w:val="nil"/>
            </w:tcBorders>
            <w:noWrap/>
            <w:vAlign w:val="center"/>
          </w:tcPr>
          <w:p w14:paraId="03156712" w14:textId="77777777" w:rsidR="000B26C6" w:rsidRPr="00592BC6" w:rsidRDefault="000B26C6" w:rsidP="000B26C6">
            <w:pPr>
              <w:spacing w:after="0" w:line="240" w:lineRule="auto"/>
              <w:jc w:val="right"/>
              <w:rPr>
                <w:color w:val="000000"/>
                <w:sz w:val="18"/>
                <w:szCs w:val="18"/>
                <w:highlight w:val="yellow"/>
              </w:rPr>
            </w:pPr>
            <w:r>
              <w:rPr>
                <w:sz w:val="18"/>
                <w:szCs w:val="18"/>
              </w:rPr>
              <w:t>3 124 464</w:t>
            </w:r>
          </w:p>
        </w:tc>
        <w:tc>
          <w:tcPr>
            <w:tcW w:w="704" w:type="pct"/>
            <w:tcBorders>
              <w:top w:val="nil"/>
              <w:left w:val="nil"/>
              <w:right w:val="nil"/>
            </w:tcBorders>
            <w:noWrap/>
            <w:vAlign w:val="center"/>
          </w:tcPr>
          <w:p w14:paraId="671FC001" w14:textId="77777777" w:rsidR="000B26C6" w:rsidRPr="00592BC6" w:rsidRDefault="000B26C6" w:rsidP="000B26C6">
            <w:pPr>
              <w:spacing w:after="0" w:line="240" w:lineRule="auto"/>
              <w:jc w:val="center"/>
              <w:rPr>
                <w:color w:val="000000"/>
                <w:sz w:val="18"/>
                <w:szCs w:val="18"/>
                <w:highlight w:val="yellow"/>
              </w:rPr>
            </w:pPr>
            <w:r>
              <w:rPr>
                <w:color w:val="000000"/>
                <w:sz w:val="18"/>
                <w:szCs w:val="18"/>
              </w:rPr>
              <w:t>-1,8</w:t>
            </w:r>
          </w:p>
        </w:tc>
      </w:tr>
      <w:tr w:rsidR="000B26C6" w:rsidRPr="002C13B8" w14:paraId="0ACE3536" w14:textId="77777777" w:rsidTr="00A87016">
        <w:trPr>
          <w:trHeight w:val="270"/>
        </w:trPr>
        <w:tc>
          <w:tcPr>
            <w:tcW w:w="2411" w:type="pct"/>
            <w:tcBorders>
              <w:left w:val="nil"/>
              <w:bottom w:val="single" w:sz="4" w:space="0" w:color="auto"/>
              <w:right w:val="nil"/>
            </w:tcBorders>
            <w:noWrap/>
            <w:vAlign w:val="center"/>
            <w:hideMark/>
          </w:tcPr>
          <w:p w14:paraId="08ABCED7" w14:textId="77777777" w:rsidR="000B26C6" w:rsidRPr="00CF1A21" w:rsidRDefault="000B26C6" w:rsidP="000B26C6">
            <w:pPr>
              <w:spacing w:after="0" w:line="240" w:lineRule="auto"/>
              <w:ind w:firstLineChars="200" w:firstLine="360"/>
              <w:rPr>
                <w:color w:val="000000"/>
                <w:sz w:val="18"/>
                <w:szCs w:val="18"/>
                <w:lang w:eastAsia="sk-SK"/>
              </w:rPr>
            </w:pPr>
            <w:r w:rsidRPr="00CF1A21">
              <w:rPr>
                <w:color w:val="000000"/>
                <w:sz w:val="18"/>
                <w:szCs w:val="18"/>
                <w:lang w:eastAsia="sk-SK"/>
              </w:rPr>
              <w:t>Imputované príspevky na sociálne zabezpečenie</w:t>
            </w:r>
          </w:p>
        </w:tc>
        <w:tc>
          <w:tcPr>
            <w:tcW w:w="628" w:type="pct"/>
            <w:tcBorders>
              <w:left w:val="nil"/>
              <w:bottom w:val="single" w:sz="4" w:space="0" w:color="auto"/>
              <w:right w:val="nil"/>
            </w:tcBorders>
            <w:noWrap/>
            <w:vAlign w:val="center"/>
          </w:tcPr>
          <w:p w14:paraId="422ACAF3" w14:textId="77777777" w:rsidR="000B26C6" w:rsidRPr="00592BC6" w:rsidRDefault="000B26C6" w:rsidP="000B26C6">
            <w:pPr>
              <w:spacing w:after="0" w:line="240" w:lineRule="auto"/>
              <w:jc w:val="right"/>
              <w:rPr>
                <w:sz w:val="18"/>
                <w:szCs w:val="18"/>
                <w:highlight w:val="yellow"/>
                <w:lang w:eastAsia="sk-SK"/>
              </w:rPr>
            </w:pPr>
            <w:r>
              <w:rPr>
                <w:sz w:val="18"/>
                <w:szCs w:val="18"/>
              </w:rPr>
              <w:t>401 495</w:t>
            </w:r>
          </w:p>
        </w:tc>
        <w:tc>
          <w:tcPr>
            <w:tcW w:w="628" w:type="pct"/>
            <w:tcBorders>
              <w:left w:val="nil"/>
              <w:bottom w:val="single" w:sz="4" w:space="0" w:color="auto"/>
              <w:right w:val="nil"/>
            </w:tcBorders>
            <w:noWrap/>
            <w:vAlign w:val="center"/>
          </w:tcPr>
          <w:p w14:paraId="7EB892A2" w14:textId="77777777" w:rsidR="000B26C6" w:rsidRPr="00592BC6" w:rsidRDefault="000B26C6" w:rsidP="000B26C6">
            <w:pPr>
              <w:spacing w:after="0" w:line="240" w:lineRule="auto"/>
              <w:jc w:val="right"/>
              <w:rPr>
                <w:color w:val="FF0000"/>
                <w:sz w:val="18"/>
                <w:szCs w:val="18"/>
                <w:highlight w:val="yellow"/>
                <w:lang w:eastAsia="sk-SK"/>
              </w:rPr>
            </w:pPr>
            <w:r>
              <w:rPr>
                <w:sz w:val="18"/>
                <w:szCs w:val="18"/>
              </w:rPr>
              <w:t>422 304</w:t>
            </w:r>
          </w:p>
        </w:tc>
        <w:tc>
          <w:tcPr>
            <w:tcW w:w="628" w:type="pct"/>
            <w:tcBorders>
              <w:left w:val="nil"/>
              <w:bottom w:val="single" w:sz="4" w:space="0" w:color="auto"/>
              <w:right w:val="nil"/>
            </w:tcBorders>
            <w:noWrap/>
            <w:vAlign w:val="center"/>
          </w:tcPr>
          <w:p w14:paraId="09DE4033" w14:textId="77777777" w:rsidR="000B26C6" w:rsidRPr="00592BC6" w:rsidRDefault="000B26C6" w:rsidP="000B26C6">
            <w:pPr>
              <w:spacing w:after="0" w:line="240" w:lineRule="auto"/>
              <w:jc w:val="right"/>
              <w:rPr>
                <w:sz w:val="18"/>
                <w:szCs w:val="18"/>
                <w:highlight w:val="yellow"/>
                <w:lang w:eastAsia="sk-SK"/>
              </w:rPr>
            </w:pPr>
            <w:r>
              <w:rPr>
                <w:sz w:val="18"/>
                <w:szCs w:val="18"/>
              </w:rPr>
              <w:t>536 964</w:t>
            </w:r>
          </w:p>
        </w:tc>
        <w:tc>
          <w:tcPr>
            <w:tcW w:w="704" w:type="pct"/>
            <w:tcBorders>
              <w:left w:val="nil"/>
              <w:bottom w:val="single" w:sz="4" w:space="0" w:color="auto"/>
              <w:right w:val="nil"/>
            </w:tcBorders>
            <w:noWrap/>
            <w:vAlign w:val="center"/>
          </w:tcPr>
          <w:p w14:paraId="2E519502" w14:textId="77777777" w:rsidR="000B26C6" w:rsidRPr="00592BC6" w:rsidRDefault="000B26C6" w:rsidP="000B26C6">
            <w:pPr>
              <w:spacing w:after="0" w:line="240" w:lineRule="auto"/>
              <w:jc w:val="center"/>
              <w:rPr>
                <w:sz w:val="18"/>
                <w:szCs w:val="18"/>
                <w:highlight w:val="yellow"/>
                <w:lang w:eastAsia="sk-SK"/>
              </w:rPr>
            </w:pPr>
            <w:r>
              <w:rPr>
                <w:color w:val="000000"/>
                <w:sz w:val="18"/>
                <w:szCs w:val="18"/>
              </w:rPr>
              <w:t>27,2</w:t>
            </w:r>
          </w:p>
        </w:tc>
      </w:tr>
      <w:tr w:rsidR="000B26C6" w:rsidRPr="002C13B8" w14:paraId="4396EFA4" w14:textId="77777777" w:rsidTr="00A87016">
        <w:trPr>
          <w:trHeight w:val="270"/>
        </w:trPr>
        <w:tc>
          <w:tcPr>
            <w:tcW w:w="2411" w:type="pct"/>
            <w:tcBorders>
              <w:top w:val="nil"/>
              <w:left w:val="nil"/>
              <w:bottom w:val="single" w:sz="4" w:space="0" w:color="auto"/>
              <w:right w:val="nil"/>
            </w:tcBorders>
            <w:noWrap/>
            <w:vAlign w:val="center"/>
          </w:tcPr>
          <w:p w14:paraId="23DC1709" w14:textId="6BC9D0D2" w:rsidR="000B26C6" w:rsidRPr="00CF1A21" w:rsidRDefault="00FF0485" w:rsidP="000B26C6">
            <w:pPr>
              <w:spacing w:after="0" w:line="240" w:lineRule="auto"/>
              <w:jc w:val="both"/>
              <w:rPr>
                <w:i/>
                <w:color w:val="000000"/>
                <w:sz w:val="18"/>
                <w:szCs w:val="18"/>
                <w:lang w:eastAsia="sk-SK"/>
              </w:rPr>
            </w:pPr>
            <w:r w:rsidRPr="00CF1A21">
              <w:rPr>
                <w:i/>
                <w:color w:val="000000"/>
                <w:sz w:val="18"/>
                <w:szCs w:val="18"/>
                <w:lang w:eastAsia="sk-SK"/>
              </w:rPr>
              <w:t xml:space="preserve">Daňové a odvodové príjmy VS prognózované IFP </w:t>
            </w:r>
          </w:p>
        </w:tc>
        <w:tc>
          <w:tcPr>
            <w:tcW w:w="628" w:type="pct"/>
            <w:tcBorders>
              <w:top w:val="nil"/>
              <w:left w:val="nil"/>
              <w:bottom w:val="single" w:sz="4" w:space="0" w:color="auto"/>
              <w:right w:val="nil"/>
            </w:tcBorders>
            <w:noWrap/>
            <w:vAlign w:val="center"/>
          </w:tcPr>
          <w:p w14:paraId="4D6C7382" w14:textId="77777777" w:rsidR="000B26C6" w:rsidRPr="00592BC6" w:rsidRDefault="000B26C6" w:rsidP="000B26C6">
            <w:pPr>
              <w:spacing w:after="0" w:line="240" w:lineRule="auto"/>
              <w:jc w:val="right"/>
              <w:rPr>
                <w:i/>
                <w:color w:val="FF0000"/>
                <w:sz w:val="18"/>
                <w:szCs w:val="18"/>
                <w:highlight w:val="yellow"/>
              </w:rPr>
            </w:pPr>
            <w:r>
              <w:rPr>
                <w:sz w:val="18"/>
                <w:szCs w:val="18"/>
              </w:rPr>
              <w:t>35 349 641</w:t>
            </w:r>
          </w:p>
        </w:tc>
        <w:tc>
          <w:tcPr>
            <w:tcW w:w="628" w:type="pct"/>
            <w:tcBorders>
              <w:top w:val="nil"/>
              <w:left w:val="nil"/>
              <w:bottom w:val="single" w:sz="4" w:space="0" w:color="auto"/>
              <w:right w:val="nil"/>
            </w:tcBorders>
            <w:noWrap/>
            <w:vAlign w:val="center"/>
          </w:tcPr>
          <w:p w14:paraId="549827C1" w14:textId="77777777" w:rsidR="000B26C6" w:rsidRPr="00592BC6" w:rsidRDefault="000B26C6" w:rsidP="000B26C6">
            <w:pPr>
              <w:spacing w:after="0" w:line="240" w:lineRule="auto"/>
              <w:jc w:val="right"/>
              <w:rPr>
                <w:i/>
                <w:color w:val="FF0000"/>
                <w:sz w:val="18"/>
                <w:szCs w:val="18"/>
                <w:highlight w:val="yellow"/>
              </w:rPr>
            </w:pPr>
            <w:r>
              <w:rPr>
                <w:sz w:val="18"/>
                <w:szCs w:val="18"/>
              </w:rPr>
              <w:t>38 497 625</w:t>
            </w:r>
          </w:p>
        </w:tc>
        <w:tc>
          <w:tcPr>
            <w:tcW w:w="628" w:type="pct"/>
            <w:tcBorders>
              <w:top w:val="nil"/>
              <w:left w:val="nil"/>
              <w:bottom w:val="single" w:sz="4" w:space="0" w:color="auto"/>
              <w:right w:val="nil"/>
            </w:tcBorders>
            <w:noWrap/>
            <w:vAlign w:val="center"/>
          </w:tcPr>
          <w:p w14:paraId="6C39F5AC" w14:textId="77777777" w:rsidR="000B26C6" w:rsidRPr="00592BC6" w:rsidRDefault="000B26C6" w:rsidP="000B26C6">
            <w:pPr>
              <w:spacing w:after="0" w:line="240" w:lineRule="auto"/>
              <w:jc w:val="right"/>
              <w:rPr>
                <w:i/>
                <w:color w:val="FF0000"/>
                <w:sz w:val="18"/>
                <w:szCs w:val="18"/>
                <w:highlight w:val="yellow"/>
              </w:rPr>
            </w:pPr>
            <w:r>
              <w:rPr>
                <w:sz w:val="18"/>
                <w:szCs w:val="18"/>
              </w:rPr>
              <w:t>41 685 701</w:t>
            </w:r>
          </w:p>
        </w:tc>
        <w:tc>
          <w:tcPr>
            <w:tcW w:w="704" w:type="pct"/>
            <w:tcBorders>
              <w:top w:val="nil"/>
              <w:left w:val="nil"/>
              <w:bottom w:val="single" w:sz="4" w:space="0" w:color="auto"/>
              <w:right w:val="nil"/>
            </w:tcBorders>
            <w:noWrap/>
            <w:vAlign w:val="center"/>
          </w:tcPr>
          <w:p w14:paraId="0692AA2B" w14:textId="77777777" w:rsidR="000B26C6" w:rsidRPr="00592BC6" w:rsidRDefault="000B26C6" w:rsidP="000B26C6">
            <w:pPr>
              <w:spacing w:after="0" w:line="240" w:lineRule="auto"/>
              <w:jc w:val="center"/>
              <w:rPr>
                <w:i/>
                <w:color w:val="FF0000"/>
                <w:sz w:val="18"/>
                <w:szCs w:val="18"/>
                <w:highlight w:val="yellow"/>
              </w:rPr>
            </w:pPr>
            <w:r>
              <w:rPr>
                <w:color w:val="000000"/>
                <w:sz w:val="18"/>
                <w:szCs w:val="18"/>
              </w:rPr>
              <w:t>8,3</w:t>
            </w:r>
          </w:p>
        </w:tc>
      </w:tr>
    </w:tbl>
    <w:p w14:paraId="2E82B632" w14:textId="3A95611D" w:rsidR="000F2572" w:rsidRPr="005C63E5" w:rsidRDefault="000F2572" w:rsidP="000F2572">
      <w:pPr>
        <w:spacing w:after="0" w:line="240" w:lineRule="auto"/>
        <w:jc w:val="both"/>
        <w:rPr>
          <w:iCs/>
          <w:color w:val="000000"/>
          <w:sz w:val="18"/>
          <w:szCs w:val="18"/>
          <w:lang w:eastAsia="sk-SK"/>
        </w:rPr>
      </w:pPr>
      <w:r w:rsidRPr="005C63E5">
        <w:rPr>
          <w:iCs/>
          <w:color w:val="000000"/>
          <w:sz w:val="18"/>
          <w:szCs w:val="18"/>
          <w:lang w:eastAsia="sk-SK"/>
        </w:rPr>
        <w:t>*ostatné obsahuje štátom platené poistné a poistné za ozbrojené zložky</w:t>
      </w:r>
      <w:r w:rsidRPr="005C63E5">
        <w:rPr>
          <w:iCs/>
          <w:color w:val="000000"/>
          <w:sz w:val="18"/>
          <w:szCs w:val="18"/>
          <w:lang w:eastAsia="sk-SK"/>
        </w:rPr>
        <w:tab/>
      </w:r>
      <w:r w:rsidRPr="005C63E5">
        <w:rPr>
          <w:iCs/>
          <w:color w:val="000000"/>
          <w:sz w:val="18"/>
          <w:szCs w:val="18"/>
          <w:lang w:eastAsia="sk-SK"/>
        </w:rPr>
        <w:tab/>
      </w:r>
      <w:r w:rsidRPr="005C63E5">
        <w:rPr>
          <w:iCs/>
          <w:color w:val="000000"/>
          <w:sz w:val="18"/>
          <w:szCs w:val="18"/>
          <w:lang w:eastAsia="sk-SK"/>
        </w:rPr>
        <w:tab/>
      </w:r>
      <w:r w:rsidRPr="005C63E5">
        <w:rPr>
          <w:iCs/>
          <w:color w:val="000000"/>
          <w:sz w:val="18"/>
          <w:szCs w:val="18"/>
          <w:lang w:eastAsia="sk-SK"/>
        </w:rPr>
        <w:tab/>
        <w:t xml:space="preserve"> Zdroj: ŠÚSR, IFP</w:t>
      </w:r>
    </w:p>
    <w:p w14:paraId="3DBAFADD" w14:textId="2893A910" w:rsidR="000F2572" w:rsidRDefault="000F2572" w:rsidP="00FF0485">
      <w:pPr>
        <w:spacing w:after="0" w:line="240" w:lineRule="auto"/>
        <w:jc w:val="both"/>
      </w:pPr>
    </w:p>
    <w:p w14:paraId="711CDAC3" w14:textId="5A42EC1C" w:rsidR="000B26C6" w:rsidRPr="00445F4F" w:rsidRDefault="000B26C6" w:rsidP="00691929">
      <w:pPr>
        <w:spacing w:after="120" w:line="240" w:lineRule="auto"/>
        <w:jc w:val="both"/>
      </w:pPr>
      <w:r w:rsidRPr="00CF1A21">
        <w:t>Daňové a odvodové príjmy VS prognózované IFP tvoria cca.</w:t>
      </w:r>
      <w:r w:rsidR="00010A5C">
        <w:t> </w:t>
      </w:r>
      <w:r w:rsidRPr="00CF1A21">
        <w:t>90</w:t>
      </w:r>
      <w:r w:rsidR="00010A5C">
        <w:t> </w:t>
      </w:r>
      <w:r w:rsidRPr="00CF1A21">
        <w:t xml:space="preserve">% celkových vykazovaných daňovo-odvodových príjmov. </w:t>
      </w:r>
    </w:p>
    <w:tbl>
      <w:tblPr>
        <w:tblStyle w:val="Mriekatabuky"/>
        <w:tblW w:w="94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6"/>
      </w:tblGrid>
      <w:tr w:rsidR="000B26C6" w:rsidRPr="002C13B8" w14:paraId="0833074B" w14:textId="77777777" w:rsidTr="005E1F0C">
        <w:trPr>
          <w:trHeight w:val="592"/>
          <w:jc w:val="center"/>
        </w:trPr>
        <w:tc>
          <w:tcPr>
            <w:tcW w:w="4700" w:type="dxa"/>
            <w:tcBorders>
              <w:bottom w:val="single" w:sz="4" w:space="0" w:color="auto"/>
            </w:tcBorders>
          </w:tcPr>
          <w:p w14:paraId="378C2D01" w14:textId="070980E5" w:rsidR="000B26C6" w:rsidRPr="00592BC6" w:rsidRDefault="00B26C85" w:rsidP="005E1F0C">
            <w:pPr>
              <w:rPr>
                <w:b/>
                <w:bCs/>
                <w:color w:val="FF0000"/>
                <w:szCs w:val="22"/>
                <w:highlight w:val="yellow"/>
              </w:rPr>
            </w:pPr>
            <w:r>
              <w:rPr>
                <w:b/>
                <w:bCs/>
                <w:color w:val="4F81BD" w:themeColor="accent1"/>
                <w:szCs w:val="22"/>
              </w:rPr>
              <w:t xml:space="preserve">Graf 1 - </w:t>
            </w:r>
            <w:r w:rsidR="000B26C6" w:rsidRPr="00755F67">
              <w:rPr>
                <w:b/>
                <w:bCs/>
                <w:color w:val="4F81BD" w:themeColor="accent1"/>
                <w:szCs w:val="22"/>
              </w:rPr>
              <w:t>Medziročný vývoj daňových a odvodových príjmov VS podľa jednotlivých faktorov (ESA2010, v mil. eur)</w:t>
            </w:r>
          </w:p>
        </w:tc>
        <w:tc>
          <w:tcPr>
            <w:tcW w:w="4706" w:type="dxa"/>
            <w:tcBorders>
              <w:bottom w:val="single" w:sz="4" w:space="0" w:color="auto"/>
            </w:tcBorders>
          </w:tcPr>
          <w:p w14:paraId="17A74C9E" w14:textId="026BE768" w:rsidR="000B26C6" w:rsidRPr="00592BC6" w:rsidRDefault="00B26C85" w:rsidP="005E1F0C">
            <w:pPr>
              <w:rPr>
                <w:b/>
                <w:bCs/>
                <w:color w:val="FF0000"/>
                <w:szCs w:val="22"/>
                <w:highlight w:val="yellow"/>
              </w:rPr>
            </w:pPr>
            <w:r>
              <w:rPr>
                <w:b/>
                <w:bCs/>
                <w:color w:val="4F81BD" w:themeColor="accent1"/>
                <w:szCs w:val="22"/>
              </w:rPr>
              <w:t xml:space="preserve">Graf 2 - </w:t>
            </w:r>
            <w:r w:rsidR="000B26C6" w:rsidRPr="00991D94">
              <w:rPr>
                <w:b/>
                <w:bCs/>
                <w:color w:val="4F81BD" w:themeColor="accent1"/>
                <w:szCs w:val="22"/>
              </w:rPr>
              <w:t>Medziročný vývoj daňových a odvodových príjmov VS podľa daní a odvodov (ESA2010, v mil. eur)</w:t>
            </w:r>
          </w:p>
        </w:tc>
      </w:tr>
      <w:tr w:rsidR="000B26C6" w:rsidRPr="002C13B8" w14:paraId="0BCAB82A" w14:textId="77777777" w:rsidTr="005E1F0C">
        <w:tblPrEx>
          <w:tblCellMar>
            <w:left w:w="70" w:type="dxa"/>
            <w:right w:w="70" w:type="dxa"/>
          </w:tblCellMar>
        </w:tblPrEx>
        <w:trPr>
          <w:trHeight w:val="2268"/>
          <w:jc w:val="center"/>
        </w:trPr>
        <w:tc>
          <w:tcPr>
            <w:tcW w:w="4700" w:type="dxa"/>
            <w:tcBorders>
              <w:top w:val="single" w:sz="4" w:space="0" w:color="auto"/>
              <w:bottom w:val="single" w:sz="4" w:space="0" w:color="auto"/>
            </w:tcBorders>
          </w:tcPr>
          <w:p w14:paraId="28AB7D13" w14:textId="77777777" w:rsidR="000B26C6" w:rsidRPr="00CF1A21" w:rsidRDefault="000B26C6" w:rsidP="005E1F0C">
            <w:pPr>
              <w:jc w:val="center"/>
              <w:rPr>
                <w:color w:val="FF0000"/>
              </w:rPr>
            </w:pPr>
            <w:r>
              <w:rPr>
                <w:noProof/>
              </w:rPr>
              <w:drawing>
                <wp:inline distT="0" distB="0" distL="0" distR="0" wp14:anchorId="3DCFDD2C" wp14:editId="6A64C948">
                  <wp:extent cx="2892425" cy="1712518"/>
                  <wp:effectExtent l="0" t="0" r="3175" b="2540"/>
                  <wp:docPr id="1316998324" name="Graf 1">
                    <a:extLst xmlns:a="http://schemas.openxmlformats.org/drawingml/2006/main">
                      <a:ext uri="{FF2B5EF4-FFF2-40B4-BE49-F238E27FC236}">
                        <a16:creationId xmlns:a16="http://schemas.microsoft.com/office/drawing/2014/main" id="{D0AE16BF-2D4F-8AF8-14A2-BAD1F5EC75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706" w:type="dxa"/>
            <w:tcBorders>
              <w:top w:val="single" w:sz="4" w:space="0" w:color="auto"/>
              <w:bottom w:val="single" w:sz="4" w:space="0" w:color="auto"/>
            </w:tcBorders>
          </w:tcPr>
          <w:p w14:paraId="55E9F78D" w14:textId="77777777" w:rsidR="000B26C6" w:rsidRPr="00CF1A21" w:rsidRDefault="000B26C6" w:rsidP="005E1F0C">
            <w:pPr>
              <w:jc w:val="center"/>
              <w:rPr>
                <w:color w:val="FF0000"/>
              </w:rPr>
            </w:pPr>
            <w:r>
              <w:rPr>
                <w:noProof/>
              </w:rPr>
              <w:drawing>
                <wp:inline distT="0" distB="0" distL="0" distR="0" wp14:anchorId="378AC95D" wp14:editId="625BD870">
                  <wp:extent cx="2872105" cy="1760088"/>
                  <wp:effectExtent l="0" t="0" r="4445" b="0"/>
                  <wp:docPr id="1580650496" name="Graf 1">
                    <a:extLst xmlns:a="http://schemas.openxmlformats.org/drawingml/2006/main">
                      <a:ext uri="{FF2B5EF4-FFF2-40B4-BE49-F238E27FC236}">
                        <a16:creationId xmlns:a16="http://schemas.microsoft.com/office/drawing/2014/main" id="{18ECDBE9-561C-4CF7-BAEF-29C2B472FB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0B26C6" w:rsidRPr="005C63E5" w14:paraId="760AE45F" w14:textId="77777777" w:rsidTr="005E1F0C">
        <w:tblPrEx>
          <w:tblCellMar>
            <w:left w:w="70" w:type="dxa"/>
            <w:right w:w="70" w:type="dxa"/>
          </w:tblCellMar>
        </w:tblPrEx>
        <w:trPr>
          <w:trHeight w:val="174"/>
          <w:jc w:val="center"/>
        </w:trPr>
        <w:tc>
          <w:tcPr>
            <w:tcW w:w="9406" w:type="dxa"/>
            <w:gridSpan w:val="2"/>
            <w:tcBorders>
              <w:top w:val="single" w:sz="4" w:space="0" w:color="auto"/>
            </w:tcBorders>
          </w:tcPr>
          <w:p w14:paraId="29169852" w14:textId="3E7F8E82" w:rsidR="000B26C6" w:rsidRPr="005C63E5" w:rsidRDefault="000B26C6" w:rsidP="005E1F0C">
            <w:pPr>
              <w:rPr>
                <w:iCs/>
                <w:noProof/>
                <w:sz w:val="16"/>
                <w:szCs w:val="24"/>
              </w:rPr>
            </w:pPr>
            <w:r w:rsidRPr="005C63E5">
              <w:rPr>
                <w:iCs/>
                <w:noProof/>
                <w:sz w:val="16"/>
                <w:szCs w:val="24"/>
              </w:rPr>
              <w:t>Pozn: OO reg je osobitný odvod z podnikania v regulovaných odvetviach</w:t>
            </w:r>
            <w:r w:rsidR="00D31EBB" w:rsidRPr="005C63E5">
              <w:rPr>
                <w:iCs/>
                <w:noProof/>
                <w:sz w:val="16"/>
                <w:szCs w:val="24"/>
              </w:rPr>
              <w:t xml:space="preserve">                                                                                              </w:t>
            </w:r>
            <w:r w:rsidR="00D31EBB" w:rsidRPr="005C63E5">
              <w:rPr>
                <w:iCs/>
                <w:color w:val="000000"/>
                <w:sz w:val="18"/>
                <w:szCs w:val="18"/>
              </w:rPr>
              <w:t>Zdroj: IFP</w:t>
            </w:r>
          </w:p>
          <w:p w14:paraId="7B07D1DC" w14:textId="77777777" w:rsidR="002E6BC4" w:rsidRPr="005C63E5" w:rsidRDefault="002E6BC4" w:rsidP="005E1F0C">
            <w:pPr>
              <w:rPr>
                <w:iCs/>
                <w:noProof/>
                <w:color w:val="FF0000"/>
              </w:rPr>
            </w:pPr>
          </w:p>
        </w:tc>
      </w:tr>
    </w:tbl>
    <w:p w14:paraId="1AE80FAB" w14:textId="4875FA7B" w:rsidR="000B26C6" w:rsidRPr="002E6BC4" w:rsidRDefault="000B26C6" w:rsidP="00E17FB7">
      <w:pPr>
        <w:spacing w:after="120" w:line="240" w:lineRule="auto"/>
        <w:jc w:val="both"/>
        <w:rPr>
          <w:szCs w:val="22"/>
        </w:rPr>
      </w:pPr>
      <w:r w:rsidRPr="002E6BC4">
        <w:rPr>
          <w:szCs w:val="22"/>
        </w:rPr>
        <w:t xml:space="preserve">Výnos </w:t>
      </w:r>
      <w:r w:rsidRPr="00FC50DB">
        <w:rPr>
          <w:b/>
          <w:bCs/>
          <w:szCs w:val="22"/>
        </w:rPr>
        <w:t>dane z príjmov fyzických osôb zo závislej činnosti</w:t>
      </w:r>
      <w:r w:rsidRPr="002E6BC4">
        <w:rPr>
          <w:szCs w:val="22"/>
        </w:rPr>
        <w:t xml:space="preserve"> medziročne vzrástol o 1,6 %, resp. o 76</w:t>
      </w:r>
      <w:r w:rsidR="000851CB">
        <w:rPr>
          <w:szCs w:val="22"/>
        </w:rPr>
        <w:t> </w:t>
      </w:r>
      <w:r w:rsidRPr="002E6BC4">
        <w:rPr>
          <w:szCs w:val="22"/>
        </w:rPr>
        <w:t>444</w:t>
      </w:r>
      <w:r w:rsidR="000851CB">
        <w:rPr>
          <w:szCs w:val="22"/>
        </w:rPr>
        <w:t> </w:t>
      </w:r>
      <w:r w:rsidRPr="002E6BC4">
        <w:rPr>
          <w:szCs w:val="22"/>
        </w:rPr>
        <w:t>tis.</w:t>
      </w:r>
      <w:r w:rsidR="000851CB">
        <w:rPr>
          <w:szCs w:val="22"/>
        </w:rPr>
        <w:t> </w:t>
      </w:r>
      <w:r w:rsidRPr="002E6BC4">
        <w:rPr>
          <w:szCs w:val="22"/>
        </w:rPr>
        <w:t xml:space="preserve">eur. Dominantným faktorom bol rast </w:t>
      </w:r>
      <w:r w:rsidR="00FC50DB">
        <w:rPr>
          <w:szCs w:val="22"/>
        </w:rPr>
        <w:t xml:space="preserve">nominálnych </w:t>
      </w:r>
      <w:r w:rsidRPr="002E6BC4">
        <w:rPr>
          <w:szCs w:val="22"/>
        </w:rPr>
        <w:t xml:space="preserve">miezd, ktorý dosiahol 6,6 %, aj keď sa medziročne spomalil o tretinu v dôsledku odznievajúcich inflačných tlakov. Naopak, dynamika výnosu dane z príjmov fyzických osôb bola limitovaná valorizáciou nezdaniteľných častí základu dane, ktoré reagovali na rekordnú infláciu z roku 2023. Vo výsledku sa tak výnos dane napriek solídnemu rastu miezd zvýšil len mierne. Výnos </w:t>
      </w:r>
      <w:r w:rsidRPr="00FC50DB">
        <w:rPr>
          <w:b/>
          <w:bCs/>
          <w:szCs w:val="22"/>
        </w:rPr>
        <w:t>DPFO z podnikania</w:t>
      </w:r>
      <w:r w:rsidRPr="002E6BC4">
        <w:rPr>
          <w:szCs w:val="22"/>
        </w:rPr>
        <w:t xml:space="preserve"> medziročne vzrástol o 35,4 %, avšak jedná sa o jednorazový presun </w:t>
      </w:r>
      <w:r w:rsidR="001D424F" w:rsidRPr="002E6BC4">
        <w:rPr>
          <w:szCs w:val="22"/>
        </w:rPr>
        <w:t>časti daňového bonusu</w:t>
      </w:r>
      <w:r w:rsidRPr="002E6BC4">
        <w:rPr>
          <w:szCs w:val="22"/>
        </w:rPr>
        <w:t xml:space="preserve"> </w:t>
      </w:r>
      <w:r w:rsidR="001D424F" w:rsidRPr="002E6BC4">
        <w:rPr>
          <w:szCs w:val="22"/>
        </w:rPr>
        <w:t xml:space="preserve">medzi </w:t>
      </w:r>
      <w:r w:rsidRPr="002E6BC4">
        <w:rPr>
          <w:szCs w:val="22"/>
        </w:rPr>
        <w:t>závislou činnosťou a podnikaním. Podrobnejšia analýza nových údajov ukázala vyššie uplatňovanie daňových bonusov na deti v podnikaní na úkor závislej činnosti. Celkový objem daňových bonusov na deti však ostal na podobnej úrovni a daná zmena preto nemá vplyv na celkový výnos DPFO.</w:t>
      </w:r>
    </w:p>
    <w:p w14:paraId="4E12DCF5" w14:textId="3ABC2078" w:rsidR="000B26C6" w:rsidRPr="004C175E" w:rsidRDefault="000B26C6" w:rsidP="004C175E">
      <w:pPr>
        <w:spacing w:after="120" w:line="240" w:lineRule="auto"/>
        <w:jc w:val="both"/>
        <w:rPr>
          <w:szCs w:val="22"/>
        </w:rPr>
      </w:pPr>
      <w:r w:rsidRPr="00165397">
        <w:rPr>
          <w:b/>
          <w:bCs/>
          <w:szCs w:val="22"/>
        </w:rPr>
        <w:t>Príspevky na sociálne zabezpečenie (sociálne aj zdravotné odvody platené ekonomicky aktívnym obyvateľstvom (vrátane dlžného))</w:t>
      </w:r>
      <w:r w:rsidRPr="002E6BC4">
        <w:rPr>
          <w:szCs w:val="22"/>
        </w:rPr>
        <w:t xml:space="preserve"> medziročne vzrástli o 12,8</w:t>
      </w:r>
      <w:r w:rsidR="00010A5C">
        <w:rPr>
          <w:szCs w:val="22"/>
        </w:rPr>
        <w:t> </w:t>
      </w:r>
      <w:r w:rsidRPr="002E6BC4">
        <w:rPr>
          <w:szCs w:val="22"/>
        </w:rPr>
        <w:t xml:space="preserve">%. Odvody ako celok rástli pod vplyvom rastu makroprostredia ako aj signifikantných legislatívnych zmien. Sociálne odvody zaznamenali vyšší výber z dôvodu zníženia výšky odvodu na </w:t>
      </w:r>
      <w:r w:rsidRPr="00CE2491">
        <w:rPr>
          <w:szCs w:val="22"/>
        </w:rPr>
        <w:t>starobné dôchodkové sporenie (II. pilier) z 5,5 % na</w:t>
      </w:r>
      <w:r w:rsidR="00010A5C">
        <w:rPr>
          <w:szCs w:val="22"/>
        </w:rPr>
        <w:t> </w:t>
      </w:r>
      <w:r w:rsidRPr="00CE2491">
        <w:rPr>
          <w:szCs w:val="22"/>
        </w:rPr>
        <w:t xml:space="preserve">4,0 %, kde sa vplyv tejto legislatívnej zmeny odhaduje na úrovni </w:t>
      </w:r>
      <w:r w:rsidRPr="00A626E9">
        <w:rPr>
          <w:szCs w:val="22"/>
        </w:rPr>
        <w:t>370</w:t>
      </w:r>
      <w:r w:rsidR="00A626E9" w:rsidRPr="00A626E9">
        <w:rPr>
          <w:szCs w:val="22"/>
        </w:rPr>
        <w:t> 000 tis.</w:t>
      </w:r>
      <w:r w:rsidR="00CE2491" w:rsidRPr="00A626E9">
        <w:rPr>
          <w:szCs w:val="22"/>
        </w:rPr>
        <w:t> eur</w:t>
      </w:r>
      <w:r w:rsidRPr="00A626E9">
        <w:rPr>
          <w:szCs w:val="22"/>
        </w:rPr>
        <w:t>. Soc</w:t>
      </w:r>
      <w:r w:rsidRPr="00CE2491">
        <w:rPr>
          <w:szCs w:val="22"/>
        </w:rPr>
        <w:t>iálne odvody zaznamenali aj jednorazový vplyv oddlženia nemocníc, ktorý priniesol navyše 167</w:t>
      </w:r>
      <w:r w:rsidR="00010A5C">
        <w:rPr>
          <w:szCs w:val="22"/>
        </w:rPr>
        <w:t> </w:t>
      </w:r>
      <w:r w:rsidR="00F500B1">
        <w:rPr>
          <w:szCs w:val="22"/>
        </w:rPr>
        <w:t>000</w:t>
      </w:r>
      <w:r w:rsidR="00010A5C">
        <w:rPr>
          <w:szCs w:val="22"/>
        </w:rPr>
        <w:t> </w:t>
      </w:r>
      <w:r w:rsidR="00F500B1">
        <w:rPr>
          <w:szCs w:val="22"/>
        </w:rPr>
        <w:t>tis.</w:t>
      </w:r>
      <w:r w:rsidR="00CE2491" w:rsidRPr="00CE2491">
        <w:rPr>
          <w:szCs w:val="22"/>
        </w:rPr>
        <w:t> eur</w:t>
      </w:r>
      <w:r w:rsidRPr="00CE2491">
        <w:rPr>
          <w:szCs w:val="22"/>
        </w:rPr>
        <w:t>.</w:t>
      </w:r>
      <w:r w:rsidRPr="002E6BC4">
        <w:rPr>
          <w:szCs w:val="22"/>
        </w:rPr>
        <w:t xml:space="preserve"> Výber zdravotných odvodov bol podobne </w:t>
      </w:r>
      <w:r w:rsidRPr="002E6BC4">
        <w:rPr>
          <w:szCs w:val="22"/>
        </w:rPr>
        <w:lastRenderedPageBreak/>
        <w:t>ovplyvnený legislatívnou zmeny sadzby poistného zamestnávateľov z 10 % na</w:t>
      </w:r>
      <w:r w:rsidR="00010A5C">
        <w:rPr>
          <w:szCs w:val="22"/>
        </w:rPr>
        <w:t> </w:t>
      </w:r>
      <w:r w:rsidRPr="002E6BC4">
        <w:rPr>
          <w:szCs w:val="22"/>
        </w:rPr>
        <w:t>11 %, ktorej vplyv bol na</w:t>
      </w:r>
      <w:r w:rsidR="00041EA0">
        <w:rPr>
          <w:szCs w:val="22"/>
        </w:rPr>
        <w:t> </w:t>
      </w:r>
      <w:r w:rsidRPr="00CE2491">
        <w:rPr>
          <w:szCs w:val="22"/>
        </w:rPr>
        <w:t>úrovni okolo</w:t>
      </w:r>
      <w:r w:rsidR="00562D62" w:rsidRPr="00CE2491">
        <w:rPr>
          <w:szCs w:val="22"/>
        </w:rPr>
        <w:t> </w:t>
      </w:r>
      <w:r w:rsidRPr="00CE2491">
        <w:rPr>
          <w:szCs w:val="22"/>
        </w:rPr>
        <w:t>392</w:t>
      </w:r>
      <w:r w:rsidR="00F500B1">
        <w:rPr>
          <w:szCs w:val="22"/>
        </w:rPr>
        <w:t> 000 tis.</w:t>
      </w:r>
      <w:r w:rsidR="00CE2491" w:rsidRPr="00CE2491">
        <w:rPr>
          <w:szCs w:val="22"/>
        </w:rPr>
        <w:t> eur</w:t>
      </w:r>
      <w:r w:rsidRPr="00CE2491">
        <w:rPr>
          <w:szCs w:val="22"/>
        </w:rPr>
        <w:t>.</w:t>
      </w:r>
    </w:p>
    <w:p w14:paraId="088BFD19" w14:textId="6733384D" w:rsidR="004C175E" w:rsidRDefault="00E17FB7" w:rsidP="004C175E">
      <w:pPr>
        <w:autoSpaceDE w:val="0"/>
        <w:autoSpaceDN w:val="0"/>
        <w:adjustRightInd w:val="0"/>
        <w:spacing w:after="120" w:line="240" w:lineRule="auto"/>
        <w:jc w:val="both"/>
        <w:rPr>
          <w:b/>
        </w:rPr>
      </w:pPr>
      <w:r w:rsidRPr="00423C19">
        <w:rPr>
          <w:b/>
        </w:rPr>
        <w:t xml:space="preserve">Daň z pridanej hodnoty (DPH) </w:t>
      </w:r>
      <w:r>
        <w:rPr>
          <w:bCs/>
        </w:rPr>
        <w:t>zaznamenala medziročné zlepšenie</w:t>
      </w:r>
      <w:r w:rsidRPr="00423C19">
        <w:t xml:space="preserve"> o</w:t>
      </w:r>
      <w:r>
        <w:t> </w:t>
      </w:r>
      <w:r w:rsidRPr="00423C19">
        <w:t>18</w:t>
      </w:r>
      <w:r>
        <w:t>1 736 tis</w:t>
      </w:r>
      <w:r w:rsidRPr="00423C19">
        <w:t>.</w:t>
      </w:r>
      <w:r>
        <w:t> </w:t>
      </w:r>
      <w:r w:rsidRPr="00423C19">
        <w:t xml:space="preserve">eur (1,9 %). </w:t>
      </w:r>
      <w:r>
        <w:t>Výrazn</w:t>
      </w:r>
      <w:r w:rsidRPr="000B5169">
        <w:t>ým ťahúňom výnosu bol pozitívny vývoj makroekonomického prostredia, predovšetkým nominálna spotreba domácností</w:t>
      </w:r>
      <w:r w:rsidR="00165397">
        <w:t xml:space="preserve">, ktorej rast sa však do výnosu nepremietol v plnej miere. </w:t>
      </w:r>
      <w:r w:rsidRPr="000B5169">
        <w:t xml:space="preserve">Pozitívne prispeli aj jednorazové efekty v podobe zvýšeného čerpania prostriedkov z Plánu obnovy a odolnosti, ale aj vyššia DPH plynúca z nákupov obranných prostriedkov. </w:t>
      </w:r>
      <w:r w:rsidR="00165397">
        <w:t>R</w:t>
      </w:r>
      <w:r w:rsidRPr="000B5169">
        <w:t xml:space="preserve">ast bol tlmený </w:t>
      </w:r>
      <w:r w:rsidR="00165397">
        <w:t xml:space="preserve">aj </w:t>
      </w:r>
      <w:bookmarkStart w:id="34" w:name="_Hlk211246379"/>
      <w:r w:rsidRPr="000B5169">
        <w:t>nižšou poskytnutou energopomocou domácnostiam</w:t>
      </w:r>
      <w:bookmarkEnd w:id="34"/>
      <w:r>
        <w:rPr>
          <w:rStyle w:val="Odkaznapoznmkupodiarou"/>
        </w:rPr>
        <w:footnoteReference w:id="6"/>
      </w:r>
      <w:r w:rsidRPr="000B5169">
        <w:t>.</w:t>
      </w:r>
    </w:p>
    <w:p w14:paraId="390CC218" w14:textId="0CAABE43" w:rsidR="00E17FB7" w:rsidRPr="004C175E" w:rsidRDefault="00E17FB7" w:rsidP="009B11FF">
      <w:pPr>
        <w:autoSpaceDE w:val="0"/>
        <w:autoSpaceDN w:val="0"/>
        <w:adjustRightInd w:val="0"/>
        <w:spacing w:after="120" w:line="240" w:lineRule="auto"/>
        <w:jc w:val="both"/>
        <w:rPr>
          <w:b/>
          <w:highlight w:val="yellow"/>
        </w:rPr>
      </w:pPr>
      <w:r w:rsidRPr="00227526">
        <w:t xml:space="preserve">Celkový výnos </w:t>
      </w:r>
      <w:r w:rsidRPr="00227526">
        <w:rPr>
          <w:b/>
        </w:rPr>
        <w:t>dane z príjmu právnických osôb</w:t>
      </w:r>
      <w:r w:rsidRPr="00227526">
        <w:t>, medziročne vzrástol o 13,2</w:t>
      </w:r>
      <w:r w:rsidR="009B70E1">
        <w:t> </w:t>
      </w:r>
      <w:r w:rsidRPr="00227526">
        <w:t>% (591</w:t>
      </w:r>
      <w:r>
        <w:t> </w:t>
      </w:r>
      <w:r w:rsidRPr="00227526">
        <w:t>344</w:t>
      </w:r>
      <w:r>
        <w:t> </w:t>
      </w:r>
      <w:r w:rsidRPr="00227526">
        <w:t>tis.</w:t>
      </w:r>
      <w:r>
        <w:t> </w:t>
      </w:r>
      <w:r w:rsidRPr="00227526">
        <w:t xml:space="preserve">eur). </w:t>
      </w:r>
      <w:r>
        <w:t>Súčasťou toho je daň z príjmu právnických osôb (DPPO), osobitný odvod z podnikania v regulovaných odvetviach a </w:t>
      </w:r>
      <w:r w:rsidR="00B711F9">
        <w:t>s</w:t>
      </w:r>
      <w:r>
        <w:t xml:space="preserve">olidárny príspevok. </w:t>
      </w:r>
      <w:r w:rsidRPr="00227526">
        <w:t xml:space="preserve">Výnos </w:t>
      </w:r>
      <w:r w:rsidRPr="00227526">
        <w:rPr>
          <w:b/>
          <w:bCs/>
        </w:rPr>
        <w:t>DPPO</w:t>
      </w:r>
      <w:r w:rsidRPr="00227526">
        <w:t xml:space="preserve"> bol oproti roku 2023 vyšší o 137</w:t>
      </w:r>
      <w:r>
        <w:t> </w:t>
      </w:r>
      <w:r w:rsidRPr="00227526">
        <w:t>011</w:t>
      </w:r>
      <w:r>
        <w:t> </w:t>
      </w:r>
      <w:r w:rsidRPr="00227526">
        <w:t>tis.</w:t>
      </w:r>
      <w:r>
        <w:t> </w:t>
      </w:r>
      <w:r w:rsidRPr="00227526">
        <w:t xml:space="preserve">eur, čo </w:t>
      </w:r>
      <w:r w:rsidRPr="00826257">
        <w:t>predstavuje medziročný rast na úrovni 3,1</w:t>
      </w:r>
      <w:r w:rsidR="00010A5C">
        <w:t xml:space="preserve"> </w:t>
      </w:r>
      <w:r w:rsidRPr="00826257">
        <w:t>%. Výnos dane tak druhý rok po sebe spomalil za vývojom makrobázy, ktorá</w:t>
      </w:r>
      <w:r w:rsidR="00010A5C">
        <w:t> </w:t>
      </w:r>
      <w:r w:rsidRPr="00826257">
        <w:t>v roku 2024 rástla o</w:t>
      </w:r>
      <w:r w:rsidR="00010A5C">
        <w:t> </w:t>
      </w:r>
      <w:r w:rsidRPr="00826257">
        <w:t>4,9</w:t>
      </w:r>
      <w:r w:rsidR="00010A5C">
        <w:t> </w:t>
      </w:r>
      <w:r w:rsidRPr="00826257">
        <w:t>%.</w:t>
      </w:r>
    </w:p>
    <w:p w14:paraId="16E5011B" w14:textId="61AAD4C0" w:rsidR="000B26C6" w:rsidRPr="00E17FB7" w:rsidRDefault="000B26C6" w:rsidP="00E17FB7">
      <w:pPr>
        <w:spacing w:after="120" w:line="240" w:lineRule="auto"/>
        <w:jc w:val="both"/>
      </w:pPr>
      <w:r w:rsidRPr="00227526">
        <w:t>Výnos z </w:t>
      </w:r>
      <w:r w:rsidRPr="00227526">
        <w:rPr>
          <w:b/>
          <w:bCs/>
        </w:rPr>
        <w:t>osobitného odvodu z podnikania v regulovaných odvetviach</w:t>
      </w:r>
      <w:r w:rsidRPr="00227526">
        <w:t xml:space="preserve"> medziročne vzrástol takmer trojnásobne, o</w:t>
      </w:r>
      <w:r w:rsidR="009B70E1">
        <w:t> </w:t>
      </w:r>
      <w:r w:rsidRPr="00227526">
        <w:t>295</w:t>
      </w:r>
      <w:r w:rsidR="009B70E1">
        <w:t> </w:t>
      </w:r>
      <w:r w:rsidRPr="00227526">
        <w:t>% (398</w:t>
      </w:r>
      <w:r w:rsidR="000851CB">
        <w:t> </w:t>
      </w:r>
      <w:r w:rsidRPr="00227526">
        <w:t>661</w:t>
      </w:r>
      <w:r w:rsidR="000851CB">
        <w:t> </w:t>
      </w:r>
      <w:r w:rsidRPr="00227526">
        <w:t>tis.</w:t>
      </w:r>
      <w:r w:rsidR="000851CB">
        <w:t> </w:t>
      </w:r>
      <w:r w:rsidRPr="00227526">
        <w:t>eur). Tento výrazný medziročný nárast osobitného odvodu je spôsobený predovšetkým rozšírením firiem podliehajúcich plateniu tohto odvodu o banky.</w:t>
      </w:r>
      <w:r>
        <w:t xml:space="preserve"> </w:t>
      </w:r>
      <w:r w:rsidR="001D424F" w:rsidRPr="00A464D5">
        <w:t>Rozšírenie sa síce týka len</w:t>
      </w:r>
      <w:r w:rsidR="009B70E1">
        <w:t> </w:t>
      </w:r>
      <w:r w:rsidR="001D424F" w:rsidRPr="00A464D5">
        <w:t>17</w:t>
      </w:r>
      <w:r w:rsidR="009B70E1">
        <w:t> </w:t>
      </w:r>
      <w:r w:rsidR="001D424F" w:rsidRPr="00A464D5">
        <w:t>dodatočných subjektov, ale vzhľadom na vyše sedemnásobne vyššiu sadzbu odvodu pre banky v</w:t>
      </w:r>
      <w:r w:rsidR="00041EA0">
        <w:t> </w:t>
      </w:r>
      <w:r w:rsidR="001D424F" w:rsidRPr="00A464D5">
        <w:t>porovnaní s ostatnými regulovanými subjektami je vplyv na výnos odvodu výrazný.</w:t>
      </w:r>
    </w:p>
    <w:p w14:paraId="6A681ADC" w14:textId="2AF98F80" w:rsidR="000B26C6" w:rsidRDefault="000B26C6" w:rsidP="00E17FB7">
      <w:pPr>
        <w:spacing w:after="120" w:line="240" w:lineRule="auto"/>
        <w:jc w:val="both"/>
      </w:pPr>
      <w:r w:rsidRPr="00DD2905">
        <w:rPr>
          <w:bCs/>
        </w:rPr>
        <w:t xml:space="preserve">Celkový výnos </w:t>
      </w:r>
      <w:r w:rsidRPr="00DD2905">
        <w:rPr>
          <w:b/>
        </w:rPr>
        <w:t>spotrebných daní</w:t>
      </w:r>
      <w:r w:rsidRPr="00DD2905">
        <w:t xml:space="preserve"> (SD) poklesol v roku 2024 o </w:t>
      </w:r>
      <w:r>
        <w:t>4</w:t>
      </w:r>
      <w:r w:rsidRPr="00DD2905">
        <w:t>,5 % (</w:t>
      </w:r>
      <w:r w:rsidR="00485261">
        <w:t>-</w:t>
      </w:r>
      <w:r>
        <w:t>137</w:t>
      </w:r>
      <w:r w:rsidR="000851CB">
        <w:t> </w:t>
      </w:r>
      <w:r>
        <w:t>000</w:t>
      </w:r>
      <w:r w:rsidR="000851CB">
        <w:t> </w:t>
      </w:r>
      <w:r w:rsidRPr="00DD2905">
        <w:t>tis.</w:t>
      </w:r>
      <w:r w:rsidR="000851CB">
        <w:t> </w:t>
      </w:r>
      <w:r w:rsidRPr="00DD2905">
        <w:t>eur)</w:t>
      </w:r>
      <w:r>
        <w:t>. Za poklesom je pokles výnosu zo zelenej energie o 56,4</w:t>
      </w:r>
      <w:r w:rsidR="009B70E1">
        <w:t> </w:t>
      </w:r>
      <w:r>
        <w:t>% (-237</w:t>
      </w:r>
      <w:r w:rsidR="000851CB">
        <w:t> </w:t>
      </w:r>
      <w:r>
        <w:t>238</w:t>
      </w:r>
      <w:r w:rsidR="000851CB">
        <w:t> </w:t>
      </w:r>
      <w:r>
        <w:t>tis.</w:t>
      </w:r>
      <w:r w:rsidR="000851CB">
        <w:t> </w:t>
      </w:r>
      <w:r>
        <w:t xml:space="preserve">eur). Výnos spotrebných daní </w:t>
      </w:r>
      <w:r w:rsidRPr="00DD2905">
        <w:t>bez vplyvu SD za</w:t>
      </w:r>
      <w:r w:rsidR="00041EA0">
        <w:t> </w:t>
      </w:r>
      <w:r w:rsidRPr="00DD2905">
        <w:t>zelenú energiu medziročne vzrást</w:t>
      </w:r>
      <w:r>
        <w:t>ol</w:t>
      </w:r>
      <w:r w:rsidRPr="00DD2905">
        <w:t xml:space="preserve"> o 3,9</w:t>
      </w:r>
      <w:r w:rsidR="009B70E1">
        <w:t> </w:t>
      </w:r>
      <w:r w:rsidRPr="00DD2905">
        <w:t>%</w:t>
      </w:r>
      <w:r w:rsidRPr="00DD2905">
        <w:rPr>
          <w:rStyle w:val="Odkaznapoznmkupodiarou"/>
        </w:rPr>
        <w:footnoteReference w:id="7"/>
      </w:r>
      <w:r w:rsidRPr="00DD2905">
        <w:t>. Výnos spotrebnej dane z minerálneho oleja medziročne vzrástol o 2,8 % (36</w:t>
      </w:r>
      <w:r w:rsidR="000851CB">
        <w:t> </w:t>
      </w:r>
      <w:r w:rsidRPr="00DD2905">
        <w:t>969</w:t>
      </w:r>
      <w:r w:rsidR="000851CB">
        <w:t> </w:t>
      </w:r>
      <w:r w:rsidRPr="00DD2905">
        <w:t>tis.</w:t>
      </w:r>
      <w:r w:rsidR="000851CB">
        <w:t> </w:t>
      </w:r>
      <w:r w:rsidRPr="00DD2905">
        <w:t>eur), čo bolo spôsobené z väčšej časti vyššou výkonnosťou ekonomiky a sčasti lepším výberom dane. K medziročnému nárastu výnosu spotrebnej dane z tabakových výrobkov o 9,0 % (84</w:t>
      </w:r>
      <w:r w:rsidR="000851CB">
        <w:t> </w:t>
      </w:r>
      <w:r w:rsidRPr="00DD2905">
        <w:t>526</w:t>
      </w:r>
      <w:r w:rsidR="000851CB">
        <w:t> </w:t>
      </w:r>
      <w:r w:rsidRPr="00DD2905">
        <w:t>tis.</w:t>
      </w:r>
      <w:r w:rsidR="009B70E1">
        <w:t> </w:t>
      </w:r>
      <w:r w:rsidRPr="00DD2905">
        <w:t>eur) pozitívne prispel predovšetkým vplyv zvýšenia sadzieb z jednotlivých tabakových výrobkov a v menšej miere pozitívny vývoj makroprostredia a</w:t>
      </w:r>
      <w:r>
        <w:t xml:space="preserve"> predsunutá </w:t>
      </w:r>
      <w:r w:rsidRPr="00DD2905">
        <w:t xml:space="preserve">platba dane z roka 2025. </w:t>
      </w:r>
    </w:p>
    <w:p w14:paraId="12F4ED71" w14:textId="5567969A" w:rsidR="004C175E" w:rsidRDefault="0078386F" w:rsidP="004C175E">
      <w:pPr>
        <w:spacing w:after="120" w:line="240" w:lineRule="auto"/>
        <w:jc w:val="both"/>
      </w:pPr>
      <w:r>
        <w:t xml:space="preserve">Výnos </w:t>
      </w:r>
      <w:r w:rsidRPr="001B463B">
        <w:rPr>
          <w:b/>
          <w:bCs/>
        </w:rPr>
        <w:t>dane z príjmov vyberanej zrážkou</w:t>
      </w:r>
      <w:r>
        <w:t xml:space="preserve"> medziročne vzrástol o 22,9</w:t>
      </w:r>
      <w:r w:rsidR="009B70E1">
        <w:t> </w:t>
      </w:r>
      <w:r>
        <w:t>% (98</w:t>
      </w:r>
      <w:r w:rsidR="000851CB">
        <w:t> </w:t>
      </w:r>
      <w:r w:rsidRPr="000851CB">
        <w:t>577</w:t>
      </w:r>
      <w:r w:rsidR="000851CB">
        <w:t> </w:t>
      </w:r>
      <w:r w:rsidRPr="000851CB">
        <w:t>tis</w:t>
      </w:r>
      <w:r>
        <w:t>.</w:t>
      </w:r>
      <w:r w:rsidR="000851CB">
        <w:t> </w:t>
      </w:r>
      <w:r>
        <w:t>eur). Za vyšším príjmom je najmä výnos zo zdanenia úrokov z vkladov, zdanenie výnosov z podielových fondov  a zdanenie dividend. Úrokové miery vzrástli v roku 2023 viac ako 4-násobne, avšak na výnose dane sa tento efekt v plnej mierne prejavil až v roku 2024. Medziročný nárast pri zdanení dividend je spôsobený jednorazovými platbami (firmy, ktoré vyplatili dividendy prvý krát od zavedenia dane) a faktom, že niektoré subjekty, ktoré</w:t>
      </w:r>
      <w:r w:rsidR="009B70E1">
        <w:t> </w:t>
      </w:r>
      <w:r>
        <w:t>sa každoročne podieľajú na výnose dane podstatnou časťou, nevyplatili v roku 2023 dividendy. Výnos z podielových fondov sa medziročne zdvojnásobil, čo súvisí s vývojom na akciových trhoch. Zaznamenané medziročné poklesy mali jednorazový charakter. V prípade licenčných poplatkov prišlo k presunu platby významného subjektu z roku 2024 do roku 2025.</w:t>
      </w:r>
    </w:p>
    <w:p w14:paraId="78311E6C" w14:textId="7FB174C5" w:rsidR="0078386F" w:rsidRPr="00B0012B" w:rsidRDefault="0078386F" w:rsidP="004C175E">
      <w:pPr>
        <w:spacing w:after="0" w:line="240" w:lineRule="auto"/>
        <w:jc w:val="both"/>
      </w:pPr>
      <w:r>
        <w:t xml:space="preserve">Medziročný nárast výnosu </w:t>
      </w:r>
      <w:r w:rsidRPr="001A3F7F">
        <w:rPr>
          <w:b/>
          <w:bCs/>
        </w:rPr>
        <w:t>dane z nehnuteľností</w:t>
      </w:r>
      <w:r>
        <w:t xml:space="preserve"> bol spôsobený rastom sadzieb daní na úrovni samospráv. Takmer 72 % okresných miest zvyšovalo od 1.1.2024 sadzby na jednotlivé typy nehnuteľností. Z krajských miest nezvýšili sadzby len v Trnave a v Banskej Bystrici. V priemere zvýšili okresné mestá sadzby o</w:t>
      </w:r>
      <w:r w:rsidR="009B70E1">
        <w:t> </w:t>
      </w:r>
      <w:r>
        <w:t>40</w:t>
      </w:r>
      <w:r w:rsidR="009B70E1">
        <w:t> </w:t>
      </w:r>
      <w:r>
        <w:t xml:space="preserve">%. Celkovo to prinieslo do rozpočtov obcí viac </w:t>
      </w:r>
      <w:r w:rsidRPr="00360F3A">
        <w:t>ako 120</w:t>
      </w:r>
      <w:r w:rsidR="00360F3A" w:rsidRPr="00360F3A">
        <w:t> 000 tis. eur.</w:t>
      </w:r>
    </w:p>
    <w:p w14:paraId="3A3388D9" w14:textId="77777777" w:rsidR="0078386F" w:rsidRDefault="0078386F" w:rsidP="002E6BC4">
      <w:pPr>
        <w:spacing w:after="0" w:line="240" w:lineRule="auto"/>
        <w:jc w:val="both"/>
      </w:pPr>
    </w:p>
    <w:p w14:paraId="2D93739F" w14:textId="77777777" w:rsidR="00151939" w:rsidRPr="00AF1794" w:rsidRDefault="00151939" w:rsidP="00151939">
      <w:pPr>
        <w:spacing w:after="120" w:line="240" w:lineRule="auto"/>
        <w:jc w:val="both"/>
        <w:rPr>
          <w:b/>
          <w:color w:val="4F81BD" w:themeColor="accent1"/>
          <w:sz w:val="24"/>
          <w:szCs w:val="24"/>
        </w:rPr>
      </w:pPr>
      <w:r w:rsidRPr="00AF1794">
        <w:rPr>
          <w:b/>
          <w:color w:val="4F81BD" w:themeColor="accent1"/>
          <w:sz w:val="24"/>
          <w:szCs w:val="24"/>
        </w:rPr>
        <w:t>Nedaňové príjmy</w:t>
      </w:r>
    </w:p>
    <w:p w14:paraId="3043D299" w14:textId="1A5E3BCC" w:rsidR="00B51B16" w:rsidRPr="00B51B16" w:rsidRDefault="00F8601D" w:rsidP="002851E5">
      <w:pPr>
        <w:spacing w:after="120" w:line="240" w:lineRule="auto"/>
        <w:jc w:val="both"/>
        <w:rPr>
          <w:rFonts w:cs="Book Antiqua"/>
          <w:szCs w:val="22"/>
          <w:lang w:eastAsia="sk-SK"/>
        </w:rPr>
      </w:pPr>
      <w:r w:rsidRPr="00AF1794">
        <w:rPr>
          <w:szCs w:val="22"/>
        </w:rPr>
        <w:t>V rámci nedaňových príjmov v roku 202</w:t>
      </w:r>
      <w:r w:rsidR="00AF1794" w:rsidRPr="00AF1794">
        <w:rPr>
          <w:szCs w:val="22"/>
        </w:rPr>
        <w:t>4</w:t>
      </w:r>
      <w:r w:rsidRPr="00AF1794">
        <w:rPr>
          <w:szCs w:val="22"/>
        </w:rPr>
        <w:t xml:space="preserve"> vzrástli </w:t>
      </w:r>
      <w:r w:rsidRPr="00AF1794">
        <w:rPr>
          <w:b/>
          <w:szCs w:val="22"/>
        </w:rPr>
        <w:t>výnosy z tržieb</w:t>
      </w:r>
      <w:r w:rsidRPr="00AF1794">
        <w:rPr>
          <w:szCs w:val="22"/>
        </w:rPr>
        <w:t xml:space="preserve"> za produkciu verejnej správy o</w:t>
      </w:r>
      <w:r w:rsidR="00AF1794" w:rsidRPr="00AF1794">
        <w:rPr>
          <w:szCs w:val="22"/>
        </w:rPr>
        <w:t> 6,9</w:t>
      </w:r>
      <w:r w:rsidRPr="00AF1794">
        <w:rPr>
          <w:szCs w:val="22"/>
        </w:rPr>
        <w:t> % (nárast o </w:t>
      </w:r>
      <w:r w:rsidR="00AF1794" w:rsidRPr="00AF1794">
        <w:rPr>
          <w:szCs w:val="22"/>
        </w:rPr>
        <w:t>234</w:t>
      </w:r>
      <w:r w:rsidRPr="00AF1794">
        <w:rPr>
          <w:szCs w:val="22"/>
        </w:rPr>
        <w:t> </w:t>
      </w:r>
      <w:r w:rsidR="00AF1794" w:rsidRPr="00AF1794">
        <w:rPr>
          <w:szCs w:val="22"/>
        </w:rPr>
        <w:t>415</w:t>
      </w:r>
      <w:r w:rsidRPr="00AF1794">
        <w:rPr>
          <w:szCs w:val="22"/>
        </w:rPr>
        <w:t xml:space="preserve"> tis. eur). </w:t>
      </w:r>
      <w:r w:rsidR="00B51B16" w:rsidRPr="00B51B16">
        <w:rPr>
          <w:szCs w:val="22"/>
        </w:rPr>
        <w:t xml:space="preserve">Najvýraznejšie vzrástli platby </w:t>
      </w:r>
      <w:r w:rsidR="00B51B16" w:rsidRPr="00B51B16">
        <w:rPr>
          <w:szCs w:val="22"/>
          <w:u w:val="single"/>
        </w:rPr>
        <w:t>za trhovú produkciu</w:t>
      </w:r>
      <w:r w:rsidR="009A512D">
        <w:rPr>
          <w:szCs w:val="22"/>
        </w:rPr>
        <w:t xml:space="preserve">, a teda </w:t>
      </w:r>
      <w:r w:rsidR="00B51B16" w:rsidRPr="00B51B16">
        <w:rPr>
          <w:szCs w:val="22"/>
        </w:rPr>
        <w:t>zaznamenali nárast oproti roku 2023 o 8,0 % (nárast o</w:t>
      </w:r>
      <w:r w:rsidR="009B70E1">
        <w:rPr>
          <w:szCs w:val="22"/>
        </w:rPr>
        <w:t> </w:t>
      </w:r>
      <w:r w:rsidR="00B51B16" w:rsidRPr="00B51B16">
        <w:rPr>
          <w:szCs w:val="22"/>
        </w:rPr>
        <w:t>234 970 tis. eur)</w:t>
      </w:r>
      <w:r w:rsidR="009A512D">
        <w:rPr>
          <w:szCs w:val="22"/>
        </w:rPr>
        <w:t>. I</w:t>
      </w:r>
      <w:r w:rsidR="00B51B16" w:rsidRPr="00B51B16">
        <w:rPr>
          <w:szCs w:val="22"/>
        </w:rPr>
        <w:t>šlo predovšetkým o zvýšené príjmy týchto zložiek verejnej správy:</w:t>
      </w:r>
    </w:p>
    <w:p w14:paraId="47736CEA" w14:textId="7B45D935" w:rsidR="002F7641" w:rsidRPr="00B94DDB" w:rsidRDefault="00B51B16" w:rsidP="00E17FB7">
      <w:pPr>
        <w:pStyle w:val="Odsekzoznamu"/>
        <w:numPr>
          <w:ilvl w:val="0"/>
          <w:numId w:val="11"/>
        </w:numPr>
        <w:spacing w:after="120"/>
        <w:ind w:left="714" w:hanging="357"/>
        <w:contextualSpacing w:val="0"/>
        <w:jc w:val="both"/>
      </w:pPr>
      <w:r w:rsidRPr="00ED4338">
        <w:rPr>
          <w:b/>
          <w:i/>
        </w:rPr>
        <w:lastRenderedPageBreak/>
        <w:t>Obce a ich RO o </w:t>
      </w:r>
      <w:r w:rsidR="001C2B41" w:rsidRPr="00ED4338">
        <w:rPr>
          <w:b/>
          <w:i/>
        </w:rPr>
        <w:t>63</w:t>
      </w:r>
      <w:r w:rsidRPr="00ED4338">
        <w:rPr>
          <w:b/>
          <w:i/>
        </w:rPr>
        <w:t> </w:t>
      </w:r>
      <w:r w:rsidR="001C2B41" w:rsidRPr="00ED4338">
        <w:rPr>
          <w:b/>
          <w:i/>
        </w:rPr>
        <w:t>240</w:t>
      </w:r>
      <w:r w:rsidRPr="00ED4338">
        <w:rPr>
          <w:b/>
          <w:i/>
        </w:rPr>
        <w:t> tis. eur</w:t>
      </w:r>
      <w:r w:rsidRPr="00ED4338">
        <w:t xml:space="preserve"> - medziročný nárast príjmu z poplatku za komunálny odpad</w:t>
      </w:r>
      <w:r w:rsidRPr="00ED4338">
        <w:rPr>
          <w:rStyle w:val="Odkaznapoznmkupodiarou"/>
        </w:rPr>
        <w:footnoteReference w:id="8"/>
      </w:r>
      <w:r w:rsidRPr="006F7C8A">
        <w:t xml:space="preserve"> a drobný stavebný odpad u fyzických a</w:t>
      </w:r>
      <w:r w:rsidR="00383E0D">
        <w:t> </w:t>
      </w:r>
      <w:r w:rsidRPr="006F7C8A">
        <w:t>právnických</w:t>
      </w:r>
      <w:r w:rsidR="00383E0D">
        <w:t xml:space="preserve"> osôb</w:t>
      </w:r>
      <w:r w:rsidRPr="006F7C8A">
        <w:t xml:space="preserve"> </w:t>
      </w:r>
      <w:r w:rsidR="002F7641" w:rsidRPr="006F7C8A">
        <w:t>o 38 682 tis. eur</w:t>
      </w:r>
      <w:r w:rsidR="002F7641" w:rsidRPr="00612734">
        <w:t xml:space="preserve">. </w:t>
      </w:r>
      <w:r w:rsidRPr="00612734">
        <w:t xml:space="preserve">Príjmy z poplatku za komunálne odpady ako u fyzických osôb, tak pri množstevnom zbere, nepostačujú v plnej miere kryť výdavky vynaložené na zber, prepravu, separáciu a likvidáciu odpadov a čistenia na území mesta. </w:t>
      </w:r>
      <w:r w:rsidRPr="000E460B">
        <w:t xml:space="preserve">Tieto rozdiely z väčšej časti uhrádzajú obce a mestá z ostatných vlastných príjmov. Taktiež vzrástli príjmy za </w:t>
      </w:r>
      <w:r w:rsidR="000E460B" w:rsidRPr="000E460B">
        <w:t>prenájom budov a priestorov a príjmy z</w:t>
      </w:r>
      <w:r w:rsidRPr="000E460B">
        <w:t xml:space="preserve"> poplatk</w:t>
      </w:r>
      <w:r w:rsidR="000E460B" w:rsidRPr="000E460B">
        <w:t>ov</w:t>
      </w:r>
      <w:r w:rsidRPr="000E460B">
        <w:t xml:space="preserve"> za parkovné, za služby pultu centralizovanej ochrany, za služby poskytované v súvislosti </w:t>
      </w:r>
      <w:r w:rsidR="00B94DDB">
        <w:t xml:space="preserve">s </w:t>
      </w:r>
      <w:r w:rsidRPr="000E460B">
        <w:t xml:space="preserve">organizáciou kultúrnych a športových </w:t>
      </w:r>
      <w:r w:rsidRPr="00ED4338">
        <w:t>podujatí (poskytnutie reklamného priestoru, poplatky bytového a nebytového hospodárstva, za poskytovanie sociálnych služieb (sociálny taxík) a</w:t>
      </w:r>
      <w:r w:rsidR="00B94DDB">
        <w:t> </w:t>
      </w:r>
      <w:r w:rsidRPr="00ED4338">
        <w:t>ďalšie</w:t>
      </w:r>
      <w:r w:rsidR="00B94DDB">
        <w:t>,</w:t>
      </w:r>
      <w:r w:rsidR="000E460B" w:rsidRPr="00ED4338">
        <w:t xml:space="preserve"> celkovo o 37 221 tis.</w:t>
      </w:r>
      <w:r w:rsidR="000851CB">
        <w:t> </w:t>
      </w:r>
      <w:r w:rsidR="000E460B" w:rsidRPr="00ED4338">
        <w:t>eur</w:t>
      </w:r>
      <w:r w:rsidRPr="00ED4338">
        <w:t>.</w:t>
      </w:r>
      <w:r w:rsidR="000E460B" w:rsidRPr="00ED4338">
        <w:t xml:space="preserve"> Mnohé s</w:t>
      </w:r>
      <w:r w:rsidR="002F7641" w:rsidRPr="00ED4338">
        <w:t>amosprávy zvýš</w:t>
      </w:r>
      <w:r w:rsidR="000E460B" w:rsidRPr="00ED4338">
        <w:t>ili</w:t>
      </w:r>
      <w:r w:rsidR="002F7641" w:rsidRPr="00ED4338">
        <w:t xml:space="preserve"> </w:t>
      </w:r>
      <w:r w:rsidR="002F7641" w:rsidRPr="00B94DDB">
        <w:t>miestn</w:t>
      </w:r>
      <w:r w:rsidR="000E460B" w:rsidRPr="00B94DDB">
        <w:t xml:space="preserve">y </w:t>
      </w:r>
      <w:r w:rsidR="002F7641" w:rsidRPr="00B94DDB">
        <w:t>poplat</w:t>
      </w:r>
      <w:r w:rsidR="000E460B" w:rsidRPr="00B94DDB">
        <w:t>ok</w:t>
      </w:r>
      <w:r w:rsidR="002F7641" w:rsidRPr="00B94DDB">
        <w:t xml:space="preserve"> za rozvoj</w:t>
      </w:r>
      <w:r w:rsidR="00383E0D">
        <w:t>, čo sa prejavilo na</w:t>
      </w:r>
      <w:r w:rsidR="000E460B" w:rsidRPr="00B94DDB">
        <w:t xml:space="preserve"> </w:t>
      </w:r>
      <w:r w:rsidR="00383E0D">
        <w:t xml:space="preserve">celkovom </w:t>
      </w:r>
      <w:r w:rsidR="000E460B" w:rsidRPr="00B94DDB">
        <w:t>medziročným nárast</w:t>
      </w:r>
      <w:r w:rsidR="00383E0D">
        <w:t>e</w:t>
      </w:r>
      <w:r w:rsidR="000E460B" w:rsidRPr="00B94DDB">
        <w:t xml:space="preserve"> o 12 598 tis.</w:t>
      </w:r>
      <w:r w:rsidR="009B70E1">
        <w:t> </w:t>
      </w:r>
      <w:r w:rsidR="000E460B" w:rsidRPr="00B94DDB">
        <w:t>eur.</w:t>
      </w:r>
    </w:p>
    <w:p w14:paraId="1D592598" w14:textId="11D55A09" w:rsidR="00ED320E" w:rsidRPr="00ED4338" w:rsidRDefault="00ED320E" w:rsidP="00726262">
      <w:pPr>
        <w:pStyle w:val="Odsekzoznamu"/>
        <w:numPr>
          <w:ilvl w:val="0"/>
          <w:numId w:val="11"/>
        </w:numPr>
        <w:spacing w:after="120"/>
        <w:ind w:left="714" w:hanging="357"/>
        <w:contextualSpacing w:val="0"/>
        <w:jc w:val="both"/>
      </w:pPr>
      <w:r w:rsidRPr="00ED4338">
        <w:rPr>
          <w:b/>
          <w:i/>
        </w:rPr>
        <w:t>Zdravotné poisťovne o 46 512 tis. eur</w:t>
      </w:r>
      <w:r w:rsidRPr="00ED4338">
        <w:t xml:space="preserve"> –</w:t>
      </w:r>
      <w:r w:rsidR="00ED4338" w:rsidRPr="00ED4338">
        <w:t xml:space="preserve"> išlo predovšetkým o nárast príjmov Vš</w:t>
      </w:r>
      <w:r w:rsidR="00B94DDB">
        <w:t>ZP</w:t>
      </w:r>
      <w:r w:rsidR="00ED4338" w:rsidRPr="00ED4338">
        <w:t>, a.</w:t>
      </w:r>
      <w:r w:rsidR="009B70E1">
        <w:t> </w:t>
      </w:r>
      <w:r w:rsidR="00ED4338" w:rsidRPr="00ED4338">
        <w:t>s. súvisiacich s úhradou nákladov UDZS za poistencov EÚ (podľa §</w:t>
      </w:r>
      <w:r w:rsidR="009B70E1">
        <w:t> </w:t>
      </w:r>
      <w:r w:rsidR="00ED4338" w:rsidRPr="00ED4338">
        <w:t>18 zákona č.</w:t>
      </w:r>
      <w:r w:rsidR="009B70E1">
        <w:t> </w:t>
      </w:r>
      <w:r w:rsidR="00ED4338" w:rsidRPr="00ED4338">
        <w:t>581/2004</w:t>
      </w:r>
      <w:r w:rsidR="009B70E1">
        <w:t> </w:t>
      </w:r>
      <w:r w:rsidR="00ED4338" w:rsidRPr="00ED4338">
        <w:t>Z.</w:t>
      </w:r>
      <w:r w:rsidR="009B70E1">
        <w:t> </w:t>
      </w:r>
      <w:r w:rsidR="00ED4338" w:rsidRPr="00ED4338">
        <w:t>z.) a taktiež o príjmy zo spätných platieb za lieky (uhradených podľa §</w:t>
      </w:r>
      <w:r w:rsidR="009B70E1">
        <w:t> </w:t>
      </w:r>
      <w:r w:rsidR="00ED4338" w:rsidRPr="00ED4338">
        <w:t>7a ods.</w:t>
      </w:r>
      <w:r w:rsidR="009B70E1">
        <w:t> </w:t>
      </w:r>
      <w:r w:rsidR="00ED4338" w:rsidRPr="00ED4338">
        <w:t>1 a 2 zákona č.</w:t>
      </w:r>
      <w:r w:rsidR="009B70E1">
        <w:t> </w:t>
      </w:r>
      <w:r w:rsidR="00ED4338" w:rsidRPr="00ED4338">
        <w:t>363/2011</w:t>
      </w:r>
      <w:r w:rsidR="009B70E1">
        <w:t> </w:t>
      </w:r>
      <w:r w:rsidR="00ED4338" w:rsidRPr="00ED4338">
        <w:t>Z.</w:t>
      </w:r>
      <w:r w:rsidR="009B70E1">
        <w:t> </w:t>
      </w:r>
      <w:r w:rsidR="00ED4338" w:rsidRPr="00ED4338">
        <w:t xml:space="preserve">z.), ktoré sa začali vykazovať v príjmoch až od roku 2024 po novele </w:t>
      </w:r>
      <w:r w:rsidR="00F7618F">
        <w:t>v</w:t>
      </w:r>
      <w:r w:rsidR="00ED4338" w:rsidRPr="00ED4338">
        <w:t>yhlášky č.</w:t>
      </w:r>
      <w:r w:rsidR="009B70E1">
        <w:t> </w:t>
      </w:r>
      <w:r w:rsidR="00ED4338" w:rsidRPr="00ED4338">
        <w:t>522/2023</w:t>
      </w:r>
      <w:r w:rsidR="009B70E1">
        <w:t> </w:t>
      </w:r>
      <w:r w:rsidR="00F7618F">
        <w:t>Z.</w:t>
      </w:r>
      <w:r w:rsidR="009B70E1">
        <w:t> </w:t>
      </w:r>
      <w:r w:rsidR="00F7618F">
        <w:t>z.</w:t>
      </w:r>
      <w:r w:rsidR="00ED4338" w:rsidRPr="00ED4338">
        <w:rPr>
          <w:rStyle w:val="Odkaznapoznmkupodiarou"/>
        </w:rPr>
        <w:footnoteReference w:id="9"/>
      </w:r>
      <w:r w:rsidR="00ED4338" w:rsidRPr="00ED4338">
        <w:t>.</w:t>
      </w:r>
    </w:p>
    <w:p w14:paraId="5CBEC359" w14:textId="0B0EE109" w:rsidR="00ED320E" w:rsidRPr="001A3E69" w:rsidRDefault="00ED320E" w:rsidP="00726262">
      <w:pPr>
        <w:pStyle w:val="Odsekzoznamu"/>
        <w:numPr>
          <w:ilvl w:val="0"/>
          <w:numId w:val="11"/>
        </w:numPr>
        <w:spacing w:after="120"/>
        <w:ind w:left="714" w:hanging="357"/>
        <w:contextualSpacing w:val="0"/>
        <w:jc w:val="both"/>
      </w:pPr>
      <w:r w:rsidRPr="00ED4338">
        <w:rPr>
          <w:b/>
          <w:i/>
        </w:rPr>
        <w:t>OSVS</w:t>
      </w:r>
      <w:r w:rsidRPr="001A3E69">
        <w:rPr>
          <w:b/>
          <w:i/>
        </w:rPr>
        <w:t xml:space="preserve"> o 25 751 tis. eur</w:t>
      </w:r>
      <w:r w:rsidRPr="001A3E69">
        <w:t xml:space="preserve"> - príjmy z predaja tovaru, materiálu a služieb, z prebytočného drobného majetku.</w:t>
      </w:r>
    </w:p>
    <w:p w14:paraId="065E6E5E" w14:textId="606C7C80" w:rsidR="00EE11F7" w:rsidRDefault="001C2B41" w:rsidP="00726262">
      <w:pPr>
        <w:pStyle w:val="Odsekzoznamu"/>
        <w:numPr>
          <w:ilvl w:val="0"/>
          <w:numId w:val="11"/>
        </w:numPr>
        <w:spacing w:after="120"/>
        <w:ind w:left="714" w:hanging="357"/>
        <w:jc w:val="both"/>
      </w:pPr>
      <w:r w:rsidRPr="001A3E69">
        <w:rPr>
          <w:b/>
          <w:i/>
        </w:rPr>
        <w:t>Národná diaľničná spoločnosť, a.</w:t>
      </w:r>
      <w:r w:rsidRPr="001A3E69">
        <w:t> </w:t>
      </w:r>
      <w:r w:rsidRPr="001A3E69">
        <w:rPr>
          <w:b/>
          <w:i/>
        </w:rPr>
        <w:t>s. o 13 710 tis. eur</w:t>
      </w:r>
      <w:r w:rsidRPr="001A3E69">
        <w:t xml:space="preserve"> - medziročný nárast bol spôsobený najmä vplyvom vyšších príjmov za predaj elektronickej diaľničnej známky (eDZ) o </w:t>
      </w:r>
      <w:r w:rsidR="00492576" w:rsidRPr="001A3E69">
        <w:t>4</w:t>
      </w:r>
      <w:r w:rsidRPr="001A3E69">
        <w:t> </w:t>
      </w:r>
      <w:r w:rsidR="001A3E69" w:rsidRPr="001A3E69">
        <w:t>304</w:t>
      </w:r>
      <w:r w:rsidRPr="001A3E69">
        <w:t> tis. eur</w:t>
      </w:r>
      <w:r w:rsidR="001A3E69" w:rsidRPr="001A3E69">
        <w:t xml:space="preserve"> v nadväznosti na medziročný nárast počtu kusov, najmä v mesiaci december </w:t>
      </w:r>
      <w:r w:rsidRPr="001A3E69">
        <w:t xml:space="preserve">z dôvodu </w:t>
      </w:r>
      <w:r w:rsidR="001A3E69" w:rsidRPr="001A3E69">
        <w:t>avizovaného zvýšenia ceny 365</w:t>
      </w:r>
      <w:r w:rsidR="009B70E1">
        <w:t> </w:t>
      </w:r>
      <w:r w:rsidR="001A3E69" w:rsidRPr="001A3E69">
        <w:t>dňovej eDZ.</w:t>
      </w:r>
      <w:r w:rsidRPr="001A3E69">
        <w:t xml:space="preserve"> Nárast príjmov súvisiacich s tržbami za predaj ETC bol </w:t>
      </w:r>
      <w:r w:rsidR="001A3E69" w:rsidRPr="001A3E69">
        <w:t>3</w:t>
      </w:r>
      <w:r w:rsidRPr="001A3E69">
        <w:t> </w:t>
      </w:r>
      <w:r w:rsidR="001A3E69" w:rsidRPr="001A3E69">
        <w:t>166</w:t>
      </w:r>
      <w:r w:rsidRPr="001A3E69">
        <w:t> tis. eur</w:t>
      </w:r>
      <w:r w:rsidR="00EE11F7">
        <w:t>. Suma 13</w:t>
      </w:r>
      <w:r w:rsidR="009B70E1">
        <w:t> </w:t>
      </w:r>
      <w:r w:rsidR="00EE11F7">
        <w:t>453</w:t>
      </w:r>
      <w:r w:rsidR="009B70E1">
        <w:t> </w:t>
      </w:r>
      <w:r w:rsidR="00EE11F7">
        <w:t>tis.</w:t>
      </w:r>
      <w:r w:rsidR="009B70E1">
        <w:t> </w:t>
      </w:r>
      <w:r w:rsidR="00EE11F7">
        <w:t>eur predstavuje elimináciu hotovostného príjmu, ktorý bol v roku 2023 imputovaný do trhovej produkcie cez nárast pohľadávky. Išlo o vyčíslenie hodnoty pohľadávok voči odberateľom predpísaných v roku 2023 a uhradených v roku 2024.</w:t>
      </w:r>
    </w:p>
    <w:p w14:paraId="4D6A4A07" w14:textId="77777777" w:rsidR="00EE11F7" w:rsidRDefault="00EE11F7" w:rsidP="00EE11F7">
      <w:pPr>
        <w:pStyle w:val="Odsekzoznamu"/>
        <w:spacing w:before="120" w:after="120"/>
        <w:jc w:val="both"/>
      </w:pPr>
    </w:p>
    <w:p w14:paraId="075CAA5F" w14:textId="3CF11923" w:rsidR="0097124F" w:rsidRPr="0097124F" w:rsidRDefault="00DC463D" w:rsidP="00726262">
      <w:pPr>
        <w:pStyle w:val="Odsekzoznamu"/>
        <w:numPr>
          <w:ilvl w:val="0"/>
          <w:numId w:val="11"/>
        </w:numPr>
        <w:spacing w:after="120"/>
        <w:ind w:left="714" w:hanging="357"/>
        <w:contextualSpacing w:val="0"/>
        <w:jc w:val="both"/>
      </w:pPr>
      <w:r w:rsidRPr="0097124F">
        <w:rPr>
          <w:b/>
          <w:i/>
        </w:rPr>
        <w:t>VÚC a ich RO o 11 172 tis. eur</w:t>
      </w:r>
      <w:r w:rsidRPr="0097124F">
        <w:t xml:space="preserve"> - zvýšené príjmy z poplatkov a platieb </w:t>
      </w:r>
      <w:r w:rsidR="0097124F" w:rsidRPr="0097124F">
        <w:t>od klientov domovov dôchodcov a domovov sociálnych služieb, za poskytovanie služieb v školských jedálňach, vydávanie licencií, z podnikania a vlastníctva majetku, dobropisov, vrátených neoprávnene použitých prostriedkov</w:t>
      </w:r>
      <w:r w:rsidR="00B94DDB">
        <w:t>.</w:t>
      </w:r>
    </w:p>
    <w:p w14:paraId="5B39C512" w14:textId="4FCBC80F" w:rsidR="001C2B41" w:rsidRPr="00446A0F" w:rsidRDefault="009A512D" w:rsidP="001C2B41">
      <w:pPr>
        <w:pStyle w:val="Odsekzoznamu"/>
        <w:spacing w:before="120" w:after="120"/>
        <w:contextualSpacing w:val="0"/>
        <w:jc w:val="both"/>
      </w:pPr>
      <w:r w:rsidRPr="00446A0F">
        <w:t>Naopak p</w:t>
      </w:r>
      <w:r w:rsidR="001C2B41" w:rsidRPr="00446A0F">
        <w:t xml:space="preserve">okles </w:t>
      </w:r>
      <w:r w:rsidRPr="00446A0F">
        <w:t xml:space="preserve">z príjmov za trhovú produkciu </w:t>
      </w:r>
      <w:r w:rsidR="001C2B41" w:rsidRPr="00446A0F">
        <w:t>zaznamenali</w:t>
      </w:r>
      <w:r w:rsidR="00A5720D" w:rsidRPr="00446A0F">
        <w:t xml:space="preserve"> </w:t>
      </w:r>
      <w:r w:rsidRPr="00446A0F">
        <w:t>najmä</w:t>
      </w:r>
      <w:r w:rsidR="00A5720D" w:rsidRPr="00446A0F">
        <w:t xml:space="preserve"> tieto subjekty</w:t>
      </w:r>
      <w:r w:rsidR="001C2B41" w:rsidRPr="00446A0F">
        <w:t>:</w:t>
      </w:r>
    </w:p>
    <w:p w14:paraId="6780D7FE" w14:textId="085E1701" w:rsidR="00B51B16" w:rsidRPr="00446A0F" w:rsidRDefault="00B51B16" w:rsidP="00726262">
      <w:pPr>
        <w:pStyle w:val="Odsekzoznamu"/>
        <w:numPr>
          <w:ilvl w:val="0"/>
          <w:numId w:val="11"/>
        </w:numPr>
        <w:spacing w:after="120"/>
        <w:ind w:left="714" w:hanging="357"/>
        <w:contextualSpacing w:val="0"/>
        <w:jc w:val="both"/>
      </w:pPr>
      <w:r w:rsidRPr="00446A0F">
        <w:rPr>
          <w:b/>
          <w:i/>
        </w:rPr>
        <w:t>Valaliky Industrial Park, s. r. o. o 4</w:t>
      </w:r>
      <w:r w:rsidR="001C2B41" w:rsidRPr="00446A0F">
        <w:rPr>
          <w:b/>
          <w:i/>
        </w:rPr>
        <w:t>0</w:t>
      </w:r>
      <w:r w:rsidRPr="00446A0F">
        <w:rPr>
          <w:b/>
          <w:i/>
        </w:rPr>
        <w:t> </w:t>
      </w:r>
      <w:r w:rsidR="001C2B41" w:rsidRPr="00446A0F">
        <w:rPr>
          <w:b/>
          <w:i/>
        </w:rPr>
        <w:t>184</w:t>
      </w:r>
      <w:r w:rsidRPr="00446A0F">
        <w:rPr>
          <w:b/>
          <w:i/>
        </w:rPr>
        <w:t> tis. eur</w:t>
      </w:r>
      <w:r w:rsidRPr="00446A0F">
        <w:t xml:space="preserve"> – </w:t>
      </w:r>
      <w:r w:rsidR="001F6CCA">
        <w:t xml:space="preserve">aktualizácia časového rozlíšenia na základe účtovných závierok. Pozitívny vplyv mal </w:t>
      </w:r>
      <w:r w:rsidR="006F2566">
        <w:t xml:space="preserve">najmä </w:t>
      </w:r>
      <w:r w:rsidR="001F6CCA">
        <w:t xml:space="preserve">pokles výdavkov budúcich období v súvislosti s predajom pozemkov </w:t>
      </w:r>
      <w:r w:rsidRPr="00446A0F">
        <w:t>spoločnosti Volvo Cars Slovakia, s. r. o</w:t>
      </w:r>
      <w:r w:rsidR="001F6CCA">
        <w:t>.</w:t>
      </w:r>
    </w:p>
    <w:p w14:paraId="5C713B0F" w14:textId="771D9C1D" w:rsidR="00B51B16" w:rsidRPr="009E2F90" w:rsidRDefault="00B51B16" w:rsidP="00726262">
      <w:pPr>
        <w:pStyle w:val="Odsekzoznamu"/>
        <w:numPr>
          <w:ilvl w:val="0"/>
          <w:numId w:val="11"/>
        </w:numPr>
        <w:spacing w:after="120"/>
        <w:ind w:left="714" w:hanging="357"/>
        <w:contextualSpacing w:val="0"/>
        <w:jc w:val="both"/>
      </w:pPr>
      <w:r w:rsidRPr="009E2F90">
        <w:rPr>
          <w:b/>
          <w:i/>
        </w:rPr>
        <w:t>SZRB o 2</w:t>
      </w:r>
      <w:r w:rsidR="001C2B41" w:rsidRPr="009E2F90">
        <w:rPr>
          <w:b/>
          <w:i/>
        </w:rPr>
        <w:t>2</w:t>
      </w:r>
      <w:r w:rsidRPr="009E2F90">
        <w:rPr>
          <w:b/>
          <w:i/>
        </w:rPr>
        <w:t> </w:t>
      </w:r>
      <w:r w:rsidR="001C2B41" w:rsidRPr="009E2F90">
        <w:rPr>
          <w:b/>
          <w:i/>
        </w:rPr>
        <w:t>550</w:t>
      </w:r>
      <w:r w:rsidRPr="009E2F90">
        <w:rPr>
          <w:b/>
          <w:i/>
        </w:rPr>
        <w:t> tis. eur</w:t>
      </w:r>
      <w:r w:rsidRPr="009E2F90">
        <w:t xml:space="preserve"> -</w:t>
      </w:r>
      <w:r w:rsidR="009E2F90" w:rsidRPr="009E2F90">
        <w:t xml:space="preserve"> nižší</w:t>
      </w:r>
      <w:r w:rsidRPr="009E2F90">
        <w:t xml:space="preserve"> príjem z poplatkov za poskytnutie finančnej záruky a za poplatky spojené s úverovou činnosťou</w:t>
      </w:r>
      <w:r w:rsidR="009E2F90" w:rsidRPr="009E2F90">
        <w:t xml:space="preserve"> oproti predchádzajúcemu obdobiu</w:t>
      </w:r>
      <w:r w:rsidR="00A4343D">
        <w:t>.</w:t>
      </w:r>
    </w:p>
    <w:p w14:paraId="511BFB70" w14:textId="542D57A7" w:rsidR="00DC463D" w:rsidRDefault="00DC463D" w:rsidP="00A4343D">
      <w:pPr>
        <w:pStyle w:val="Odsekzoznamu"/>
        <w:numPr>
          <w:ilvl w:val="0"/>
          <w:numId w:val="11"/>
        </w:numPr>
        <w:spacing w:after="120"/>
        <w:ind w:left="714" w:hanging="357"/>
        <w:contextualSpacing w:val="0"/>
        <w:jc w:val="both"/>
      </w:pPr>
      <w:r w:rsidRPr="007D055D">
        <w:rPr>
          <w:b/>
          <w:i/>
        </w:rPr>
        <w:t>ŽSR o 32 534 tis. eur</w:t>
      </w:r>
      <w:r w:rsidRPr="007D055D">
        <w:t xml:space="preserve"> -</w:t>
      </w:r>
      <w:r w:rsidR="007D055D" w:rsidRPr="007D055D">
        <w:t xml:space="preserve"> pokles bol zapríčinený majoritne zníženými príjmami za el</w:t>
      </w:r>
      <w:r w:rsidR="007D055D">
        <w:t>ektrickú</w:t>
      </w:r>
      <w:r w:rsidR="007D055D" w:rsidRPr="007D055D">
        <w:t xml:space="preserve"> energiu z dôvodu nižšej predajnej/recipročne aj nákupnej/ ceny el</w:t>
      </w:r>
      <w:r w:rsidR="007D055D">
        <w:t>ektrickej</w:t>
      </w:r>
      <w:r w:rsidR="007D055D" w:rsidRPr="007D055D">
        <w:t xml:space="preserve"> energie</w:t>
      </w:r>
      <w:r w:rsidR="00A4343D">
        <w:t>.</w:t>
      </w:r>
    </w:p>
    <w:p w14:paraId="06230C99" w14:textId="5D4A6A33" w:rsidR="00F61B8F" w:rsidRDefault="00B51B16" w:rsidP="00F61B8F">
      <w:pPr>
        <w:spacing w:after="120" w:line="240" w:lineRule="auto"/>
        <w:jc w:val="both"/>
        <w:rPr>
          <w:szCs w:val="22"/>
        </w:rPr>
      </w:pPr>
      <w:r w:rsidRPr="00EE5AC6">
        <w:rPr>
          <w:szCs w:val="22"/>
        </w:rPr>
        <w:t xml:space="preserve">V roku 2024 v porovnaní s predchádzajúcim rokom </w:t>
      </w:r>
      <w:r w:rsidR="00F8601D" w:rsidRPr="00EE5AC6">
        <w:rPr>
          <w:szCs w:val="22"/>
        </w:rPr>
        <w:t>platby</w:t>
      </w:r>
      <w:r w:rsidR="00994629">
        <w:rPr>
          <w:szCs w:val="22"/>
        </w:rPr>
        <w:t xml:space="preserve"> </w:t>
      </w:r>
      <w:r w:rsidR="00F8601D" w:rsidRPr="00EE5AC6">
        <w:rPr>
          <w:szCs w:val="22"/>
        </w:rPr>
        <w:t xml:space="preserve">za </w:t>
      </w:r>
      <w:r w:rsidR="00F8601D" w:rsidRPr="00EE5AC6">
        <w:rPr>
          <w:szCs w:val="22"/>
          <w:u w:val="single"/>
        </w:rPr>
        <w:t>ostatnú netrhovú produkciu</w:t>
      </w:r>
      <w:r w:rsidR="00994629">
        <w:rPr>
          <w:szCs w:val="22"/>
          <w:u w:val="single"/>
        </w:rPr>
        <w:t xml:space="preserve"> </w:t>
      </w:r>
      <w:r w:rsidR="00994629" w:rsidRPr="00994629">
        <w:rPr>
          <w:szCs w:val="22"/>
        </w:rPr>
        <w:t>vo</w:t>
      </w:r>
      <w:r w:rsidR="00041EA0">
        <w:rPr>
          <w:szCs w:val="22"/>
        </w:rPr>
        <w:t> </w:t>
      </w:r>
      <w:r w:rsidR="00994629" w:rsidRPr="00994629">
        <w:rPr>
          <w:szCs w:val="22"/>
        </w:rPr>
        <w:t>výške</w:t>
      </w:r>
      <w:r w:rsidR="00994629">
        <w:rPr>
          <w:szCs w:val="22"/>
        </w:rPr>
        <w:t> </w:t>
      </w:r>
      <w:r w:rsidR="00994629" w:rsidRPr="00994629">
        <w:rPr>
          <w:szCs w:val="22"/>
        </w:rPr>
        <w:t>465</w:t>
      </w:r>
      <w:r w:rsidR="00994629">
        <w:rPr>
          <w:szCs w:val="22"/>
        </w:rPr>
        <w:t> </w:t>
      </w:r>
      <w:r w:rsidR="00994629" w:rsidRPr="00994629">
        <w:rPr>
          <w:szCs w:val="22"/>
        </w:rPr>
        <w:t>951</w:t>
      </w:r>
      <w:r w:rsidR="00994629">
        <w:rPr>
          <w:szCs w:val="22"/>
        </w:rPr>
        <w:t> tis.</w:t>
      </w:r>
      <w:r w:rsidR="009B70E1">
        <w:rPr>
          <w:szCs w:val="22"/>
        </w:rPr>
        <w:t> </w:t>
      </w:r>
      <w:r w:rsidR="00994629" w:rsidRPr="00994629">
        <w:rPr>
          <w:szCs w:val="22"/>
        </w:rPr>
        <w:t>eur</w:t>
      </w:r>
      <w:r w:rsidR="00F8601D" w:rsidRPr="00EE5AC6">
        <w:rPr>
          <w:szCs w:val="22"/>
        </w:rPr>
        <w:t xml:space="preserve"> </w:t>
      </w:r>
      <w:r w:rsidRPr="00EE5AC6">
        <w:rPr>
          <w:szCs w:val="22"/>
        </w:rPr>
        <w:t xml:space="preserve">poklesli </w:t>
      </w:r>
      <w:r w:rsidR="00F8601D" w:rsidRPr="00EE5AC6">
        <w:rPr>
          <w:szCs w:val="22"/>
        </w:rPr>
        <w:t>o </w:t>
      </w:r>
      <w:r w:rsidRPr="00EE5AC6">
        <w:rPr>
          <w:szCs w:val="22"/>
        </w:rPr>
        <w:t>0</w:t>
      </w:r>
      <w:r w:rsidR="00F8601D" w:rsidRPr="00EE5AC6">
        <w:rPr>
          <w:szCs w:val="22"/>
        </w:rPr>
        <w:t>,</w:t>
      </w:r>
      <w:r w:rsidRPr="00EE5AC6">
        <w:rPr>
          <w:szCs w:val="22"/>
        </w:rPr>
        <w:t>1</w:t>
      </w:r>
      <w:r w:rsidR="00F8601D" w:rsidRPr="00EE5AC6">
        <w:rPr>
          <w:szCs w:val="22"/>
        </w:rPr>
        <w:t> %</w:t>
      </w:r>
      <w:r w:rsidR="009B70E1">
        <w:rPr>
          <w:szCs w:val="22"/>
        </w:rPr>
        <w:t xml:space="preserve"> </w:t>
      </w:r>
      <w:r w:rsidR="00C3221A" w:rsidRPr="00EE5AC6">
        <w:rPr>
          <w:szCs w:val="22"/>
        </w:rPr>
        <w:t>HDP</w:t>
      </w:r>
      <w:r w:rsidR="00D724DF" w:rsidRPr="00EE5AC6">
        <w:rPr>
          <w:szCs w:val="22"/>
        </w:rPr>
        <w:t xml:space="preserve"> (pokles o 555 tis. eur)</w:t>
      </w:r>
      <w:r w:rsidR="00A4343D" w:rsidRPr="00EE5AC6">
        <w:rPr>
          <w:szCs w:val="22"/>
        </w:rPr>
        <w:t xml:space="preserve"> </w:t>
      </w:r>
      <w:r w:rsidR="00C3221A" w:rsidRPr="00EE5AC6">
        <w:rPr>
          <w:szCs w:val="22"/>
        </w:rPr>
        <w:t>a</w:t>
      </w:r>
      <w:r w:rsidR="00994629">
        <w:rPr>
          <w:szCs w:val="22"/>
        </w:rPr>
        <w:t xml:space="preserve"> boli </w:t>
      </w:r>
      <w:r w:rsidR="00C3221A" w:rsidRPr="00EE5AC6">
        <w:rPr>
          <w:szCs w:val="22"/>
        </w:rPr>
        <w:t xml:space="preserve">približne na úrovni minulého roka. Pozitívne a negatívne vplyvy </w:t>
      </w:r>
      <w:r w:rsidR="00F61B8F" w:rsidRPr="00EE5AC6">
        <w:rPr>
          <w:szCs w:val="22"/>
        </w:rPr>
        <w:t>bol</w:t>
      </w:r>
      <w:r w:rsidR="00C3221A" w:rsidRPr="00EE5AC6">
        <w:rPr>
          <w:szCs w:val="22"/>
        </w:rPr>
        <w:t>i približne v rovnakej výške</w:t>
      </w:r>
      <w:r w:rsidR="00F61B8F" w:rsidRPr="00EE5AC6">
        <w:rPr>
          <w:szCs w:val="22"/>
        </w:rPr>
        <w:t xml:space="preserve"> a vzájomne sa eliminovali.</w:t>
      </w:r>
      <w:r w:rsidR="00C3221A" w:rsidRPr="00EE5AC6">
        <w:rPr>
          <w:szCs w:val="22"/>
        </w:rPr>
        <w:t xml:space="preserve"> </w:t>
      </w:r>
      <w:r w:rsidR="00F61B8F" w:rsidRPr="00EE5AC6">
        <w:rPr>
          <w:szCs w:val="22"/>
        </w:rPr>
        <w:t>Na</w:t>
      </w:r>
      <w:r w:rsidR="009B70E1">
        <w:rPr>
          <w:szCs w:val="22"/>
        </w:rPr>
        <w:t> </w:t>
      </w:r>
      <w:r w:rsidR="00F61B8F" w:rsidRPr="00EE5AC6">
        <w:rPr>
          <w:szCs w:val="22"/>
        </w:rPr>
        <w:t>jednej strane i</w:t>
      </w:r>
      <w:r w:rsidR="00F8601D" w:rsidRPr="00EE5AC6">
        <w:rPr>
          <w:szCs w:val="22"/>
        </w:rPr>
        <w:t>šlo o</w:t>
      </w:r>
      <w:r w:rsidR="00F578F2" w:rsidRPr="00EE5AC6">
        <w:rPr>
          <w:szCs w:val="22"/>
        </w:rPr>
        <w:t> znížené</w:t>
      </w:r>
      <w:r w:rsidR="00F8601D" w:rsidRPr="00EE5AC6">
        <w:rPr>
          <w:szCs w:val="22"/>
        </w:rPr>
        <w:t xml:space="preserve"> príjmy</w:t>
      </w:r>
      <w:r w:rsidR="00F61B8F" w:rsidRPr="00EE5AC6">
        <w:rPr>
          <w:szCs w:val="22"/>
        </w:rPr>
        <w:t>:</w:t>
      </w:r>
      <w:r w:rsidR="00F61B8F">
        <w:rPr>
          <w:szCs w:val="22"/>
        </w:rPr>
        <w:t xml:space="preserve"> </w:t>
      </w:r>
    </w:p>
    <w:p w14:paraId="46271CAA" w14:textId="28B49F2C" w:rsidR="00F8601D" w:rsidRPr="00BF5078" w:rsidRDefault="00902EE6" w:rsidP="00F61B8F">
      <w:pPr>
        <w:pStyle w:val="Odsekzoznamu"/>
        <w:numPr>
          <w:ilvl w:val="0"/>
          <w:numId w:val="11"/>
        </w:numPr>
        <w:spacing w:after="120"/>
        <w:jc w:val="both"/>
      </w:pPr>
      <w:r w:rsidRPr="00F61B8F">
        <w:rPr>
          <w:b/>
          <w:i/>
        </w:rPr>
        <w:t>SVP</w:t>
      </w:r>
      <w:r w:rsidR="00F8601D" w:rsidRPr="00F61B8F">
        <w:rPr>
          <w:b/>
          <w:i/>
        </w:rPr>
        <w:t xml:space="preserve"> o </w:t>
      </w:r>
      <w:r w:rsidR="00F578F2" w:rsidRPr="00F61B8F">
        <w:rPr>
          <w:b/>
          <w:i/>
        </w:rPr>
        <w:t>39</w:t>
      </w:r>
      <w:r w:rsidR="00F8601D" w:rsidRPr="00F61B8F">
        <w:rPr>
          <w:b/>
          <w:i/>
        </w:rPr>
        <w:t> </w:t>
      </w:r>
      <w:r w:rsidR="00F578F2" w:rsidRPr="00F61B8F">
        <w:rPr>
          <w:b/>
          <w:i/>
        </w:rPr>
        <w:t>799</w:t>
      </w:r>
      <w:r w:rsidR="00F8601D" w:rsidRPr="00F61B8F">
        <w:rPr>
          <w:b/>
          <w:i/>
        </w:rPr>
        <w:t> tis. eur</w:t>
      </w:r>
      <w:r w:rsidRPr="00BF5078">
        <w:t xml:space="preserve"> - </w:t>
      </w:r>
      <w:r w:rsidR="00BF5078" w:rsidRPr="00BF5078">
        <w:t>pokles príjmov súvisel s medziročným poklesom pohľadávok prevažne z</w:t>
      </w:r>
      <w:r w:rsidR="00994629">
        <w:t> </w:t>
      </w:r>
      <w:r w:rsidR="00BF5078" w:rsidRPr="00BF5078">
        <w:t>obchodného styku hlavne u dvoch obchodných partnerov a medziročným poklesom iných pohľadávok</w:t>
      </w:r>
      <w:r w:rsidR="008C1901">
        <w:t>.</w:t>
      </w:r>
    </w:p>
    <w:p w14:paraId="3E66FC00" w14:textId="59F18DCF" w:rsidR="00F578F2" w:rsidRDefault="00D84133" w:rsidP="00360F3A">
      <w:pPr>
        <w:spacing w:after="120"/>
        <w:jc w:val="both"/>
      </w:pPr>
      <w:r>
        <w:t>Naopak</w:t>
      </w:r>
      <w:r w:rsidR="00F61B8F">
        <w:t>,</w:t>
      </w:r>
      <w:r w:rsidR="00C94506">
        <w:t xml:space="preserve"> tento pokles bol eliminovaný nárastom</w:t>
      </w:r>
      <w:r>
        <w:t xml:space="preserve"> príjmov najmä </w:t>
      </w:r>
      <w:r w:rsidR="00C94506">
        <w:t xml:space="preserve">u </w:t>
      </w:r>
      <w:r>
        <w:t>t</w:t>
      </w:r>
      <w:r w:rsidR="00C94506">
        <w:t>ýchto</w:t>
      </w:r>
      <w:r>
        <w:t xml:space="preserve"> subjekt</w:t>
      </w:r>
      <w:r w:rsidR="00C94506">
        <w:t>ov</w:t>
      </w:r>
      <w:r w:rsidRPr="001C2B41">
        <w:t>:</w:t>
      </w:r>
    </w:p>
    <w:p w14:paraId="257BA05B" w14:textId="152F5176" w:rsidR="00725004" w:rsidRPr="00725004" w:rsidRDefault="00C94506" w:rsidP="00A4343D">
      <w:pPr>
        <w:pStyle w:val="Odsekzoznamu"/>
        <w:numPr>
          <w:ilvl w:val="0"/>
          <w:numId w:val="11"/>
        </w:numPr>
        <w:spacing w:after="120"/>
        <w:ind w:left="714" w:hanging="357"/>
        <w:contextualSpacing w:val="0"/>
        <w:jc w:val="both"/>
      </w:pPr>
      <w:r w:rsidRPr="00F24A1A">
        <w:rPr>
          <w:b/>
          <w:i/>
        </w:rPr>
        <w:t>Štátne rozpočtové organizácie o 20 422 tis. eur</w:t>
      </w:r>
      <w:r w:rsidRPr="00F24A1A">
        <w:t xml:space="preserve"> -</w:t>
      </w:r>
      <w:r w:rsidR="00F24A1A" w:rsidRPr="00F24A1A">
        <w:t xml:space="preserve"> patria sem prijaté poplatky a platby za</w:t>
      </w:r>
      <w:r w:rsidR="009B70E1">
        <w:t> </w:t>
      </w:r>
      <w:r w:rsidR="00F24A1A" w:rsidRPr="00F24A1A">
        <w:t>tovary a poskytnuté služby, ktoré nie sú priemyselnej povahy a príjmy z predaja spojené s</w:t>
      </w:r>
      <w:r w:rsidR="009B70E1">
        <w:t> </w:t>
      </w:r>
      <w:r w:rsidR="00F24A1A" w:rsidRPr="00F24A1A">
        <w:t xml:space="preserve">obvyklými </w:t>
      </w:r>
      <w:r w:rsidR="00F24A1A" w:rsidRPr="00F24A1A">
        <w:lastRenderedPageBreak/>
        <w:t>sociálnymi a spoločenskými službami</w:t>
      </w:r>
      <w:r w:rsidR="00955BFD">
        <w:t>.</w:t>
      </w:r>
      <w:r w:rsidR="00F24A1A" w:rsidRPr="00F24A1A">
        <w:t xml:space="preserve"> </w:t>
      </w:r>
      <w:r w:rsidR="00955BFD" w:rsidRPr="00725004">
        <w:t>N</w:t>
      </w:r>
      <w:r w:rsidR="00F24A1A" w:rsidRPr="00725004">
        <w:t xml:space="preserve">árast nastal </w:t>
      </w:r>
      <w:r w:rsidR="00A4343D" w:rsidRPr="00725004">
        <w:t>z dôvodu</w:t>
      </w:r>
      <w:r w:rsidR="00F24A1A" w:rsidRPr="00725004">
        <w:t xml:space="preserve"> zmeny </w:t>
      </w:r>
      <w:r w:rsidR="00725004" w:rsidRPr="00725004">
        <w:t>minimálnej hodnoty príspevku na</w:t>
      </w:r>
      <w:r w:rsidR="009B70E1">
        <w:t> </w:t>
      </w:r>
      <w:r w:rsidR="00725004" w:rsidRPr="00725004">
        <w:t>stravovanie od 1.</w:t>
      </w:r>
      <w:r w:rsidR="009B70E1">
        <w:t> </w:t>
      </w:r>
      <w:r w:rsidR="00725004" w:rsidRPr="00725004">
        <w:t>apríla</w:t>
      </w:r>
      <w:r w:rsidR="009B70E1">
        <w:t> </w:t>
      </w:r>
      <w:r w:rsidR="00725004" w:rsidRPr="00725004">
        <w:t>2025 čo ovplyvnilo kalkuláciu výdavkov na stravovanie v zmysle novelizovaného zákona č.</w:t>
      </w:r>
      <w:r w:rsidR="009B70E1">
        <w:t> </w:t>
      </w:r>
      <w:r w:rsidR="00725004" w:rsidRPr="00725004">
        <w:t>311/2001</w:t>
      </w:r>
      <w:r w:rsidR="009B70E1">
        <w:t> </w:t>
      </w:r>
      <w:r w:rsidR="00725004" w:rsidRPr="00725004">
        <w:t>Z.</w:t>
      </w:r>
      <w:r w:rsidR="009B70E1">
        <w:t> </w:t>
      </w:r>
      <w:r w:rsidR="00725004" w:rsidRPr="00725004">
        <w:t>z. - Zákonníka práce.</w:t>
      </w:r>
    </w:p>
    <w:p w14:paraId="6536BA0C" w14:textId="77777777" w:rsidR="002851E5" w:rsidRDefault="00C94506" w:rsidP="002851E5">
      <w:pPr>
        <w:pStyle w:val="Odsekzoznamu"/>
        <w:numPr>
          <w:ilvl w:val="0"/>
          <w:numId w:val="11"/>
        </w:numPr>
        <w:spacing w:after="120"/>
        <w:ind w:left="714" w:hanging="357"/>
        <w:contextualSpacing w:val="0"/>
        <w:jc w:val="both"/>
      </w:pPr>
      <w:r w:rsidRPr="006A2B7F">
        <w:rPr>
          <w:b/>
          <w:i/>
        </w:rPr>
        <w:t>Obce a ich RO o 11 421 tis. eur</w:t>
      </w:r>
      <w:r w:rsidRPr="006A2B7F">
        <w:t xml:space="preserve"> – došlo k nárastu príjmov za poplatky vyberané formou školného v školských kluboch detí, v materských školách, v základných umeleckých školách a v centrách voľného času, ktoré sú stanovené vo všeobecne záväzných nariadeniach miest a obcí. Medziročne narástli aj príjmy z poplatkov v domovoch dôchodcov a v kultúrnych zariadeniach.</w:t>
      </w:r>
    </w:p>
    <w:p w14:paraId="5A0CABE4" w14:textId="41347F01" w:rsidR="00F10FFA" w:rsidRDefault="00F10FFA" w:rsidP="002851E5">
      <w:pPr>
        <w:spacing w:after="120" w:line="240" w:lineRule="auto"/>
        <w:jc w:val="both"/>
      </w:pPr>
      <w:r w:rsidRPr="002851E5">
        <w:rPr>
          <w:u w:val="single"/>
        </w:rPr>
        <w:t>ESA príjmy z dividend</w:t>
      </w:r>
      <w:r w:rsidRPr="002851E5">
        <w:t xml:space="preserve"> ako hlavný zdroj nedaňových príjmov štátneho rozpočtu nezaznamenali za sledované obdobie stabilný vývoj (graf). Dôvodom tejto nestability bol hlavne vývojový trend v energetickom odvetví národného hospodárstva, v ktorom sa generuje majoritný podiel dividend (v priemere 85,2</w:t>
      </w:r>
      <w:r w:rsidR="009B70E1">
        <w:t> </w:t>
      </w:r>
      <w:r w:rsidRPr="002851E5">
        <w:t>%). Vývoji ESA príjmov z dividend nevykazuje počas sledovaného obdobia stabilný trend podielu ESA dividend vo vzťahu k celkovým príjmom z dividend (rast v roku 2023 na 94,0</w:t>
      </w:r>
      <w:r w:rsidR="009B70E1">
        <w:t> </w:t>
      </w:r>
      <w:r w:rsidRPr="002851E5">
        <w:t>%, ale aj pokles na</w:t>
      </w:r>
      <w:r w:rsidR="009B70E1">
        <w:t> </w:t>
      </w:r>
      <w:r w:rsidRPr="002851E5">
        <w:t>73,0 % v roku 2024). Napriek tejto skutočnosti, sa v absolútnom vyjadrení hodnota ESA dividendy každý rok zvyšovala, čo je výsledkom vyplatených dividend energetickými podnikmi.</w:t>
      </w:r>
    </w:p>
    <w:p w14:paraId="213C34B6" w14:textId="511BE86B" w:rsidR="005C63E5" w:rsidRPr="00A4343D" w:rsidRDefault="005C63E5" w:rsidP="00D162A9">
      <w:pPr>
        <w:pStyle w:val="Popis"/>
      </w:pPr>
      <w:bookmarkStart w:id="35" w:name="_Ref180132925"/>
      <w:bookmarkStart w:id="36" w:name="_Ref180132914"/>
      <w:r w:rsidRPr="00A4343D">
        <w:t xml:space="preserve">Graf </w:t>
      </w:r>
      <w:r w:rsidR="00CA4B84">
        <w:fldChar w:fldCharType="begin"/>
      </w:r>
      <w:r w:rsidR="00CA4B84">
        <w:instrText xml:space="preserve"> SEQ Graf \* ARABIC </w:instrText>
      </w:r>
      <w:r w:rsidR="00CA4B84">
        <w:fldChar w:fldCharType="separate"/>
      </w:r>
      <w:r w:rsidR="00CA4B84">
        <w:rPr>
          <w:noProof/>
        </w:rPr>
        <w:t>1</w:t>
      </w:r>
      <w:r w:rsidR="00CA4B84">
        <w:rPr>
          <w:noProof/>
        </w:rPr>
        <w:fldChar w:fldCharType="end"/>
      </w:r>
      <w:bookmarkEnd w:id="35"/>
      <w:r w:rsidRPr="00A4343D">
        <w:t xml:space="preserve"> - Vývoj dividend v metodike ESA 2010</w:t>
      </w:r>
      <w:bookmarkEnd w:id="36"/>
    </w:p>
    <w:p w14:paraId="332B2C5C" w14:textId="77777777" w:rsidR="00F10FFA" w:rsidRPr="00892D75" w:rsidRDefault="00F10FFA" w:rsidP="00F10FFA">
      <w:pPr>
        <w:spacing w:line="336" w:lineRule="auto"/>
        <w:jc w:val="center"/>
        <w:rPr>
          <w:color w:val="FF0000"/>
          <w:szCs w:val="22"/>
        </w:rPr>
      </w:pPr>
      <w:r>
        <w:rPr>
          <w:noProof/>
          <w:color w:val="FF0000"/>
          <w:szCs w:val="22"/>
        </w:rPr>
        <w:drawing>
          <wp:inline distT="0" distB="0" distL="0" distR="0" wp14:anchorId="15A7D11C" wp14:editId="4F0E0666">
            <wp:extent cx="3830128" cy="2328512"/>
            <wp:effectExtent l="0" t="0" r="0" b="0"/>
            <wp:docPr id="134180472" name="Obrázok 1" descr="Obrázok, na ktorom je text, snímka obrazovky, diagram, písmo&#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0472" name="Obrázok 1" descr="Obrázok, na ktorom je text, snímka obrazovky, diagram, písmo&#10;&#10;Obsah vygenerovaný pomocou AI môže byť nesprávn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6198" cy="2338282"/>
                    </a:xfrm>
                    <a:prstGeom prst="rect">
                      <a:avLst/>
                    </a:prstGeom>
                    <a:noFill/>
                  </pic:spPr>
                </pic:pic>
              </a:graphicData>
            </a:graphic>
          </wp:inline>
        </w:drawing>
      </w:r>
    </w:p>
    <w:p w14:paraId="64F3D21B" w14:textId="5A882C10" w:rsidR="00496433" w:rsidRDefault="00F10FFA" w:rsidP="001145AB">
      <w:pPr>
        <w:spacing w:after="120" w:line="240" w:lineRule="auto"/>
        <w:jc w:val="both"/>
        <w:rPr>
          <w:szCs w:val="22"/>
        </w:rPr>
      </w:pPr>
      <w:r w:rsidRPr="00B159DD">
        <w:rPr>
          <w:szCs w:val="22"/>
        </w:rPr>
        <w:t>Medziročná zmena objemu prijatých dividend štátom a MH Manažmentom, a.</w:t>
      </w:r>
      <w:r w:rsidR="009B70E1">
        <w:rPr>
          <w:szCs w:val="22"/>
        </w:rPr>
        <w:t> </w:t>
      </w:r>
      <w:r w:rsidRPr="00B159DD">
        <w:rPr>
          <w:szCs w:val="22"/>
        </w:rPr>
        <w:t>s. (rast o</w:t>
      </w:r>
      <w:r w:rsidR="000851CB">
        <w:rPr>
          <w:szCs w:val="22"/>
        </w:rPr>
        <w:t> </w:t>
      </w:r>
      <w:r w:rsidRPr="00B159DD">
        <w:rPr>
          <w:szCs w:val="22"/>
        </w:rPr>
        <w:t>138</w:t>
      </w:r>
      <w:r w:rsidR="000851CB">
        <w:rPr>
          <w:szCs w:val="22"/>
        </w:rPr>
        <w:t> </w:t>
      </w:r>
      <w:r>
        <w:rPr>
          <w:szCs w:val="22"/>
        </w:rPr>
        <w:t>074</w:t>
      </w:r>
      <w:r w:rsidRPr="00B159DD">
        <w:rPr>
          <w:szCs w:val="22"/>
        </w:rPr>
        <w:t> tis. eur) pozostávala predovšetkým z rastu hodnoty superdividend, ktorý zaznamenal takmer 5,0</w:t>
      </w:r>
      <w:r w:rsidR="009B70E1">
        <w:rPr>
          <w:szCs w:val="22"/>
        </w:rPr>
        <w:t> </w:t>
      </w:r>
      <w:r w:rsidRPr="00B159DD">
        <w:rPr>
          <w:szCs w:val="22"/>
        </w:rPr>
        <w:t>násobné zvýšenie (127</w:t>
      </w:r>
      <w:r w:rsidR="000851CB">
        <w:rPr>
          <w:szCs w:val="22"/>
        </w:rPr>
        <w:t> </w:t>
      </w:r>
      <w:r w:rsidRPr="00B159DD">
        <w:rPr>
          <w:szCs w:val="22"/>
        </w:rPr>
        <w:t>851</w:t>
      </w:r>
      <w:r w:rsidR="000851CB">
        <w:rPr>
          <w:szCs w:val="22"/>
        </w:rPr>
        <w:t> </w:t>
      </w:r>
      <w:r w:rsidRPr="00B159DD">
        <w:rPr>
          <w:szCs w:val="22"/>
        </w:rPr>
        <w:t>tis. eur) a zároveň z rastu  ESA dividend o 2,6 % (10</w:t>
      </w:r>
      <w:r w:rsidR="000851CB">
        <w:rPr>
          <w:szCs w:val="22"/>
        </w:rPr>
        <w:t> </w:t>
      </w:r>
      <w:r>
        <w:rPr>
          <w:szCs w:val="22"/>
        </w:rPr>
        <w:t>223</w:t>
      </w:r>
      <w:r w:rsidRPr="00B159DD">
        <w:rPr>
          <w:szCs w:val="22"/>
        </w:rPr>
        <w:t> tis. eur). Medziročný rast zaznamenaný na</w:t>
      </w:r>
      <w:r w:rsidR="009B70E1">
        <w:rPr>
          <w:szCs w:val="22"/>
        </w:rPr>
        <w:t> </w:t>
      </w:r>
      <w:r w:rsidRPr="00B159DD">
        <w:rPr>
          <w:szCs w:val="22"/>
        </w:rPr>
        <w:t>položke superdividend bol vo výške </w:t>
      </w:r>
      <w:r w:rsidRPr="000851CB">
        <w:t>127</w:t>
      </w:r>
      <w:r w:rsidR="000851CB">
        <w:t> </w:t>
      </w:r>
      <w:r w:rsidRPr="000851CB">
        <w:t>851</w:t>
      </w:r>
      <w:r w:rsidRPr="00B159DD">
        <w:rPr>
          <w:szCs w:val="22"/>
        </w:rPr>
        <w:t> tis.</w:t>
      </w:r>
      <w:r w:rsidR="009B70E1">
        <w:rPr>
          <w:szCs w:val="22"/>
        </w:rPr>
        <w:t> </w:t>
      </w:r>
      <w:r w:rsidRPr="00B159DD">
        <w:rPr>
          <w:szCs w:val="22"/>
        </w:rPr>
        <w:t>eur, pričom podiel superdividend na celkovom objeme prijatých dividend sa zvýšil (zo 6,0</w:t>
      </w:r>
      <w:r w:rsidR="009B70E1">
        <w:rPr>
          <w:szCs w:val="22"/>
        </w:rPr>
        <w:t> </w:t>
      </w:r>
      <w:r w:rsidRPr="00B159DD">
        <w:rPr>
          <w:szCs w:val="22"/>
        </w:rPr>
        <w:t>% v roku 2023 na</w:t>
      </w:r>
      <w:r w:rsidR="009B70E1">
        <w:rPr>
          <w:szCs w:val="22"/>
        </w:rPr>
        <w:t> </w:t>
      </w:r>
      <w:r w:rsidRPr="00B159DD">
        <w:rPr>
          <w:szCs w:val="22"/>
        </w:rPr>
        <w:t>27,0 % v roku 2024). </w:t>
      </w:r>
    </w:p>
    <w:p w14:paraId="48132640" w14:textId="28F50BFA" w:rsidR="001145AB" w:rsidRDefault="00F10FFA" w:rsidP="001145AB">
      <w:pPr>
        <w:spacing w:after="120" w:line="240" w:lineRule="auto"/>
        <w:jc w:val="both"/>
        <w:rPr>
          <w:szCs w:val="22"/>
        </w:rPr>
      </w:pPr>
      <w:r w:rsidRPr="00B159DD">
        <w:rPr>
          <w:szCs w:val="22"/>
        </w:rPr>
        <w:t>Medziročný rast superdividend bol zaznamenaný pri SPP, ktoré v roku 2024 priznalo dividendy</w:t>
      </w:r>
      <w:r>
        <w:rPr>
          <w:szCs w:val="22"/>
        </w:rPr>
        <w:t xml:space="preserve"> </w:t>
      </w:r>
      <w:r w:rsidRPr="00B159DD">
        <w:rPr>
          <w:szCs w:val="22"/>
        </w:rPr>
        <w:t>štrukturálne zahŕňa</w:t>
      </w:r>
      <w:r>
        <w:rPr>
          <w:szCs w:val="22"/>
        </w:rPr>
        <w:t>júce</w:t>
      </w:r>
      <w:r w:rsidRPr="00B159DD">
        <w:rPr>
          <w:szCs w:val="22"/>
        </w:rPr>
        <w:t xml:space="preserve"> dividendy vyplatené z dcérskej spoločnosti SPP Infrastructure,</w:t>
      </w:r>
      <w:r w:rsidR="009B70E1">
        <w:rPr>
          <w:szCs w:val="22"/>
        </w:rPr>
        <w:t> </w:t>
      </w:r>
      <w:r w:rsidRPr="00B159DD">
        <w:rPr>
          <w:szCs w:val="22"/>
        </w:rPr>
        <w:t>a.</w:t>
      </w:r>
      <w:r w:rsidR="009B70E1">
        <w:rPr>
          <w:szCs w:val="22"/>
        </w:rPr>
        <w:t> </w:t>
      </w:r>
      <w:r w:rsidRPr="00B159DD">
        <w:rPr>
          <w:szCs w:val="22"/>
        </w:rPr>
        <w:t>s. za dve účtovné obdobia. Celkový rast superdividend čiastočne zmiernil pokles superdividend priznaných Tipos,</w:t>
      </w:r>
      <w:r w:rsidR="009B70E1">
        <w:rPr>
          <w:szCs w:val="22"/>
        </w:rPr>
        <w:t> </w:t>
      </w:r>
      <w:r w:rsidRPr="00B159DD">
        <w:rPr>
          <w:szCs w:val="22"/>
        </w:rPr>
        <w:t>a.</w:t>
      </w:r>
      <w:r w:rsidR="009B70E1">
        <w:rPr>
          <w:szCs w:val="22"/>
        </w:rPr>
        <w:t> </w:t>
      </w:r>
      <w:r w:rsidRPr="00B159DD">
        <w:rPr>
          <w:szCs w:val="22"/>
        </w:rPr>
        <w:t>s. (vo</w:t>
      </w:r>
      <w:r w:rsidR="009B70E1">
        <w:rPr>
          <w:szCs w:val="22"/>
        </w:rPr>
        <w:t> </w:t>
      </w:r>
      <w:r w:rsidRPr="00B159DD">
        <w:rPr>
          <w:szCs w:val="22"/>
        </w:rPr>
        <w:t>výške 24</w:t>
      </w:r>
      <w:r w:rsidR="000851CB">
        <w:rPr>
          <w:szCs w:val="22"/>
        </w:rPr>
        <w:t> </w:t>
      </w:r>
      <w:r w:rsidRPr="00B159DD">
        <w:rPr>
          <w:szCs w:val="22"/>
        </w:rPr>
        <w:t>297</w:t>
      </w:r>
      <w:r w:rsidR="000851CB">
        <w:rPr>
          <w:szCs w:val="22"/>
        </w:rPr>
        <w:t> </w:t>
      </w:r>
      <w:r w:rsidRPr="00B159DD">
        <w:rPr>
          <w:szCs w:val="22"/>
        </w:rPr>
        <w:t>tis.</w:t>
      </w:r>
      <w:r w:rsidR="000851CB">
        <w:rPr>
          <w:szCs w:val="22"/>
        </w:rPr>
        <w:t> </w:t>
      </w:r>
      <w:r w:rsidRPr="00B159DD">
        <w:rPr>
          <w:szCs w:val="22"/>
        </w:rPr>
        <w:t>eur), z dôvodu absencie dividendy aj z nerozdeleného zisku minulých období priznanej v roku 2023.</w:t>
      </w:r>
    </w:p>
    <w:p w14:paraId="7DE8DE48" w14:textId="5A4C4272" w:rsidR="00496433" w:rsidRDefault="00F10FFA" w:rsidP="00700315">
      <w:pPr>
        <w:spacing w:after="120" w:line="240" w:lineRule="auto"/>
        <w:jc w:val="both"/>
      </w:pPr>
      <w:r w:rsidRPr="00B159DD">
        <w:rPr>
          <w:szCs w:val="22"/>
        </w:rPr>
        <w:t>Pozitívna medziročná zmena v objeme ESA</w:t>
      </w:r>
      <w:r w:rsidR="009B70E1">
        <w:rPr>
          <w:szCs w:val="22"/>
        </w:rPr>
        <w:t> </w:t>
      </w:r>
      <w:r w:rsidRPr="00B159DD">
        <w:rPr>
          <w:szCs w:val="22"/>
        </w:rPr>
        <w:t>dividend v roku 2024 (vo výške 10</w:t>
      </w:r>
      <w:r w:rsidR="00B74718">
        <w:rPr>
          <w:szCs w:val="22"/>
        </w:rPr>
        <w:t> </w:t>
      </w:r>
      <w:r>
        <w:rPr>
          <w:szCs w:val="22"/>
        </w:rPr>
        <w:t>223</w:t>
      </w:r>
      <w:r w:rsidR="00B74718">
        <w:rPr>
          <w:szCs w:val="22"/>
        </w:rPr>
        <w:t> </w:t>
      </w:r>
      <w:r>
        <w:rPr>
          <w:szCs w:val="22"/>
        </w:rPr>
        <w:t>tis</w:t>
      </w:r>
      <w:r w:rsidRPr="00B159DD">
        <w:rPr>
          <w:szCs w:val="22"/>
        </w:rPr>
        <w:t>.</w:t>
      </w:r>
      <w:r w:rsidR="00B74718">
        <w:rPr>
          <w:szCs w:val="22"/>
        </w:rPr>
        <w:t> </w:t>
      </w:r>
      <w:r w:rsidRPr="00B159DD">
        <w:rPr>
          <w:szCs w:val="22"/>
        </w:rPr>
        <w:t xml:space="preserve">eur) bola </w:t>
      </w:r>
      <w:r w:rsidRPr="007C4524">
        <w:rPr>
          <w:szCs w:val="22"/>
        </w:rPr>
        <w:t>výsledkom SPP, ktorý v roku 2024 priznal celkovú dividendu vo výške 29</w:t>
      </w:r>
      <w:r>
        <w:rPr>
          <w:szCs w:val="22"/>
        </w:rPr>
        <w:t>0</w:t>
      </w:r>
      <w:r w:rsidR="001145AB">
        <w:rPr>
          <w:szCs w:val="22"/>
        </w:rPr>
        <w:t> </w:t>
      </w:r>
      <w:r w:rsidRPr="007C4524">
        <w:rPr>
          <w:szCs w:val="22"/>
        </w:rPr>
        <w:t>306</w:t>
      </w:r>
      <w:r w:rsidR="001145AB">
        <w:rPr>
          <w:szCs w:val="22"/>
        </w:rPr>
        <w:t> </w:t>
      </w:r>
      <w:r w:rsidRPr="007C4524">
        <w:rPr>
          <w:szCs w:val="22"/>
        </w:rPr>
        <w:t>tis.</w:t>
      </w:r>
      <w:r w:rsidR="001145AB">
        <w:rPr>
          <w:szCs w:val="22"/>
        </w:rPr>
        <w:t> </w:t>
      </w:r>
      <w:r w:rsidRPr="007C4524">
        <w:rPr>
          <w:szCs w:val="22"/>
        </w:rPr>
        <w:t>eur, pričom za ESA príjem bol uznaný vo výške 143</w:t>
      </w:r>
      <w:r w:rsidR="00B74718">
        <w:rPr>
          <w:szCs w:val="22"/>
        </w:rPr>
        <w:t> </w:t>
      </w:r>
      <w:r w:rsidRPr="007C4524">
        <w:rPr>
          <w:szCs w:val="22"/>
        </w:rPr>
        <w:t>050</w:t>
      </w:r>
      <w:r w:rsidR="00B74718">
        <w:rPr>
          <w:szCs w:val="22"/>
        </w:rPr>
        <w:t> </w:t>
      </w:r>
      <w:r>
        <w:rPr>
          <w:szCs w:val="22"/>
        </w:rPr>
        <w:t>tis</w:t>
      </w:r>
      <w:r w:rsidRPr="007C4524">
        <w:rPr>
          <w:szCs w:val="22"/>
        </w:rPr>
        <w:t>.</w:t>
      </w:r>
      <w:r w:rsidR="00B74718">
        <w:rPr>
          <w:szCs w:val="22"/>
        </w:rPr>
        <w:t> </w:t>
      </w:r>
      <w:r w:rsidRPr="007C4524">
        <w:rPr>
          <w:szCs w:val="22"/>
        </w:rPr>
        <w:t xml:space="preserve">eur (v roku 2023 nevyplácal dividendu). Súčasne aj priznané dividendy spoločnosťou ZSE </w:t>
      </w:r>
      <w:r>
        <w:rPr>
          <w:szCs w:val="22"/>
        </w:rPr>
        <w:t>vyššie o 16</w:t>
      </w:r>
      <w:r w:rsidR="00B74718">
        <w:rPr>
          <w:szCs w:val="22"/>
        </w:rPr>
        <w:t> </w:t>
      </w:r>
      <w:r>
        <w:rPr>
          <w:szCs w:val="22"/>
        </w:rPr>
        <w:t>745</w:t>
      </w:r>
      <w:r w:rsidR="00B74718">
        <w:rPr>
          <w:szCs w:val="22"/>
        </w:rPr>
        <w:t> </w:t>
      </w:r>
      <w:r w:rsidRPr="007C4524">
        <w:rPr>
          <w:szCs w:val="22"/>
        </w:rPr>
        <w:t>tis.</w:t>
      </w:r>
      <w:r w:rsidR="00B74718">
        <w:rPr>
          <w:szCs w:val="22"/>
        </w:rPr>
        <w:t> </w:t>
      </w:r>
      <w:r w:rsidRPr="007C4524">
        <w:rPr>
          <w:szCs w:val="22"/>
        </w:rPr>
        <w:t>eur</w:t>
      </w:r>
      <w:r>
        <w:rPr>
          <w:szCs w:val="22"/>
        </w:rPr>
        <w:t xml:space="preserve"> (vplyv zrealizovaných zmien v Skupine v roku 2023)</w:t>
      </w:r>
      <w:r w:rsidRPr="007C4524">
        <w:rPr>
          <w:szCs w:val="22"/>
        </w:rPr>
        <w:t xml:space="preserve">, </w:t>
      </w:r>
      <w:r>
        <w:rPr>
          <w:szCs w:val="22"/>
        </w:rPr>
        <w:t xml:space="preserve">z čoho rast </w:t>
      </w:r>
      <w:r w:rsidRPr="007C4524">
        <w:rPr>
          <w:szCs w:val="22"/>
        </w:rPr>
        <w:t>vo</w:t>
      </w:r>
      <w:r w:rsidR="009B70E1">
        <w:rPr>
          <w:szCs w:val="22"/>
        </w:rPr>
        <w:t> </w:t>
      </w:r>
      <w:r w:rsidRPr="007C4524">
        <w:rPr>
          <w:szCs w:val="22"/>
        </w:rPr>
        <w:t xml:space="preserve">výške </w:t>
      </w:r>
      <w:r>
        <w:rPr>
          <w:szCs w:val="22"/>
        </w:rPr>
        <w:t>15</w:t>
      </w:r>
      <w:r w:rsidR="00B74718">
        <w:rPr>
          <w:szCs w:val="22"/>
        </w:rPr>
        <w:t> </w:t>
      </w:r>
      <w:r>
        <w:rPr>
          <w:szCs w:val="22"/>
        </w:rPr>
        <w:t>211</w:t>
      </w:r>
      <w:r w:rsidR="00B74718">
        <w:rPr>
          <w:szCs w:val="22"/>
        </w:rPr>
        <w:t> </w:t>
      </w:r>
      <w:r>
        <w:rPr>
          <w:szCs w:val="22"/>
        </w:rPr>
        <w:t>tis.</w:t>
      </w:r>
      <w:r w:rsidR="00B74718">
        <w:rPr>
          <w:szCs w:val="22"/>
        </w:rPr>
        <w:t> </w:t>
      </w:r>
      <w:r>
        <w:rPr>
          <w:szCs w:val="22"/>
        </w:rPr>
        <w:t>eur</w:t>
      </w:r>
      <w:r w:rsidRPr="007C4524">
        <w:rPr>
          <w:szCs w:val="22"/>
        </w:rPr>
        <w:t xml:space="preserve"> uznan</w:t>
      </w:r>
      <w:r>
        <w:rPr>
          <w:szCs w:val="22"/>
        </w:rPr>
        <w:t>ý</w:t>
      </w:r>
      <w:r w:rsidRPr="007C4524">
        <w:rPr>
          <w:szCs w:val="22"/>
        </w:rPr>
        <w:t xml:space="preserve"> za</w:t>
      </w:r>
      <w:r>
        <w:rPr>
          <w:szCs w:val="22"/>
        </w:rPr>
        <w:t xml:space="preserve"> rast</w:t>
      </w:r>
      <w:r w:rsidRPr="007C4524">
        <w:rPr>
          <w:szCs w:val="22"/>
        </w:rPr>
        <w:t xml:space="preserve"> ESA</w:t>
      </w:r>
      <w:r w:rsidR="009B70E1">
        <w:rPr>
          <w:szCs w:val="22"/>
        </w:rPr>
        <w:t> </w:t>
      </w:r>
      <w:r w:rsidRPr="007C4524">
        <w:rPr>
          <w:szCs w:val="22"/>
        </w:rPr>
        <w:t>dividendy. Celkový rast ESA</w:t>
      </w:r>
      <w:r w:rsidR="009B70E1">
        <w:rPr>
          <w:szCs w:val="22"/>
        </w:rPr>
        <w:t> </w:t>
      </w:r>
      <w:r w:rsidRPr="007C4524">
        <w:rPr>
          <w:szCs w:val="22"/>
        </w:rPr>
        <w:t>dividend čiastočne zmiernil nižší objem priznaného objemu podielu na zisku podnikom Vodohospodárska výstavby,</w:t>
      </w:r>
      <w:r w:rsidR="009B70E1">
        <w:rPr>
          <w:szCs w:val="22"/>
        </w:rPr>
        <w:t> </w:t>
      </w:r>
      <w:r w:rsidRPr="007C4524">
        <w:rPr>
          <w:szCs w:val="22"/>
        </w:rPr>
        <w:t>š.</w:t>
      </w:r>
      <w:r w:rsidR="009B70E1">
        <w:rPr>
          <w:szCs w:val="22"/>
        </w:rPr>
        <w:t> </w:t>
      </w:r>
      <w:r w:rsidRPr="007C4524">
        <w:rPr>
          <w:szCs w:val="22"/>
        </w:rPr>
        <w:t>p. (nižší o 50</w:t>
      </w:r>
      <w:r w:rsidR="00B74718">
        <w:rPr>
          <w:szCs w:val="22"/>
        </w:rPr>
        <w:t> </w:t>
      </w:r>
      <w:r w:rsidRPr="007C4524">
        <w:rPr>
          <w:szCs w:val="22"/>
        </w:rPr>
        <w:t>682</w:t>
      </w:r>
      <w:r w:rsidR="00B74718">
        <w:rPr>
          <w:szCs w:val="22"/>
        </w:rPr>
        <w:t> </w:t>
      </w:r>
      <w:r w:rsidRPr="007C4524">
        <w:rPr>
          <w:szCs w:val="22"/>
        </w:rPr>
        <w:t>tis.</w:t>
      </w:r>
      <w:r w:rsidR="00B74718">
        <w:rPr>
          <w:szCs w:val="22"/>
        </w:rPr>
        <w:t> </w:t>
      </w:r>
      <w:r w:rsidRPr="007C4524">
        <w:rPr>
          <w:szCs w:val="22"/>
        </w:rPr>
        <w:t>eur).</w:t>
      </w:r>
      <w:r w:rsidR="00496433">
        <w:rPr>
          <w:b/>
          <w:iCs/>
        </w:rPr>
        <w:br w:type="page"/>
      </w:r>
    </w:p>
    <w:p w14:paraId="1E452858" w14:textId="1BBBC73E" w:rsidR="001068B4" w:rsidRDefault="001068B4" w:rsidP="00D162A9">
      <w:pPr>
        <w:pStyle w:val="Popis"/>
      </w:pPr>
      <w:bookmarkStart w:id="37" w:name="_Toc212124632"/>
      <w:r>
        <w:lastRenderedPageBreak/>
        <w:t xml:space="preserve">Tabuľka </w:t>
      </w:r>
      <w:r w:rsidR="00CA4B84">
        <w:fldChar w:fldCharType="begin"/>
      </w:r>
      <w:r w:rsidR="00CA4B84">
        <w:instrText xml:space="preserve"> SEQ Tabuľka \* ARABIC </w:instrText>
      </w:r>
      <w:r w:rsidR="00CA4B84">
        <w:fldChar w:fldCharType="separate"/>
      </w:r>
      <w:r w:rsidR="00076866">
        <w:rPr>
          <w:noProof/>
        </w:rPr>
        <w:t>11</w:t>
      </w:r>
      <w:r w:rsidR="00CA4B84">
        <w:rPr>
          <w:noProof/>
        </w:rPr>
        <w:fldChar w:fldCharType="end"/>
      </w:r>
      <w:r>
        <w:t xml:space="preserve"> - </w:t>
      </w:r>
      <w:r w:rsidRPr="009908B1">
        <w:t>Prehľad významných príjmov z dividend</w:t>
      </w:r>
      <w:r>
        <w:t xml:space="preserve"> (v tis. eur)</w:t>
      </w:r>
      <w:bookmarkEnd w:id="37"/>
    </w:p>
    <w:tbl>
      <w:tblPr>
        <w:tblW w:w="5000" w:type="pct"/>
        <w:tblCellMar>
          <w:left w:w="70" w:type="dxa"/>
          <w:right w:w="70" w:type="dxa"/>
        </w:tblCellMar>
        <w:tblLook w:val="04A0" w:firstRow="1" w:lastRow="0" w:firstColumn="1" w:lastColumn="0" w:noHBand="0" w:noVBand="1"/>
      </w:tblPr>
      <w:tblGrid>
        <w:gridCol w:w="4369"/>
        <w:gridCol w:w="706"/>
        <w:gridCol w:w="1056"/>
        <w:gridCol w:w="1138"/>
        <w:gridCol w:w="1014"/>
        <w:gridCol w:w="1212"/>
      </w:tblGrid>
      <w:tr w:rsidR="003511D3" w:rsidRPr="00AA658F" w14:paraId="2A581259" w14:textId="77777777" w:rsidTr="00AA658F">
        <w:trPr>
          <w:trHeight w:val="300"/>
          <w:tblHeader/>
        </w:trPr>
        <w:tc>
          <w:tcPr>
            <w:tcW w:w="2301" w:type="pct"/>
            <w:tcBorders>
              <w:top w:val="single" w:sz="4" w:space="0" w:color="auto"/>
              <w:bottom w:val="single" w:sz="4" w:space="0" w:color="auto"/>
              <w:right w:val="nil"/>
            </w:tcBorders>
            <w:noWrap/>
            <w:vAlign w:val="center"/>
          </w:tcPr>
          <w:p w14:paraId="1B58DAF3" w14:textId="77777777" w:rsidR="003511D3" w:rsidRPr="00AA658F" w:rsidRDefault="003511D3" w:rsidP="005019EB">
            <w:pPr>
              <w:spacing w:after="0" w:line="240" w:lineRule="auto"/>
              <w:rPr>
                <w:bCs/>
                <w:color w:val="000000"/>
                <w:sz w:val="18"/>
                <w:szCs w:val="18"/>
                <w:lang w:eastAsia="sk-SK"/>
              </w:rPr>
            </w:pPr>
            <w:r w:rsidRPr="00AA658F">
              <w:rPr>
                <w:bCs/>
                <w:sz w:val="18"/>
                <w:szCs w:val="18"/>
                <w:lang w:eastAsia="sk-SK"/>
              </w:rPr>
              <w:t>Kapitola štátneho rozpočtu / spoločnosť</w:t>
            </w:r>
          </w:p>
        </w:tc>
        <w:tc>
          <w:tcPr>
            <w:tcW w:w="372" w:type="pct"/>
            <w:tcBorders>
              <w:top w:val="single" w:sz="4" w:space="0" w:color="auto"/>
              <w:left w:val="nil"/>
              <w:bottom w:val="single" w:sz="4" w:space="0" w:color="auto"/>
              <w:right w:val="nil"/>
            </w:tcBorders>
            <w:noWrap/>
            <w:vAlign w:val="center"/>
          </w:tcPr>
          <w:p w14:paraId="3AD4682E" w14:textId="77777777" w:rsidR="003511D3" w:rsidRPr="00AA658F" w:rsidRDefault="003511D3" w:rsidP="005019EB">
            <w:pPr>
              <w:spacing w:after="0" w:line="240" w:lineRule="auto"/>
              <w:jc w:val="center"/>
              <w:rPr>
                <w:b/>
                <w:bCs/>
                <w:color w:val="000000"/>
                <w:sz w:val="18"/>
                <w:szCs w:val="18"/>
                <w:lang w:eastAsia="sk-SK"/>
              </w:rPr>
            </w:pPr>
            <w:r w:rsidRPr="00AA658F">
              <w:rPr>
                <w:b/>
                <w:bCs/>
                <w:color w:val="000000"/>
                <w:sz w:val="18"/>
                <w:szCs w:val="18"/>
                <w:lang w:eastAsia="sk-SK"/>
              </w:rPr>
              <w:t>Typ</w:t>
            </w:r>
          </w:p>
        </w:tc>
        <w:tc>
          <w:tcPr>
            <w:tcW w:w="556" w:type="pct"/>
            <w:tcBorders>
              <w:top w:val="single" w:sz="4" w:space="0" w:color="auto"/>
              <w:left w:val="nil"/>
              <w:bottom w:val="single" w:sz="4" w:space="0" w:color="auto"/>
              <w:right w:val="nil"/>
            </w:tcBorders>
            <w:noWrap/>
            <w:vAlign w:val="center"/>
          </w:tcPr>
          <w:p w14:paraId="01AD86A1" w14:textId="53EED70B" w:rsidR="003511D3" w:rsidRPr="00AA658F" w:rsidRDefault="003511D3" w:rsidP="0051435C">
            <w:pPr>
              <w:spacing w:after="0" w:line="240" w:lineRule="auto"/>
              <w:jc w:val="center"/>
              <w:rPr>
                <w:b/>
                <w:bCs/>
                <w:color w:val="000000"/>
                <w:sz w:val="18"/>
                <w:szCs w:val="18"/>
                <w:lang w:eastAsia="sk-SK"/>
              </w:rPr>
            </w:pPr>
            <w:r w:rsidRPr="00AA658F">
              <w:rPr>
                <w:b/>
                <w:bCs/>
                <w:sz w:val="18"/>
                <w:szCs w:val="18"/>
                <w:lang w:eastAsia="sk-SK"/>
              </w:rPr>
              <w:t>202</w:t>
            </w:r>
            <w:r w:rsidR="00AA658F" w:rsidRPr="00AA658F">
              <w:rPr>
                <w:b/>
                <w:bCs/>
                <w:sz w:val="18"/>
                <w:szCs w:val="18"/>
                <w:lang w:eastAsia="sk-SK"/>
              </w:rPr>
              <w:t>2</w:t>
            </w:r>
            <w:r w:rsidRPr="00AA658F">
              <w:rPr>
                <w:b/>
                <w:bCs/>
                <w:sz w:val="18"/>
                <w:szCs w:val="18"/>
                <w:lang w:eastAsia="sk-SK"/>
              </w:rPr>
              <w:t xml:space="preserve"> S</w:t>
            </w:r>
          </w:p>
        </w:tc>
        <w:tc>
          <w:tcPr>
            <w:tcW w:w="599" w:type="pct"/>
            <w:tcBorders>
              <w:top w:val="single" w:sz="4" w:space="0" w:color="auto"/>
              <w:left w:val="nil"/>
              <w:bottom w:val="single" w:sz="4" w:space="0" w:color="auto"/>
              <w:right w:val="nil"/>
            </w:tcBorders>
            <w:noWrap/>
            <w:vAlign w:val="center"/>
          </w:tcPr>
          <w:p w14:paraId="791280C3" w14:textId="3B646BB7" w:rsidR="003511D3" w:rsidRPr="00AA658F" w:rsidRDefault="003511D3" w:rsidP="0051435C">
            <w:pPr>
              <w:spacing w:after="0" w:line="240" w:lineRule="auto"/>
              <w:jc w:val="center"/>
              <w:rPr>
                <w:b/>
                <w:bCs/>
                <w:color w:val="000000"/>
                <w:sz w:val="18"/>
                <w:szCs w:val="18"/>
                <w:lang w:eastAsia="sk-SK"/>
              </w:rPr>
            </w:pPr>
            <w:r w:rsidRPr="00AA658F">
              <w:rPr>
                <w:b/>
                <w:bCs/>
                <w:sz w:val="18"/>
                <w:szCs w:val="18"/>
                <w:lang w:eastAsia="sk-SK"/>
              </w:rPr>
              <w:t>202</w:t>
            </w:r>
            <w:r w:rsidR="00AA658F" w:rsidRPr="00AA658F">
              <w:rPr>
                <w:b/>
                <w:bCs/>
                <w:sz w:val="18"/>
                <w:szCs w:val="18"/>
                <w:lang w:eastAsia="sk-SK"/>
              </w:rPr>
              <w:t>3</w:t>
            </w:r>
            <w:r w:rsidRPr="00AA658F">
              <w:rPr>
                <w:b/>
                <w:bCs/>
                <w:sz w:val="18"/>
                <w:szCs w:val="18"/>
                <w:lang w:eastAsia="sk-SK"/>
              </w:rPr>
              <w:t xml:space="preserve"> S</w:t>
            </w:r>
          </w:p>
        </w:tc>
        <w:tc>
          <w:tcPr>
            <w:tcW w:w="534" w:type="pct"/>
            <w:tcBorders>
              <w:top w:val="single" w:sz="4" w:space="0" w:color="auto"/>
              <w:left w:val="nil"/>
              <w:bottom w:val="single" w:sz="4" w:space="0" w:color="auto"/>
              <w:right w:val="nil"/>
            </w:tcBorders>
            <w:noWrap/>
            <w:vAlign w:val="center"/>
          </w:tcPr>
          <w:p w14:paraId="55E2B479" w14:textId="0C90F0FE" w:rsidR="003511D3" w:rsidRPr="00AA658F" w:rsidRDefault="003511D3" w:rsidP="0051435C">
            <w:pPr>
              <w:spacing w:after="0" w:line="240" w:lineRule="auto"/>
              <w:jc w:val="center"/>
              <w:rPr>
                <w:b/>
                <w:bCs/>
                <w:color w:val="000000"/>
                <w:sz w:val="18"/>
                <w:szCs w:val="18"/>
                <w:lang w:eastAsia="sk-SK"/>
              </w:rPr>
            </w:pPr>
            <w:r w:rsidRPr="00AA658F">
              <w:rPr>
                <w:b/>
                <w:bCs/>
                <w:sz w:val="18"/>
                <w:szCs w:val="18"/>
                <w:lang w:eastAsia="sk-SK"/>
              </w:rPr>
              <w:t>202</w:t>
            </w:r>
            <w:r w:rsidR="00AA658F" w:rsidRPr="00AA658F">
              <w:rPr>
                <w:b/>
                <w:bCs/>
                <w:sz w:val="18"/>
                <w:szCs w:val="18"/>
                <w:lang w:eastAsia="sk-SK"/>
              </w:rPr>
              <w:t>4</w:t>
            </w:r>
            <w:r w:rsidRPr="00AA658F">
              <w:rPr>
                <w:b/>
                <w:bCs/>
                <w:sz w:val="18"/>
                <w:szCs w:val="18"/>
                <w:lang w:eastAsia="sk-SK"/>
              </w:rPr>
              <w:t xml:space="preserve"> S</w:t>
            </w:r>
          </w:p>
        </w:tc>
        <w:tc>
          <w:tcPr>
            <w:tcW w:w="638" w:type="pct"/>
            <w:tcBorders>
              <w:top w:val="single" w:sz="4" w:space="0" w:color="auto"/>
              <w:left w:val="nil"/>
              <w:bottom w:val="single" w:sz="4" w:space="0" w:color="auto"/>
            </w:tcBorders>
            <w:noWrap/>
            <w:vAlign w:val="center"/>
          </w:tcPr>
          <w:p w14:paraId="75326BA2" w14:textId="21069340" w:rsidR="003511D3" w:rsidRPr="00AA658F" w:rsidRDefault="003511D3" w:rsidP="005019EB">
            <w:pPr>
              <w:spacing w:after="0" w:line="240" w:lineRule="auto"/>
              <w:jc w:val="center"/>
              <w:rPr>
                <w:b/>
                <w:bCs/>
                <w:color w:val="000000"/>
                <w:sz w:val="18"/>
                <w:szCs w:val="18"/>
                <w:lang w:eastAsia="sk-SK"/>
              </w:rPr>
            </w:pPr>
            <w:r w:rsidRPr="00AA658F">
              <w:rPr>
                <w:b/>
                <w:bCs/>
                <w:sz w:val="18"/>
                <w:szCs w:val="18"/>
                <w:lang w:eastAsia="sk-SK"/>
              </w:rPr>
              <w:t>Δ</w:t>
            </w:r>
            <w:r w:rsidR="0051435C" w:rsidRPr="00AA658F">
              <w:rPr>
                <w:b/>
                <w:bCs/>
                <w:sz w:val="18"/>
                <w:szCs w:val="18"/>
                <w:lang w:eastAsia="sk-SK"/>
              </w:rPr>
              <w:t>(2023-2022</w:t>
            </w:r>
            <w:r w:rsidRPr="00AA658F">
              <w:rPr>
                <w:b/>
                <w:bCs/>
                <w:sz w:val="18"/>
                <w:szCs w:val="18"/>
                <w:lang w:eastAsia="sk-SK"/>
              </w:rPr>
              <w:t>)</w:t>
            </w:r>
          </w:p>
        </w:tc>
      </w:tr>
      <w:tr w:rsidR="00743ACA" w:rsidRPr="00AA658F" w14:paraId="792B53EC" w14:textId="77777777" w:rsidTr="00AA658F">
        <w:trPr>
          <w:trHeight w:val="300"/>
        </w:trPr>
        <w:tc>
          <w:tcPr>
            <w:tcW w:w="2301" w:type="pct"/>
            <w:tcBorders>
              <w:top w:val="single" w:sz="4" w:space="0" w:color="auto"/>
              <w:bottom w:val="single" w:sz="4" w:space="0" w:color="auto"/>
              <w:right w:val="nil"/>
            </w:tcBorders>
            <w:noWrap/>
            <w:vAlign w:val="center"/>
          </w:tcPr>
          <w:p w14:paraId="7CDC9F5C" w14:textId="6875821E" w:rsidR="00743ACA" w:rsidRPr="00AA658F" w:rsidRDefault="00743ACA" w:rsidP="00743ACA">
            <w:pPr>
              <w:spacing w:after="0" w:line="240" w:lineRule="auto"/>
              <w:rPr>
                <w:b/>
                <w:bCs/>
                <w:color w:val="000000"/>
                <w:sz w:val="18"/>
                <w:szCs w:val="18"/>
                <w:lang w:eastAsia="sk-SK"/>
              </w:rPr>
            </w:pPr>
            <w:r w:rsidRPr="00AA658F">
              <w:rPr>
                <w:b/>
                <w:bCs/>
                <w:color w:val="000000"/>
                <w:sz w:val="18"/>
                <w:szCs w:val="18"/>
                <w:lang w:eastAsia="sk-SK"/>
              </w:rPr>
              <w:t>Ministerstvo hospodárstva SR</w:t>
            </w:r>
          </w:p>
        </w:tc>
        <w:tc>
          <w:tcPr>
            <w:tcW w:w="372" w:type="pct"/>
            <w:tcBorders>
              <w:top w:val="single" w:sz="4" w:space="0" w:color="auto"/>
              <w:left w:val="nil"/>
              <w:bottom w:val="single" w:sz="4" w:space="0" w:color="auto"/>
              <w:right w:val="nil"/>
            </w:tcBorders>
            <w:noWrap/>
            <w:vAlign w:val="center"/>
          </w:tcPr>
          <w:p w14:paraId="36DA8847" w14:textId="77777777" w:rsidR="00743ACA" w:rsidRPr="00AA658F" w:rsidRDefault="00743ACA" w:rsidP="00743ACA">
            <w:pPr>
              <w:spacing w:after="0" w:line="240" w:lineRule="auto"/>
              <w:jc w:val="center"/>
              <w:rPr>
                <w:b/>
                <w:bCs/>
                <w:color w:val="000000"/>
                <w:sz w:val="18"/>
                <w:szCs w:val="18"/>
                <w:lang w:eastAsia="sk-SK"/>
              </w:rPr>
            </w:pPr>
          </w:p>
        </w:tc>
        <w:tc>
          <w:tcPr>
            <w:tcW w:w="556" w:type="pct"/>
            <w:tcBorders>
              <w:top w:val="single" w:sz="4" w:space="0" w:color="auto"/>
              <w:left w:val="nil"/>
              <w:bottom w:val="single" w:sz="4" w:space="0" w:color="auto"/>
              <w:right w:val="nil"/>
            </w:tcBorders>
            <w:noWrap/>
            <w:vAlign w:val="center"/>
          </w:tcPr>
          <w:p w14:paraId="78AAEF5F" w14:textId="77777777" w:rsidR="00743ACA" w:rsidRPr="00AA658F" w:rsidRDefault="00743ACA" w:rsidP="00743ACA">
            <w:pPr>
              <w:spacing w:after="0" w:line="240" w:lineRule="auto"/>
              <w:jc w:val="center"/>
              <w:rPr>
                <w:b/>
                <w:bCs/>
                <w:color w:val="000000"/>
                <w:sz w:val="18"/>
                <w:szCs w:val="18"/>
                <w:lang w:eastAsia="sk-SK"/>
              </w:rPr>
            </w:pPr>
          </w:p>
        </w:tc>
        <w:tc>
          <w:tcPr>
            <w:tcW w:w="599" w:type="pct"/>
            <w:tcBorders>
              <w:top w:val="single" w:sz="4" w:space="0" w:color="auto"/>
              <w:left w:val="nil"/>
              <w:bottom w:val="single" w:sz="4" w:space="0" w:color="auto"/>
              <w:right w:val="nil"/>
            </w:tcBorders>
            <w:noWrap/>
            <w:vAlign w:val="center"/>
          </w:tcPr>
          <w:p w14:paraId="50ADF8B6" w14:textId="77777777" w:rsidR="00743ACA" w:rsidRPr="00AA658F" w:rsidRDefault="00743ACA" w:rsidP="00743ACA">
            <w:pPr>
              <w:spacing w:after="0" w:line="240" w:lineRule="auto"/>
              <w:jc w:val="center"/>
              <w:rPr>
                <w:b/>
                <w:bCs/>
                <w:color w:val="000000"/>
                <w:sz w:val="18"/>
                <w:szCs w:val="18"/>
                <w:lang w:eastAsia="sk-SK"/>
              </w:rPr>
            </w:pPr>
          </w:p>
        </w:tc>
        <w:tc>
          <w:tcPr>
            <w:tcW w:w="534" w:type="pct"/>
            <w:tcBorders>
              <w:top w:val="single" w:sz="4" w:space="0" w:color="auto"/>
              <w:left w:val="nil"/>
              <w:bottom w:val="single" w:sz="4" w:space="0" w:color="auto"/>
              <w:right w:val="nil"/>
            </w:tcBorders>
            <w:noWrap/>
            <w:vAlign w:val="center"/>
          </w:tcPr>
          <w:p w14:paraId="3D2B38DB" w14:textId="77777777" w:rsidR="00743ACA" w:rsidRPr="00AA658F" w:rsidRDefault="00743ACA" w:rsidP="00743ACA">
            <w:pPr>
              <w:spacing w:after="0" w:line="240" w:lineRule="auto"/>
              <w:jc w:val="center"/>
              <w:rPr>
                <w:b/>
                <w:bCs/>
                <w:color w:val="000000"/>
                <w:sz w:val="18"/>
                <w:szCs w:val="18"/>
                <w:lang w:eastAsia="sk-SK"/>
              </w:rPr>
            </w:pPr>
          </w:p>
        </w:tc>
        <w:tc>
          <w:tcPr>
            <w:tcW w:w="638" w:type="pct"/>
            <w:tcBorders>
              <w:top w:val="single" w:sz="4" w:space="0" w:color="auto"/>
              <w:left w:val="nil"/>
              <w:bottom w:val="single" w:sz="4" w:space="0" w:color="auto"/>
            </w:tcBorders>
            <w:noWrap/>
            <w:vAlign w:val="center"/>
          </w:tcPr>
          <w:p w14:paraId="3E310220" w14:textId="77777777" w:rsidR="00743ACA" w:rsidRPr="00AA658F" w:rsidRDefault="00743ACA" w:rsidP="00743ACA">
            <w:pPr>
              <w:spacing w:after="0" w:line="240" w:lineRule="auto"/>
              <w:jc w:val="center"/>
              <w:rPr>
                <w:b/>
                <w:bCs/>
                <w:color w:val="000000"/>
                <w:sz w:val="18"/>
                <w:szCs w:val="18"/>
                <w:lang w:eastAsia="sk-SK"/>
              </w:rPr>
            </w:pPr>
          </w:p>
        </w:tc>
      </w:tr>
      <w:tr w:rsidR="00AA658F" w:rsidRPr="00AA658F" w14:paraId="0196080C" w14:textId="77777777" w:rsidTr="00AA658F">
        <w:trPr>
          <w:trHeight w:val="300"/>
        </w:trPr>
        <w:tc>
          <w:tcPr>
            <w:tcW w:w="2301" w:type="pct"/>
            <w:vMerge w:val="restart"/>
            <w:tcBorders>
              <w:right w:val="nil"/>
            </w:tcBorders>
            <w:vAlign w:val="center"/>
            <w:hideMark/>
          </w:tcPr>
          <w:p w14:paraId="3189DB09" w14:textId="3C49EA7C" w:rsidR="00AA658F" w:rsidRPr="00AA658F" w:rsidRDefault="00AA658F" w:rsidP="00AA658F">
            <w:pPr>
              <w:spacing w:after="0" w:line="240" w:lineRule="auto"/>
              <w:rPr>
                <w:sz w:val="18"/>
                <w:szCs w:val="18"/>
                <w:lang w:eastAsia="sk-SK"/>
              </w:rPr>
            </w:pPr>
            <w:r w:rsidRPr="00AA658F">
              <w:rPr>
                <w:sz w:val="18"/>
                <w:szCs w:val="18"/>
                <w:lang w:eastAsia="sk-SK"/>
              </w:rPr>
              <w:t xml:space="preserve">Slovenský plynárenský priemysel, a. s.  </w:t>
            </w:r>
          </w:p>
        </w:tc>
        <w:tc>
          <w:tcPr>
            <w:tcW w:w="372" w:type="pct"/>
            <w:tcBorders>
              <w:left w:val="nil"/>
              <w:right w:val="nil"/>
            </w:tcBorders>
            <w:vAlign w:val="bottom"/>
            <w:hideMark/>
          </w:tcPr>
          <w:p w14:paraId="10A4B201" w14:textId="67AA0226"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left w:val="nil"/>
              <w:right w:val="nil"/>
            </w:tcBorders>
            <w:noWrap/>
            <w:vAlign w:val="bottom"/>
            <w:hideMark/>
          </w:tcPr>
          <w:p w14:paraId="194D79A7" w14:textId="57C9D99F" w:rsidR="00AA658F" w:rsidRPr="00AA658F" w:rsidRDefault="00AA658F" w:rsidP="00AA658F">
            <w:pPr>
              <w:spacing w:after="0" w:line="240" w:lineRule="auto"/>
              <w:jc w:val="right"/>
              <w:rPr>
                <w:b/>
                <w:bCs/>
                <w:sz w:val="18"/>
                <w:szCs w:val="18"/>
                <w:lang w:eastAsia="sk-SK"/>
              </w:rPr>
            </w:pPr>
            <w:r w:rsidRPr="00AA658F">
              <w:rPr>
                <w:b/>
                <w:bCs/>
                <w:sz w:val="18"/>
                <w:szCs w:val="18"/>
              </w:rPr>
              <w:t>220 000</w:t>
            </w:r>
          </w:p>
        </w:tc>
        <w:tc>
          <w:tcPr>
            <w:tcW w:w="599" w:type="pct"/>
            <w:tcBorders>
              <w:left w:val="nil"/>
              <w:right w:val="nil"/>
            </w:tcBorders>
            <w:noWrap/>
            <w:vAlign w:val="bottom"/>
            <w:hideMark/>
          </w:tcPr>
          <w:p w14:paraId="4C40B25D" w14:textId="44E327F3" w:rsidR="00AA658F" w:rsidRPr="00AA658F" w:rsidRDefault="00AA658F" w:rsidP="00AA658F">
            <w:pPr>
              <w:spacing w:after="0" w:line="240" w:lineRule="auto"/>
              <w:jc w:val="right"/>
              <w:rPr>
                <w:b/>
                <w:bCs/>
                <w:sz w:val="18"/>
                <w:szCs w:val="18"/>
                <w:lang w:eastAsia="sk-SK"/>
              </w:rPr>
            </w:pPr>
            <w:r w:rsidRPr="00AA658F">
              <w:rPr>
                <w:b/>
                <w:bCs/>
                <w:sz w:val="18"/>
                <w:szCs w:val="18"/>
              </w:rPr>
              <w:t>0</w:t>
            </w:r>
          </w:p>
        </w:tc>
        <w:tc>
          <w:tcPr>
            <w:tcW w:w="534" w:type="pct"/>
            <w:tcBorders>
              <w:left w:val="nil"/>
              <w:right w:val="nil"/>
            </w:tcBorders>
            <w:noWrap/>
            <w:vAlign w:val="bottom"/>
            <w:hideMark/>
          </w:tcPr>
          <w:p w14:paraId="69078A8D" w14:textId="311C4D96" w:rsidR="00AA658F" w:rsidRPr="00AA658F" w:rsidRDefault="00AA658F" w:rsidP="00AA658F">
            <w:pPr>
              <w:spacing w:after="0" w:line="240" w:lineRule="auto"/>
              <w:jc w:val="right"/>
              <w:rPr>
                <w:b/>
                <w:bCs/>
                <w:sz w:val="18"/>
                <w:szCs w:val="18"/>
                <w:lang w:eastAsia="sk-SK"/>
              </w:rPr>
            </w:pPr>
            <w:r w:rsidRPr="00AA658F">
              <w:rPr>
                <w:b/>
                <w:bCs/>
                <w:sz w:val="18"/>
                <w:szCs w:val="18"/>
              </w:rPr>
              <w:t>290 307</w:t>
            </w:r>
          </w:p>
        </w:tc>
        <w:tc>
          <w:tcPr>
            <w:tcW w:w="638" w:type="pct"/>
            <w:tcBorders>
              <w:left w:val="nil"/>
            </w:tcBorders>
            <w:noWrap/>
            <w:vAlign w:val="bottom"/>
            <w:hideMark/>
          </w:tcPr>
          <w:p w14:paraId="615B2B39" w14:textId="1AE619A9" w:rsidR="00AA658F" w:rsidRPr="00AA658F" w:rsidRDefault="00AA658F" w:rsidP="00AA658F">
            <w:pPr>
              <w:spacing w:after="0" w:line="240" w:lineRule="auto"/>
              <w:jc w:val="right"/>
              <w:rPr>
                <w:b/>
                <w:bCs/>
                <w:sz w:val="18"/>
                <w:szCs w:val="18"/>
                <w:lang w:eastAsia="sk-SK"/>
              </w:rPr>
            </w:pPr>
            <w:r w:rsidRPr="00AA658F">
              <w:rPr>
                <w:b/>
                <w:bCs/>
                <w:sz w:val="18"/>
                <w:szCs w:val="18"/>
              </w:rPr>
              <w:t>290 307</w:t>
            </w:r>
          </w:p>
        </w:tc>
      </w:tr>
      <w:tr w:rsidR="00AA658F" w:rsidRPr="00AA658F" w14:paraId="13659979" w14:textId="77777777" w:rsidTr="00AA658F">
        <w:trPr>
          <w:trHeight w:val="300"/>
        </w:trPr>
        <w:tc>
          <w:tcPr>
            <w:tcW w:w="2301" w:type="pct"/>
            <w:vMerge/>
            <w:tcBorders>
              <w:right w:val="nil"/>
            </w:tcBorders>
            <w:vAlign w:val="center"/>
            <w:hideMark/>
          </w:tcPr>
          <w:p w14:paraId="73BF5BC5" w14:textId="77777777" w:rsidR="00AA658F" w:rsidRPr="00AA658F" w:rsidRDefault="00AA658F" w:rsidP="00AA658F">
            <w:pPr>
              <w:spacing w:after="0" w:line="240" w:lineRule="auto"/>
              <w:rPr>
                <w:sz w:val="18"/>
                <w:szCs w:val="18"/>
                <w:lang w:eastAsia="sk-SK"/>
              </w:rPr>
            </w:pPr>
          </w:p>
        </w:tc>
        <w:tc>
          <w:tcPr>
            <w:tcW w:w="372" w:type="pct"/>
            <w:tcBorders>
              <w:left w:val="nil"/>
              <w:right w:val="nil"/>
            </w:tcBorders>
            <w:vAlign w:val="bottom"/>
            <w:hideMark/>
          </w:tcPr>
          <w:p w14:paraId="0F30833D" w14:textId="349DBE93"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left w:val="nil"/>
              <w:right w:val="nil"/>
            </w:tcBorders>
            <w:noWrap/>
            <w:vAlign w:val="bottom"/>
            <w:hideMark/>
          </w:tcPr>
          <w:p w14:paraId="5327851D" w14:textId="432949E0" w:rsidR="00AA658F" w:rsidRPr="00AA658F" w:rsidRDefault="00AA658F" w:rsidP="00AA658F">
            <w:pPr>
              <w:spacing w:after="0" w:line="240" w:lineRule="auto"/>
              <w:jc w:val="right"/>
              <w:rPr>
                <w:sz w:val="18"/>
                <w:szCs w:val="18"/>
                <w:lang w:eastAsia="sk-SK"/>
              </w:rPr>
            </w:pPr>
            <w:r w:rsidRPr="00AA658F">
              <w:rPr>
                <w:sz w:val="18"/>
                <w:szCs w:val="18"/>
              </w:rPr>
              <w:t>160 817</w:t>
            </w:r>
          </w:p>
        </w:tc>
        <w:tc>
          <w:tcPr>
            <w:tcW w:w="599" w:type="pct"/>
            <w:tcBorders>
              <w:left w:val="nil"/>
              <w:right w:val="nil"/>
            </w:tcBorders>
            <w:noWrap/>
            <w:vAlign w:val="bottom"/>
            <w:hideMark/>
          </w:tcPr>
          <w:p w14:paraId="2E2A8E17" w14:textId="092C61CC"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34" w:type="pct"/>
            <w:tcBorders>
              <w:left w:val="nil"/>
              <w:right w:val="nil"/>
            </w:tcBorders>
            <w:noWrap/>
            <w:vAlign w:val="bottom"/>
            <w:hideMark/>
          </w:tcPr>
          <w:p w14:paraId="3199D90E" w14:textId="3E8E2F25" w:rsidR="00AA658F" w:rsidRPr="00AA658F" w:rsidRDefault="00AA658F" w:rsidP="00AA658F">
            <w:pPr>
              <w:spacing w:after="0" w:line="240" w:lineRule="auto"/>
              <w:jc w:val="right"/>
              <w:rPr>
                <w:color w:val="000000"/>
                <w:sz w:val="18"/>
                <w:szCs w:val="18"/>
                <w:lang w:eastAsia="sk-SK"/>
              </w:rPr>
            </w:pPr>
            <w:r w:rsidRPr="00AA658F">
              <w:rPr>
                <w:sz w:val="18"/>
                <w:szCs w:val="18"/>
              </w:rPr>
              <w:t>143 050</w:t>
            </w:r>
          </w:p>
        </w:tc>
        <w:tc>
          <w:tcPr>
            <w:tcW w:w="638" w:type="pct"/>
            <w:tcBorders>
              <w:left w:val="nil"/>
            </w:tcBorders>
            <w:noWrap/>
            <w:vAlign w:val="bottom"/>
            <w:hideMark/>
          </w:tcPr>
          <w:p w14:paraId="7628B99C" w14:textId="5256BC9F" w:rsidR="00AA658F" w:rsidRPr="00AA658F" w:rsidRDefault="00AA658F" w:rsidP="00AA658F">
            <w:pPr>
              <w:spacing w:after="0" w:line="240" w:lineRule="auto"/>
              <w:jc w:val="right"/>
              <w:rPr>
                <w:color w:val="000000"/>
                <w:sz w:val="18"/>
                <w:szCs w:val="18"/>
                <w:lang w:eastAsia="sk-SK"/>
              </w:rPr>
            </w:pPr>
            <w:r w:rsidRPr="00AA658F">
              <w:rPr>
                <w:sz w:val="18"/>
                <w:szCs w:val="18"/>
              </w:rPr>
              <w:t>143 050</w:t>
            </w:r>
          </w:p>
        </w:tc>
      </w:tr>
      <w:tr w:rsidR="00AA658F" w:rsidRPr="00AA658F" w14:paraId="2BD71573" w14:textId="77777777" w:rsidTr="00AA658F">
        <w:trPr>
          <w:trHeight w:val="300"/>
        </w:trPr>
        <w:tc>
          <w:tcPr>
            <w:tcW w:w="2301" w:type="pct"/>
            <w:vMerge/>
            <w:tcBorders>
              <w:right w:val="nil"/>
            </w:tcBorders>
            <w:vAlign w:val="center"/>
            <w:hideMark/>
          </w:tcPr>
          <w:p w14:paraId="3BBD7DEA" w14:textId="77777777" w:rsidR="00AA658F" w:rsidRPr="00AA658F" w:rsidRDefault="00AA658F" w:rsidP="00AA658F">
            <w:pPr>
              <w:spacing w:after="0" w:line="240" w:lineRule="auto"/>
              <w:rPr>
                <w:sz w:val="18"/>
                <w:szCs w:val="18"/>
                <w:lang w:eastAsia="sk-SK"/>
              </w:rPr>
            </w:pPr>
          </w:p>
        </w:tc>
        <w:tc>
          <w:tcPr>
            <w:tcW w:w="372" w:type="pct"/>
            <w:tcBorders>
              <w:left w:val="nil"/>
              <w:right w:val="nil"/>
            </w:tcBorders>
            <w:vAlign w:val="bottom"/>
            <w:hideMark/>
          </w:tcPr>
          <w:p w14:paraId="6F94545E" w14:textId="3A1007D0"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left w:val="nil"/>
              <w:right w:val="nil"/>
            </w:tcBorders>
            <w:noWrap/>
            <w:vAlign w:val="bottom"/>
            <w:hideMark/>
          </w:tcPr>
          <w:p w14:paraId="28759C9A" w14:textId="5DBF46F5" w:rsidR="00AA658F" w:rsidRPr="00AA658F" w:rsidRDefault="00AA658F" w:rsidP="00AA658F">
            <w:pPr>
              <w:spacing w:after="0" w:line="240" w:lineRule="auto"/>
              <w:jc w:val="right"/>
              <w:rPr>
                <w:sz w:val="18"/>
                <w:szCs w:val="18"/>
                <w:lang w:eastAsia="sk-SK"/>
              </w:rPr>
            </w:pPr>
            <w:r w:rsidRPr="00AA658F">
              <w:rPr>
                <w:sz w:val="18"/>
                <w:szCs w:val="18"/>
              </w:rPr>
              <w:t>59 183</w:t>
            </w:r>
          </w:p>
        </w:tc>
        <w:tc>
          <w:tcPr>
            <w:tcW w:w="599" w:type="pct"/>
            <w:tcBorders>
              <w:left w:val="nil"/>
              <w:right w:val="nil"/>
            </w:tcBorders>
            <w:noWrap/>
            <w:vAlign w:val="bottom"/>
            <w:hideMark/>
          </w:tcPr>
          <w:p w14:paraId="43057C90" w14:textId="67360A6D"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34" w:type="pct"/>
            <w:tcBorders>
              <w:left w:val="nil"/>
              <w:right w:val="nil"/>
            </w:tcBorders>
            <w:noWrap/>
            <w:vAlign w:val="bottom"/>
            <w:hideMark/>
          </w:tcPr>
          <w:p w14:paraId="44887821" w14:textId="3269DA5B" w:rsidR="00AA658F" w:rsidRPr="00AA658F" w:rsidRDefault="00AA658F" w:rsidP="00AA658F">
            <w:pPr>
              <w:spacing w:after="0" w:line="240" w:lineRule="auto"/>
              <w:jc w:val="right"/>
              <w:rPr>
                <w:color w:val="000000"/>
                <w:sz w:val="18"/>
                <w:szCs w:val="18"/>
                <w:lang w:eastAsia="sk-SK"/>
              </w:rPr>
            </w:pPr>
            <w:r w:rsidRPr="00AA658F">
              <w:rPr>
                <w:sz w:val="18"/>
                <w:szCs w:val="18"/>
              </w:rPr>
              <w:t>147 257</w:t>
            </w:r>
          </w:p>
        </w:tc>
        <w:tc>
          <w:tcPr>
            <w:tcW w:w="638" w:type="pct"/>
            <w:tcBorders>
              <w:left w:val="nil"/>
            </w:tcBorders>
            <w:noWrap/>
            <w:vAlign w:val="bottom"/>
            <w:hideMark/>
          </w:tcPr>
          <w:p w14:paraId="42755F55" w14:textId="40FFD95A" w:rsidR="00AA658F" w:rsidRPr="00AA658F" w:rsidRDefault="00AA658F" w:rsidP="00AA658F">
            <w:pPr>
              <w:spacing w:after="0" w:line="240" w:lineRule="auto"/>
              <w:jc w:val="right"/>
              <w:rPr>
                <w:color w:val="000000"/>
                <w:sz w:val="18"/>
                <w:szCs w:val="18"/>
                <w:lang w:eastAsia="sk-SK"/>
              </w:rPr>
            </w:pPr>
            <w:r w:rsidRPr="00AA658F">
              <w:rPr>
                <w:sz w:val="18"/>
                <w:szCs w:val="18"/>
              </w:rPr>
              <w:t>147 257</w:t>
            </w:r>
          </w:p>
        </w:tc>
      </w:tr>
      <w:tr w:rsidR="00AA658F" w:rsidRPr="00AA658F" w14:paraId="710790E1" w14:textId="77777777" w:rsidTr="00AA658F">
        <w:trPr>
          <w:trHeight w:val="300"/>
        </w:trPr>
        <w:tc>
          <w:tcPr>
            <w:tcW w:w="2301" w:type="pct"/>
            <w:vMerge w:val="restart"/>
            <w:tcBorders>
              <w:top w:val="nil"/>
              <w:right w:val="nil"/>
            </w:tcBorders>
            <w:vAlign w:val="center"/>
            <w:hideMark/>
          </w:tcPr>
          <w:p w14:paraId="755EA0E2" w14:textId="206800BE" w:rsidR="00AA658F" w:rsidRPr="00AA658F" w:rsidRDefault="00AA658F" w:rsidP="00AA658F">
            <w:pPr>
              <w:spacing w:after="0" w:line="240" w:lineRule="auto"/>
              <w:rPr>
                <w:sz w:val="18"/>
                <w:szCs w:val="18"/>
                <w:lang w:eastAsia="sk-SK"/>
              </w:rPr>
            </w:pPr>
            <w:r w:rsidRPr="00AA658F">
              <w:rPr>
                <w:sz w:val="18"/>
                <w:szCs w:val="18"/>
                <w:lang w:eastAsia="sk-SK"/>
              </w:rPr>
              <w:t xml:space="preserve">Západoslovenská energetika, a. s. </w:t>
            </w:r>
          </w:p>
        </w:tc>
        <w:tc>
          <w:tcPr>
            <w:tcW w:w="372" w:type="pct"/>
            <w:tcBorders>
              <w:top w:val="nil"/>
              <w:left w:val="nil"/>
              <w:right w:val="nil"/>
            </w:tcBorders>
            <w:vAlign w:val="bottom"/>
            <w:hideMark/>
          </w:tcPr>
          <w:p w14:paraId="4A4F0293" w14:textId="29806EF4"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nil"/>
              <w:left w:val="nil"/>
              <w:right w:val="nil"/>
            </w:tcBorders>
            <w:noWrap/>
            <w:vAlign w:val="bottom"/>
            <w:hideMark/>
          </w:tcPr>
          <w:p w14:paraId="5422A0A3" w14:textId="3AB5D81A" w:rsidR="00AA658F" w:rsidRPr="00AA658F" w:rsidRDefault="00AA658F" w:rsidP="00AA658F">
            <w:pPr>
              <w:spacing w:after="0" w:line="240" w:lineRule="auto"/>
              <w:jc w:val="right"/>
              <w:rPr>
                <w:b/>
                <w:bCs/>
                <w:sz w:val="18"/>
                <w:szCs w:val="18"/>
                <w:lang w:eastAsia="sk-SK"/>
              </w:rPr>
            </w:pPr>
            <w:r w:rsidRPr="00AA658F">
              <w:rPr>
                <w:b/>
                <w:bCs/>
                <w:sz w:val="18"/>
                <w:szCs w:val="18"/>
              </w:rPr>
              <w:t>44 839</w:t>
            </w:r>
          </w:p>
        </w:tc>
        <w:tc>
          <w:tcPr>
            <w:tcW w:w="599" w:type="pct"/>
            <w:tcBorders>
              <w:top w:val="nil"/>
              <w:left w:val="nil"/>
              <w:right w:val="nil"/>
            </w:tcBorders>
            <w:noWrap/>
            <w:vAlign w:val="bottom"/>
            <w:hideMark/>
          </w:tcPr>
          <w:p w14:paraId="4F7961E2" w14:textId="6C58AD9D" w:rsidR="00AA658F" w:rsidRPr="00AA658F" w:rsidRDefault="00AA658F" w:rsidP="00AA658F">
            <w:pPr>
              <w:spacing w:after="0" w:line="240" w:lineRule="auto"/>
              <w:jc w:val="right"/>
              <w:rPr>
                <w:b/>
                <w:bCs/>
                <w:sz w:val="18"/>
                <w:szCs w:val="18"/>
                <w:lang w:eastAsia="sk-SK"/>
              </w:rPr>
            </w:pPr>
            <w:r w:rsidRPr="00AA658F">
              <w:rPr>
                <w:b/>
                <w:bCs/>
                <w:sz w:val="18"/>
                <w:szCs w:val="18"/>
              </w:rPr>
              <w:t>37 091</w:t>
            </w:r>
          </w:p>
        </w:tc>
        <w:tc>
          <w:tcPr>
            <w:tcW w:w="534" w:type="pct"/>
            <w:tcBorders>
              <w:top w:val="nil"/>
              <w:left w:val="nil"/>
              <w:right w:val="nil"/>
            </w:tcBorders>
            <w:noWrap/>
            <w:vAlign w:val="bottom"/>
            <w:hideMark/>
          </w:tcPr>
          <w:p w14:paraId="7EACFEAE" w14:textId="7DA16E37" w:rsidR="00AA658F" w:rsidRPr="00AA658F" w:rsidRDefault="00AA658F" w:rsidP="00AA658F">
            <w:pPr>
              <w:spacing w:after="0" w:line="240" w:lineRule="auto"/>
              <w:jc w:val="right"/>
              <w:rPr>
                <w:b/>
                <w:bCs/>
                <w:sz w:val="18"/>
                <w:szCs w:val="18"/>
                <w:lang w:eastAsia="sk-SK"/>
              </w:rPr>
            </w:pPr>
            <w:r w:rsidRPr="00AA658F">
              <w:rPr>
                <w:b/>
                <w:bCs/>
                <w:sz w:val="18"/>
                <w:szCs w:val="18"/>
              </w:rPr>
              <w:t>53 836</w:t>
            </w:r>
          </w:p>
        </w:tc>
        <w:tc>
          <w:tcPr>
            <w:tcW w:w="638" w:type="pct"/>
            <w:tcBorders>
              <w:top w:val="nil"/>
              <w:left w:val="nil"/>
            </w:tcBorders>
            <w:noWrap/>
            <w:vAlign w:val="bottom"/>
            <w:hideMark/>
          </w:tcPr>
          <w:p w14:paraId="4DB34269" w14:textId="7F0E48B5" w:rsidR="00AA658F" w:rsidRPr="00AA658F" w:rsidRDefault="00AA658F" w:rsidP="00AA658F">
            <w:pPr>
              <w:spacing w:after="0" w:line="240" w:lineRule="auto"/>
              <w:jc w:val="right"/>
              <w:rPr>
                <w:b/>
                <w:bCs/>
                <w:sz w:val="18"/>
                <w:szCs w:val="18"/>
                <w:lang w:eastAsia="sk-SK"/>
              </w:rPr>
            </w:pPr>
            <w:r w:rsidRPr="00AA658F">
              <w:rPr>
                <w:b/>
                <w:bCs/>
                <w:sz w:val="18"/>
                <w:szCs w:val="18"/>
              </w:rPr>
              <w:t>16 745</w:t>
            </w:r>
          </w:p>
        </w:tc>
      </w:tr>
      <w:tr w:rsidR="00AA658F" w:rsidRPr="00AA658F" w14:paraId="648661F7" w14:textId="77777777" w:rsidTr="00AA658F">
        <w:trPr>
          <w:trHeight w:val="300"/>
        </w:trPr>
        <w:tc>
          <w:tcPr>
            <w:tcW w:w="2301" w:type="pct"/>
            <w:vMerge/>
            <w:tcBorders>
              <w:top w:val="nil"/>
              <w:right w:val="nil"/>
            </w:tcBorders>
            <w:vAlign w:val="center"/>
            <w:hideMark/>
          </w:tcPr>
          <w:p w14:paraId="4A4E06AB"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2E629C93" w14:textId="3247F683"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hideMark/>
          </w:tcPr>
          <w:p w14:paraId="181D6DB3" w14:textId="7441625D" w:rsidR="00AA658F" w:rsidRPr="00AA658F" w:rsidRDefault="00AA658F" w:rsidP="00AA658F">
            <w:pPr>
              <w:spacing w:after="0" w:line="240" w:lineRule="auto"/>
              <w:jc w:val="right"/>
              <w:rPr>
                <w:sz w:val="18"/>
                <w:szCs w:val="18"/>
                <w:lang w:eastAsia="sk-SK"/>
              </w:rPr>
            </w:pPr>
            <w:r w:rsidRPr="00AA658F">
              <w:rPr>
                <w:sz w:val="18"/>
                <w:szCs w:val="18"/>
              </w:rPr>
              <w:t>44 839</w:t>
            </w:r>
          </w:p>
        </w:tc>
        <w:tc>
          <w:tcPr>
            <w:tcW w:w="599" w:type="pct"/>
            <w:tcBorders>
              <w:top w:val="nil"/>
              <w:left w:val="nil"/>
              <w:right w:val="nil"/>
            </w:tcBorders>
            <w:noWrap/>
            <w:vAlign w:val="bottom"/>
            <w:hideMark/>
          </w:tcPr>
          <w:p w14:paraId="3C062BA4" w14:textId="1D482AB1" w:rsidR="00AA658F" w:rsidRPr="00AA658F" w:rsidRDefault="00AA658F" w:rsidP="00AA658F">
            <w:pPr>
              <w:spacing w:after="0" w:line="240" w:lineRule="auto"/>
              <w:jc w:val="right"/>
              <w:rPr>
                <w:color w:val="000000"/>
                <w:sz w:val="18"/>
                <w:szCs w:val="18"/>
                <w:lang w:eastAsia="sk-SK"/>
              </w:rPr>
            </w:pPr>
            <w:r w:rsidRPr="00AA658F">
              <w:rPr>
                <w:sz w:val="18"/>
                <w:szCs w:val="18"/>
              </w:rPr>
              <w:t>36 898</w:t>
            </w:r>
          </w:p>
        </w:tc>
        <w:tc>
          <w:tcPr>
            <w:tcW w:w="534" w:type="pct"/>
            <w:tcBorders>
              <w:top w:val="nil"/>
              <w:left w:val="nil"/>
              <w:right w:val="nil"/>
            </w:tcBorders>
            <w:noWrap/>
            <w:vAlign w:val="bottom"/>
            <w:hideMark/>
          </w:tcPr>
          <w:p w14:paraId="53C51495" w14:textId="692049B5" w:rsidR="00AA658F" w:rsidRPr="00AA658F" w:rsidRDefault="00AA658F" w:rsidP="00AA658F">
            <w:pPr>
              <w:spacing w:after="0" w:line="240" w:lineRule="auto"/>
              <w:jc w:val="right"/>
              <w:rPr>
                <w:color w:val="000000"/>
                <w:sz w:val="18"/>
                <w:szCs w:val="18"/>
                <w:lang w:eastAsia="sk-SK"/>
              </w:rPr>
            </w:pPr>
            <w:r w:rsidRPr="00AA658F">
              <w:rPr>
                <w:sz w:val="18"/>
                <w:szCs w:val="18"/>
              </w:rPr>
              <w:t>52 109</w:t>
            </w:r>
          </w:p>
        </w:tc>
        <w:tc>
          <w:tcPr>
            <w:tcW w:w="638" w:type="pct"/>
            <w:tcBorders>
              <w:top w:val="nil"/>
              <w:left w:val="nil"/>
            </w:tcBorders>
            <w:noWrap/>
            <w:vAlign w:val="bottom"/>
            <w:hideMark/>
          </w:tcPr>
          <w:p w14:paraId="4AB38872" w14:textId="4304EF0A" w:rsidR="00AA658F" w:rsidRPr="00AA658F" w:rsidRDefault="00AA658F" w:rsidP="00AA658F">
            <w:pPr>
              <w:spacing w:after="0" w:line="240" w:lineRule="auto"/>
              <w:jc w:val="right"/>
              <w:rPr>
                <w:color w:val="000000"/>
                <w:sz w:val="18"/>
                <w:szCs w:val="18"/>
                <w:lang w:eastAsia="sk-SK"/>
              </w:rPr>
            </w:pPr>
            <w:r w:rsidRPr="00AA658F">
              <w:rPr>
                <w:sz w:val="18"/>
                <w:szCs w:val="18"/>
              </w:rPr>
              <w:t>15 211</w:t>
            </w:r>
          </w:p>
        </w:tc>
      </w:tr>
      <w:tr w:rsidR="00AA658F" w:rsidRPr="00AA658F" w14:paraId="0523FCBF" w14:textId="77777777" w:rsidTr="00AA658F">
        <w:trPr>
          <w:trHeight w:val="300"/>
        </w:trPr>
        <w:tc>
          <w:tcPr>
            <w:tcW w:w="2301" w:type="pct"/>
            <w:vMerge/>
            <w:tcBorders>
              <w:top w:val="nil"/>
              <w:right w:val="nil"/>
            </w:tcBorders>
            <w:vAlign w:val="center"/>
            <w:hideMark/>
          </w:tcPr>
          <w:p w14:paraId="126937CB"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698E3246" w14:textId="2BF89CDE"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right w:val="nil"/>
            </w:tcBorders>
            <w:noWrap/>
            <w:vAlign w:val="bottom"/>
            <w:hideMark/>
          </w:tcPr>
          <w:p w14:paraId="0F2B84DE" w14:textId="26425F98" w:rsidR="00AA658F" w:rsidRPr="00AA658F" w:rsidRDefault="00AA658F" w:rsidP="00AA658F">
            <w:pPr>
              <w:spacing w:after="0" w:line="240" w:lineRule="auto"/>
              <w:jc w:val="right"/>
              <w:rPr>
                <w:sz w:val="18"/>
                <w:szCs w:val="18"/>
                <w:lang w:eastAsia="sk-SK"/>
              </w:rPr>
            </w:pPr>
            <w:r w:rsidRPr="00AA658F">
              <w:rPr>
                <w:sz w:val="18"/>
                <w:szCs w:val="18"/>
              </w:rPr>
              <w:t>0</w:t>
            </w:r>
          </w:p>
        </w:tc>
        <w:tc>
          <w:tcPr>
            <w:tcW w:w="599" w:type="pct"/>
            <w:tcBorders>
              <w:top w:val="nil"/>
              <w:left w:val="nil"/>
              <w:right w:val="nil"/>
            </w:tcBorders>
            <w:noWrap/>
            <w:vAlign w:val="bottom"/>
            <w:hideMark/>
          </w:tcPr>
          <w:p w14:paraId="1394FF89" w14:textId="2A3D7B1C" w:rsidR="00AA658F" w:rsidRPr="00AA658F" w:rsidRDefault="00AA658F" w:rsidP="00AA658F">
            <w:pPr>
              <w:spacing w:after="0" w:line="240" w:lineRule="auto"/>
              <w:jc w:val="right"/>
              <w:rPr>
                <w:color w:val="000000"/>
                <w:sz w:val="18"/>
                <w:szCs w:val="18"/>
                <w:lang w:eastAsia="sk-SK"/>
              </w:rPr>
            </w:pPr>
            <w:r w:rsidRPr="00AA658F">
              <w:rPr>
                <w:sz w:val="18"/>
                <w:szCs w:val="18"/>
              </w:rPr>
              <w:t>193</w:t>
            </w:r>
          </w:p>
        </w:tc>
        <w:tc>
          <w:tcPr>
            <w:tcW w:w="534" w:type="pct"/>
            <w:tcBorders>
              <w:top w:val="nil"/>
              <w:left w:val="nil"/>
              <w:right w:val="nil"/>
            </w:tcBorders>
            <w:noWrap/>
            <w:vAlign w:val="bottom"/>
            <w:hideMark/>
          </w:tcPr>
          <w:p w14:paraId="561BD7CD" w14:textId="46CB656C" w:rsidR="00AA658F" w:rsidRPr="00AA658F" w:rsidRDefault="00AA658F" w:rsidP="00AA658F">
            <w:pPr>
              <w:spacing w:after="0" w:line="240" w:lineRule="auto"/>
              <w:jc w:val="right"/>
              <w:rPr>
                <w:color w:val="000000"/>
                <w:sz w:val="18"/>
                <w:szCs w:val="18"/>
                <w:lang w:eastAsia="sk-SK"/>
              </w:rPr>
            </w:pPr>
            <w:r w:rsidRPr="00AA658F">
              <w:rPr>
                <w:sz w:val="18"/>
                <w:szCs w:val="18"/>
              </w:rPr>
              <w:t>1 727</w:t>
            </w:r>
          </w:p>
        </w:tc>
        <w:tc>
          <w:tcPr>
            <w:tcW w:w="638" w:type="pct"/>
            <w:tcBorders>
              <w:top w:val="nil"/>
              <w:left w:val="nil"/>
            </w:tcBorders>
            <w:noWrap/>
            <w:vAlign w:val="bottom"/>
            <w:hideMark/>
          </w:tcPr>
          <w:p w14:paraId="0532B3AF" w14:textId="5F93ECCB" w:rsidR="00AA658F" w:rsidRPr="00AA658F" w:rsidRDefault="00AA658F" w:rsidP="00AA658F">
            <w:pPr>
              <w:spacing w:after="0" w:line="240" w:lineRule="auto"/>
              <w:jc w:val="right"/>
              <w:rPr>
                <w:color w:val="000000"/>
                <w:sz w:val="18"/>
                <w:szCs w:val="18"/>
                <w:lang w:eastAsia="sk-SK"/>
              </w:rPr>
            </w:pPr>
            <w:r w:rsidRPr="00AA658F">
              <w:rPr>
                <w:sz w:val="18"/>
                <w:szCs w:val="18"/>
              </w:rPr>
              <w:t>1 534</w:t>
            </w:r>
          </w:p>
        </w:tc>
      </w:tr>
      <w:tr w:rsidR="00AA658F" w:rsidRPr="00AA658F" w14:paraId="7CCD908D" w14:textId="77777777" w:rsidTr="00AA658F">
        <w:trPr>
          <w:trHeight w:val="300"/>
        </w:trPr>
        <w:tc>
          <w:tcPr>
            <w:tcW w:w="2301" w:type="pct"/>
            <w:vMerge w:val="restart"/>
            <w:tcBorders>
              <w:top w:val="nil"/>
              <w:right w:val="nil"/>
            </w:tcBorders>
            <w:vAlign w:val="center"/>
            <w:hideMark/>
          </w:tcPr>
          <w:p w14:paraId="50A3D964" w14:textId="14F529C9" w:rsidR="00AA658F" w:rsidRPr="00AA658F" w:rsidRDefault="00AA658F" w:rsidP="00AA658F">
            <w:pPr>
              <w:spacing w:after="0" w:line="240" w:lineRule="auto"/>
              <w:rPr>
                <w:sz w:val="18"/>
                <w:szCs w:val="18"/>
                <w:lang w:eastAsia="sk-SK"/>
              </w:rPr>
            </w:pPr>
            <w:r w:rsidRPr="00AA658F">
              <w:rPr>
                <w:sz w:val="18"/>
                <w:szCs w:val="18"/>
                <w:lang w:eastAsia="sk-SK"/>
              </w:rPr>
              <w:t>Stredoslovenská energetika Holding, a. s.</w:t>
            </w:r>
          </w:p>
        </w:tc>
        <w:tc>
          <w:tcPr>
            <w:tcW w:w="372" w:type="pct"/>
            <w:tcBorders>
              <w:top w:val="nil"/>
              <w:left w:val="nil"/>
              <w:right w:val="nil"/>
            </w:tcBorders>
            <w:vAlign w:val="bottom"/>
            <w:hideMark/>
          </w:tcPr>
          <w:p w14:paraId="38D7BF66" w14:textId="40482D80"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nil"/>
              <w:left w:val="nil"/>
              <w:right w:val="nil"/>
            </w:tcBorders>
            <w:noWrap/>
            <w:vAlign w:val="bottom"/>
            <w:hideMark/>
          </w:tcPr>
          <w:p w14:paraId="47D67F60" w14:textId="21EDBB3D" w:rsidR="00AA658F" w:rsidRPr="00AA658F" w:rsidRDefault="00AA658F" w:rsidP="00AA658F">
            <w:pPr>
              <w:spacing w:after="0" w:line="240" w:lineRule="auto"/>
              <w:jc w:val="right"/>
              <w:rPr>
                <w:b/>
                <w:bCs/>
                <w:sz w:val="18"/>
                <w:szCs w:val="18"/>
                <w:lang w:eastAsia="sk-SK"/>
              </w:rPr>
            </w:pPr>
            <w:r w:rsidRPr="00AA658F">
              <w:rPr>
                <w:b/>
                <w:bCs/>
                <w:sz w:val="18"/>
                <w:szCs w:val="18"/>
              </w:rPr>
              <w:t>74 777</w:t>
            </w:r>
          </w:p>
        </w:tc>
        <w:tc>
          <w:tcPr>
            <w:tcW w:w="599" w:type="pct"/>
            <w:tcBorders>
              <w:top w:val="nil"/>
              <w:left w:val="nil"/>
              <w:right w:val="nil"/>
            </w:tcBorders>
            <w:noWrap/>
            <w:vAlign w:val="bottom"/>
            <w:hideMark/>
          </w:tcPr>
          <w:p w14:paraId="0AE15F1E" w14:textId="5CC64099" w:rsidR="00AA658F" w:rsidRPr="00AA658F" w:rsidRDefault="00AA658F" w:rsidP="00AA658F">
            <w:pPr>
              <w:spacing w:after="0" w:line="240" w:lineRule="auto"/>
              <w:jc w:val="right"/>
              <w:rPr>
                <w:b/>
                <w:bCs/>
                <w:sz w:val="18"/>
                <w:szCs w:val="18"/>
                <w:lang w:eastAsia="sk-SK"/>
              </w:rPr>
            </w:pPr>
            <w:r w:rsidRPr="00AA658F">
              <w:rPr>
                <w:b/>
                <w:bCs/>
                <w:sz w:val="18"/>
                <w:szCs w:val="18"/>
              </w:rPr>
              <w:t>38 784</w:t>
            </w:r>
          </w:p>
        </w:tc>
        <w:tc>
          <w:tcPr>
            <w:tcW w:w="534" w:type="pct"/>
            <w:tcBorders>
              <w:top w:val="nil"/>
              <w:left w:val="nil"/>
              <w:right w:val="nil"/>
            </w:tcBorders>
            <w:noWrap/>
            <w:vAlign w:val="bottom"/>
            <w:hideMark/>
          </w:tcPr>
          <w:p w14:paraId="030AC231" w14:textId="400F380C" w:rsidR="00AA658F" w:rsidRPr="00AA658F" w:rsidRDefault="00AA658F" w:rsidP="00AA658F">
            <w:pPr>
              <w:spacing w:after="0" w:line="240" w:lineRule="auto"/>
              <w:jc w:val="right"/>
              <w:rPr>
                <w:b/>
                <w:bCs/>
                <w:sz w:val="18"/>
                <w:szCs w:val="18"/>
                <w:lang w:eastAsia="sk-SK"/>
              </w:rPr>
            </w:pPr>
            <w:r w:rsidRPr="00AA658F">
              <w:rPr>
                <w:b/>
                <w:bCs/>
                <w:sz w:val="18"/>
                <w:szCs w:val="18"/>
              </w:rPr>
              <w:t>33 081</w:t>
            </w:r>
          </w:p>
        </w:tc>
        <w:tc>
          <w:tcPr>
            <w:tcW w:w="638" w:type="pct"/>
            <w:tcBorders>
              <w:top w:val="nil"/>
              <w:left w:val="nil"/>
            </w:tcBorders>
            <w:noWrap/>
            <w:vAlign w:val="bottom"/>
            <w:hideMark/>
          </w:tcPr>
          <w:p w14:paraId="4EC87F6E" w14:textId="6BD46204" w:rsidR="00AA658F" w:rsidRPr="00AA658F" w:rsidRDefault="00AA658F" w:rsidP="00AA658F">
            <w:pPr>
              <w:spacing w:after="0" w:line="240" w:lineRule="auto"/>
              <w:jc w:val="right"/>
              <w:rPr>
                <w:b/>
                <w:bCs/>
                <w:sz w:val="18"/>
                <w:szCs w:val="18"/>
                <w:lang w:eastAsia="sk-SK"/>
              </w:rPr>
            </w:pPr>
            <w:r w:rsidRPr="00AA658F">
              <w:rPr>
                <w:b/>
                <w:bCs/>
                <w:sz w:val="18"/>
                <w:szCs w:val="18"/>
              </w:rPr>
              <w:t>-5 703</w:t>
            </w:r>
          </w:p>
        </w:tc>
      </w:tr>
      <w:tr w:rsidR="00AA658F" w:rsidRPr="00AA658F" w14:paraId="5E4E2651" w14:textId="77777777" w:rsidTr="00AA658F">
        <w:trPr>
          <w:trHeight w:val="300"/>
        </w:trPr>
        <w:tc>
          <w:tcPr>
            <w:tcW w:w="2301" w:type="pct"/>
            <w:vMerge/>
            <w:tcBorders>
              <w:top w:val="nil"/>
              <w:right w:val="nil"/>
            </w:tcBorders>
            <w:vAlign w:val="center"/>
            <w:hideMark/>
          </w:tcPr>
          <w:p w14:paraId="752F7026"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37EE569E" w14:textId="4028CABF"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hideMark/>
          </w:tcPr>
          <w:p w14:paraId="4D7DCC21" w14:textId="06E1F17A" w:rsidR="00AA658F" w:rsidRPr="00AA658F" w:rsidRDefault="00AA658F" w:rsidP="00AA658F">
            <w:pPr>
              <w:spacing w:after="0" w:line="240" w:lineRule="auto"/>
              <w:jc w:val="right"/>
              <w:rPr>
                <w:sz w:val="18"/>
                <w:szCs w:val="18"/>
                <w:lang w:eastAsia="sk-SK"/>
              </w:rPr>
            </w:pPr>
            <w:r w:rsidRPr="00AA658F">
              <w:rPr>
                <w:sz w:val="18"/>
                <w:szCs w:val="18"/>
              </w:rPr>
              <w:t>74 777</w:t>
            </w:r>
          </w:p>
        </w:tc>
        <w:tc>
          <w:tcPr>
            <w:tcW w:w="599" w:type="pct"/>
            <w:tcBorders>
              <w:top w:val="nil"/>
              <w:left w:val="nil"/>
              <w:right w:val="nil"/>
            </w:tcBorders>
            <w:noWrap/>
            <w:vAlign w:val="bottom"/>
            <w:hideMark/>
          </w:tcPr>
          <w:p w14:paraId="6E0CFAEE" w14:textId="12A5FB6F" w:rsidR="00AA658F" w:rsidRPr="00AA658F" w:rsidRDefault="00AA658F" w:rsidP="00AA658F">
            <w:pPr>
              <w:spacing w:after="0" w:line="240" w:lineRule="auto"/>
              <w:jc w:val="right"/>
              <w:rPr>
                <w:color w:val="000000"/>
                <w:sz w:val="18"/>
                <w:szCs w:val="18"/>
                <w:lang w:eastAsia="sk-SK"/>
              </w:rPr>
            </w:pPr>
            <w:r w:rsidRPr="00AA658F">
              <w:rPr>
                <w:sz w:val="18"/>
                <w:szCs w:val="18"/>
              </w:rPr>
              <w:t>38 784</w:t>
            </w:r>
          </w:p>
        </w:tc>
        <w:tc>
          <w:tcPr>
            <w:tcW w:w="534" w:type="pct"/>
            <w:tcBorders>
              <w:top w:val="nil"/>
              <w:left w:val="nil"/>
              <w:right w:val="nil"/>
            </w:tcBorders>
            <w:noWrap/>
            <w:vAlign w:val="bottom"/>
            <w:hideMark/>
          </w:tcPr>
          <w:p w14:paraId="030380B7" w14:textId="42FE5F0D" w:rsidR="00AA658F" w:rsidRPr="00AA658F" w:rsidRDefault="00AA658F" w:rsidP="00AA658F">
            <w:pPr>
              <w:spacing w:after="0" w:line="240" w:lineRule="auto"/>
              <w:jc w:val="right"/>
              <w:rPr>
                <w:color w:val="000000"/>
                <w:sz w:val="18"/>
                <w:szCs w:val="18"/>
                <w:lang w:eastAsia="sk-SK"/>
              </w:rPr>
            </w:pPr>
            <w:r w:rsidRPr="00AA658F">
              <w:rPr>
                <w:sz w:val="18"/>
                <w:szCs w:val="18"/>
              </w:rPr>
              <w:t>28 726</w:t>
            </w:r>
          </w:p>
        </w:tc>
        <w:tc>
          <w:tcPr>
            <w:tcW w:w="638" w:type="pct"/>
            <w:tcBorders>
              <w:top w:val="nil"/>
              <w:left w:val="nil"/>
            </w:tcBorders>
            <w:noWrap/>
            <w:vAlign w:val="bottom"/>
            <w:hideMark/>
          </w:tcPr>
          <w:p w14:paraId="386D9086" w14:textId="6727CA2F" w:rsidR="00AA658F" w:rsidRPr="00AA658F" w:rsidRDefault="00AA658F" w:rsidP="00AA658F">
            <w:pPr>
              <w:spacing w:after="0" w:line="240" w:lineRule="auto"/>
              <w:jc w:val="right"/>
              <w:rPr>
                <w:color w:val="000000"/>
                <w:sz w:val="18"/>
                <w:szCs w:val="18"/>
                <w:lang w:eastAsia="sk-SK"/>
              </w:rPr>
            </w:pPr>
            <w:r w:rsidRPr="00AA658F">
              <w:rPr>
                <w:sz w:val="18"/>
                <w:szCs w:val="18"/>
              </w:rPr>
              <w:t>-10 058</w:t>
            </w:r>
          </w:p>
        </w:tc>
      </w:tr>
      <w:tr w:rsidR="00AA658F" w:rsidRPr="00AA658F" w14:paraId="36E27217" w14:textId="77777777" w:rsidTr="00AA658F">
        <w:trPr>
          <w:trHeight w:val="300"/>
        </w:trPr>
        <w:tc>
          <w:tcPr>
            <w:tcW w:w="2301" w:type="pct"/>
            <w:vMerge/>
            <w:tcBorders>
              <w:top w:val="nil"/>
              <w:right w:val="nil"/>
            </w:tcBorders>
            <w:vAlign w:val="center"/>
            <w:hideMark/>
          </w:tcPr>
          <w:p w14:paraId="7720E6C3"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4441B1EA" w14:textId="7394B290"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right w:val="nil"/>
            </w:tcBorders>
            <w:noWrap/>
            <w:vAlign w:val="bottom"/>
            <w:hideMark/>
          </w:tcPr>
          <w:p w14:paraId="27532737" w14:textId="7B369E71" w:rsidR="00AA658F" w:rsidRPr="00AA658F" w:rsidRDefault="00AA658F" w:rsidP="00AA658F">
            <w:pPr>
              <w:spacing w:after="0" w:line="240" w:lineRule="auto"/>
              <w:jc w:val="right"/>
              <w:rPr>
                <w:sz w:val="18"/>
                <w:szCs w:val="18"/>
                <w:lang w:eastAsia="sk-SK"/>
              </w:rPr>
            </w:pPr>
            <w:r w:rsidRPr="00AA658F">
              <w:rPr>
                <w:sz w:val="18"/>
                <w:szCs w:val="18"/>
              </w:rPr>
              <w:t>0</w:t>
            </w:r>
          </w:p>
        </w:tc>
        <w:tc>
          <w:tcPr>
            <w:tcW w:w="599" w:type="pct"/>
            <w:tcBorders>
              <w:top w:val="nil"/>
              <w:left w:val="nil"/>
              <w:right w:val="nil"/>
            </w:tcBorders>
            <w:noWrap/>
            <w:vAlign w:val="bottom"/>
            <w:hideMark/>
          </w:tcPr>
          <w:p w14:paraId="3C142E37" w14:textId="58127AB4"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34" w:type="pct"/>
            <w:tcBorders>
              <w:top w:val="nil"/>
              <w:left w:val="nil"/>
              <w:right w:val="nil"/>
            </w:tcBorders>
            <w:noWrap/>
            <w:vAlign w:val="bottom"/>
            <w:hideMark/>
          </w:tcPr>
          <w:p w14:paraId="6D3DC786" w14:textId="36D9E769" w:rsidR="00AA658F" w:rsidRPr="00AA658F" w:rsidRDefault="00AA658F" w:rsidP="00AA658F">
            <w:pPr>
              <w:spacing w:after="0" w:line="240" w:lineRule="auto"/>
              <w:jc w:val="right"/>
              <w:rPr>
                <w:color w:val="000000"/>
                <w:sz w:val="18"/>
                <w:szCs w:val="18"/>
                <w:lang w:eastAsia="sk-SK"/>
              </w:rPr>
            </w:pPr>
            <w:r w:rsidRPr="00AA658F">
              <w:rPr>
                <w:sz w:val="18"/>
                <w:szCs w:val="18"/>
              </w:rPr>
              <w:t>4 355</w:t>
            </w:r>
          </w:p>
        </w:tc>
        <w:tc>
          <w:tcPr>
            <w:tcW w:w="638" w:type="pct"/>
            <w:tcBorders>
              <w:top w:val="nil"/>
              <w:left w:val="nil"/>
            </w:tcBorders>
            <w:noWrap/>
            <w:vAlign w:val="bottom"/>
            <w:hideMark/>
          </w:tcPr>
          <w:p w14:paraId="761C4DD2" w14:textId="7BA1DD3C" w:rsidR="00AA658F" w:rsidRPr="00AA658F" w:rsidRDefault="00AA658F" w:rsidP="00AA658F">
            <w:pPr>
              <w:spacing w:after="0" w:line="240" w:lineRule="auto"/>
              <w:jc w:val="right"/>
              <w:rPr>
                <w:color w:val="000000"/>
                <w:sz w:val="18"/>
                <w:szCs w:val="18"/>
                <w:lang w:eastAsia="sk-SK"/>
              </w:rPr>
            </w:pPr>
            <w:r w:rsidRPr="00AA658F">
              <w:rPr>
                <w:sz w:val="18"/>
                <w:szCs w:val="18"/>
              </w:rPr>
              <w:t>4 355</w:t>
            </w:r>
          </w:p>
        </w:tc>
      </w:tr>
      <w:tr w:rsidR="00AA658F" w:rsidRPr="00AA658F" w14:paraId="7C1B9D48" w14:textId="77777777" w:rsidTr="00AA658F">
        <w:trPr>
          <w:trHeight w:val="300"/>
        </w:trPr>
        <w:tc>
          <w:tcPr>
            <w:tcW w:w="2301" w:type="pct"/>
            <w:vMerge w:val="restart"/>
            <w:tcBorders>
              <w:top w:val="nil"/>
              <w:right w:val="nil"/>
            </w:tcBorders>
            <w:vAlign w:val="center"/>
            <w:hideMark/>
          </w:tcPr>
          <w:p w14:paraId="283FBF7D" w14:textId="7FF5E6B6" w:rsidR="00AA658F" w:rsidRPr="00AA658F" w:rsidRDefault="00AA658F" w:rsidP="00AA658F">
            <w:pPr>
              <w:spacing w:after="0" w:line="240" w:lineRule="auto"/>
              <w:rPr>
                <w:sz w:val="18"/>
                <w:szCs w:val="18"/>
                <w:lang w:eastAsia="sk-SK"/>
              </w:rPr>
            </w:pPr>
            <w:r w:rsidRPr="00AA658F">
              <w:rPr>
                <w:sz w:val="18"/>
                <w:szCs w:val="18"/>
                <w:lang w:eastAsia="sk-SK"/>
              </w:rPr>
              <w:t>Východoslovenská energetika Holding, a. s.</w:t>
            </w:r>
          </w:p>
        </w:tc>
        <w:tc>
          <w:tcPr>
            <w:tcW w:w="372" w:type="pct"/>
            <w:tcBorders>
              <w:top w:val="nil"/>
              <w:left w:val="nil"/>
              <w:right w:val="nil"/>
            </w:tcBorders>
            <w:vAlign w:val="bottom"/>
            <w:hideMark/>
          </w:tcPr>
          <w:p w14:paraId="30A1DDCD" w14:textId="071395C8"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nil"/>
              <w:left w:val="nil"/>
              <w:right w:val="nil"/>
            </w:tcBorders>
            <w:noWrap/>
            <w:vAlign w:val="bottom"/>
            <w:hideMark/>
          </w:tcPr>
          <w:p w14:paraId="4CC6CE93" w14:textId="28F83407" w:rsidR="00AA658F" w:rsidRPr="00AA658F" w:rsidRDefault="00AA658F" w:rsidP="00AA658F">
            <w:pPr>
              <w:spacing w:after="0" w:line="240" w:lineRule="auto"/>
              <w:jc w:val="right"/>
              <w:rPr>
                <w:b/>
                <w:bCs/>
                <w:sz w:val="18"/>
                <w:szCs w:val="18"/>
                <w:lang w:eastAsia="sk-SK"/>
              </w:rPr>
            </w:pPr>
            <w:r w:rsidRPr="00AA658F">
              <w:rPr>
                <w:b/>
                <w:bCs/>
                <w:sz w:val="18"/>
                <w:szCs w:val="18"/>
              </w:rPr>
              <w:t>29 070</w:t>
            </w:r>
          </w:p>
        </w:tc>
        <w:tc>
          <w:tcPr>
            <w:tcW w:w="599" w:type="pct"/>
            <w:tcBorders>
              <w:top w:val="nil"/>
              <w:left w:val="nil"/>
              <w:right w:val="nil"/>
            </w:tcBorders>
            <w:noWrap/>
            <w:vAlign w:val="bottom"/>
            <w:hideMark/>
          </w:tcPr>
          <w:p w14:paraId="01EFB3B9" w14:textId="31B9A3FE" w:rsidR="00AA658F" w:rsidRPr="00AA658F" w:rsidRDefault="00AA658F" w:rsidP="00AA658F">
            <w:pPr>
              <w:spacing w:after="0" w:line="240" w:lineRule="auto"/>
              <w:jc w:val="right"/>
              <w:rPr>
                <w:b/>
                <w:bCs/>
                <w:sz w:val="18"/>
                <w:szCs w:val="18"/>
                <w:lang w:eastAsia="sk-SK"/>
              </w:rPr>
            </w:pPr>
            <w:r w:rsidRPr="00AA658F">
              <w:rPr>
                <w:b/>
                <w:bCs/>
                <w:sz w:val="18"/>
                <w:szCs w:val="18"/>
              </w:rPr>
              <w:t>10 710</w:t>
            </w:r>
          </w:p>
        </w:tc>
        <w:tc>
          <w:tcPr>
            <w:tcW w:w="534" w:type="pct"/>
            <w:tcBorders>
              <w:top w:val="nil"/>
              <w:left w:val="nil"/>
              <w:right w:val="nil"/>
            </w:tcBorders>
            <w:noWrap/>
            <w:vAlign w:val="bottom"/>
            <w:hideMark/>
          </w:tcPr>
          <w:p w14:paraId="63CE7D46" w14:textId="41587C37" w:rsidR="00AA658F" w:rsidRPr="00AA658F" w:rsidRDefault="00AA658F" w:rsidP="00AA658F">
            <w:pPr>
              <w:spacing w:after="0" w:line="240" w:lineRule="auto"/>
              <w:jc w:val="right"/>
              <w:rPr>
                <w:b/>
                <w:bCs/>
                <w:sz w:val="18"/>
                <w:szCs w:val="18"/>
                <w:lang w:eastAsia="sk-SK"/>
              </w:rPr>
            </w:pPr>
            <w:r w:rsidRPr="00AA658F">
              <w:rPr>
                <w:b/>
                <w:bCs/>
                <w:sz w:val="18"/>
                <w:szCs w:val="18"/>
              </w:rPr>
              <w:t>0</w:t>
            </w:r>
          </w:p>
        </w:tc>
        <w:tc>
          <w:tcPr>
            <w:tcW w:w="638" w:type="pct"/>
            <w:tcBorders>
              <w:top w:val="nil"/>
              <w:left w:val="nil"/>
            </w:tcBorders>
            <w:noWrap/>
            <w:vAlign w:val="bottom"/>
            <w:hideMark/>
          </w:tcPr>
          <w:p w14:paraId="03A8C1B3" w14:textId="38732A67" w:rsidR="00AA658F" w:rsidRPr="00AA658F" w:rsidRDefault="00AA658F" w:rsidP="00AA658F">
            <w:pPr>
              <w:spacing w:after="0" w:line="240" w:lineRule="auto"/>
              <w:jc w:val="right"/>
              <w:rPr>
                <w:b/>
                <w:bCs/>
                <w:sz w:val="18"/>
                <w:szCs w:val="18"/>
                <w:lang w:eastAsia="sk-SK"/>
              </w:rPr>
            </w:pPr>
            <w:r w:rsidRPr="00AA658F">
              <w:rPr>
                <w:b/>
                <w:bCs/>
                <w:sz w:val="18"/>
                <w:szCs w:val="18"/>
              </w:rPr>
              <w:t>-10 710</w:t>
            </w:r>
          </w:p>
        </w:tc>
      </w:tr>
      <w:tr w:rsidR="00AA658F" w:rsidRPr="00AA658F" w14:paraId="721338C1" w14:textId="77777777" w:rsidTr="00AA658F">
        <w:trPr>
          <w:trHeight w:val="300"/>
        </w:trPr>
        <w:tc>
          <w:tcPr>
            <w:tcW w:w="2301" w:type="pct"/>
            <w:vMerge/>
            <w:tcBorders>
              <w:top w:val="nil"/>
              <w:right w:val="nil"/>
            </w:tcBorders>
            <w:vAlign w:val="center"/>
            <w:hideMark/>
          </w:tcPr>
          <w:p w14:paraId="4A6DC845"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70A8D54E" w14:textId="6C2E7F7E"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hideMark/>
          </w:tcPr>
          <w:p w14:paraId="180C142A" w14:textId="54A9FFC5" w:rsidR="00AA658F" w:rsidRPr="00AA658F" w:rsidRDefault="00AA658F" w:rsidP="00AA658F">
            <w:pPr>
              <w:spacing w:after="0" w:line="240" w:lineRule="auto"/>
              <w:jc w:val="right"/>
              <w:rPr>
                <w:sz w:val="18"/>
                <w:szCs w:val="18"/>
                <w:lang w:eastAsia="sk-SK"/>
              </w:rPr>
            </w:pPr>
            <w:r w:rsidRPr="00AA658F">
              <w:rPr>
                <w:sz w:val="18"/>
                <w:szCs w:val="18"/>
              </w:rPr>
              <w:t>23 231</w:t>
            </w:r>
          </w:p>
        </w:tc>
        <w:tc>
          <w:tcPr>
            <w:tcW w:w="599" w:type="pct"/>
            <w:tcBorders>
              <w:top w:val="nil"/>
              <w:left w:val="nil"/>
              <w:right w:val="nil"/>
            </w:tcBorders>
            <w:noWrap/>
            <w:vAlign w:val="bottom"/>
            <w:hideMark/>
          </w:tcPr>
          <w:p w14:paraId="226E486E" w14:textId="00A49275" w:rsidR="00AA658F" w:rsidRPr="00AA658F" w:rsidRDefault="00AA658F" w:rsidP="00AA658F">
            <w:pPr>
              <w:spacing w:after="0" w:line="240" w:lineRule="auto"/>
              <w:jc w:val="right"/>
              <w:rPr>
                <w:color w:val="000000"/>
                <w:sz w:val="18"/>
                <w:szCs w:val="18"/>
                <w:lang w:eastAsia="sk-SK"/>
              </w:rPr>
            </w:pPr>
            <w:r w:rsidRPr="00AA658F">
              <w:rPr>
                <w:sz w:val="18"/>
                <w:szCs w:val="18"/>
              </w:rPr>
              <w:t>9 666</w:t>
            </w:r>
          </w:p>
        </w:tc>
        <w:tc>
          <w:tcPr>
            <w:tcW w:w="534" w:type="pct"/>
            <w:tcBorders>
              <w:top w:val="nil"/>
              <w:left w:val="nil"/>
              <w:right w:val="nil"/>
            </w:tcBorders>
            <w:noWrap/>
            <w:vAlign w:val="bottom"/>
            <w:hideMark/>
          </w:tcPr>
          <w:p w14:paraId="7BDD6E23" w14:textId="5E38DF27"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638" w:type="pct"/>
            <w:tcBorders>
              <w:top w:val="nil"/>
              <w:left w:val="nil"/>
            </w:tcBorders>
            <w:noWrap/>
            <w:vAlign w:val="bottom"/>
            <w:hideMark/>
          </w:tcPr>
          <w:p w14:paraId="78D72E2C" w14:textId="112EACA6" w:rsidR="00AA658F" w:rsidRPr="00AA658F" w:rsidRDefault="00AA658F" w:rsidP="00AA658F">
            <w:pPr>
              <w:spacing w:after="0" w:line="240" w:lineRule="auto"/>
              <w:jc w:val="right"/>
              <w:rPr>
                <w:color w:val="000000"/>
                <w:sz w:val="18"/>
                <w:szCs w:val="18"/>
                <w:lang w:eastAsia="sk-SK"/>
              </w:rPr>
            </w:pPr>
            <w:r w:rsidRPr="00AA658F">
              <w:rPr>
                <w:sz w:val="18"/>
                <w:szCs w:val="18"/>
              </w:rPr>
              <w:t>-9 666</w:t>
            </w:r>
          </w:p>
        </w:tc>
      </w:tr>
      <w:tr w:rsidR="00AA658F" w:rsidRPr="00AA658F" w14:paraId="5AA3FA23" w14:textId="77777777" w:rsidTr="00AA658F">
        <w:trPr>
          <w:trHeight w:val="300"/>
        </w:trPr>
        <w:tc>
          <w:tcPr>
            <w:tcW w:w="2301" w:type="pct"/>
            <w:vMerge/>
            <w:tcBorders>
              <w:top w:val="nil"/>
              <w:right w:val="nil"/>
            </w:tcBorders>
            <w:vAlign w:val="center"/>
            <w:hideMark/>
          </w:tcPr>
          <w:p w14:paraId="66753E2B"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3ADEF3C7" w14:textId="0EDE5F85"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right w:val="nil"/>
            </w:tcBorders>
            <w:noWrap/>
            <w:vAlign w:val="bottom"/>
            <w:hideMark/>
          </w:tcPr>
          <w:p w14:paraId="163AF250" w14:textId="54A2C20A" w:rsidR="00AA658F" w:rsidRPr="00AA658F" w:rsidRDefault="00AA658F" w:rsidP="00AA658F">
            <w:pPr>
              <w:spacing w:after="0" w:line="240" w:lineRule="auto"/>
              <w:jc w:val="right"/>
              <w:rPr>
                <w:b/>
                <w:bCs/>
                <w:color w:val="000000"/>
                <w:sz w:val="18"/>
                <w:szCs w:val="18"/>
                <w:lang w:eastAsia="sk-SK"/>
              </w:rPr>
            </w:pPr>
            <w:r w:rsidRPr="00AA658F">
              <w:rPr>
                <w:sz w:val="18"/>
                <w:szCs w:val="18"/>
              </w:rPr>
              <w:t>5 839</w:t>
            </w:r>
          </w:p>
        </w:tc>
        <w:tc>
          <w:tcPr>
            <w:tcW w:w="599" w:type="pct"/>
            <w:tcBorders>
              <w:top w:val="nil"/>
              <w:left w:val="nil"/>
              <w:right w:val="nil"/>
            </w:tcBorders>
            <w:noWrap/>
            <w:vAlign w:val="bottom"/>
            <w:hideMark/>
          </w:tcPr>
          <w:p w14:paraId="6E6E9272" w14:textId="6D69E54A" w:rsidR="00AA658F" w:rsidRPr="00AA658F" w:rsidRDefault="00AA658F" w:rsidP="00AA658F">
            <w:pPr>
              <w:spacing w:after="0" w:line="240" w:lineRule="auto"/>
              <w:jc w:val="right"/>
              <w:rPr>
                <w:color w:val="000000"/>
                <w:sz w:val="18"/>
                <w:szCs w:val="18"/>
                <w:lang w:eastAsia="sk-SK"/>
              </w:rPr>
            </w:pPr>
            <w:r w:rsidRPr="00AA658F">
              <w:rPr>
                <w:sz w:val="18"/>
                <w:szCs w:val="18"/>
              </w:rPr>
              <w:t>1 044</w:t>
            </w:r>
          </w:p>
        </w:tc>
        <w:tc>
          <w:tcPr>
            <w:tcW w:w="534" w:type="pct"/>
            <w:tcBorders>
              <w:top w:val="nil"/>
              <w:left w:val="nil"/>
              <w:right w:val="nil"/>
            </w:tcBorders>
            <w:noWrap/>
            <w:vAlign w:val="bottom"/>
            <w:hideMark/>
          </w:tcPr>
          <w:p w14:paraId="22F4FFC6" w14:textId="7334AD7F"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638" w:type="pct"/>
            <w:tcBorders>
              <w:top w:val="nil"/>
              <w:left w:val="nil"/>
            </w:tcBorders>
            <w:noWrap/>
            <w:vAlign w:val="bottom"/>
            <w:hideMark/>
          </w:tcPr>
          <w:p w14:paraId="2C05192F" w14:textId="1EBD1DEA" w:rsidR="00AA658F" w:rsidRPr="00AA658F" w:rsidRDefault="00AA658F" w:rsidP="00AA658F">
            <w:pPr>
              <w:spacing w:after="0" w:line="240" w:lineRule="auto"/>
              <w:jc w:val="right"/>
              <w:rPr>
                <w:color w:val="000000"/>
                <w:sz w:val="18"/>
                <w:szCs w:val="18"/>
                <w:lang w:eastAsia="sk-SK"/>
              </w:rPr>
            </w:pPr>
            <w:r w:rsidRPr="00AA658F">
              <w:rPr>
                <w:sz w:val="18"/>
                <w:szCs w:val="18"/>
              </w:rPr>
              <w:t>-1 044</w:t>
            </w:r>
          </w:p>
        </w:tc>
      </w:tr>
      <w:tr w:rsidR="00AA658F" w:rsidRPr="00AA658F" w14:paraId="33B1EA5F" w14:textId="77777777" w:rsidTr="00AA658F">
        <w:trPr>
          <w:trHeight w:val="300"/>
        </w:trPr>
        <w:tc>
          <w:tcPr>
            <w:tcW w:w="2301" w:type="pct"/>
            <w:vMerge w:val="restart"/>
            <w:tcBorders>
              <w:top w:val="nil"/>
              <w:right w:val="nil"/>
            </w:tcBorders>
            <w:vAlign w:val="center"/>
            <w:hideMark/>
          </w:tcPr>
          <w:p w14:paraId="5FBFF74A" w14:textId="0765B27C" w:rsidR="00AA658F" w:rsidRPr="00AA658F" w:rsidRDefault="00AA658F" w:rsidP="00AA658F">
            <w:pPr>
              <w:spacing w:after="0" w:line="240" w:lineRule="auto"/>
              <w:rPr>
                <w:sz w:val="18"/>
                <w:szCs w:val="18"/>
                <w:lang w:eastAsia="sk-SK"/>
              </w:rPr>
            </w:pPr>
            <w:r w:rsidRPr="00AA658F">
              <w:rPr>
                <w:sz w:val="18"/>
                <w:szCs w:val="18"/>
                <w:lang w:eastAsia="sk-SK"/>
              </w:rPr>
              <w:t>Transpetrol, a. s.</w:t>
            </w:r>
          </w:p>
        </w:tc>
        <w:tc>
          <w:tcPr>
            <w:tcW w:w="372" w:type="pct"/>
            <w:tcBorders>
              <w:top w:val="nil"/>
              <w:left w:val="nil"/>
              <w:right w:val="nil"/>
            </w:tcBorders>
            <w:vAlign w:val="bottom"/>
            <w:hideMark/>
          </w:tcPr>
          <w:p w14:paraId="627EC545" w14:textId="0263468F"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nil"/>
              <w:left w:val="nil"/>
              <w:right w:val="nil"/>
            </w:tcBorders>
            <w:noWrap/>
            <w:vAlign w:val="bottom"/>
            <w:hideMark/>
          </w:tcPr>
          <w:p w14:paraId="3462DDC8" w14:textId="77E36F4B" w:rsidR="00AA658F" w:rsidRPr="00AA658F" w:rsidRDefault="00AA658F" w:rsidP="00AA658F">
            <w:pPr>
              <w:spacing w:after="0" w:line="240" w:lineRule="auto"/>
              <w:jc w:val="right"/>
              <w:rPr>
                <w:b/>
                <w:bCs/>
                <w:sz w:val="18"/>
                <w:szCs w:val="18"/>
                <w:lang w:eastAsia="sk-SK"/>
              </w:rPr>
            </w:pPr>
            <w:r w:rsidRPr="00AA658F">
              <w:rPr>
                <w:b/>
                <w:bCs/>
                <w:sz w:val="18"/>
                <w:szCs w:val="18"/>
              </w:rPr>
              <w:t>1 500</w:t>
            </w:r>
          </w:p>
        </w:tc>
        <w:tc>
          <w:tcPr>
            <w:tcW w:w="599" w:type="pct"/>
            <w:tcBorders>
              <w:top w:val="nil"/>
              <w:left w:val="nil"/>
              <w:right w:val="nil"/>
            </w:tcBorders>
            <w:noWrap/>
            <w:vAlign w:val="bottom"/>
            <w:hideMark/>
          </w:tcPr>
          <w:p w14:paraId="4FE302D8" w14:textId="63BC68C6" w:rsidR="00AA658F" w:rsidRPr="00AA658F" w:rsidRDefault="00AA658F" w:rsidP="00AA658F">
            <w:pPr>
              <w:spacing w:after="0" w:line="240" w:lineRule="auto"/>
              <w:jc w:val="right"/>
              <w:rPr>
                <w:b/>
                <w:bCs/>
                <w:sz w:val="18"/>
                <w:szCs w:val="18"/>
                <w:lang w:eastAsia="sk-SK"/>
              </w:rPr>
            </w:pPr>
            <w:r w:rsidRPr="00AA658F">
              <w:rPr>
                <w:b/>
                <w:bCs/>
                <w:sz w:val="18"/>
                <w:szCs w:val="18"/>
              </w:rPr>
              <w:t>1 500</w:t>
            </w:r>
          </w:p>
        </w:tc>
        <w:tc>
          <w:tcPr>
            <w:tcW w:w="534" w:type="pct"/>
            <w:tcBorders>
              <w:top w:val="nil"/>
              <w:left w:val="nil"/>
              <w:right w:val="nil"/>
            </w:tcBorders>
            <w:noWrap/>
            <w:vAlign w:val="bottom"/>
            <w:hideMark/>
          </w:tcPr>
          <w:p w14:paraId="52F0F35B" w14:textId="48EDD1CA" w:rsidR="00AA658F" w:rsidRPr="00AA658F" w:rsidRDefault="00AA658F" w:rsidP="00AA658F">
            <w:pPr>
              <w:spacing w:after="0" w:line="240" w:lineRule="auto"/>
              <w:jc w:val="right"/>
              <w:rPr>
                <w:b/>
                <w:bCs/>
                <w:sz w:val="18"/>
                <w:szCs w:val="18"/>
                <w:lang w:eastAsia="sk-SK"/>
              </w:rPr>
            </w:pPr>
            <w:r w:rsidRPr="00AA658F">
              <w:rPr>
                <w:b/>
                <w:bCs/>
                <w:sz w:val="18"/>
                <w:szCs w:val="18"/>
              </w:rPr>
              <w:t>1 500</w:t>
            </w:r>
          </w:p>
        </w:tc>
        <w:tc>
          <w:tcPr>
            <w:tcW w:w="638" w:type="pct"/>
            <w:tcBorders>
              <w:top w:val="nil"/>
              <w:left w:val="nil"/>
            </w:tcBorders>
            <w:noWrap/>
            <w:vAlign w:val="bottom"/>
            <w:hideMark/>
          </w:tcPr>
          <w:p w14:paraId="00B4D091" w14:textId="26F7E604" w:rsidR="00AA658F" w:rsidRPr="00AA658F" w:rsidRDefault="00AA658F" w:rsidP="00AA658F">
            <w:pPr>
              <w:spacing w:after="0" w:line="240" w:lineRule="auto"/>
              <w:jc w:val="right"/>
              <w:rPr>
                <w:b/>
                <w:bCs/>
                <w:sz w:val="18"/>
                <w:szCs w:val="18"/>
                <w:lang w:eastAsia="sk-SK"/>
              </w:rPr>
            </w:pPr>
            <w:r w:rsidRPr="00AA658F">
              <w:rPr>
                <w:b/>
                <w:bCs/>
                <w:sz w:val="18"/>
                <w:szCs w:val="18"/>
              </w:rPr>
              <w:t>0</w:t>
            </w:r>
          </w:p>
        </w:tc>
      </w:tr>
      <w:tr w:rsidR="00AA658F" w:rsidRPr="00AA658F" w14:paraId="5BEF45BA" w14:textId="77777777" w:rsidTr="00AA658F">
        <w:trPr>
          <w:trHeight w:val="300"/>
        </w:trPr>
        <w:tc>
          <w:tcPr>
            <w:tcW w:w="2301" w:type="pct"/>
            <w:vMerge/>
            <w:tcBorders>
              <w:top w:val="nil"/>
              <w:right w:val="nil"/>
            </w:tcBorders>
            <w:vAlign w:val="center"/>
            <w:hideMark/>
          </w:tcPr>
          <w:p w14:paraId="4B7911FC"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7EB3BCDC" w14:textId="1F2AD457"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hideMark/>
          </w:tcPr>
          <w:p w14:paraId="50613104" w14:textId="23F77D82" w:rsidR="00AA658F" w:rsidRPr="00AA658F" w:rsidRDefault="00AA658F" w:rsidP="00AA658F">
            <w:pPr>
              <w:spacing w:after="0" w:line="240" w:lineRule="auto"/>
              <w:jc w:val="right"/>
              <w:rPr>
                <w:sz w:val="18"/>
                <w:szCs w:val="18"/>
                <w:lang w:eastAsia="sk-SK"/>
              </w:rPr>
            </w:pPr>
            <w:r w:rsidRPr="00AA658F">
              <w:rPr>
                <w:sz w:val="18"/>
                <w:szCs w:val="18"/>
              </w:rPr>
              <w:t>1 500</w:t>
            </w:r>
          </w:p>
        </w:tc>
        <w:tc>
          <w:tcPr>
            <w:tcW w:w="599" w:type="pct"/>
            <w:tcBorders>
              <w:top w:val="nil"/>
              <w:left w:val="nil"/>
              <w:right w:val="nil"/>
            </w:tcBorders>
            <w:noWrap/>
            <w:vAlign w:val="bottom"/>
            <w:hideMark/>
          </w:tcPr>
          <w:p w14:paraId="3BA25247" w14:textId="77B63E7C" w:rsidR="00AA658F" w:rsidRPr="00AA658F" w:rsidRDefault="00AA658F" w:rsidP="00AA658F">
            <w:pPr>
              <w:spacing w:after="0" w:line="240" w:lineRule="auto"/>
              <w:jc w:val="right"/>
              <w:rPr>
                <w:color w:val="000000"/>
                <w:sz w:val="18"/>
                <w:szCs w:val="18"/>
                <w:lang w:eastAsia="sk-SK"/>
              </w:rPr>
            </w:pPr>
            <w:r w:rsidRPr="00AA658F">
              <w:rPr>
                <w:sz w:val="18"/>
                <w:szCs w:val="18"/>
              </w:rPr>
              <w:t>1 500</w:t>
            </w:r>
          </w:p>
        </w:tc>
        <w:tc>
          <w:tcPr>
            <w:tcW w:w="534" w:type="pct"/>
            <w:tcBorders>
              <w:top w:val="nil"/>
              <w:left w:val="nil"/>
              <w:right w:val="nil"/>
            </w:tcBorders>
            <w:noWrap/>
            <w:vAlign w:val="bottom"/>
            <w:hideMark/>
          </w:tcPr>
          <w:p w14:paraId="5D3B2FE1" w14:textId="7236B03C" w:rsidR="00AA658F" w:rsidRPr="00AA658F" w:rsidRDefault="00AA658F" w:rsidP="00AA658F">
            <w:pPr>
              <w:spacing w:after="0" w:line="240" w:lineRule="auto"/>
              <w:jc w:val="right"/>
              <w:rPr>
                <w:color w:val="000000"/>
                <w:sz w:val="18"/>
                <w:szCs w:val="18"/>
                <w:lang w:eastAsia="sk-SK"/>
              </w:rPr>
            </w:pPr>
            <w:r w:rsidRPr="00AA658F">
              <w:rPr>
                <w:sz w:val="18"/>
                <w:szCs w:val="18"/>
              </w:rPr>
              <w:t>1 500</w:t>
            </w:r>
          </w:p>
        </w:tc>
        <w:tc>
          <w:tcPr>
            <w:tcW w:w="638" w:type="pct"/>
            <w:tcBorders>
              <w:top w:val="nil"/>
              <w:left w:val="nil"/>
            </w:tcBorders>
            <w:noWrap/>
            <w:vAlign w:val="bottom"/>
            <w:hideMark/>
          </w:tcPr>
          <w:p w14:paraId="42A8AC85" w14:textId="1108FA0F" w:rsidR="00AA658F" w:rsidRPr="00AA658F" w:rsidRDefault="00AA658F" w:rsidP="00AA658F">
            <w:pPr>
              <w:spacing w:after="0" w:line="240" w:lineRule="auto"/>
              <w:jc w:val="right"/>
              <w:rPr>
                <w:color w:val="000000"/>
                <w:sz w:val="18"/>
                <w:szCs w:val="18"/>
                <w:lang w:eastAsia="sk-SK"/>
              </w:rPr>
            </w:pPr>
            <w:r w:rsidRPr="00AA658F">
              <w:rPr>
                <w:sz w:val="18"/>
                <w:szCs w:val="18"/>
              </w:rPr>
              <w:t>0</w:t>
            </w:r>
          </w:p>
        </w:tc>
      </w:tr>
      <w:tr w:rsidR="00AA658F" w:rsidRPr="00AA658F" w14:paraId="5EE24C12" w14:textId="77777777" w:rsidTr="00AA658F">
        <w:trPr>
          <w:trHeight w:val="300"/>
        </w:trPr>
        <w:tc>
          <w:tcPr>
            <w:tcW w:w="2301" w:type="pct"/>
            <w:vMerge/>
            <w:tcBorders>
              <w:top w:val="nil"/>
              <w:right w:val="nil"/>
            </w:tcBorders>
            <w:vAlign w:val="center"/>
            <w:hideMark/>
          </w:tcPr>
          <w:p w14:paraId="0552E17E"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57A147FC" w14:textId="61224435"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right w:val="nil"/>
            </w:tcBorders>
            <w:noWrap/>
            <w:vAlign w:val="bottom"/>
            <w:hideMark/>
          </w:tcPr>
          <w:p w14:paraId="615364A3" w14:textId="310588CB" w:rsidR="00AA658F" w:rsidRPr="00AA658F" w:rsidRDefault="00AA658F" w:rsidP="00AA658F">
            <w:pPr>
              <w:spacing w:after="0" w:line="240" w:lineRule="auto"/>
              <w:jc w:val="right"/>
              <w:rPr>
                <w:sz w:val="18"/>
                <w:szCs w:val="18"/>
                <w:lang w:eastAsia="sk-SK"/>
              </w:rPr>
            </w:pPr>
            <w:r w:rsidRPr="00AA658F">
              <w:rPr>
                <w:sz w:val="18"/>
                <w:szCs w:val="18"/>
              </w:rPr>
              <w:t>0</w:t>
            </w:r>
          </w:p>
        </w:tc>
        <w:tc>
          <w:tcPr>
            <w:tcW w:w="599" w:type="pct"/>
            <w:tcBorders>
              <w:top w:val="nil"/>
              <w:left w:val="nil"/>
              <w:right w:val="nil"/>
            </w:tcBorders>
            <w:noWrap/>
            <w:vAlign w:val="bottom"/>
            <w:hideMark/>
          </w:tcPr>
          <w:p w14:paraId="5748B61A" w14:textId="6E861FEF" w:rsidR="00AA658F" w:rsidRPr="00AA658F" w:rsidRDefault="00AA658F" w:rsidP="00AA658F">
            <w:pPr>
              <w:spacing w:after="0" w:line="240" w:lineRule="auto"/>
              <w:jc w:val="right"/>
              <w:rPr>
                <w:sz w:val="18"/>
                <w:szCs w:val="18"/>
                <w:lang w:eastAsia="sk-SK"/>
              </w:rPr>
            </w:pPr>
            <w:r w:rsidRPr="00AA658F">
              <w:rPr>
                <w:sz w:val="18"/>
                <w:szCs w:val="18"/>
              </w:rPr>
              <w:t>0</w:t>
            </w:r>
          </w:p>
        </w:tc>
        <w:tc>
          <w:tcPr>
            <w:tcW w:w="534" w:type="pct"/>
            <w:tcBorders>
              <w:top w:val="nil"/>
              <w:left w:val="nil"/>
              <w:right w:val="nil"/>
            </w:tcBorders>
            <w:noWrap/>
            <w:vAlign w:val="bottom"/>
            <w:hideMark/>
          </w:tcPr>
          <w:p w14:paraId="1B7EEB13" w14:textId="238BF5B6" w:rsidR="00AA658F" w:rsidRPr="00AA658F" w:rsidRDefault="00AA658F" w:rsidP="00AA658F">
            <w:pPr>
              <w:spacing w:after="0" w:line="240" w:lineRule="auto"/>
              <w:jc w:val="right"/>
              <w:rPr>
                <w:sz w:val="18"/>
                <w:szCs w:val="18"/>
                <w:lang w:eastAsia="sk-SK"/>
              </w:rPr>
            </w:pPr>
            <w:r w:rsidRPr="00AA658F">
              <w:rPr>
                <w:sz w:val="18"/>
                <w:szCs w:val="18"/>
              </w:rPr>
              <w:t>0</w:t>
            </w:r>
          </w:p>
        </w:tc>
        <w:tc>
          <w:tcPr>
            <w:tcW w:w="638" w:type="pct"/>
            <w:tcBorders>
              <w:top w:val="nil"/>
              <w:left w:val="nil"/>
            </w:tcBorders>
            <w:noWrap/>
            <w:vAlign w:val="bottom"/>
            <w:hideMark/>
          </w:tcPr>
          <w:p w14:paraId="6F0CF365" w14:textId="6F608B04" w:rsidR="00AA658F" w:rsidRPr="00AA658F" w:rsidRDefault="00AA658F" w:rsidP="00AA658F">
            <w:pPr>
              <w:spacing w:after="0" w:line="240" w:lineRule="auto"/>
              <w:jc w:val="right"/>
              <w:rPr>
                <w:color w:val="000000"/>
                <w:sz w:val="18"/>
                <w:szCs w:val="18"/>
                <w:lang w:eastAsia="sk-SK"/>
              </w:rPr>
            </w:pPr>
            <w:r w:rsidRPr="00AA658F">
              <w:rPr>
                <w:sz w:val="18"/>
                <w:szCs w:val="18"/>
              </w:rPr>
              <w:t>0</w:t>
            </w:r>
          </w:p>
        </w:tc>
      </w:tr>
      <w:tr w:rsidR="00AA658F" w:rsidRPr="00AA658F" w14:paraId="696670F3" w14:textId="77777777" w:rsidTr="00AA658F">
        <w:trPr>
          <w:trHeight w:val="300"/>
        </w:trPr>
        <w:tc>
          <w:tcPr>
            <w:tcW w:w="2301" w:type="pct"/>
            <w:vMerge w:val="restart"/>
            <w:tcBorders>
              <w:top w:val="nil"/>
              <w:right w:val="nil"/>
            </w:tcBorders>
            <w:vAlign w:val="center"/>
            <w:hideMark/>
          </w:tcPr>
          <w:p w14:paraId="2A8D3B69" w14:textId="77777777" w:rsidR="00AA658F" w:rsidRPr="00AA658F" w:rsidRDefault="00AA658F" w:rsidP="00AA658F">
            <w:pPr>
              <w:spacing w:after="0" w:line="240" w:lineRule="auto"/>
              <w:rPr>
                <w:sz w:val="18"/>
                <w:szCs w:val="18"/>
                <w:lang w:eastAsia="sk-SK"/>
              </w:rPr>
            </w:pPr>
            <w:r w:rsidRPr="00AA658F">
              <w:rPr>
                <w:sz w:val="18"/>
                <w:szCs w:val="18"/>
                <w:lang w:eastAsia="sk-SK"/>
              </w:rPr>
              <w:t>Jadrová a vyraďovacia spoločnosť, a. s.</w:t>
            </w:r>
          </w:p>
        </w:tc>
        <w:tc>
          <w:tcPr>
            <w:tcW w:w="372" w:type="pct"/>
            <w:tcBorders>
              <w:top w:val="nil"/>
              <w:left w:val="nil"/>
              <w:right w:val="nil"/>
            </w:tcBorders>
            <w:vAlign w:val="bottom"/>
            <w:hideMark/>
          </w:tcPr>
          <w:p w14:paraId="072D0211" w14:textId="5633BF98"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nil"/>
              <w:left w:val="nil"/>
              <w:right w:val="nil"/>
            </w:tcBorders>
            <w:noWrap/>
            <w:vAlign w:val="bottom"/>
            <w:hideMark/>
          </w:tcPr>
          <w:p w14:paraId="64B4EE43" w14:textId="62C5905D" w:rsidR="00AA658F" w:rsidRPr="00AA658F" w:rsidRDefault="00AA658F" w:rsidP="00AA658F">
            <w:pPr>
              <w:spacing w:after="0" w:line="240" w:lineRule="auto"/>
              <w:jc w:val="right"/>
              <w:rPr>
                <w:b/>
                <w:bCs/>
                <w:sz w:val="18"/>
                <w:szCs w:val="18"/>
                <w:lang w:eastAsia="sk-SK"/>
              </w:rPr>
            </w:pPr>
            <w:r w:rsidRPr="00AA658F">
              <w:rPr>
                <w:b/>
                <w:bCs/>
                <w:sz w:val="18"/>
                <w:szCs w:val="18"/>
              </w:rPr>
              <w:t>3 000</w:t>
            </w:r>
          </w:p>
        </w:tc>
        <w:tc>
          <w:tcPr>
            <w:tcW w:w="599" w:type="pct"/>
            <w:tcBorders>
              <w:top w:val="nil"/>
              <w:left w:val="nil"/>
              <w:right w:val="nil"/>
            </w:tcBorders>
            <w:noWrap/>
            <w:vAlign w:val="bottom"/>
            <w:hideMark/>
          </w:tcPr>
          <w:p w14:paraId="0C256100" w14:textId="4A4E50D1" w:rsidR="00AA658F" w:rsidRPr="00AA658F" w:rsidRDefault="00AA658F" w:rsidP="00AA658F">
            <w:pPr>
              <w:spacing w:after="0" w:line="240" w:lineRule="auto"/>
              <w:jc w:val="right"/>
              <w:rPr>
                <w:b/>
                <w:bCs/>
                <w:sz w:val="18"/>
                <w:szCs w:val="18"/>
                <w:lang w:eastAsia="sk-SK"/>
              </w:rPr>
            </w:pPr>
            <w:r w:rsidRPr="00AA658F">
              <w:rPr>
                <w:b/>
                <w:bCs/>
                <w:sz w:val="18"/>
                <w:szCs w:val="18"/>
              </w:rPr>
              <w:t>490</w:t>
            </w:r>
          </w:p>
        </w:tc>
        <w:tc>
          <w:tcPr>
            <w:tcW w:w="534" w:type="pct"/>
            <w:tcBorders>
              <w:top w:val="nil"/>
              <w:left w:val="nil"/>
              <w:right w:val="nil"/>
            </w:tcBorders>
            <w:noWrap/>
            <w:vAlign w:val="bottom"/>
            <w:hideMark/>
          </w:tcPr>
          <w:p w14:paraId="1106FC9E" w14:textId="61EAF6F3" w:rsidR="00AA658F" w:rsidRPr="00AA658F" w:rsidRDefault="00AA658F" w:rsidP="00AA658F">
            <w:pPr>
              <w:spacing w:after="0" w:line="240" w:lineRule="auto"/>
              <w:jc w:val="right"/>
              <w:rPr>
                <w:b/>
                <w:bCs/>
                <w:sz w:val="18"/>
                <w:szCs w:val="18"/>
                <w:lang w:eastAsia="sk-SK"/>
              </w:rPr>
            </w:pPr>
            <w:r w:rsidRPr="00AA658F">
              <w:rPr>
                <w:b/>
                <w:bCs/>
                <w:sz w:val="18"/>
                <w:szCs w:val="18"/>
              </w:rPr>
              <w:t>1 074</w:t>
            </w:r>
          </w:p>
        </w:tc>
        <w:tc>
          <w:tcPr>
            <w:tcW w:w="638" w:type="pct"/>
            <w:tcBorders>
              <w:top w:val="nil"/>
              <w:left w:val="nil"/>
            </w:tcBorders>
            <w:noWrap/>
            <w:vAlign w:val="bottom"/>
            <w:hideMark/>
          </w:tcPr>
          <w:p w14:paraId="5415F50A" w14:textId="3278246C" w:rsidR="00AA658F" w:rsidRPr="00AA658F" w:rsidRDefault="00AA658F" w:rsidP="00AA658F">
            <w:pPr>
              <w:spacing w:after="0" w:line="240" w:lineRule="auto"/>
              <w:jc w:val="right"/>
              <w:rPr>
                <w:b/>
                <w:bCs/>
                <w:sz w:val="18"/>
                <w:szCs w:val="18"/>
                <w:lang w:eastAsia="sk-SK"/>
              </w:rPr>
            </w:pPr>
            <w:r w:rsidRPr="00AA658F">
              <w:rPr>
                <w:b/>
                <w:bCs/>
                <w:sz w:val="18"/>
                <w:szCs w:val="18"/>
              </w:rPr>
              <w:t>584</w:t>
            </w:r>
          </w:p>
        </w:tc>
      </w:tr>
      <w:tr w:rsidR="00AA658F" w:rsidRPr="00AA658F" w14:paraId="1765FF28" w14:textId="77777777" w:rsidTr="00AA658F">
        <w:trPr>
          <w:trHeight w:val="300"/>
        </w:trPr>
        <w:tc>
          <w:tcPr>
            <w:tcW w:w="2301" w:type="pct"/>
            <w:vMerge/>
            <w:tcBorders>
              <w:top w:val="nil"/>
              <w:right w:val="nil"/>
            </w:tcBorders>
            <w:vAlign w:val="center"/>
            <w:hideMark/>
          </w:tcPr>
          <w:p w14:paraId="1A07FED5"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3FC80214" w14:textId="044D6E5C"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hideMark/>
          </w:tcPr>
          <w:p w14:paraId="770484CA" w14:textId="6ED24200" w:rsidR="00AA658F" w:rsidRPr="00AA658F" w:rsidRDefault="00AA658F" w:rsidP="00AA658F">
            <w:pPr>
              <w:spacing w:after="0" w:line="240" w:lineRule="auto"/>
              <w:jc w:val="right"/>
              <w:rPr>
                <w:sz w:val="18"/>
                <w:szCs w:val="18"/>
                <w:lang w:eastAsia="sk-SK"/>
              </w:rPr>
            </w:pPr>
            <w:r w:rsidRPr="00AA658F">
              <w:rPr>
                <w:sz w:val="18"/>
                <w:szCs w:val="18"/>
              </w:rPr>
              <w:t>0</w:t>
            </w:r>
          </w:p>
        </w:tc>
        <w:tc>
          <w:tcPr>
            <w:tcW w:w="599" w:type="pct"/>
            <w:tcBorders>
              <w:top w:val="nil"/>
              <w:left w:val="nil"/>
              <w:right w:val="nil"/>
            </w:tcBorders>
            <w:noWrap/>
            <w:vAlign w:val="bottom"/>
            <w:hideMark/>
          </w:tcPr>
          <w:p w14:paraId="03673D30" w14:textId="560B2C54" w:rsidR="00AA658F" w:rsidRPr="00AA658F" w:rsidRDefault="00AA658F" w:rsidP="00AA658F">
            <w:pPr>
              <w:spacing w:after="0" w:line="240" w:lineRule="auto"/>
              <w:jc w:val="right"/>
              <w:rPr>
                <w:color w:val="000000"/>
                <w:sz w:val="18"/>
                <w:szCs w:val="18"/>
                <w:lang w:eastAsia="sk-SK"/>
              </w:rPr>
            </w:pPr>
            <w:r w:rsidRPr="00AA658F">
              <w:rPr>
                <w:sz w:val="18"/>
                <w:szCs w:val="18"/>
              </w:rPr>
              <w:t>490</w:t>
            </w:r>
          </w:p>
        </w:tc>
        <w:tc>
          <w:tcPr>
            <w:tcW w:w="534" w:type="pct"/>
            <w:tcBorders>
              <w:top w:val="nil"/>
              <w:left w:val="nil"/>
              <w:right w:val="nil"/>
            </w:tcBorders>
            <w:noWrap/>
            <w:vAlign w:val="bottom"/>
            <w:hideMark/>
          </w:tcPr>
          <w:p w14:paraId="2AA2FB08" w14:textId="5BF1D3F6" w:rsidR="00AA658F" w:rsidRPr="00AA658F" w:rsidRDefault="00AA658F" w:rsidP="00AA658F">
            <w:pPr>
              <w:spacing w:after="0" w:line="240" w:lineRule="auto"/>
              <w:jc w:val="right"/>
              <w:rPr>
                <w:color w:val="000000"/>
                <w:sz w:val="18"/>
                <w:szCs w:val="18"/>
                <w:lang w:eastAsia="sk-SK"/>
              </w:rPr>
            </w:pPr>
            <w:r w:rsidRPr="00AA658F">
              <w:rPr>
                <w:sz w:val="18"/>
                <w:szCs w:val="18"/>
              </w:rPr>
              <w:t>1 074</w:t>
            </w:r>
          </w:p>
        </w:tc>
        <w:tc>
          <w:tcPr>
            <w:tcW w:w="638" w:type="pct"/>
            <w:tcBorders>
              <w:top w:val="nil"/>
              <w:left w:val="nil"/>
            </w:tcBorders>
            <w:noWrap/>
            <w:vAlign w:val="bottom"/>
            <w:hideMark/>
          </w:tcPr>
          <w:p w14:paraId="49853C45" w14:textId="07D39C50" w:rsidR="00AA658F" w:rsidRPr="00AA658F" w:rsidRDefault="00AA658F" w:rsidP="00AA658F">
            <w:pPr>
              <w:spacing w:after="0" w:line="240" w:lineRule="auto"/>
              <w:jc w:val="right"/>
              <w:rPr>
                <w:color w:val="000000"/>
                <w:sz w:val="18"/>
                <w:szCs w:val="18"/>
                <w:lang w:eastAsia="sk-SK"/>
              </w:rPr>
            </w:pPr>
            <w:r w:rsidRPr="00AA658F">
              <w:rPr>
                <w:sz w:val="18"/>
                <w:szCs w:val="18"/>
              </w:rPr>
              <w:t>584</w:t>
            </w:r>
          </w:p>
        </w:tc>
      </w:tr>
      <w:tr w:rsidR="00AA658F" w:rsidRPr="00AA658F" w14:paraId="262FC822" w14:textId="77777777" w:rsidTr="00AA658F">
        <w:trPr>
          <w:trHeight w:val="300"/>
        </w:trPr>
        <w:tc>
          <w:tcPr>
            <w:tcW w:w="2301" w:type="pct"/>
            <w:vMerge/>
            <w:tcBorders>
              <w:top w:val="nil"/>
              <w:bottom w:val="single" w:sz="4" w:space="0" w:color="auto"/>
              <w:right w:val="nil"/>
            </w:tcBorders>
            <w:vAlign w:val="center"/>
            <w:hideMark/>
          </w:tcPr>
          <w:p w14:paraId="3EFA5E13" w14:textId="77777777" w:rsidR="00AA658F" w:rsidRPr="00AA658F" w:rsidRDefault="00AA658F" w:rsidP="00AA658F">
            <w:pPr>
              <w:spacing w:after="0" w:line="240" w:lineRule="auto"/>
              <w:rPr>
                <w:sz w:val="18"/>
                <w:szCs w:val="18"/>
                <w:lang w:eastAsia="sk-SK"/>
              </w:rPr>
            </w:pPr>
          </w:p>
        </w:tc>
        <w:tc>
          <w:tcPr>
            <w:tcW w:w="372" w:type="pct"/>
            <w:tcBorders>
              <w:top w:val="nil"/>
              <w:left w:val="nil"/>
              <w:bottom w:val="single" w:sz="4" w:space="0" w:color="auto"/>
              <w:right w:val="nil"/>
            </w:tcBorders>
            <w:vAlign w:val="bottom"/>
            <w:hideMark/>
          </w:tcPr>
          <w:p w14:paraId="25F7CFC0" w14:textId="11A7D9FC"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bottom w:val="single" w:sz="4" w:space="0" w:color="auto"/>
              <w:right w:val="nil"/>
            </w:tcBorders>
            <w:noWrap/>
            <w:vAlign w:val="bottom"/>
            <w:hideMark/>
          </w:tcPr>
          <w:p w14:paraId="2EE9D237" w14:textId="60209097" w:rsidR="00AA658F" w:rsidRPr="00AA658F" w:rsidRDefault="00AA658F" w:rsidP="00AA658F">
            <w:pPr>
              <w:spacing w:after="0" w:line="240" w:lineRule="auto"/>
              <w:jc w:val="right"/>
              <w:rPr>
                <w:sz w:val="18"/>
                <w:szCs w:val="18"/>
                <w:lang w:eastAsia="sk-SK"/>
              </w:rPr>
            </w:pPr>
            <w:r w:rsidRPr="00AA658F">
              <w:rPr>
                <w:sz w:val="18"/>
                <w:szCs w:val="18"/>
              </w:rPr>
              <w:t>3 000</w:t>
            </w:r>
          </w:p>
        </w:tc>
        <w:tc>
          <w:tcPr>
            <w:tcW w:w="599" w:type="pct"/>
            <w:tcBorders>
              <w:top w:val="nil"/>
              <w:left w:val="nil"/>
              <w:bottom w:val="single" w:sz="4" w:space="0" w:color="auto"/>
              <w:right w:val="nil"/>
            </w:tcBorders>
            <w:noWrap/>
            <w:vAlign w:val="bottom"/>
            <w:hideMark/>
          </w:tcPr>
          <w:p w14:paraId="5B325D2C" w14:textId="2ED142CB"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34" w:type="pct"/>
            <w:tcBorders>
              <w:top w:val="nil"/>
              <w:left w:val="nil"/>
              <w:bottom w:val="single" w:sz="4" w:space="0" w:color="auto"/>
              <w:right w:val="nil"/>
            </w:tcBorders>
            <w:noWrap/>
            <w:vAlign w:val="bottom"/>
            <w:hideMark/>
          </w:tcPr>
          <w:p w14:paraId="362D4EFB" w14:textId="644B4D39"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638" w:type="pct"/>
            <w:tcBorders>
              <w:top w:val="nil"/>
              <w:left w:val="nil"/>
              <w:bottom w:val="single" w:sz="4" w:space="0" w:color="auto"/>
            </w:tcBorders>
            <w:noWrap/>
            <w:vAlign w:val="bottom"/>
            <w:hideMark/>
          </w:tcPr>
          <w:p w14:paraId="033BBF8A" w14:textId="6AE25C92" w:rsidR="00AA658F" w:rsidRPr="00AA658F" w:rsidRDefault="00AA658F" w:rsidP="00AA658F">
            <w:pPr>
              <w:spacing w:after="0" w:line="240" w:lineRule="auto"/>
              <w:jc w:val="right"/>
              <w:rPr>
                <w:color w:val="000000"/>
                <w:sz w:val="18"/>
                <w:szCs w:val="18"/>
                <w:lang w:eastAsia="sk-SK"/>
              </w:rPr>
            </w:pPr>
            <w:r w:rsidRPr="00AA658F">
              <w:rPr>
                <w:sz w:val="18"/>
                <w:szCs w:val="18"/>
              </w:rPr>
              <w:t>0</w:t>
            </w:r>
          </w:p>
        </w:tc>
      </w:tr>
      <w:tr w:rsidR="00BF5608" w:rsidRPr="00AA658F" w14:paraId="177A4806" w14:textId="77777777" w:rsidTr="00AA658F">
        <w:trPr>
          <w:trHeight w:val="300"/>
        </w:trPr>
        <w:tc>
          <w:tcPr>
            <w:tcW w:w="2301" w:type="pct"/>
            <w:tcBorders>
              <w:top w:val="single" w:sz="4" w:space="0" w:color="auto"/>
              <w:bottom w:val="single" w:sz="4" w:space="0" w:color="auto"/>
              <w:right w:val="nil"/>
            </w:tcBorders>
            <w:noWrap/>
            <w:vAlign w:val="center"/>
            <w:hideMark/>
          </w:tcPr>
          <w:p w14:paraId="7F70DFCC" w14:textId="77777777" w:rsidR="00BF5608" w:rsidRPr="00AA658F" w:rsidRDefault="00BF5608" w:rsidP="005019EB">
            <w:pPr>
              <w:spacing w:after="0" w:line="240" w:lineRule="auto"/>
              <w:rPr>
                <w:b/>
                <w:bCs/>
                <w:color w:val="000000"/>
                <w:sz w:val="18"/>
                <w:szCs w:val="18"/>
                <w:lang w:eastAsia="sk-SK"/>
              </w:rPr>
            </w:pPr>
            <w:r w:rsidRPr="00AA658F">
              <w:rPr>
                <w:b/>
                <w:bCs/>
                <w:color w:val="000000"/>
                <w:sz w:val="18"/>
                <w:szCs w:val="18"/>
                <w:lang w:eastAsia="sk-SK"/>
              </w:rPr>
              <w:t>Ministerstvo financií SR</w:t>
            </w:r>
          </w:p>
        </w:tc>
        <w:tc>
          <w:tcPr>
            <w:tcW w:w="372" w:type="pct"/>
            <w:tcBorders>
              <w:top w:val="single" w:sz="4" w:space="0" w:color="auto"/>
              <w:left w:val="nil"/>
              <w:bottom w:val="single" w:sz="4" w:space="0" w:color="auto"/>
              <w:right w:val="nil"/>
            </w:tcBorders>
            <w:noWrap/>
            <w:vAlign w:val="center"/>
            <w:hideMark/>
          </w:tcPr>
          <w:p w14:paraId="284684D4" w14:textId="77777777" w:rsidR="00BF5608" w:rsidRPr="00AA658F" w:rsidRDefault="00BF5608" w:rsidP="005019EB">
            <w:pPr>
              <w:spacing w:after="0" w:line="240" w:lineRule="auto"/>
              <w:jc w:val="center"/>
              <w:rPr>
                <w:b/>
                <w:bCs/>
                <w:color w:val="000000"/>
                <w:sz w:val="18"/>
                <w:szCs w:val="18"/>
                <w:lang w:eastAsia="sk-SK"/>
              </w:rPr>
            </w:pPr>
            <w:r w:rsidRPr="00AA658F">
              <w:rPr>
                <w:b/>
                <w:bCs/>
                <w:color w:val="000000"/>
                <w:sz w:val="18"/>
                <w:szCs w:val="18"/>
                <w:lang w:eastAsia="sk-SK"/>
              </w:rPr>
              <w:t> </w:t>
            </w:r>
          </w:p>
        </w:tc>
        <w:tc>
          <w:tcPr>
            <w:tcW w:w="556" w:type="pct"/>
            <w:tcBorders>
              <w:top w:val="single" w:sz="4" w:space="0" w:color="auto"/>
              <w:left w:val="nil"/>
              <w:bottom w:val="single" w:sz="4" w:space="0" w:color="auto"/>
              <w:right w:val="nil"/>
            </w:tcBorders>
            <w:noWrap/>
            <w:vAlign w:val="center"/>
            <w:hideMark/>
          </w:tcPr>
          <w:p w14:paraId="34628C43" w14:textId="77777777" w:rsidR="00BF5608" w:rsidRPr="00AA658F" w:rsidRDefault="00BF5608" w:rsidP="005019EB">
            <w:pPr>
              <w:spacing w:after="0" w:line="240" w:lineRule="auto"/>
              <w:jc w:val="center"/>
              <w:rPr>
                <w:b/>
                <w:bCs/>
                <w:color w:val="000000"/>
                <w:sz w:val="18"/>
                <w:szCs w:val="18"/>
                <w:lang w:eastAsia="sk-SK"/>
              </w:rPr>
            </w:pPr>
            <w:r w:rsidRPr="00AA658F">
              <w:rPr>
                <w:b/>
                <w:bCs/>
                <w:color w:val="000000"/>
                <w:sz w:val="18"/>
                <w:szCs w:val="18"/>
                <w:lang w:eastAsia="sk-SK"/>
              </w:rPr>
              <w:t> </w:t>
            </w:r>
          </w:p>
        </w:tc>
        <w:tc>
          <w:tcPr>
            <w:tcW w:w="599" w:type="pct"/>
            <w:tcBorders>
              <w:top w:val="single" w:sz="4" w:space="0" w:color="auto"/>
              <w:left w:val="nil"/>
              <w:bottom w:val="single" w:sz="4" w:space="0" w:color="auto"/>
              <w:right w:val="nil"/>
            </w:tcBorders>
            <w:noWrap/>
            <w:vAlign w:val="center"/>
            <w:hideMark/>
          </w:tcPr>
          <w:p w14:paraId="43ABB89C" w14:textId="77777777" w:rsidR="00BF5608" w:rsidRPr="00AA658F" w:rsidRDefault="00BF5608" w:rsidP="005019EB">
            <w:pPr>
              <w:spacing w:after="0" w:line="240" w:lineRule="auto"/>
              <w:jc w:val="center"/>
              <w:rPr>
                <w:b/>
                <w:bCs/>
                <w:color w:val="000000"/>
                <w:sz w:val="18"/>
                <w:szCs w:val="18"/>
                <w:lang w:eastAsia="sk-SK"/>
              </w:rPr>
            </w:pPr>
            <w:r w:rsidRPr="00AA658F">
              <w:rPr>
                <w:b/>
                <w:bCs/>
                <w:color w:val="000000"/>
                <w:sz w:val="18"/>
                <w:szCs w:val="18"/>
                <w:lang w:eastAsia="sk-SK"/>
              </w:rPr>
              <w:t> </w:t>
            </w:r>
          </w:p>
        </w:tc>
        <w:tc>
          <w:tcPr>
            <w:tcW w:w="534" w:type="pct"/>
            <w:tcBorders>
              <w:top w:val="single" w:sz="4" w:space="0" w:color="auto"/>
              <w:left w:val="nil"/>
              <w:bottom w:val="single" w:sz="4" w:space="0" w:color="auto"/>
              <w:right w:val="nil"/>
            </w:tcBorders>
            <w:noWrap/>
            <w:vAlign w:val="center"/>
            <w:hideMark/>
          </w:tcPr>
          <w:p w14:paraId="2DD62372" w14:textId="77777777" w:rsidR="00BF5608" w:rsidRPr="00AA658F" w:rsidRDefault="00BF5608" w:rsidP="005019EB">
            <w:pPr>
              <w:spacing w:after="0" w:line="240" w:lineRule="auto"/>
              <w:jc w:val="center"/>
              <w:rPr>
                <w:b/>
                <w:bCs/>
                <w:color w:val="000000"/>
                <w:sz w:val="18"/>
                <w:szCs w:val="18"/>
                <w:lang w:eastAsia="sk-SK"/>
              </w:rPr>
            </w:pPr>
            <w:r w:rsidRPr="00AA658F">
              <w:rPr>
                <w:b/>
                <w:bCs/>
                <w:color w:val="000000"/>
                <w:sz w:val="18"/>
                <w:szCs w:val="18"/>
                <w:lang w:eastAsia="sk-SK"/>
              </w:rPr>
              <w:t> </w:t>
            </w:r>
          </w:p>
        </w:tc>
        <w:tc>
          <w:tcPr>
            <w:tcW w:w="638" w:type="pct"/>
            <w:tcBorders>
              <w:top w:val="single" w:sz="4" w:space="0" w:color="auto"/>
              <w:left w:val="nil"/>
              <w:bottom w:val="single" w:sz="4" w:space="0" w:color="auto"/>
            </w:tcBorders>
            <w:noWrap/>
            <w:vAlign w:val="center"/>
            <w:hideMark/>
          </w:tcPr>
          <w:p w14:paraId="0B1AA00A" w14:textId="77777777" w:rsidR="00BF5608" w:rsidRPr="00AA658F" w:rsidRDefault="00BF5608" w:rsidP="005019EB">
            <w:pPr>
              <w:spacing w:after="0" w:line="240" w:lineRule="auto"/>
              <w:jc w:val="center"/>
              <w:rPr>
                <w:b/>
                <w:bCs/>
                <w:color w:val="000000"/>
                <w:sz w:val="18"/>
                <w:szCs w:val="18"/>
                <w:lang w:eastAsia="sk-SK"/>
              </w:rPr>
            </w:pPr>
            <w:r w:rsidRPr="00AA658F">
              <w:rPr>
                <w:b/>
                <w:bCs/>
                <w:color w:val="000000"/>
                <w:sz w:val="18"/>
                <w:szCs w:val="18"/>
                <w:lang w:eastAsia="sk-SK"/>
              </w:rPr>
              <w:t> </w:t>
            </w:r>
          </w:p>
        </w:tc>
      </w:tr>
      <w:tr w:rsidR="00AA658F" w:rsidRPr="00AA658F" w14:paraId="2B8EAA16" w14:textId="77777777" w:rsidTr="00AA658F">
        <w:trPr>
          <w:trHeight w:val="300"/>
        </w:trPr>
        <w:tc>
          <w:tcPr>
            <w:tcW w:w="2301" w:type="pct"/>
            <w:vMerge w:val="restart"/>
            <w:tcBorders>
              <w:top w:val="single" w:sz="4" w:space="0" w:color="auto"/>
              <w:right w:val="nil"/>
            </w:tcBorders>
            <w:vAlign w:val="center"/>
            <w:hideMark/>
          </w:tcPr>
          <w:p w14:paraId="4929BDFC" w14:textId="459100A6" w:rsidR="00AA658F" w:rsidRPr="00AA658F" w:rsidRDefault="00AA658F" w:rsidP="00AA658F">
            <w:pPr>
              <w:spacing w:after="0" w:line="240" w:lineRule="auto"/>
              <w:rPr>
                <w:sz w:val="18"/>
                <w:szCs w:val="18"/>
                <w:lang w:eastAsia="sk-SK"/>
              </w:rPr>
            </w:pPr>
            <w:r w:rsidRPr="00AA658F">
              <w:rPr>
                <w:sz w:val="18"/>
                <w:szCs w:val="18"/>
                <w:lang w:eastAsia="sk-SK"/>
              </w:rPr>
              <w:t>Slovenská záručná a rozvojová banka, a. s.</w:t>
            </w:r>
          </w:p>
        </w:tc>
        <w:tc>
          <w:tcPr>
            <w:tcW w:w="372" w:type="pct"/>
            <w:tcBorders>
              <w:top w:val="single" w:sz="4" w:space="0" w:color="auto"/>
              <w:left w:val="nil"/>
              <w:right w:val="nil"/>
            </w:tcBorders>
            <w:vAlign w:val="bottom"/>
            <w:hideMark/>
          </w:tcPr>
          <w:p w14:paraId="616A420A" w14:textId="5E683177"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single" w:sz="4" w:space="0" w:color="auto"/>
              <w:left w:val="nil"/>
              <w:right w:val="nil"/>
            </w:tcBorders>
            <w:noWrap/>
            <w:vAlign w:val="bottom"/>
            <w:hideMark/>
          </w:tcPr>
          <w:p w14:paraId="44745D23" w14:textId="7F8A03AC" w:rsidR="00AA658F" w:rsidRPr="00AA658F" w:rsidRDefault="00AA658F" w:rsidP="00AA658F">
            <w:pPr>
              <w:spacing w:after="0" w:line="240" w:lineRule="auto"/>
              <w:jc w:val="right"/>
              <w:rPr>
                <w:b/>
                <w:bCs/>
                <w:sz w:val="18"/>
                <w:szCs w:val="18"/>
                <w:lang w:eastAsia="sk-SK"/>
              </w:rPr>
            </w:pPr>
            <w:r w:rsidRPr="00AA658F">
              <w:rPr>
                <w:b/>
                <w:bCs/>
                <w:sz w:val="18"/>
                <w:szCs w:val="18"/>
              </w:rPr>
              <w:t>0</w:t>
            </w:r>
          </w:p>
        </w:tc>
        <w:tc>
          <w:tcPr>
            <w:tcW w:w="599" w:type="pct"/>
            <w:tcBorders>
              <w:top w:val="single" w:sz="4" w:space="0" w:color="auto"/>
              <w:left w:val="nil"/>
              <w:right w:val="nil"/>
            </w:tcBorders>
            <w:noWrap/>
            <w:vAlign w:val="bottom"/>
            <w:hideMark/>
          </w:tcPr>
          <w:p w14:paraId="3F25E9F2" w14:textId="7CDB8A33" w:rsidR="00AA658F" w:rsidRPr="00AA658F" w:rsidRDefault="00AA658F" w:rsidP="00AA658F">
            <w:pPr>
              <w:spacing w:after="0" w:line="240" w:lineRule="auto"/>
              <w:jc w:val="right"/>
              <w:rPr>
                <w:b/>
                <w:bCs/>
                <w:sz w:val="18"/>
                <w:szCs w:val="18"/>
                <w:lang w:eastAsia="sk-SK"/>
              </w:rPr>
            </w:pPr>
            <w:r w:rsidRPr="00AA658F">
              <w:rPr>
                <w:b/>
                <w:bCs/>
                <w:sz w:val="18"/>
                <w:szCs w:val="18"/>
              </w:rPr>
              <w:t>400</w:t>
            </w:r>
          </w:p>
        </w:tc>
        <w:tc>
          <w:tcPr>
            <w:tcW w:w="534" w:type="pct"/>
            <w:tcBorders>
              <w:top w:val="single" w:sz="4" w:space="0" w:color="auto"/>
              <w:left w:val="nil"/>
              <w:right w:val="nil"/>
            </w:tcBorders>
            <w:noWrap/>
            <w:vAlign w:val="bottom"/>
            <w:hideMark/>
          </w:tcPr>
          <w:p w14:paraId="2C8CC7C6" w14:textId="159DC18B" w:rsidR="00AA658F" w:rsidRPr="00AA658F" w:rsidRDefault="00AA658F" w:rsidP="00AA658F">
            <w:pPr>
              <w:spacing w:after="0" w:line="240" w:lineRule="auto"/>
              <w:jc w:val="right"/>
              <w:rPr>
                <w:b/>
                <w:bCs/>
                <w:sz w:val="18"/>
                <w:szCs w:val="18"/>
                <w:lang w:eastAsia="sk-SK"/>
              </w:rPr>
            </w:pPr>
            <w:r w:rsidRPr="00AA658F">
              <w:rPr>
                <w:b/>
                <w:bCs/>
                <w:sz w:val="18"/>
                <w:szCs w:val="18"/>
              </w:rPr>
              <w:t>0</w:t>
            </w:r>
          </w:p>
        </w:tc>
        <w:tc>
          <w:tcPr>
            <w:tcW w:w="638" w:type="pct"/>
            <w:tcBorders>
              <w:top w:val="single" w:sz="4" w:space="0" w:color="auto"/>
              <w:left w:val="nil"/>
            </w:tcBorders>
            <w:noWrap/>
            <w:vAlign w:val="bottom"/>
            <w:hideMark/>
          </w:tcPr>
          <w:p w14:paraId="2FD8CF1F" w14:textId="63F9A5A1" w:rsidR="00AA658F" w:rsidRPr="00AA658F" w:rsidRDefault="00AA658F" w:rsidP="00AA658F">
            <w:pPr>
              <w:spacing w:after="0" w:line="240" w:lineRule="auto"/>
              <w:jc w:val="right"/>
              <w:rPr>
                <w:b/>
                <w:bCs/>
                <w:sz w:val="18"/>
                <w:szCs w:val="18"/>
                <w:lang w:eastAsia="sk-SK"/>
              </w:rPr>
            </w:pPr>
            <w:r w:rsidRPr="00AA658F">
              <w:rPr>
                <w:b/>
                <w:bCs/>
                <w:sz w:val="18"/>
                <w:szCs w:val="18"/>
              </w:rPr>
              <w:t>-400</w:t>
            </w:r>
          </w:p>
        </w:tc>
      </w:tr>
      <w:tr w:rsidR="00AA658F" w:rsidRPr="00AA658F" w14:paraId="4D0D88C4" w14:textId="77777777" w:rsidTr="00AA658F">
        <w:trPr>
          <w:trHeight w:val="300"/>
        </w:trPr>
        <w:tc>
          <w:tcPr>
            <w:tcW w:w="2301" w:type="pct"/>
            <w:vMerge/>
            <w:tcBorders>
              <w:top w:val="nil"/>
              <w:right w:val="nil"/>
            </w:tcBorders>
            <w:vAlign w:val="center"/>
            <w:hideMark/>
          </w:tcPr>
          <w:p w14:paraId="1B1FCEF5"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2E5352FD" w14:textId="43B88A73"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hideMark/>
          </w:tcPr>
          <w:p w14:paraId="4DA38069" w14:textId="61857880" w:rsidR="00AA658F" w:rsidRPr="00AA658F" w:rsidRDefault="00AA658F" w:rsidP="00AA658F">
            <w:pPr>
              <w:spacing w:after="0" w:line="240" w:lineRule="auto"/>
              <w:jc w:val="right"/>
              <w:rPr>
                <w:sz w:val="18"/>
                <w:szCs w:val="18"/>
                <w:lang w:eastAsia="sk-SK"/>
              </w:rPr>
            </w:pPr>
            <w:r w:rsidRPr="00AA658F">
              <w:rPr>
                <w:sz w:val="18"/>
                <w:szCs w:val="18"/>
              </w:rPr>
              <w:t>0</w:t>
            </w:r>
          </w:p>
        </w:tc>
        <w:tc>
          <w:tcPr>
            <w:tcW w:w="599" w:type="pct"/>
            <w:tcBorders>
              <w:top w:val="nil"/>
              <w:left w:val="nil"/>
              <w:right w:val="nil"/>
            </w:tcBorders>
            <w:noWrap/>
            <w:vAlign w:val="bottom"/>
            <w:hideMark/>
          </w:tcPr>
          <w:p w14:paraId="14822772" w14:textId="5B866D4F" w:rsidR="00AA658F" w:rsidRPr="00AA658F" w:rsidRDefault="00AA658F" w:rsidP="00AA658F">
            <w:pPr>
              <w:spacing w:after="0" w:line="240" w:lineRule="auto"/>
              <w:jc w:val="right"/>
              <w:rPr>
                <w:sz w:val="18"/>
                <w:szCs w:val="18"/>
                <w:lang w:eastAsia="sk-SK"/>
              </w:rPr>
            </w:pPr>
            <w:r w:rsidRPr="00AA658F">
              <w:rPr>
                <w:sz w:val="18"/>
                <w:szCs w:val="18"/>
              </w:rPr>
              <w:t>400</w:t>
            </w:r>
          </w:p>
        </w:tc>
        <w:tc>
          <w:tcPr>
            <w:tcW w:w="534" w:type="pct"/>
            <w:tcBorders>
              <w:top w:val="nil"/>
              <w:left w:val="nil"/>
              <w:right w:val="nil"/>
            </w:tcBorders>
            <w:noWrap/>
            <w:vAlign w:val="bottom"/>
            <w:hideMark/>
          </w:tcPr>
          <w:p w14:paraId="602FF816" w14:textId="0D772B34" w:rsidR="00AA658F" w:rsidRPr="00AA658F" w:rsidRDefault="00AA658F" w:rsidP="00AA658F">
            <w:pPr>
              <w:spacing w:after="0" w:line="240" w:lineRule="auto"/>
              <w:jc w:val="right"/>
              <w:rPr>
                <w:sz w:val="18"/>
                <w:szCs w:val="18"/>
                <w:lang w:eastAsia="sk-SK"/>
              </w:rPr>
            </w:pPr>
            <w:r w:rsidRPr="00AA658F">
              <w:rPr>
                <w:sz w:val="18"/>
                <w:szCs w:val="18"/>
              </w:rPr>
              <w:t>0</w:t>
            </w:r>
          </w:p>
        </w:tc>
        <w:tc>
          <w:tcPr>
            <w:tcW w:w="638" w:type="pct"/>
            <w:tcBorders>
              <w:top w:val="nil"/>
              <w:left w:val="nil"/>
            </w:tcBorders>
            <w:noWrap/>
            <w:vAlign w:val="bottom"/>
            <w:hideMark/>
          </w:tcPr>
          <w:p w14:paraId="2B4D3C42" w14:textId="1CF28372" w:rsidR="00AA658F" w:rsidRPr="00AA658F" w:rsidRDefault="00AA658F" w:rsidP="00AA658F">
            <w:pPr>
              <w:spacing w:after="0" w:line="240" w:lineRule="auto"/>
              <w:jc w:val="right"/>
              <w:rPr>
                <w:color w:val="000000"/>
                <w:sz w:val="18"/>
                <w:szCs w:val="18"/>
                <w:lang w:eastAsia="sk-SK"/>
              </w:rPr>
            </w:pPr>
            <w:r w:rsidRPr="00AA658F">
              <w:rPr>
                <w:sz w:val="18"/>
                <w:szCs w:val="18"/>
              </w:rPr>
              <w:t>-400</w:t>
            </w:r>
          </w:p>
        </w:tc>
      </w:tr>
      <w:tr w:rsidR="00AA658F" w:rsidRPr="00AA658F" w14:paraId="203885B4" w14:textId="77777777" w:rsidTr="00AA658F">
        <w:trPr>
          <w:trHeight w:val="300"/>
        </w:trPr>
        <w:tc>
          <w:tcPr>
            <w:tcW w:w="2301" w:type="pct"/>
            <w:vMerge/>
            <w:tcBorders>
              <w:top w:val="nil"/>
              <w:right w:val="nil"/>
            </w:tcBorders>
            <w:vAlign w:val="center"/>
            <w:hideMark/>
          </w:tcPr>
          <w:p w14:paraId="1B44AA69"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344A4481" w14:textId="7F48BD8A"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right w:val="nil"/>
            </w:tcBorders>
            <w:noWrap/>
            <w:vAlign w:val="bottom"/>
            <w:hideMark/>
          </w:tcPr>
          <w:p w14:paraId="2032D1D9" w14:textId="6571213C"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99" w:type="pct"/>
            <w:tcBorders>
              <w:top w:val="nil"/>
              <w:left w:val="nil"/>
              <w:right w:val="nil"/>
            </w:tcBorders>
            <w:noWrap/>
            <w:vAlign w:val="bottom"/>
            <w:hideMark/>
          </w:tcPr>
          <w:p w14:paraId="58A92229" w14:textId="7F138A7F"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34" w:type="pct"/>
            <w:tcBorders>
              <w:top w:val="nil"/>
              <w:left w:val="nil"/>
              <w:right w:val="nil"/>
            </w:tcBorders>
            <w:noWrap/>
            <w:vAlign w:val="bottom"/>
            <w:hideMark/>
          </w:tcPr>
          <w:p w14:paraId="6B905ECD" w14:textId="61065343" w:rsidR="00AA658F" w:rsidRPr="00AA658F" w:rsidRDefault="00AA658F" w:rsidP="00AA658F">
            <w:pPr>
              <w:spacing w:after="0" w:line="240" w:lineRule="auto"/>
              <w:jc w:val="right"/>
              <w:rPr>
                <w:sz w:val="18"/>
                <w:szCs w:val="18"/>
                <w:lang w:eastAsia="sk-SK"/>
              </w:rPr>
            </w:pPr>
            <w:r w:rsidRPr="00AA658F">
              <w:rPr>
                <w:sz w:val="18"/>
                <w:szCs w:val="18"/>
              </w:rPr>
              <w:t>0</w:t>
            </w:r>
          </w:p>
        </w:tc>
        <w:tc>
          <w:tcPr>
            <w:tcW w:w="638" w:type="pct"/>
            <w:tcBorders>
              <w:top w:val="nil"/>
              <w:left w:val="nil"/>
            </w:tcBorders>
            <w:noWrap/>
            <w:vAlign w:val="bottom"/>
            <w:hideMark/>
          </w:tcPr>
          <w:p w14:paraId="1C91CB7F" w14:textId="2306E102" w:rsidR="00AA658F" w:rsidRPr="00AA658F" w:rsidRDefault="00AA658F" w:rsidP="00AA658F">
            <w:pPr>
              <w:spacing w:after="0" w:line="240" w:lineRule="auto"/>
              <w:jc w:val="right"/>
              <w:rPr>
                <w:color w:val="000000"/>
                <w:sz w:val="18"/>
                <w:szCs w:val="18"/>
                <w:lang w:eastAsia="sk-SK"/>
              </w:rPr>
            </w:pPr>
            <w:r w:rsidRPr="00AA658F">
              <w:rPr>
                <w:sz w:val="18"/>
                <w:szCs w:val="18"/>
              </w:rPr>
              <w:t>0</w:t>
            </w:r>
          </w:p>
        </w:tc>
      </w:tr>
      <w:tr w:rsidR="00AA658F" w:rsidRPr="00AA658F" w14:paraId="23E6EBCE" w14:textId="77777777" w:rsidTr="00AA658F">
        <w:trPr>
          <w:trHeight w:val="300"/>
        </w:trPr>
        <w:tc>
          <w:tcPr>
            <w:tcW w:w="2301" w:type="pct"/>
            <w:tcBorders>
              <w:top w:val="nil"/>
              <w:right w:val="nil"/>
            </w:tcBorders>
            <w:vAlign w:val="center"/>
          </w:tcPr>
          <w:p w14:paraId="2750EE63"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tcPr>
          <w:p w14:paraId="66D61684" w14:textId="4104EA26"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nil"/>
              <w:left w:val="nil"/>
              <w:right w:val="nil"/>
            </w:tcBorders>
            <w:noWrap/>
            <w:vAlign w:val="bottom"/>
          </w:tcPr>
          <w:p w14:paraId="3E2ABBE4" w14:textId="5317459E" w:rsidR="00AA658F" w:rsidRPr="00AA658F" w:rsidRDefault="00AA658F" w:rsidP="00AA658F">
            <w:pPr>
              <w:spacing w:after="0" w:line="240" w:lineRule="auto"/>
              <w:jc w:val="right"/>
              <w:rPr>
                <w:b/>
                <w:bCs/>
                <w:sz w:val="18"/>
                <w:szCs w:val="18"/>
                <w:lang w:eastAsia="sk-SK"/>
              </w:rPr>
            </w:pPr>
            <w:r w:rsidRPr="00AA658F">
              <w:rPr>
                <w:b/>
                <w:bCs/>
                <w:sz w:val="18"/>
                <w:szCs w:val="18"/>
              </w:rPr>
              <w:t>2 000</w:t>
            </w:r>
          </w:p>
        </w:tc>
        <w:tc>
          <w:tcPr>
            <w:tcW w:w="599" w:type="pct"/>
            <w:tcBorders>
              <w:top w:val="nil"/>
              <w:left w:val="nil"/>
              <w:right w:val="nil"/>
            </w:tcBorders>
            <w:noWrap/>
            <w:vAlign w:val="bottom"/>
          </w:tcPr>
          <w:p w14:paraId="0876EFED" w14:textId="4C38EFB3" w:rsidR="00AA658F" w:rsidRPr="00AA658F" w:rsidRDefault="00AA658F" w:rsidP="00AA658F">
            <w:pPr>
              <w:spacing w:after="0" w:line="240" w:lineRule="auto"/>
              <w:jc w:val="right"/>
              <w:rPr>
                <w:b/>
                <w:bCs/>
                <w:sz w:val="18"/>
                <w:szCs w:val="18"/>
                <w:lang w:eastAsia="sk-SK"/>
              </w:rPr>
            </w:pPr>
            <w:r w:rsidRPr="00AA658F">
              <w:rPr>
                <w:b/>
                <w:bCs/>
                <w:sz w:val="18"/>
                <w:szCs w:val="18"/>
              </w:rPr>
              <w:t>3 274</w:t>
            </w:r>
          </w:p>
        </w:tc>
        <w:tc>
          <w:tcPr>
            <w:tcW w:w="534" w:type="pct"/>
            <w:tcBorders>
              <w:top w:val="nil"/>
              <w:left w:val="nil"/>
              <w:right w:val="nil"/>
            </w:tcBorders>
            <w:noWrap/>
            <w:vAlign w:val="bottom"/>
          </w:tcPr>
          <w:p w14:paraId="55DEFF42" w14:textId="0E09DC0A" w:rsidR="00AA658F" w:rsidRPr="00AA658F" w:rsidRDefault="00AA658F" w:rsidP="00AA658F">
            <w:pPr>
              <w:spacing w:after="0" w:line="240" w:lineRule="auto"/>
              <w:jc w:val="right"/>
              <w:rPr>
                <w:b/>
                <w:bCs/>
                <w:sz w:val="18"/>
                <w:szCs w:val="18"/>
                <w:lang w:eastAsia="sk-SK"/>
              </w:rPr>
            </w:pPr>
            <w:r w:rsidRPr="00AA658F">
              <w:rPr>
                <w:b/>
                <w:bCs/>
                <w:sz w:val="18"/>
                <w:szCs w:val="18"/>
              </w:rPr>
              <w:t>1 904</w:t>
            </w:r>
          </w:p>
        </w:tc>
        <w:tc>
          <w:tcPr>
            <w:tcW w:w="638" w:type="pct"/>
            <w:tcBorders>
              <w:top w:val="nil"/>
              <w:left w:val="nil"/>
            </w:tcBorders>
            <w:noWrap/>
            <w:vAlign w:val="bottom"/>
          </w:tcPr>
          <w:p w14:paraId="66F36E9A" w14:textId="7D5C96AD" w:rsidR="00AA658F" w:rsidRPr="00AA658F" w:rsidRDefault="00AA658F" w:rsidP="00AA658F">
            <w:pPr>
              <w:spacing w:after="0" w:line="240" w:lineRule="auto"/>
              <w:jc w:val="right"/>
              <w:rPr>
                <w:b/>
                <w:bCs/>
                <w:sz w:val="18"/>
                <w:szCs w:val="18"/>
                <w:lang w:eastAsia="sk-SK"/>
              </w:rPr>
            </w:pPr>
            <w:r w:rsidRPr="00AA658F">
              <w:rPr>
                <w:b/>
                <w:bCs/>
                <w:sz w:val="18"/>
                <w:szCs w:val="18"/>
              </w:rPr>
              <w:t>-1 370</w:t>
            </w:r>
          </w:p>
        </w:tc>
      </w:tr>
      <w:tr w:rsidR="00AA658F" w:rsidRPr="00AA658F" w14:paraId="72CBE4C2" w14:textId="77777777" w:rsidTr="00AA658F">
        <w:trPr>
          <w:trHeight w:val="300"/>
        </w:trPr>
        <w:tc>
          <w:tcPr>
            <w:tcW w:w="2301" w:type="pct"/>
            <w:tcBorders>
              <w:top w:val="nil"/>
              <w:right w:val="nil"/>
            </w:tcBorders>
            <w:vAlign w:val="center"/>
          </w:tcPr>
          <w:p w14:paraId="6CF0F9DA" w14:textId="361B360E" w:rsidR="00AA658F" w:rsidRPr="00AA658F" w:rsidRDefault="00AA658F" w:rsidP="00AA658F">
            <w:pPr>
              <w:spacing w:after="0" w:line="240" w:lineRule="auto"/>
              <w:rPr>
                <w:sz w:val="18"/>
                <w:szCs w:val="18"/>
                <w:lang w:eastAsia="sk-SK"/>
              </w:rPr>
            </w:pPr>
            <w:r w:rsidRPr="00AA658F">
              <w:rPr>
                <w:sz w:val="18"/>
                <w:szCs w:val="18"/>
                <w:lang w:eastAsia="sk-SK"/>
              </w:rPr>
              <w:t>Slovenská konsolidačná, a. s.</w:t>
            </w:r>
          </w:p>
        </w:tc>
        <w:tc>
          <w:tcPr>
            <w:tcW w:w="372" w:type="pct"/>
            <w:tcBorders>
              <w:top w:val="nil"/>
              <w:left w:val="nil"/>
              <w:right w:val="nil"/>
            </w:tcBorders>
            <w:vAlign w:val="bottom"/>
          </w:tcPr>
          <w:p w14:paraId="73AE0CFD" w14:textId="048AF9AB"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tcPr>
          <w:p w14:paraId="77353C38" w14:textId="6F49E0A4" w:rsidR="00AA658F" w:rsidRPr="00AA658F" w:rsidRDefault="00AA658F" w:rsidP="00AA658F">
            <w:pPr>
              <w:spacing w:after="0" w:line="240" w:lineRule="auto"/>
              <w:jc w:val="right"/>
              <w:rPr>
                <w:b/>
                <w:bCs/>
                <w:sz w:val="18"/>
                <w:szCs w:val="18"/>
                <w:lang w:eastAsia="sk-SK"/>
              </w:rPr>
            </w:pPr>
            <w:r w:rsidRPr="00AA658F">
              <w:rPr>
                <w:sz w:val="18"/>
                <w:szCs w:val="18"/>
              </w:rPr>
              <w:t>0</w:t>
            </w:r>
          </w:p>
        </w:tc>
        <w:tc>
          <w:tcPr>
            <w:tcW w:w="599" w:type="pct"/>
            <w:tcBorders>
              <w:top w:val="nil"/>
              <w:left w:val="nil"/>
              <w:right w:val="nil"/>
            </w:tcBorders>
            <w:noWrap/>
            <w:vAlign w:val="bottom"/>
          </w:tcPr>
          <w:p w14:paraId="5054295A" w14:textId="1443D12A" w:rsidR="00AA658F" w:rsidRPr="00AA658F" w:rsidRDefault="00AA658F" w:rsidP="00AA658F">
            <w:pPr>
              <w:spacing w:after="0" w:line="240" w:lineRule="auto"/>
              <w:jc w:val="right"/>
              <w:rPr>
                <w:b/>
                <w:bCs/>
                <w:sz w:val="18"/>
                <w:szCs w:val="18"/>
                <w:lang w:eastAsia="sk-SK"/>
              </w:rPr>
            </w:pPr>
            <w:r w:rsidRPr="00AA658F">
              <w:rPr>
                <w:sz w:val="18"/>
                <w:szCs w:val="18"/>
              </w:rPr>
              <w:t>3 274</w:t>
            </w:r>
          </w:p>
        </w:tc>
        <w:tc>
          <w:tcPr>
            <w:tcW w:w="534" w:type="pct"/>
            <w:tcBorders>
              <w:top w:val="nil"/>
              <w:left w:val="nil"/>
              <w:right w:val="nil"/>
            </w:tcBorders>
            <w:noWrap/>
            <w:vAlign w:val="bottom"/>
          </w:tcPr>
          <w:p w14:paraId="47C34905" w14:textId="30295EFB" w:rsidR="00AA658F" w:rsidRPr="00AA658F" w:rsidRDefault="00AA658F" w:rsidP="00AA658F">
            <w:pPr>
              <w:spacing w:after="0" w:line="240" w:lineRule="auto"/>
              <w:jc w:val="right"/>
              <w:rPr>
                <w:b/>
                <w:bCs/>
                <w:sz w:val="18"/>
                <w:szCs w:val="18"/>
                <w:lang w:eastAsia="sk-SK"/>
              </w:rPr>
            </w:pPr>
            <w:r w:rsidRPr="00AA658F">
              <w:rPr>
                <w:sz w:val="18"/>
                <w:szCs w:val="18"/>
              </w:rPr>
              <w:t>1 904</w:t>
            </w:r>
          </w:p>
        </w:tc>
        <w:tc>
          <w:tcPr>
            <w:tcW w:w="638" w:type="pct"/>
            <w:tcBorders>
              <w:top w:val="nil"/>
              <w:left w:val="nil"/>
            </w:tcBorders>
            <w:noWrap/>
            <w:vAlign w:val="bottom"/>
          </w:tcPr>
          <w:p w14:paraId="29D5312A" w14:textId="7274FC5F" w:rsidR="00AA658F" w:rsidRPr="00AA658F" w:rsidRDefault="00AA658F" w:rsidP="00AA658F">
            <w:pPr>
              <w:spacing w:after="0" w:line="240" w:lineRule="auto"/>
              <w:jc w:val="right"/>
              <w:rPr>
                <w:b/>
                <w:bCs/>
                <w:sz w:val="18"/>
                <w:szCs w:val="18"/>
                <w:lang w:eastAsia="sk-SK"/>
              </w:rPr>
            </w:pPr>
            <w:r w:rsidRPr="00AA658F">
              <w:rPr>
                <w:sz w:val="18"/>
                <w:szCs w:val="18"/>
              </w:rPr>
              <w:t>-1 370</w:t>
            </w:r>
          </w:p>
        </w:tc>
      </w:tr>
      <w:tr w:rsidR="00AA658F" w:rsidRPr="00AA658F" w14:paraId="1798E45E" w14:textId="77777777" w:rsidTr="00AA658F">
        <w:trPr>
          <w:trHeight w:val="300"/>
        </w:trPr>
        <w:tc>
          <w:tcPr>
            <w:tcW w:w="2301" w:type="pct"/>
            <w:tcBorders>
              <w:top w:val="nil"/>
              <w:right w:val="nil"/>
            </w:tcBorders>
            <w:vAlign w:val="center"/>
          </w:tcPr>
          <w:p w14:paraId="1313D1C7"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tcPr>
          <w:p w14:paraId="7A6376F6" w14:textId="467EF1E0"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right w:val="nil"/>
            </w:tcBorders>
            <w:noWrap/>
            <w:vAlign w:val="bottom"/>
          </w:tcPr>
          <w:p w14:paraId="54D7B9FF" w14:textId="3DC9D270" w:rsidR="00AA658F" w:rsidRPr="00AA658F" w:rsidRDefault="00AA658F" w:rsidP="00AA658F">
            <w:pPr>
              <w:spacing w:after="0" w:line="240" w:lineRule="auto"/>
              <w:jc w:val="right"/>
              <w:rPr>
                <w:b/>
                <w:bCs/>
                <w:sz w:val="18"/>
                <w:szCs w:val="18"/>
                <w:lang w:eastAsia="sk-SK"/>
              </w:rPr>
            </w:pPr>
            <w:r w:rsidRPr="00AA658F">
              <w:rPr>
                <w:sz w:val="18"/>
                <w:szCs w:val="18"/>
              </w:rPr>
              <w:t>2 000</w:t>
            </w:r>
          </w:p>
        </w:tc>
        <w:tc>
          <w:tcPr>
            <w:tcW w:w="599" w:type="pct"/>
            <w:tcBorders>
              <w:top w:val="nil"/>
              <w:left w:val="nil"/>
              <w:right w:val="nil"/>
            </w:tcBorders>
            <w:noWrap/>
            <w:vAlign w:val="bottom"/>
          </w:tcPr>
          <w:p w14:paraId="73074493" w14:textId="0D8D5BEA" w:rsidR="00AA658F" w:rsidRPr="00AA658F" w:rsidRDefault="00AA658F" w:rsidP="00AA658F">
            <w:pPr>
              <w:spacing w:after="0" w:line="240" w:lineRule="auto"/>
              <w:jc w:val="right"/>
              <w:rPr>
                <w:b/>
                <w:bCs/>
                <w:sz w:val="18"/>
                <w:szCs w:val="18"/>
                <w:lang w:eastAsia="sk-SK"/>
              </w:rPr>
            </w:pPr>
            <w:r w:rsidRPr="00AA658F">
              <w:rPr>
                <w:sz w:val="18"/>
                <w:szCs w:val="18"/>
              </w:rPr>
              <w:t>0</w:t>
            </w:r>
          </w:p>
        </w:tc>
        <w:tc>
          <w:tcPr>
            <w:tcW w:w="534" w:type="pct"/>
            <w:tcBorders>
              <w:top w:val="nil"/>
              <w:left w:val="nil"/>
              <w:right w:val="nil"/>
            </w:tcBorders>
            <w:noWrap/>
            <w:vAlign w:val="bottom"/>
          </w:tcPr>
          <w:p w14:paraId="78DEAC8A" w14:textId="79C56D4F" w:rsidR="00AA658F" w:rsidRPr="00AA658F" w:rsidRDefault="00AA658F" w:rsidP="00AA658F">
            <w:pPr>
              <w:spacing w:after="0" w:line="240" w:lineRule="auto"/>
              <w:jc w:val="right"/>
              <w:rPr>
                <w:b/>
                <w:bCs/>
                <w:sz w:val="18"/>
                <w:szCs w:val="18"/>
                <w:lang w:eastAsia="sk-SK"/>
              </w:rPr>
            </w:pPr>
            <w:r w:rsidRPr="00AA658F">
              <w:rPr>
                <w:sz w:val="18"/>
                <w:szCs w:val="18"/>
              </w:rPr>
              <w:t>0</w:t>
            </w:r>
          </w:p>
        </w:tc>
        <w:tc>
          <w:tcPr>
            <w:tcW w:w="638" w:type="pct"/>
            <w:tcBorders>
              <w:top w:val="nil"/>
              <w:left w:val="nil"/>
            </w:tcBorders>
            <w:noWrap/>
            <w:vAlign w:val="bottom"/>
          </w:tcPr>
          <w:p w14:paraId="118E3521" w14:textId="553B0529" w:rsidR="00AA658F" w:rsidRPr="00AA658F" w:rsidRDefault="00AA658F" w:rsidP="00AA658F">
            <w:pPr>
              <w:spacing w:after="0" w:line="240" w:lineRule="auto"/>
              <w:jc w:val="right"/>
              <w:rPr>
                <w:b/>
                <w:bCs/>
                <w:sz w:val="18"/>
                <w:szCs w:val="18"/>
                <w:lang w:eastAsia="sk-SK"/>
              </w:rPr>
            </w:pPr>
            <w:r w:rsidRPr="00AA658F">
              <w:rPr>
                <w:sz w:val="18"/>
                <w:szCs w:val="18"/>
              </w:rPr>
              <w:t>0</w:t>
            </w:r>
          </w:p>
        </w:tc>
      </w:tr>
      <w:tr w:rsidR="00AA658F" w:rsidRPr="00AA658F" w14:paraId="44F8A7E7" w14:textId="77777777" w:rsidTr="00AA658F">
        <w:trPr>
          <w:trHeight w:val="300"/>
        </w:trPr>
        <w:tc>
          <w:tcPr>
            <w:tcW w:w="2301" w:type="pct"/>
            <w:vMerge w:val="restart"/>
            <w:tcBorders>
              <w:top w:val="nil"/>
              <w:right w:val="nil"/>
            </w:tcBorders>
            <w:vAlign w:val="center"/>
            <w:hideMark/>
          </w:tcPr>
          <w:p w14:paraId="336E1791" w14:textId="350B533A" w:rsidR="00AA658F" w:rsidRPr="00AA658F" w:rsidRDefault="00AA658F" w:rsidP="00AA658F">
            <w:pPr>
              <w:spacing w:after="0" w:line="240" w:lineRule="auto"/>
              <w:rPr>
                <w:sz w:val="18"/>
                <w:szCs w:val="18"/>
                <w:lang w:eastAsia="sk-SK"/>
              </w:rPr>
            </w:pPr>
            <w:r w:rsidRPr="00AA658F">
              <w:rPr>
                <w:sz w:val="18"/>
                <w:szCs w:val="18"/>
                <w:lang w:eastAsia="sk-SK"/>
              </w:rPr>
              <w:t>Slovenská elektrizačná prenosová sústava, a. s.</w:t>
            </w:r>
          </w:p>
        </w:tc>
        <w:tc>
          <w:tcPr>
            <w:tcW w:w="372" w:type="pct"/>
            <w:tcBorders>
              <w:top w:val="nil"/>
              <w:left w:val="nil"/>
              <w:right w:val="nil"/>
            </w:tcBorders>
            <w:vAlign w:val="bottom"/>
            <w:hideMark/>
          </w:tcPr>
          <w:p w14:paraId="218AF2F7" w14:textId="4FE4394A" w:rsidR="00AA658F" w:rsidRPr="00AA658F" w:rsidRDefault="00AA658F" w:rsidP="00AA658F">
            <w:pPr>
              <w:spacing w:after="0" w:line="240" w:lineRule="auto"/>
              <w:rPr>
                <w:sz w:val="18"/>
                <w:szCs w:val="18"/>
                <w:lang w:eastAsia="sk-SK"/>
              </w:rPr>
            </w:pPr>
            <w:r w:rsidRPr="00AA658F">
              <w:rPr>
                <w:b/>
                <w:bCs/>
                <w:sz w:val="18"/>
                <w:szCs w:val="18"/>
              </w:rPr>
              <w:t>Spolu</w:t>
            </w:r>
          </w:p>
        </w:tc>
        <w:tc>
          <w:tcPr>
            <w:tcW w:w="556" w:type="pct"/>
            <w:tcBorders>
              <w:top w:val="nil"/>
              <w:left w:val="nil"/>
              <w:right w:val="nil"/>
            </w:tcBorders>
            <w:noWrap/>
            <w:vAlign w:val="bottom"/>
            <w:hideMark/>
          </w:tcPr>
          <w:p w14:paraId="6A97A6AC" w14:textId="7A865F94" w:rsidR="00AA658F" w:rsidRPr="00AA658F" w:rsidRDefault="00AA658F" w:rsidP="00AA658F">
            <w:pPr>
              <w:spacing w:after="0" w:line="240" w:lineRule="auto"/>
              <w:jc w:val="right"/>
              <w:rPr>
                <w:b/>
                <w:bCs/>
                <w:sz w:val="18"/>
                <w:szCs w:val="18"/>
                <w:lang w:eastAsia="sk-SK"/>
              </w:rPr>
            </w:pPr>
            <w:r w:rsidRPr="00AA658F">
              <w:rPr>
                <w:b/>
                <w:bCs/>
                <w:sz w:val="18"/>
                <w:szCs w:val="18"/>
              </w:rPr>
              <w:t>0</w:t>
            </w:r>
          </w:p>
        </w:tc>
        <w:tc>
          <w:tcPr>
            <w:tcW w:w="599" w:type="pct"/>
            <w:tcBorders>
              <w:top w:val="nil"/>
              <w:left w:val="nil"/>
              <w:right w:val="nil"/>
            </w:tcBorders>
            <w:noWrap/>
            <w:vAlign w:val="bottom"/>
            <w:hideMark/>
          </w:tcPr>
          <w:p w14:paraId="56E2167C" w14:textId="7905C35B" w:rsidR="00AA658F" w:rsidRPr="00AA658F" w:rsidRDefault="00AA658F" w:rsidP="00AA658F">
            <w:pPr>
              <w:spacing w:after="0" w:line="240" w:lineRule="auto"/>
              <w:jc w:val="right"/>
              <w:rPr>
                <w:b/>
                <w:bCs/>
                <w:sz w:val="18"/>
                <w:szCs w:val="18"/>
                <w:lang w:eastAsia="sk-SK"/>
              </w:rPr>
            </w:pPr>
            <w:r w:rsidRPr="00AA658F">
              <w:rPr>
                <w:b/>
                <w:bCs/>
                <w:sz w:val="18"/>
                <w:szCs w:val="18"/>
              </w:rPr>
              <w:t>79 338</w:t>
            </w:r>
          </w:p>
        </w:tc>
        <w:tc>
          <w:tcPr>
            <w:tcW w:w="534" w:type="pct"/>
            <w:tcBorders>
              <w:top w:val="nil"/>
              <w:left w:val="nil"/>
              <w:right w:val="nil"/>
            </w:tcBorders>
            <w:noWrap/>
            <w:vAlign w:val="bottom"/>
            <w:hideMark/>
          </w:tcPr>
          <w:p w14:paraId="3A857282" w14:textId="2B7BCDC6" w:rsidR="00AA658F" w:rsidRPr="00AA658F" w:rsidRDefault="00AA658F" w:rsidP="00AA658F">
            <w:pPr>
              <w:spacing w:after="0" w:line="240" w:lineRule="auto"/>
              <w:jc w:val="right"/>
              <w:rPr>
                <w:b/>
                <w:bCs/>
                <w:sz w:val="18"/>
                <w:szCs w:val="18"/>
                <w:lang w:eastAsia="sk-SK"/>
              </w:rPr>
            </w:pPr>
            <w:r w:rsidRPr="00AA658F">
              <w:rPr>
                <w:b/>
                <w:bCs/>
                <w:sz w:val="18"/>
                <w:szCs w:val="18"/>
              </w:rPr>
              <w:t>45 820</w:t>
            </w:r>
          </w:p>
        </w:tc>
        <w:tc>
          <w:tcPr>
            <w:tcW w:w="638" w:type="pct"/>
            <w:tcBorders>
              <w:top w:val="nil"/>
              <w:left w:val="nil"/>
            </w:tcBorders>
            <w:noWrap/>
            <w:vAlign w:val="bottom"/>
            <w:hideMark/>
          </w:tcPr>
          <w:p w14:paraId="2C86A870" w14:textId="47159B2B" w:rsidR="00AA658F" w:rsidRPr="00AA658F" w:rsidRDefault="00AA658F" w:rsidP="00AA658F">
            <w:pPr>
              <w:spacing w:after="0" w:line="240" w:lineRule="auto"/>
              <w:jc w:val="right"/>
              <w:rPr>
                <w:b/>
                <w:bCs/>
                <w:sz w:val="18"/>
                <w:szCs w:val="18"/>
                <w:lang w:eastAsia="sk-SK"/>
              </w:rPr>
            </w:pPr>
            <w:r w:rsidRPr="00AA658F">
              <w:rPr>
                <w:b/>
                <w:bCs/>
                <w:sz w:val="18"/>
                <w:szCs w:val="18"/>
              </w:rPr>
              <w:t>-33 518</w:t>
            </w:r>
          </w:p>
        </w:tc>
      </w:tr>
      <w:tr w:rsidR="00AA658F" w:rsidRPr="00AA658F" w14:paraId="5E512F2B" w14:textId="77777777" w:rsidTr="00AA658F">
        <w:trPr>
          <w:trHeight w:val="300"/>
        </w:trPr>
        <w:tc>
          <w:tcPr>
            <w:tcW w:w="2301" w:type="pct"/>
            <w:vMerge/>
            <w:tcBorders>
              <w:top w:val="nil"/>
              <w:right w:val="nil"/>
            </w:tcBorders>
            <w:vAlign w:val="center"/>
            <w:hideMark/>
          </w:tcPr>
          <w:p w14:paraId="124E333F"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5D10A1B2" w14:textId="1F9CA1BE" w:rsidR="00AA658F" w:rsidRPr="00AA658F" w:rsidRDefault="00AA658F" w:rsidP="00AA658F">
            <w:pPr>
              <w:spacing w:after="0" w:line="240" w:lineRule="auto"/>
              <w:rPr>
                <w:sz w:val="18"/>
                <w:szCs w:val="18"/>
                <w:lang w:eastAsia="sk-SK"/>
              </w:rPr>
            </w:pPr>
            <w:r w:rsidRPr="00AA658F">
              <w:rPr>
                <w:sz w:val="18"/>
                <w:szCs w:val="18"/>
              </w:rPr>
              <w:t xml:space="preserve">ESA </w:t>
            </w:r>
          </w:p>
        </w:tc>
        <w:tc>
          <w:tcPr>
            <w:tcW w:w="556" w:type="pct"/>
            <w:tcBorders>
              <w:top w:val="nil"/>
              <w:left w:val="nil"/>
              <w:right w:val="nil"/>
            </w:tcBorders>
            <w:noWrap/>
            <w:vAlign w:val="bottom"/>
            <w:hideMark/>
          </w:tcPr>
          <w:p w14:paraId="62181123" w14:textId="383520B1"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99" w:type="pct"/>
            <w:tcBorders>
              <w:top w:val="nil"/>
              <w:left w:val="nil"/>
              <w:right w:val="nil"/>
            </w:tcBorders>
            <w:noWrap/>
            <w:vAlign w:val="bottom"/>
            <w:hideMark/>
          </w:tcPr>
          <w:p w14:paraId="505665FF" w14:textId="0BE7ABE4" w:rsidR="00AA658F" w:rsidRPr="00AA658F" w:rsidRDefault="00AA658F" w:rsidP="00AA658F">
            <w:pPr>
              <w:spacing w:after="0" w:line="240" w:lineRule="auto"/>
              <w:jc w:val="right"/>
              <w:rPr>
                <w:color w:val="000000"/>
                <w:sz w:val="18"/>
                <w:szCs w:val="18"/>
                <w:lang w:eastAsia="sk-SK"/>
              </w:rPr>
            </w:pPr>
            <w:r w:rsidRPr="00AA658F">
              <w:rPr>
                <w:sz w:val="18"/>
                <w:szCs w:val="18"/>
              </w:rPr>
              <w:t>79 338</w:t>
            </w:r>
          </w:p>
        </w:tc>
        <w:tc>
          <w:tcPr>
            <w:tcW w:w="534" w:type="pct"/>
            <w:tcBorders>
              <w:top w:val="nil"/>
              <w:left w:val="nil"/>
              <w:right w:val="nil"/>
            </w:tcBorders>
            <w:noWrap/>
            <w:vAlign w:val="bottom"/>
            <w:hideMark/>
          </w:tcPr>
          <w:p w14:paraId="1D93D243" w14:textId="6703AD55" w:rsidR="00AA658F" w:rsidRPr="00AA658F" w:rsidRDefault="00AA658F" w:rsidP="00AA658F">
            <w:pPr>
              <w:spacing w:after="0" w:line="240" w:lineRule="auto"/>
              <w:jc w:val="right"/>
              <w:rPr>
                <w:color w:val="000000"/>
                <w:sz w:val="18"/>
                <w:szCs w:val="18"/>
                <w:lang w:eastAsia="sk-SK"/>
              </w:rPr>
            </w:pPr>
            <w:r w:rsidRPr="00AA658F">
              <w:rPr>
                <w:sz w:val="18"/>
                <w:szCs w:val="18"/>
              </w:rPr>
              <w:t>45 820</w:t>
            </w:r>
          </w:p>
        </w:tc>
        <w:tc>
          <w:tcPr>
            <w:tcW w:w="638" w:type="pct"/>
            <w:tcBorders>
              <w:top w:val="nil"/>
              <w:left w:val="nil"/>
            </w:tcBorders>
            <w:noWrap/>
            <w:vAlign w:val="bottom"/>
            <w:hideMark/>
          </w:tcPr>
          <w:p w14:paraId="4AF61A06" w14:textId="70A07A79" w:rsidR="00AA658F" w:rsidRPr="00AA658F" w:rsidRDefault="00AA658F" w:rsidP="00AA658F">
            <w:pPr>
              <w:spacing w:after="0" w:line="240" w:lineRule="auto"/>
              <w:jc w:val="right"/>
              <w:rPr>
                <w:color w:val="000000"/>
                <w:sz w:val="18"/>
                <w:szCs w:val="18"/>
                <w:lang w:eastAsia="sk-SK"/>
              </w:rPr>
            </w:pPr>
            <w:r w:rsidRPr="00AA658F">
              <w:rPr>
                <w:sz w:val="18"/>
                <w:szCs w:val="18"/>
              </w:rPr>
              <w:t>-33 518</w:t>
            </w:r>
          </w:p>
        </w:tc>
      </w:tr>
      <w:tr w:rsidR="00AA658F" w:rsidRPr="00AA658F" w14:paraId="56D5FF1B" w14:textId="77777777" w:rsidTr="00AA658F">
        <w:trPr>
          <w:trHeight w:val="300"/>
        </w:trPr>
        <w:tc>
          <w:tcPr>
            <w:tcW w:w="2301" w:type="pct"/>
            <w:vMerge/>
            <w:tcBorders>
              <w:top w:val="nil"/>
              <w:right w:val="nil"/>
            </w:tcBorders>
            <w:vAlign w:val="center"/>
            <w:hideMark/>
          </w:tcPr>
          <w:p w14:paraId="6B8B8066"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bottom"/>
            <w:hideMark/>
          </w:tcPr>
          <w:p w14:paraId="61C9CBF4" w14:textId="383C920F" w:rsidR="00AA658F" w:rsidRPr="00AA658F" w:rsidRDefault="00AA658F" w:rsidP="00AA658F">
            <w:pPr>
              <w:spacing w:after="0" w:line="240" w:lineRule="auto"/>
              <w:rPr>
                <w:sz w:val="18"/>
                <w:szCs w:val="18"/>
                <w:lang w:eastAsia="sk-SK"/>
              </w:rPr>
            </w:pPr>
            <w:r w:rsidRPr="00AA658F">
              <w:rPr>
                <w:sz w:val="18"/>
                <w:szCs w:val="18"/>
              </w:rPr>
              <w:t>Super</w:t>
            </w:r>
          </w:p>
        </w:tc>
        <w:tc>
          <w:tcPr>
            <w:tcW w:w="556" w:type="pct"/>
            <w:tcBorders>
              <w:top w:val="nil"/>
              <w:left w:val="nil"/>
              <w:right w:val="nil"/>
            </w:tcBorders>
            <w:noWrap/>
            <w:vAlign w:val="bottom"/>
            <w:hideMark/>
          </w:tcPr>
          <w:p w14:paraId="15A23612" w14:textId="7E6409F9" w:rsidR="00AA658F" w:rsidRPr="00AA658F" w:rsidRDefault="00AA658F" w:rsidP="00AA658F">
            <w:pPr>
              <w:spacing w:after="0" w:line="240" w:lineRule="auto"/>
              <w:jc w:val="right"/>
              <w:rPr>
                <w:sz w:val="18"/>
                <w:szCs w:val="18"/>
                <w:lang w:eastAsia="sk-SK"/>
              </w:rPr>
            </w:pPr>
            <w:r w:rsidRPr="00AA658F">
              <w:rPr>
                <w:sz w:val="18"/>
                <w:szCs w:val="18"/>
              </w:rPr>
              <w:t>0</w:t>
            </w:r>
          </w:p>
        </w:tc>
        <w:tc>
          <w:tcPr>
            <w:tcW w:w="599" w:type="pct"/>
            <w:tcBorders>
              <w:top w:val="nil"/>
              <w:left w:val="nil"/>
              <w:right w:val="nil"/>
            </w:tcBorders>
            <w:noWrap/>
            <w:vAlign w:val="bottom"/>
            <w:hideMark/>
          </w:tcPr>
          <w:p w14:paraId="0B010FA2" w14:textId="3F894814"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534" w:type="pct"/>
            <w:tcBorders>
              <w:top w:val="nil"/>
              <w:left w:val="nil"/>
              <w:right w:val="nil"/>
            </w:tcBorders>
            <w:noWrap/>
            <w:vAlign w:val="bottom"/>
            <w:hideMark/>
          </w:tcPr>
          <w:p w14:paraId="42C16B14" w14:textId="405BCA93"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638" w:type="pct"/>
            <w:tcBorders>
              <w:top w:val="nil"/>
              <w:left w:val="nil"/>
            </w:tcBorders>
            <w:noWrap/>
            <w:vAlign w:val="bottom"/>
            <w:hideMark/>
          </w:tcPr>
          <w:p w14:paraId="1135C512" w14:textId="2510E212" w:rsidR="00AA658F" w:rsidRPr="00AA658F" w:rsidRDefault="00AA658F" w:rsidP="00AA658F">
            <w:pPr>
              <w:spacing w:after="0" w:line="240" w:lineRule="auto"/>
              <w:jc w:val="right"/>
              <w:rPr>
                <w:color w:val="000000"/>
                <w:sz w:val="18"/>
                <w:szCs w:val="18"/>
                <w:lang w:eastAsia="sk-SK"/>
              </w:rPr>
            </w:pPr>
            <w:r w:rsidRPr="00AA658F">
              <w:rPr>
                <w:sz w:val="18"/>
                <w:szCs w:val="18"/>
              </w:rPr>
              <w:t>0</w:t>
            </w:r>
          </w:p>
        </w:tc>
      </w:tr>
      <w:tr w:rsidR="003F2313" w:rsidRPr="00AA658F" w14:paraId="460B72EF" w14:textId="77777777" w:rsidTr="00AA658F">
        <w:trPr>
          <w:trHeight w:val="300"/>
        </w:trPr>
        <w:tc>
          <w:tcPr>
            <w:tcW w:w="2301" w:type="pct"/>
            <w:tcBorders>
              <w:top w:val="single" w:sz="4" w:space="0" w:color="auto"/>
              <w:bottom w:val="single" w:sz="4" w:space="0" w:color="auto"/>
              <w:right w:val="nil"/>
            </w:tcBorders>
            <w:noWrap/>
            <w:vAlign w:val="center"/>
          </w:tcPr>
          <w:p w14:paraId="53816DAD" w14:textId="3960EC90" w:rsidR="003F2313" w:rsidRPr="00AA658F" w:rsidRDefault="00A839C5" w:rsidP="00A839C5">
            <w:pPr>
              <w:spacing w:after="0" w:line="240" w:lineRule="auto"/>
              <w:rPr>
                <w:b/>
                <w:bCs/>
                <w:color w:val="000000"/>
                <w:sz w:val="18"/>
                <w:szCs w:val="18"/>
                <w:lang w:eastAsia="sk-SK"/>
              </w:rPr>
            </w:pPr>
            <w:r w:rsidRPr="00AA658F">
              <w:rPr>
                <w:b/>
                <w:bCs/>
                <w:color w:val="000000"/>
                <w:sz w:val="18"/>
                <w:szCs w:val="18"/>
                <w:lang w:eastAsia="sk-SK"/>
              </w:rPr>
              <w:t>Ministerstvo cestovného ruchu a športu SR</w:t>
            </w:r>
          </w:p>
        </w:tc>
        <w:tc>
          <w:tcPr>
            <w:tcW w:w="372" w:type="pct"/>
            <w:tcBorders>
              <w:top w:val="single" w:sz="4" w:space="0" w:color="auto"/>
              <w:left w:val="nil"/>
              <w:bottom w:val="single" w:sz="4" w:space="0" w:color="auto"/>
              <w:right w:val="nil"/>
            </w:tcBorders>
            <w:noWrap/>
            <w:vAlign w:val="center"/>
          </w:tcPr>
          <w:p w14:paraId="27597485" w14:textId="77777777" w:rsidR="003F2313" w:rsidRPr="00AA658F" w:rsidRDefault="003F2313" w:rsidP="00743ACA">
            <w:pPr>
              <w:spacing w:after="0" w:line="240" w:lineRule="auto"/>
              <w:jc w:val="center"/>
              <w:rPr>
                <w:b/>
                <w:bCs/>
                <w:sz w:val="18"/>
                <w:szCs w:val="18"/>
                <w:lang w:eastAsia="sk-SK"/>
              </w:rPr>
            </w:pPr>
          </w:p>
        </w:tc>
        <w:tc>
          <w:tcPr>
            <w:tcW w:w="556" w:type="pct"/>
            <w:tcBorders>
              <w:top w:val="single" w:sz="4" w:space="0" w:color="auto"/>
              <w:left w:val="nil"/>
              <w:bottom w:val="single" w:sz="4" w:space="0" w:color="auto"/>
              <w:right w:val="nil"/>
            </w:tcBorders>
            <w:noWrap/>
            <w:vAlign w:val="bottom"/>
          </w:tcPr>
          <w:p w14:paraId="2DD7D0A8" w14:textId="77777777" w:rsidR="003F2313" w:rsidRPr="00AA658F" w:rsidRDefault="003F2313" w:rsidP="00743ACA">
            <w:pPr>
              <w:spacing w:after="0" w:line="240" w:lineRule="auto"/>
              <w:jc w:val="right"/>
              <w:rPr>
                <w:b/>
                <w:bCs/>
                <w:sz w:val="18"/>
                <w:szCs w:val="18"/>
                <w:lang w:eastAsia="sk-SK"/>
              </w:rPr>
            </w:pPr>
          </w:p>
        </w:tc>
        <w:tc>
          <w:tcPr>
            <w:tcW w:w="599" w:type="pct"/>
            <w:tcBorders>
              <w:top w:val="single" w:sz="4" w:space="0" w:color="auto"/>
              <w:left w:val="nil"/>
              <w:bottom w:val="single" w:sz="4" w:space="0" w:color="auto"/>
              <w:right w:val="nil"/>
            </w:tcBorders>
            <w:noWrap/>
            <w:vAlign w:val="bottom"/>
          </w:tcPr>
          <w:p w14:paraId="4B6C9BAA" w14:textId="77777777" w:rsidR="003F2313" w:rsidRPr="00AA658F" w:rsidRDefault="003F2313" w:rsidP="00743ACA">
            <w:pPr>
              <w:spacing w:after="0" w:line="240" w:lineRule="auto"/>
              <w:jc w:val="right"/>
              <w:rPr>
                <w:b/>
                <w:bCs/>
                <w:sz w:val="18"/>
                <w:szCs w:val="18"/>
                <w:lang w:eastAsia="sk-SK"/>
              </w:rPr>
            </w:pPr>
          </w:p>
        </w:tc>
        <w:tc>
          <w:tcPr>
            <w:tcW w:w="534" w:type="pct"/>
            <w:tcBorders>
              <w:top w:val="single" w:sz="4" w:space="0" w:color="auto"/>
              <w:left w:val="nil"/>
              <w:bottom w:val="single" w:sz="4" w:space="0" w:color="auto"/>
              <w:right w:val="nil"/>
            </w:tcBorders>
            <w:noWrap/>
            <w:vAlign w:val="bottom"/>
          </w:tcPr>
          <w:p w14:paraId="209CB269" w14:textId="77777777" w:rsidR="003F2313" w:rsidRPr="00AA658F" w:rsidRDefault="003F2313" w:rsidP="00743ACA">
            <w:pPr>
              <w:spacing w:after="0" w:line="240" w:lineRule="auto"/>
              <w:jc w:val="right"/>
              <w:rPr>
                <w:b/>
                <w:bCs/>
                <w:sz w:val="18"/>
                <w:szCs w:val="18"/>
                <w:lang w:eastAsia="sk-SK"/>
              </w:rPr>
            </w:pPr>
          </w:p>
        </w:tc>
        <w:tc>
          <w:tcPr>
            <w:tcW w:w="638" w:type="pct"/>
            <w:tcBorders>
              <w:top w:val="single" w:sz="4" w:space="0" w:color="auto"/>
              <w:left w:val="nil"/>
              <w:bottom w:val="single" w:sz="4" w:space="0" w:color="auto"/>
            </w:tcBorders>
            <w:noWrap/>
            <w:vAlign w:val="bottom"/>
          </w:tcPr>
          <w:p w14:paraId="36751DF8" w14:textId="77777777" w:rsidR="003F2313" w:rsidRPr="00AA658F" w:rsidRDefault="003F2313" w:rsidP="00743ACA">
            <w:pPr>
              <w:spacing w:after="0" w:line="240" w:lineRule="auto"/>
              <w:jc w:val="right"/>
              <w:rPr>
                <w:b/>
                <w:bCs/>
                <w:sz w:val="18"/>
                <w:szCs w:val="18"/>
                <w:lang w:eastAsia="sk-SK"/>
              </w:rPr>
            </w:pPr>
          </w:p>
        </w:tc>
      </w:tr>
      <w:tr w:rsidR="00AA658F" w:rsidRPr="00AA658F" w14:paraId="29A3F991" w14:textId="77777777" w:rsidTr="00AA658F">
        <w:trPr>
          <w:trHeight w:val="300"/>
        </w:trPr>
        <w:tc>
          <w:tcPr>
            <w:tcW w:w="2301" w:type="pct"/>
            <w:tcBorders>
              <w:top w:val="single" w:sz="4" w:space="0" w:color="auto"/>
              <w:right w:val="nil"/>
            </w:tcBorders>
            <w:noWrap/>
            <w:vAlign w:val="center"/>
          </w:tcPr>
          <w:p w14:paraId="40450B5F" w14:textId="4040EDE8" w:rsidR="00AA658F" w:rsidRPr="00AA658F" w:rsidRDefault="00AA658F" w:rsidP="00AA658F">
            <w:pPr>
              <w:spacing w:after="0" w:line="240" w:lineRule="auto"/>
              <w:rPr>
                <w:sz w:val="18"/>
                <w:szCs w:val="18"/>
                <w:lang w:eastAsia="sk-SK"/>
              </w:rPr>
            </w:pPr>
          </w:p>
        </w:tc>
        <w:tc>
          <w:tcPr>
            <w:tcW w:w="372" w:type="pct"/>
            <w:tcBorders>
              <w:top w:val="single" w:sz="4" w:space="0" w:color="auto"/>
              <w:left w:val="nil"/>
              <w:right w:val="nil"/>
            </w:tcBorders>
            <w:noWrap/>
            <w:vAlign w:val="bottom"/>
          </w:tcPr>
          <w:p w14:paraId="33D21F78" w14:textId="1FF33D60" w:rsidR="00AA658F" w:rsidRPr="00AA658F" w:rsidRDefault="00AA658F" w:rsidP="00AA658F">
            <w:pPr>
              <w:spacing w:after="0" w:line="240" w:lineRule="auto"/>
              <w:rPr>
                <w:b/>
                <w:bCs/>
                <w:sz w:val="18"/>
                <w:szCs w:val="18"/>
              </w:rPr>
            </w:pPr>
            <w:r w:rsidRPr="00AA658F">
              <w:rPr>
                <w:b/>
                <w:bCs/>
                <w:sz w:val="18"/>
                <w:szCs w:val="18"/>
              </w:rPr>
              <w:t>5 000</w:t>
            </w:r>
          </w:p>
        </w:tc>
        <w:tc>
          <w:tcPr>
            <w:tcW w:w="556" w:type="pct"/>
            <w:tcBorders>
              <w:top w:val="single" w:sz="4" w:space="0" w:color="auto"/>
              <w:left w:val="nil"/>
              <w:right w:val="nil"/>
            </w:tcBorders>
            <w:noWrap/>
            <w:vAlign w:val="bottom"/>
          </w:tcPr>
          <w:p w14:paraId="1F0DFDE9" w14:textId="2977EBFE" w:rsidR="00AA658F" w:rsidRPr="00AA658F" w:rsidRDefault="00AA658F" w:rsidP="00AA658F">
            <w:pPr>
              <w:spacing w:after="0" w:line="240" w:lineRule="auto"/>
              <w:jc w:val="right"/>
              <w:rPr>
                <w:b/>
                <w:bCs/>
                <w:sz w:val="18"/>
                <w:szCs w:val="18"/>
              </w:rPr>
            </w:pPr>
            <w:r w:rsidRPr="00AA658F">
              <w:rPr>
                <w:b/>
                <w:bCs/>
                <w:sz w:val="18"/>
                <w:szCs w:val="18"/>
              </w:rPr>
              <w:t>50 000</w:t>
            </w:r>
          </w:p>
        </w:tc>
        <w:tc>
          <w:tcPr>
            <w:tcW w:w="599" w:type="pct"/>
            <w:tcBorders>
              <w:top w:val="single" w:sz="4" w:space="0" w:color="auto"/>
              <w:left w:val="nil"/>
              <w:right w:val="nil"/>
            </w:tcBorders>
            <w:noWrap/>
            <w:vAlign w:val="bottom"/>
          </w:tcPr>
          <w:p w14:paraId="76D299C6" w14:textId="779F52F4" w:rsidR="00AA658F" w:rsidRPr="00AA658F" w:rsidRDefault="00AA658F" w:rsidP="00AA658F">
            <w:pPr>
              <w:spacing w:after="0" w:line="240" w:lineRule="auto"/>
              <w:jc w:val="right"/>
              <w:rPr>
                <w:b/>
                <w:bCs/>
                <w:sz w:val="18"/>
                <w:szCs w:val="18"/>
              </w:rPr>
            </w:pPr>
            <w:r w:rsidRPr="00AA658F">
              <w:rPr>
                <w:b/>
                <w:bCs/>
                <w:sz w:val="18"/>
                <w:szCs w:val="18"/>
              </w:rPr>
              <w:t>20 000</w:t>
            </w:r>
          </w:p>
        </w:tc>
        <w:tc>
          <w:tcPr>
            <w:tcW w:w="534" w:type="pct"/>
            <w:tcBorders>
              <w:top w:val="single" w:sz="4" w:space="0" w:color="auto"/>
              <w:left w:val="nil"/>
              <w:right w:val="nil"/>
            </w:tcBorders>
            <w:noWrap/>
            <w:vAlign w:val="bottom"/>
          </w:tcPr>
          <w:p w14:paraId="086241BC" w14:textId="11CB1B3C" w:rsidR="00AA658F" w:rsidRPr="00AA658F" w:rsidRDefault="00AA658F" w:rsidP="00AA658F">
            <w:pPr>
              <w:spacing w:after="0" w:line="240" w:lineRule="auto"/>
              <w:jc w:val="right"/>
              <w:rPr>
                <w:b/>
                <w:bCs/>
                <w:sz w:val="18"/>
                <w:szCs w:val="18"/>
              </w:rPr>
            </w:pPr>
            <w:r w:rsidRPr="00AA658F">
              <w:rPr>
                <w:b/>
                <w:bCs/>
                <w:sz w:val="18"/>
                <w:szCs w:val="18"/>
              </w:rPr>
              <w:t>-30 000</w:t>
            </w:r>
          </w:p>
        </w:tc>
        <w:tc>
          <w:tcPr>
            <w:tcW w:w="638" w:type="pct"/>
            <w:tcBorders>
              <w:top w:val="single" w:sz="4" w:space="0" w:color="auto"/>
              <w:left w:val="nil"/>
            </w:tcBorders>
            <w:noWrap/>
            <w:vAlign w:val="bottom"/>
          </w:tcPr>
          <w:p w14:paraId="3C808610" w14:textId="62488363" w:rsidR="00AA658F" w:rsidRPr="00AA658F" w:rsidRDefault="00AA658F" w:rsidP="00AA658F">
            <w:pPr>
              <w:spacing w:after="0" w:line="240" w:lineRule="auto"/>
              <w:jc w:val="right"/>
              <w:rPr>
                <w:b/>
                <w:bCs/>
                <w:sz w:val="18"/>
                <w:szCs w:val="18"/>
              </w:rPr>
            </w:pPr>
            <w:r w:rsidRPr="00AA658F">
              <w:rPr>
                <w:b/>
                <w:bCs/>
                <w:sz w:val="18"/>
                <w:szCs w:val="18"/>
              </w:rPr>
              <w:t>5 000</w:t>
            </w:r>
          </w:p>
        </w:tc>
      </w:tr>
      <w:tr w:rsidR="00AA658F" w:rsidRPr="00AA658F" w14:paraId="03C3B6DD" w14:textId="77777777" w:rsidTr="00AA658F">
        <w:trPr>
          <w:trHeight w:val="300"/>
        </w:trPr>
        <w:tc>
          <w:tcPr>
            <w:tcW w:w="2301" w:type="pct"/>
            <w:tcBorders>
              <w:right w:val="nil"/>
            </w:tcBorders>
            <w:noWrap/>
            <w:vAlign w:val="center"/>
          </w:tcPr>
          <w:p w14:paraId="79E62849" w14:textId="64E03E95" w:rsidR="00AA658F" w:rsidRPr="00AA658F" w:rsidRDefault="00AA658F" w:rsidP="00AA658F">
            <w:pPr>
              <w:spacing w:after="0" w:line="240" w:lineRule="auto"/>
              <w:rPr>
                <w:sz w:val="18"/>
                <w:szCs w:val="18"/>
                <w:lang w:eastAsia="sk-SK"/>
              </w:rPr>
            </w:pPr>
            <w:r w:rsidRPr="00AA658F">
              <w:rPr>
                <w:sz w:val="18"/>
                <w:szCs w:val="18"/>
                <w:lang w:eastAsia="sk-SK"/>
              </w:rPr>
              <w:t>Tipos, národná lotériová spoločnosť, a. s.</w:t>
            </w:r>
          </w:p>
        </w:tc>
        <w:tc>
          <w:tcPr>
            <w:tcW w:w="372" w:type="pct"/>
            <w:tcBorders>
              <w:left w:val="nil"/>
              <w:right w:val="nil"/>
            </w:tcBorders>
            <w:noWrap/>
            <w:vAlign w:val="bottom"/>
          </w:tcPr>
          <w:p w14:paraId="0DA48490" w14:textId="3CC516A9" w:rsidR="00AA658F" w:rsidRPr="00AA658F" w:rsidRDefault="00AA658F" w:rsidP="00AA658F">
            <w:pPr>
              <w:spacing w:after="0" w:line="240" w:lineRule="auto"/>
              <w:rPr>
                <w:b/>
                <w:bCs/>
                <w:sz w:val="18"/>
                <w:szCs w:val="18"/>
              </w:rPr>
            </w:pPr>
            <w:r w:rsidRPr="00AA658F">
              <w:rPr>
                <w:sz w:val="18"/>
                <w:szCs w:val="18"/>
              </w:rPr>
              <w:t>5 000</w:t>
            </w:r>
          </w:p>
        </w:tc>
        <w:tc>
          <w:tcPr>
            <w:tcW w:w="556" w:type="pct"/>
            <w:tcBorders>
              <w:left w:val="nil"/>
              <w:right w:val="nil"/>
            </w:tcBorders>
            <w:noWrap/>
            <w:vAlign w:val="bottom"/>
          </w:tcPr>
          <w:p w14:paraId="7B7E4E84" w14:textId="42CFA34A" w:rsidR="00AA658F" w:rsidRPr="00AA658F" w:rsidRDefault="00AA658F" w:rsidP="00AA658F">
            <w:pPr>
              <w:spacing w:after="0" w:line="240" w:lineRule="auto"/>
              <w:jc w:val="right"/>
              <w:rPr>
                <w:bCs/>
                <w:sz w:val="18"/>
                <w:szCs w:val="18"/>
              </w:rPr>
            </w:pPr>
            <w:r w:rsidRPr="00AA658F">
              <w:rPr>
                <w:sz w:val="18"/>
                <w:szCs w:val="18"/>
              </w:rPr>
              <w:t>25 703</w:t>
            </w:r>
          </w:p>
        </w:tc>
        <w:tc>
          <w:tcPr>
            <w:tcW w:w="599" w:type="pct"/>
            <w:tcBorders>
              <w:left w:val="nil"/>
              <w:right w:val="nil"/>
            </w:tcBorders>
            <w:noWrap/>
            <w:vAlign w:val="bottom"/>
          </w:tcPr>
          <w:p w14:paraId="379725B9" w14:textId="5F7C62FF" w:rsidR="00AA658F" w:rsidRPr="00AA658F" w:rsidRDefault="00AA658F" w:rsidP="00AA658F">
            <w:pPr>
              <w:spacing w:after="0" w:line="240" w:lineRule="auto"/>
              <w:jc w:val="right"/>
              <w:rPr>
                <w:bCs/>
                <w:sz w:val="18"/>
                <w:szCs w:val="18"/>
              </w:rPr>
            </w:pPr>
            <w:r w:rsidRPr="00AA658F">
              <w:rPr>
                <w:sz w:val="18"/>
                <w:szCs w:val="18"/>
              </w:rPr>
              <w:t>20 000</w:t>
            </w:r>
          </w:p>
        </w:tc>
        <w:tc>
          <w:tcPr>
            <w:tcW w:w="534" w:type="pct"/>
            <w:tcBorders>
              <w:left w:val="nil"/>
              <w:right w:val="nil"/>
            </w:tcBorders>
            <w:noWrap/>
            <w:vAlign w:val="bottom"/>
          </w:tcPr>
          <w:p w14:paraId="3C8F0924" w14:textId="7DCF47D0" w:rsidR="00AA658F" w:rsidRPr="00AA658F" w:rsidRDefault="00AA658F" w:rsidP="00AA658F">
            <w:pPr>
              <w:spacing w:after="0" w:line="240" w:lineRule="auto"/>
              <w:jc w:val="right"/>
              <w:rPr>
                <w:bCs/>
                <w:sz w:val="18"/>
                <w:szCs w:val="18"/>
              </w:rPr>
            </w:pPr>
            <w:r w:rsidRPr="00AA658F">
              <w:rPr>
                <w:sz w:val="18"/>
                <w:szCs w:val="18"/>
              </w:rPr>
              <w:t>-5 703</w:t>
            </w:r>
          </w:p>
        </w:tc>
        <w:tc>
          <w:tcPr>
            <w:tcW w:w="638" w:type="pct"/>
            <w:tcBorders>
              <w:left w:val="nil"/>
            </w:tcBorders>
            <w:noWrap/>
            <w:vAlign w:val="bottom"/>
          </w:tcPr>
          <w:p w14:paraId="565E893C" w14:textId="02D9D2F5" w:rsidR="00AA658F" w:rsidRPr="00AA658F" w:rsidRDefault="00AA658F" w:rsidP="00AA658F">
            <w:pPr>
              <w:spacing w:after="0" w:line="240" w:lineRule="auto"/>
              <w:jc w:val="right"/>
              <w:rPr>
                <w:b/>
                <w:bCs/>
                <w:sz w:val="18"/>
                <w:szCs w:val="18"/>
              </w:rPr>
            </w:pPr>
            <w:r w:rsidRPr="00AA658F">
              <w:rPr>
                <w:sz w:val="18"/>
                <w:szCs w:val="18"/>
              </w:rPr>
              <w:t>5 000</w:t>
            </w:r>
          </w:p>
        </w:tc>
      </w:tr>
      <w:tr w:rsidR="00AA658F" w:rsidRPr="00AA658F" w14:paraId="68826FA8" w14:textId="77777777" w:rsidTr="00AA658F">
        <w:trPr>
          <w:trHeight w:val="300"/>
        </w:trPr>
        <w:tc>
          <w:tcPr>
            <w:tcW w:w="2301" w:type="pct"/>
            <w:tcBorders>
              <w:bottom w:val="single" w:sz="4" w:space="0" w:color="auto"/>
              <w:right w:val="nil"/>
            </w:tcBorders>
            <w:noWrap/>
            <w:vAlign w:val="center"/>
          </w:tcPr>
          <w:p w14:paraId="12A9FCC8" w14:textId="77777777" w:rsidR="00AA658F" w:rsidRPr="00AA658F" w:rsidRDefault="00AA658F" w:rsidP="00AA658F">
            <w:pPr>
              <w:spacing w:after="0" w:line="240" w:lineRule="auto"/>
              <w:rPr>
                <w:sz w:val="18"/>
                <w:szCs w:val="18"/>
                <w:lang w:eastAsia="sk-SK"/>
              </w:rPr>
            </w:pPr>
          </w:p>
        </w:tc>
        <w:tc>
          <w:tcPr>
            <w:tcW w:w="372" w:type="pct"/>
            <w:tcBorders>
              <w:left w:val="nil"/>
              <w:bottom w:val="single" w:sz="4" w:space="0" w:color="auto"/>
              <w:right w:val="nil"/>
            </w:tcBorders>
            <w:noWrap/>
            <w:vAlign w:val="bottom"/>
          </w:tcPr>
          <w:p w14:paraId="1E53349D" w14:textId="5214BFB0" w:rsidR="00AA658F" w:rsidRPr="00AA658F" w:rsidRDefault="00AA658F" w:rsidP="00AA658F">
            <w:pPr>
              <w:spacing w:after="0" w:line="240" w:lineRule="auto"/>
              <w:rPr>
                <w:b/>
                <w:bCs/>
                <w:sz w:val="18"/>
                <w:szCs w:val="18"/>
              </w:rPr>
            </w:pPr>
            <w:r w:rsidRPr="00AA658F">
              <w:rPr>
                <w:sz w:val="18"/>
                <w:szCs w:val="18"/>
              </w:rPr>
              <w:t>0</w:t>
            </w:r>
          </w:p>
        </w:tc>
        <w:tc>
          <w:tcPr>
            <w:tcW w:w="556" w:type="pct"/>
            <w:tcBorders>
              <w:left w:val="nil"/>
              <w:bottom w:val="single" w:sz="4" w:space="0" w:color="auto"/>
              <w:right w:val="nil"/>
            </w:tcBorders>
            <w:noWrap/>
            <w:vAlign w:val="bottom"/>
          </w:tcPr>
          <w:p w14:paraId="79162819" w14:textId="12048F40" w:rsidR="00AA658F" w:rsidRPr="00AA658F" w:rsidRDefault="00AA658F" w:rsidP="00AA658F">
            <w:pPr>
              <w:spacing w:after="0" w:line="240" w:lineRule="auto"/>
              <w:jc w:val="right"/>
              <w:rPr>
                <w:bCs/>
                <w:sz w:val="18"/>
                <w:szCs w:val="18"/>
              </w:rPr>
            </w:pPr>
            <w:r w:rsidRPr="00AA658F">
              <w:rPr>
                <w:sz w:val="18"/>
                <w:szCs w:val="18"/>
              </w:rPr>
              <w:t>24 297</w:t>
            </w:r>
          </w:p>
        </w:tc>
        <w:tc>
          <w:tcPr>
            <w:tcW w:w="599" w:type="pct"/>
            <w:tcBorders>
              <w:left w:val="nil"/>
              <w:bottom w:val="single" w:sz="4" w:space="0" w:color="auto"/>
              <w:right w:val="nil"/>
            </w:tcBorders>
            <w:noWrap/>
            <w:vAlign w:val="bottom"/>
          </w:tcPr>
          <w:p w14:paraId="620D48B5" w14:textId="744E1249" w:rsidR="00AA658F" w:rsidRPr="00AA658F" w:rsidRDefault="00AA658F" w:rsidP="00AA658F">
            <w:pPr>
              <w:spacing w:after="0" w:line="240" w:lineRule="auto"/>
              <w:jc w:val="right"/>
              <w:rPr>
                <w:bCs/>
                <w:sz w:val="18"/>
                <w:szCs w:val="18"/>
              </w:rPr>
            </w:pPr>
            <w:r w:rsidRPr="00AA658F">
              <w:rPr>
                <w:sz w:val="18"/>
                <w:szCs w:val="18"/>
              </w:rPr>
              <w:t>0</w:t>
            </w:r>
          </w:p>
        </w:tc>
        <w:tc>
          <w:tcPr>
            <w:tcW w:w="534" w:type="pct"/>
            <w:tcBorders>
              <w:left w:val="nil"/>
              <w:bottom w:val="single" w:sz="4" w:space="0" w:color="auto"/>
              <w:right w:val="nil"/>
            </w:tcBorders>
            <w:noWrap/>
            <w:vAlign w:val="bottom"/>
          </w:tcPr>
          <w:p w14:paraId="32AB2AE3" w14:textId="61DD4AB7" w:rsidR="00AA658F" w:rsidRPr="00AA658F" w:rsidRDefault="00AA658F" w:rsidP="00AA658F">
            <w:pPr>
              <w:spacing w:after="0" w:line="240" w:lineRule="auto"/>
              <w:jc w:val="right"/>
              <w:rPr>
                <w:bCs/>
                <w:sz w:val="18"/>
                <w:szCs w:val="18"/>
              </w:rPr>
            </w:pPr>
            <w:r w:rsidRPr="00AA658F">
              <w:rPr>
                <w:sz w:val="18"/>
                <w:szCs w:val="18"/>
              </w:rPr>
              <w:t>-24 297</w:t>
            </w:r>
          </w:p>
        </w:tc>
        <w:tc>
          <w:tcPr>
            <w:tcW w:w="638" w:type="pct"/>
            <w:tcBorders>
              <w:left w:val="nil"/>
              <w:bottom w:val="single" w:sz="4" w:space="0" w:color="auto"/>
            </w:tcBorders>
            <w:noWrap/>
            <w:vAlign w:val="bottom"/>
          </w:tcPr>
          <w:p w14:paraId="6B9905DA" w14:textId="0AE79AFE" w:rsidR="00AA658F" w:rsidRPr="00AA658F" w:rsidRDefault="00AA658F" w:rsidP="00AA658F">
            <w:pPr>
              <w:spacing w:after="0" w:line="240" w:lineRule="auto"/>
              <w:jc w:val="right"/>
              <w:rPr>
                <w:b/>
                <w:bCs/>
                <w:sz w:val="18"/>
                <w:szCs w:val="18"/>
              </w:rPr>
            </w:pPr>
            <w:r w:rsidRPr="00AA658F">
              <w:rPr>
                <w:sz w:val="18"/>
                <w:szCs w:val="18"/>
              </w:rPr>
              <w:t>0</w:t>
            </w:r>
          </w:p>
        </w:tc>
      </w:tr>
      <w:tr w:rsidR="00A839C5" w:rsidRPr="00AA658F" w14:paraId="00E381BD" w14:textId="77777777" w:rsidTr="00AA658F">
        <w:trPr>
          <w:trHeight w:val="300"/>
        </w:trPr>
        <w:tc>
          <w:tcPr>
            <w:tcW w:w="2301" w:type="pct"/>
            <w:tcBorders>
              <w:top w:val="single" w:sz="4" w:space="0" w:color="auto"/>
              <w:bottom w:val="single" w:sz="4" w:space="0" w:color="auto"/>
              <w:right w:val="nil"/>
            </w:tcBorders>
            <w:noWrap/>
            <w:vAlign w:val="center"/>
          </w:tcPr>
          <w:p w14:paraId="7DDFE16C" w14:textId="61CF1147" w:rsidR="00A839C5" w:rsidRPr="00AA658F" w:rsidRDefault="00A839C5" w:rsidP="00A839C5">
            <w:pPr>
              <w:spacing w:after="0" w:line="240" w:lineRule="auto"/>
              <w:rPr>
                <w:b/>
                <w:bCs/>
                <w:color w:val="000000"/>
                <w:sz w:val="18"/>
                <w:szCs w:val="18"/>
                <w:lang w:eastAsia="sk-SK"/>
              </w:rPr>
            </w:pPr>
            <w:r w:rsidRPr="00AA658F">
              <w:rPr>
                <w:b/>
                <w:bCs/>
                <w:color w:val="000000"/>
                <w:sz w:val="18"/>
                <w:szCs w:val="18"/>
                <w:lang w:eastAsia="sk-SK"/>
              </w:rPr>
              <w:t>Ministerstvo dopravy a výstavby SR</w:t>
            </w:r>
          </w:p>
        </w:tc>
        <w:tc>
          <w:tcPr>
            <w:tcW w:w="372" w:type="pct"/>
            <w:tcBorders>
              <w:top w:val="single" w:sz="4" w:space="0" w:color="auto"/>
              <w:left w:val="nil"/>
              <w:bottom w:val="single" w:sz="4" w:space="0" w:color="auto"/>
              <w:right w:val="nil"/>
            </w:tcBorders>
            <w:noWrap/>
            <w:vAlign w:val="center"/>
          </w:tcPr>
          <w:p w14:paraId="10D7E64C" w14:textId="6D12CB40" w:rsidR="00A839C5" w:rsidRPr="00AA658F" w:rsidRDefault="00A839C5" w:rsidP="00A839C5">
            <w:pPr>
              <w:spacing w:after="0" w:line="240" w:lineRule="auto"/>
              <w:jc w:val="center"/>
              <w:rPr>
                <w:b/>
                <w:bCs/>
                <w:color w:val="000000"/>
                <w:sz w:val="18"/>
                <w:szCs w:val="18"/>
                <w:lang w:eastAsia="sk-SK"/>
              </w:rPr>
            </w:pPr>
          </w:p>
        </w:tc>
        <w:tc>
          <w:tcPr>
            <w:tcW w:w="556" w:type="pct"/>
            <w:tcBorders>
              <w:top w:val="single" w:sz="4" w:space="0" w:color="auto"/>
              <w:left w:val="nil"/>
              <w:bottom w:val="single" w:sz="4" w:space="0" w:color="auto"/>
              <w:right w:val="nil"/>
            </w:tcBorders>
            <w:noWrap/>
            <w:vAlign w:val="bottom"/>
          </w:tcPr>
          <w:p w14:paraId="45AAA10A" w14:textId="006CE827" w:rsidR="00A839C5" w:rsidRPr="00AA658F" w:rsidRDefault="00A839C5" w:rsidP="00A839C5">
            <w:pPr>
              <w:spacing w:after="0" w:line="240" w:lineRule="auto"/>
              <w:jc w:val="right"/>
              <w:rPr>
                <w:b/>
                <w:bCs/>
                <w:color w:val="000000"/>
                <w:sz w:val="18"/>
                <w:szCs w:val="18"/>
                <w:lang w:eastAsia="sk-SK"/>
              </w:rPr>
            </w:pPr>
          </w:p>
        </w:tc>
        <w:tc>
          <w:tcPr>
            <w:tcW w:w="599" w:type="pct"/>
            <w:tcBorders>
              <w:top w:val="single" w:sz="4" w:space="0" w:color="auto"/>
              <w:left w:val="nil"/>
              <w:bottom w:val="single" w:sz="4" w:space="0" w:color="auto"/>
              <w:right w:val="nil"/>
            </w:tcBorders>
            <w:noWrap/>
            <w:vAlign w:val="bottom"/>
          </w:tcPr>
          <w:p w14:paraId="3DF0D5A6" w14:textId="383911CE" w:rsidR="00A839C5" w:rsidRPr="00AA658F" w:rsidRDefault="00A839C5" w:rsidP="00A839C5">
            <w:pPr>
              <w:spacing w:after="0" w:line="240" w:lineRule="auto"/>
              <w:jc w:val="right"/>
              <w:rPr>
                <w:b/>
                <w:bCs/>
                <w:color w:val="000000"/>
                <w:sz w:val="18"/>
                <w:szCs w:val="18"/>
                <w:lang w:eastAsia="sk-SK"/>
              </w:rPr>
            </w:pPr>
          </w:p>
        </w:tc>
        <w:tc>
          <w:tcPr>
            <w:tcW w:w="534" w:type="pct"/>
            <w:tcBorders>
              <w:top w:val="single" w:sz="4" w:space="0" w:color="auto"/>
              <w:left w:val="nil"/>
              <w:bottom w:val="single" w:sz="4" w:space="0" w:color="auto"/>
              <w:right w:val="nil"/>
            </w:tcBorders>
            <w:noWrap/>
            <w:vAlign w:val="bottom"/>
          </w:tcPr>
          <w:p w14:paraId="5B41130D" w14:textId="5DFC6EF2" w:rsidR="00A839C5" w:rsidRPr="00AA658F" w:rsidRDefault="00A839C5" w:rsidP="00A839C5">
            <w:pPr>
              <w:spacing w:after="0" w:line="240" w:lineRule="auto"/>
              <w:jc w:val="right"/>
              <w:rPr>
                <w:b/>
                <w:bCs/>
                <w:color w:val="000000"/>
                <w:sz w:val="18"/>
                <w:szCs w:val="18"/>
                <w:lang w:eastAsia="sk-SK"/>
              </w:rPr>
            </w:pPr>
          </w:p>
        </w:tc>
        <w:tc>
          <w:tcPr>
            <w:tcW w:w="638" w:type="pct"/>
            <w:tcBorders>
              <w:top w:val="single" w:sz="4" w:space="0" w:color="auto"/>
              <w:left w:val="nil"/>
              <w:bottom w:val="single" w:sz="4" w:space="0" w:color="auto"/>
            </w:tcBorders>
            <w:noWrap/>
            <w:vAlign w:val="bottom"/>
          </w:tcPr>
          <w:p w14:paraId="6A84BA14" w14:textId="742C2E63" w:rsidR="00A839C5" w:rsidRPr="00AA658F" w:rsidRDefault="00A839C5" w:rsidP="00A839C5">
            <w:pPr>
              <w:spacing w:after="0" w:line="240" w:lineRule="auto"/>
              <w:jc w:val="right"/>
              <w:rPr>
                <w:b/>
                <w:bCs/>
                <w:color w:val="000000"/>
                <w:sz w:val="18"/>
                <w:szCs w:val="18"/>
                <w:lang w:eastAsia="sk-SK"/>
              </w:rPr>
            </w:pPr>
          </w:p>
        </w:tc>
      </w:tr>
      <w:tr w:rsidR="00AA658F" w:rsidRPr="00AA658F" w14:paraId="55496D42" w14:textId="77777777" w:rsidTr="00AA658F">
        <w:trPr>
          <w:trHeight w:val="300"/>
        </w:trPr>
        <w:tc>
          <w:tcPr>
            <w:tcW w:w="2301" w:type="pct"/>
            <w:tcBorders>
              <w:top w:val="nil"/>
              <w:bottom w:val="nil"/>
              <w:right w:val="nil"/>
            </w:tcBorders>
            <w:noWrap/>
            <w:vAlign w:val="center"/>
          </w:tcPr>
          <w:p w14:paraId="4698E24C" w14:textId="77777777" w:rsidR="00AA658F" w:rsidRPr="00AA658F" w:rsidRDefault="00AA658F" w:rsidP="00AA658F">
            <w:pPr>
              <w:spacing w:after="0" w:line="240" w:lineRule="auto"/>
              <w:jc w:val="center"/>
              <w:rPr>
                <w:b/>
                <w:bCs/>
                <w:color w:val="000000"/>
                <w:sz w:val="18"/>
                <w:szCs w:val="18"/>
                <w:lang w:eastAsia="sk-SK"/>
              </w:rPr>
            </w:pPr>
          </w:p>
        </w:tc>
        <w:tc>
          <w:tcPr>
            <w:tcW w:w="372" w:type="pct"/>
            <w:tcBorders>
              <w:top w:val="nil"/>
              <w:left w:val="nil"/>
              <w:bottom w:val="nil"/>
              <w:right w:val="nil"/>
            </w:tcBorders>
            <w:noWrap/>
            <w:vAlign w:val="bottom"/>
          </w:tcPr>
          <w:p w14:paraId="722E4E14" w14:textId="5EE84DED" w:rsidR="00AA658F" w:rsidRPr="00AA658F" w:rsidRDefault="00AA658F" w:rsidP="00AA658F">
            <w:pPr>
              <w:spacing w:after="0" w:line="240" w:lineRule="auto"/>
              <w:jc w:val="center"/>
              <w:rPr>
                <w:sz w:val="18"/>
                <w:szCs w:val="18"/>
                <w:lang w:eastAsia="sk-SK"/>
              </w:rPr>
            </w:pPr>
            <w:r w:rsidRPr="00AA658F">
              <w:rPr>
                <w:b/>
                <w:bCs/>
                <w:sz w:val="18"/>
                <w:szCs w:val="18"/>
              </w:rPr>
              <w:t>Spolu</w:t>
            </w:r>
          </w:p>
        </w:tc>
        <w:tc>
          <w:tcPr>
            <w:tcW w:w="556" w:type="pct"/>
            <w:tcBorders>
              <w:top w:val="nil"/>
              <w:left w:val="nil"/>
              <w:bottom w:val="nil"/>
              <w:right w:val="nil"/>
            </w:tcBorders>
            <w:noWrap/>
            <w:vAlign w:val="bottom"/>
          </w:tcPr>
          <w:p w14:paraId="7576589D" w14:textId="6D8B91E6" w:rsidR="00AA658F" w:rsidRPr="00AA658F" w:rsidRDefault="00AA658F" w:rsidP="00AA658F">
            <w:pPr>
              <w:spacing w:after="0" w:line="240" w:lineRule="auto"/>
              <w:jc w:val="right"/>
              <w:rPr>
                <w:color w:val="000000"/>
                <w:sz w:val="18"/>
                <w:szCs w:val="18"/>
                <w:lang w:eastAsia="sk-SK"/>
              </w:rPr>
            </w:pPr>
            <w:r w:rsidRPr="00AA658F">
              <w:rPr>
                <w:b/>
                <w:bCs/>
                <w:sz w:val="18"/>
                <w:szCs w:val="18"/>
              </w:rPr>
              <w:t>0</w:t>
            </w:r>
          </w:p>
        </w:tc>
        <w:tc>
          <w:tcPr>
            <w:tcW w:w="599" w:type="pct"/>
            <w:tcBorders>
              <w:top w:val="nil"/>
              <w:left w:val="nil"/>
              <w:bottom w:val="nil"/>
              <w:right w:val="nil"/>
            </w:tcBorders>
            <w:noWrap/>
            <w:vAlign w:val="bottom"/>
          </w:tcPr>
          <w:p w14:paraId="583268E8" w14:textId="406C7267" w:rsidR="00AA658F" w:rsidRPr="00AA658F" w:rsidRDefault="00AA658F" w:rsidP="00AA658F">
            <w:pPr>
              <w:spacing w:after="0" w:line="240" w:lineRule="auto"/>
              <w:jc w:val="right"/>
              <w:rPr>
                <w:color w:val="000000"/>
                <w:sz w:val="18"/>
                <w:szCs w:val="18"/>
                <w:lang w:eastAsia="sk-SK"/>
              </w:rPr>
            </w:pPr>
            <w:r w:rsidRPr="00AA658F">
              <w:rPr>
                <w:b/>
                <w:bCs/>
                <w:sz w:val="18"/>
                <w:szCs w:val="18"/>
              </w:rPr>
              <w:t>346</w:t>
            </w:r>
          </w:p>
        </w:tc>
        <w:tc>
          <w:tcPr>
            <w:tcW w:w="534" w:type="pct"/>
            <w:tcBorders>
              <w:top w:val="nil"/>
              <w:left w:val="nil"/>
              <w:bottom w:val="nil"/>
              <w:right w:val="nil"/>
            </w:tcBorders>
            <w:noWrap/>
            <w:vAlign w:val="bottom"/>
          </w:tcPr>
          <w:p w14:paraId="20EF7F73" w14:textId="5954EA3A" w:rsidR="00AA658F" w:rsidRPr="00AA658F" w:rsidRDefault="00AA658F" w:rsidP="00AA658F">
            <w:pPr>
              <w:spacing w:after="0" w:line="240" w:lineRule="auto"/>
              <w:jc w:val="right"/>
              <w:rPr>
                <w:color w:val="000000"/>
                <w:sz w:val="18"/>
                <w:szCs w:val="18"/>
                <w:lang w:eastAsia="sk-SK"/>
              </w:rPr>
            </w:pPr>
            <w:r w:rsidRPr="00AA658F">
              <w:rPr>
                <w:b/>
                <w:bCs/>
                <w:sz w:val="18"/>
                <w:szCs w:val="18"/>
              </w:rPr>
              <w:t>426</w:t>
            </w:r>
          </w:p>
        </w:tc>
        <w:tc>
          <w:tcPr>
            <w:tcW w:w="638" w:type="pct"/>
            <w:tcBorders>
              <w:top w:val="nil"/>
              <w:left w:val="nil"/>
              <w:bottom w:val="nil"/>
            </w:tcBorders>
            <w:noWrap/>
            <w:vAlign w:val="bottom"/>
          </w:tcPr>
          <w:p w14:paraId="1EF91939" w14:textId="1076669A" w:rsidR="00AA658F" w:rsidRPr="00AA658F" w:rsidRDefault="00AA658F" w:rsidP="00AA658F">
            <w:pPr>
              <w:spacing w:after="0" w:line="240" w:lineRule="auto"/>
              <w:jc w:val="right"/>
              <w:rPr>
                <w:color w:val="000000"/>
                <w:sz w:val="18"/>
                <w:szCs w:val="18"/>
                <w:lang w:eastAsia="sk-SK"/>
              </w:rPr>
            </w:pPr>
            <w:r w:rsidRPr="00AA658F">
              <w:rPr>
                <w:b/>
                <w:bCs/>
                <w:sz w:val="18"/>
                <w:szCs w:val="18"/>
              </w:rPr>
              <w:t>80</w:t>
            </w:r>
          </w:p>
        </w:tc>
      </w:tr>
      <w:tr w:rsidR="00AA658F" w:rsidRPr="00AA658F" w14:paraId="3DC0056B" w14:textId="77777777" w:rsidTr="00AA658F">
        <w:trPr>
          <w:trHeight w:val="300"/>
        </w:trPr>
        <w:tc>
          <w:tcPr>
            <w:tcW w:w="2301" w:type="pct"/>
            <w:tcBorders>
              <w:top w:val="nil"/>
              <w:bottom w:val="nil"/>
              <w:right w:val="nil"/>
            </w:tcBorders>
            <w:noWrap/>
            <w:vAlign w:val="center"/>
          </w:tcPr>
          <w:p w14:paraId="3AADA1B3" w14:textId="2A4C0F11" w:rsidR="00AA658F" w:rsidRPr="00AA658F" w:rsidRDefault="00AA658F" w:rsidP="00AA658F">
            <w:pPr>
              <w:spacing w:after="0" w:line="240" w:lineRule="auto"/>
              <w:rPr>
                <w:b/>
                <w:bCs/>
                <w:color w:val="000000"/>
                <w:sz w:val="18"/>
                <w:szCs w:val="18"/>
                <w:lang w:eastAsia="sk-SK"/>
              </w:rPr>
            </w:pPr>
            <w:r w:rsidRPr="00AA658F">
              <w:rPr>
                <w:sz w:val="18"/>
                <w:szCs w:val="18"/>
                <w:lang w:eastAsia="sk-SK"/>
              </w:rPr>
              <w:t>Letisko Košice - Airport Košice, a. s.</w:t>
            </w:r>
          </w:p>
        </w:tc>
        <w:tc>
          <w:tcPr>
            <w:tcW w:w="372" w:type="pct"/>
            <w:tcBorders>
              <w:top w:val="nil"/>
              <w:left w:val="nil"/>
              <w:bottom w:val="nil"/>
              <w:right w:val="nil"/>
            </w:tcBorders>
            <w:noWrap/>
            <w:vAlign w:val="bottom"/>
          </w:tcPr>
          <w:p w14:paraId="3221243F" w14:textId="47E0E54B" w:rsidR="00AA658F" w:rsidRPr="00AA658F" w:rsidRDefault="00AA658F" w:rsidP="00AA658F">
            <w:pPr>
              <w:spacing w:after="0" w:line="240" w:lineRule="auto"/>
              <w:jc w:val="center"/>
              <w:rPr>
                <w:b/>
                <w:bCs/>
                <w:color w:val="000000"/>
                <w:sz w:val="18"/>
                <w:szCs w:val="18"/>
                <w:lang w:eastAsia="sk-SK"/>
              </w:rPr>
            </w:pPr>
            <w:r w:rsidRPr="00AA658F">
              <w:rPr>
                <w:sz w:val="18"/>
                <w:szCs w:val="18"/>
              </w:rPr>
              <w:t xml:space="preserve">ESA </w:t>
            </w:r>
          </w:p>
        </w:tc>
        <w:tc>
          <w:tcPr>
            <w:tcW w:w="556" w:type="pct"/>
            <w:tcBorders>
              <w:top w:val="nil"/>
              <w:left w:val="nil"/>
              <w:bottom w:val="nil"/>
              <w:right w:val="nil"/>
            </w:tcBorders>
            <w:noWrap/>
            <w:vAlign w:val="bottom"/>
          </w:tcPr>
          <w:p w14:paraId="3C786505" w14:textId="3879EFEE" w:rsidR="00AA658F" w:rsidRPr="00AA658F" w:rsidRDefault="00AA658F" w:rsidP="00AA658F">
            <w:pPr>
              <w:spacing w:after="0" w:line="240" w:lineRule="auto"/>
              <w:jc w:val="right"/>
              <w:rPr>
                <w:b/>
                <w:bCs/>
                <w:color w:val="000000"/>
                <w:sz w:val="18"/>
                <w:szCs w:val="18"/>
                <w:lang w:eastAsia="sk-SK"/>
              </w:rPr>
            </w:pPr>
            <w:r w:rsidRPr="00AA658F">
              <w:rPr>
                <w:sz w:val="18"/>
                <w:szCs w:val="18"/>
              </w:rPr>
              <w:t>0</w:t>
            </w:r>
          </w:p>
        </w:tc>
        <w:tc>
          <w:tcPr>
            <w:tcW w:w="599" w:type="pct"/>
            <w:tcBorders>
              <w:top w:val="nil"/>
              <w:left w:val="nil"/>
              <w:bottom w:val="nil"/>
              <w:right w:val="nil"/>
            </w:tcBorders>
            <w:noWrap/>
            <w:vAlign w:val="bottom"/>
          </w:tcPr>
          <w:p w14:paraId="71C84C60" w14:textId="5DD352E4" w:rsidR="00AA658F" w:rsidRPr="00AA658F" w:rsidRDefault="00AA658F" w:rsidP="00AA658F">
            <w:pPr>
              <w:spacing w:after="0" w:line="240" w:lineRule="auto"/>
              <w:jc w:val="right"/>
              <w:rPr>
                <w:b/>
                <w:bCs/>
                <w:color w:val="000000"/>
                <w:sz w:val="18"/>
                <w:szCs w:val="18"/>
                <w:lang w:eastAsia="sk-SK"/>
              </w:rPr>
            </w:pPr>
            <w:r w:rsidRPr="00AA658F">
              <w:rPr>
                <w:sz w:val="18"/>
                <w:szCs w:val="18"/>
              </w:rPr>
              <w:t>346</w:t>
            </w:r>
          </w:p>
        </w:tc>
        <w:tc>
          <w:tcPr>
            <w:tcW w:w="534" w:type="pct"/>
            <w:tcBorders>
              <w:top w:val="nil"/>
              <w:left w:val="nil"/>
              <w:bottom w:val="nil"/>
              <w:right w:val="nil"/>
            </w:tcBorders>
            <w:noWrap/>
            <w:vAlign w:val="bottom"/>
          </w:tcPr>
          <w:p w14:paraId="2C26FDBB" w14:textId="574D2DFC" w:rsidR="00AA658F" w:rsidRPr="00AA658F" w:rsidRDefault="00AA658F" w:rsidP="00AA658F">
            <w:pPr>
              <w:spacing w:after="0" w:line="240" w:lineRule="auto"/>
              <w:jc w:val="right"/>
              <w:rPr>
                <w:b/>
                <w:bCs/>
                <w:color w:val="000000"/>
                <w:sz w:val="18"/>
                <w:szCs w:val="18"/>
                <w:lang w:eastAsia="sk-SK"/>
              </w:rPr>
            </w:pPr>
            <w:r w:rsidRPr="00AA658F">
              <w:rPr>
                <w:sz w:val="18"/>
                <w:szCs w:val="18"/>
              </w:rPr>
              <w:t>365</w:t>
            </w:r>
          </w:p>
        </w:tc>
        <w:tc>
          <w:tcPr>
            <w:tcW w:w="638" w:type="pct"/>
            <w:tcBorders>
              <w:top w:val="nil"/>
              <w:left w:val="nil"/>
              <w:bottom w:val="nil"/>
            </w:tcBorders>
            <w:noWrap/>
            <w:vAlign w:val="bottom"/>
          </w:tcPr>
          <w:p w14:paraId="6EE0B656" w14:textId="1872E794" w:rsidR="00AA658F" w:rsidRPr="00AA658F" w:rsidRDefault="00AA658F" w:rsidP="00AA658F">
            <w:pPr>
              <w:spacing w:after="0" w:line="240" w:lineRule="auto"/>
              <w:jc w:val="right"/>
              <w:rPr>
                <w:b/>
                <w:bCs/>
                <w:color w:val="000000"/>
                <w:sz w:val="18"/>
                <w:szCs w:val="18"/>
                <w:lang w:eastAsia="sk-SK"/>
              </w:rPr>
            </w:pPr>
            <w:r w:rsidRPr="00AA658F">
              <w:rPr>
                <w:sz w:val="18"/>
                <w:szCs w:val="18"/>
              </w:rPr>
              <w:t>19</w:t>
            </w:r>
          </w:p>
        </w:tc>
      </w:tr>
      <w:tr w:rsidR="00AA658F" w:rsidRPr="00AA658F" w14:paraId="2BF071E3" w14:textId="77777777" w:rsidTr="00AA658F">
        <w:trPr>
          <w:trHeight w:val="300"/>
        </w:trPr>
        <w:tc>
          <w:tcPr>
            <w:tcW w:w="2301" w:type="pct"/>
            <w:tcBorders>
              <w:top w:val="nil"/>
              <w:bottom w:val="nil"/>
              <w:right w:val="nil"/>
            </w:tcBorders>
            <w:noWrap/>
            <w:vAlign w:val="center"/>
          </w:tcPr>
          <w:p w14:paraId="67F650F3" w14:textId="30084BE1" w:rsidR="00AA658F" w:rsidRPr="00AA658F" w:rsidRDefault="00AA658F" w:rsidP="00AA658F">
            <w:pPr>
              <w:spacing w:after="0" w:line="240" w:lineRule="auto"/>
              <w:rPr>
                <w:b/>
                <w:bCs/>
                <w:color w:val="000000"/>
                <w:sz w:val="18"/>
                <w:szCs w:val="18"/>
                <w:lang w:eastAsia="sk-SK"/>
              </w:rPr>
            </w:pPr>
          </w:p>
        </w:tc>
        <w:tc>
          <w:tcPr>
            <w:tcW w:w="372" w:type="pct"/>
            <w:tcBorders>
              <w:top w:val="nil"/>
              <w:left w:val="nil"/>
              <w:bottom w:val="nil"/>
              <w:right w:val="nil"/>
            </w:tcBorders>
            <w:noWrap/>
            <w:vAlign w:val="bottom"/>
          </w:tcPr>
          <w:p w14:paraId="6F8C6B7E" w14:textId="3F10059E" w:rsidR="00AA658F" w:rsidRPr="00AA658F" w:rsidRDefault="00AA658F" w:rsidP="00AA658F">
            <w:pPr>
              <w:spacing w:after="0" w:line="240" w:lineRule="auto"/>
              <w:jc w:val="center"/>
              <w:rPr>
                <w:b/>
                <w:bCs/>
                <w:color w:val="000000"/>
                <w:sz w:val="18"/>
                <w:szCs w:val="18"/>
                <w:lang w:eastAsia="sk-SK"/>
              </w:rPr>
            </w:pPr>
            <w:r w:rsidRPr="00AA658F">
              <w:rPr>
                <w:sz w:val="18"/>
                <w:szCs w:val="18"/>
              </w:rPr>
              <w:t>Super</w:t>
            </w:r>
          </w:p>
        </w:tc>
        <w:tc>
          <w:tcPr>
            <w:tcW w:w="556" w:type="pct"/>
            <w:tcBorders>
              <w:top w:val="nil"/>
              <w:left w:val="nil"/>
              <w:bottom w:val="nil"/>
              <w:right w:val="nil"/>
            </w:tcBorders>
            <w:noWrap/>
            <w:vAlign w:val="bottom"/>
          </w:tcPr>
          <w:p w14:paraId="7904AC38" w14:textId="075CB07F" w:rsidR="00AA658F" w:rsidRPr="00AA658F" w:rsidRDefault="00AA658F" w:rsidP="00AA658F">
            <w:pPr>
              <w:spacing w:after="0" w:line="240" w:lineRule="auto"/>
              <w:jc w:val="right"/>
              <w:rPr>
                <w:b/>
                <w:bCs/>
                <w:color w:val="000000"/>
                <w:sz w:val="18"/>
                <w:szCs w:val="18"/>
                <w:lang w:eastAsia="sk-SK"/>
              </w:rPr>
            </w:pPr>
            <w:r w:rsidRPr="00AA658F">
              <w:rPr>
                <w:sz w:val="18"/>
                <w:szCs w:val="18"/>
              </w:rPr>
              <w:t>0</w:t>
            </w:r>
          </w:p>
        </w:tc>
        <w:tc>
          <w:tcPr>
            <w:tcW w:w="599" w:type="pct"/>
            <w:tcBorders>
              <w:top w:val="nil"/>
              <w:left w:val="nil"/>
              <w:bottom w:val="nil"/>
              <w:right w:val="nil"/>
            </w:tcBorders>
            <w:noWrap/>
            <w:vAlign w:val="bottom"/>
          </w:tcPr>
          <w:p w14:paraId="434FCC77" w14:textId="3131D710" w:rsidR="00AA658F" w:rsidRPr="00AA658F" w:rsidRDefault="00AA658F" w:rsidP="00AA658F">
            <w:pPr>
              <w:spacing w:after="0" w:line="240" w:lineRule="auto"/>
              <w:jc w:val="right"/>
              <w:rPr>
                <w:b/>
                <w:bCs/>
                <w:color w:val="000000"/>
                <w:sz w:val="18"/>
                <w:szCs w:val="18"/>
                <w:lang w:eastAsia="sk-SK"/>
              </w:rPr>
            </w:pPr>
            <w:r w:rsidRPr="00AA658F">
              <w:rPr>
                <w:sz w:val="18"/>
                <w:szCs w:val="18"/>
              </w:rPr>
              <w:t>0</w:t>
            </w:r>
          </w:p>
        </w:tc>
        <w:tc>
          <w:tcPr>
            <w:tcW w:w="534" w:type="pct"/>
            <w:tcBorders>
              <w:top w:val="nil"/>
              <w:left w:val="nil"/>
              <w:bottom w:val="nil"/>
              <w:right w:val="nil"/>
            </w:tcBorders>
            <w:noWrap/>
            <w:vAlign w:val="bottom"/>
          </w:tcPr>
          <w:p w14:paraId="6763CF43" w14:textId="04BECEAF" w:rsidR="00AA658F" w:rsidRPr="00AA658F" w:rsidRDefault="00AA658F" w:rsidP="00AA658F">
            <w:pPr>
              <w:spacing w:after="0" w:line="240" w:lineRule="auto"/>
              <w:jc w:val="right"/>
              <w:rPr>
                <w:b/>
                <w:bCs/>
                <w:color w:val="000000"/>
                <w:sz w:val="18"/>
                <w:szCs w:val="18"/>
                <w:lang w:eastAsia="sk-SK"/>
              </w:rPr>
            </w:pPr>
            <w:r w:rsidRPr="00AA658F">
              <w:rPr>
                <w:sz w:val="18"/>
                <w:szCs w:val="18"/>
              </w:rPr>
              <w:t>61</w:t>
            </w:r>
          </w:p>
        </w:tc>
        <w:tc>
          <w:tcPr>
            <w:tcW w:w="638" w:type="pct"/>
            <w:tcBorders>
              <w:top w:val="nil"/>
              <w:left w:val="nil"/>
              <w:bottom w:val="nil"/>
            </w:tcBorders>
            <w:noWrap/>
            <w:vAlign w:val="bottom"/>
          </w:tcPr>
          <w:p w14:paraId="7B133BF7" w14:textId="0A466FE3" w:rsidR="00AA658F" w:rsidRPr="00AA658F" w:rsidRDefault="00AA658F" w:rsidP="00AA658F">
            <w:pPr>
              <w:spacing w:after="0" w:line="240" w:lineRule="auto"/>
              <w:jc w:val="right"/>
              <w:rPr>
                <w:b/>
                <w:bCs/>
                <w:color w:val="000000"/>
                <w:sz w:val="18"/>
                <w:szCs w:val="18"/>
                <w:lang w:eastAsia="sk-SK"/>
              </w:rPr>
            </w:pPr>
            <w:r w:rsidRPr="00AA658F">
              <w:rPr>
                <w:sz w:val="18"/>
                <w:szCs w:val="18"/>
              </w:rPr>
              <w:t>61</w:t>
            </w:r>
          </w:p>
        </w:tc>
      </w:tr>
      <w:tr w:rsidR="00A839C5" w:rsidRPr="00AA658F" w14:paraId="0B90397B" w14:textId="77777777" w:rsidTr="00AA658F">
        <w:trPr>
          <w:trHeight w:val="300"/>
        </w:trPr>
        <w:tc>
          <w:tcPr>
            <w:tcW w:w="3229" w:type="pct"/>
            <w:gridSpan w:val="3"/>
            <w:tcBorders>
              <w:top w:val="single" w:sz="4" w:space="0" w:color="auto"/>
              <w:bottom w:val="single" w:sz="4" w:space="0" w:color="auto"/>
              <w:right w:val="nil"/>
            </w:tcBorders>
            <w:noWrap/>
            <w:vAlign w:val="center"/>
            <w:hideMark/>
          </w:tcPr>
          <w:p w14:paraId="423A8220" w14:textId="77777777" w:rsidR="00A839C5" w:rsidRPr="00AA658F" w:rsidRDefault="00A839C5" w:rsidP="00A839C5">
            <w:pPr>
              <w:spacing w:after="0" w:line="240" w:lineRule="auto"/>
              <w:rPr>
                <w:b/>
                <w:bCs/>
                <w:color w:val="000000"/>
                <w:sz w:val="18"/>
                <w:szCs w:val="18"/>
                <w:lang w:eastAsia="sk-SK"/>
              </w:rPr>
            </w:pPr>
            <w:r w:rsidRPr="00AA658F">
              <w:rPr>
                <w:b/>
                <w:bCs/>
                <w:color w:val="000000"/>
                <w:sz w:val="18"/>
                <w:szCs w:val="18"/>
                <w:lang w:eastAsia="sk-SK"/>
              </w:rPr>
              <w:t>Ministerstvo zahraničných vecí a európskych záležitostí SR</w:t>
            </w:r>
          </w:p>
        </w:tc>
        <w:tc>
          <w:tcPr>
            <w:tcW w:w="599" w:type="pct"/>
            <w:tcBorders>
              <w:top w:val="single" w:sz="4" w:space="0" w:color="auto"/>
              <w:left w:val="nil"/>
              <w:bottom w:val="single" w:sz="4" w:space="0" w:color="auto"/>
              <w:right w:val="nil"/>
            </w:tcBorders>
            <w:noWrap/>
            <w:vAlign w:val="center"/>
            <w:hideMark/>
          </w:tcPr>
          <w:p w14:paraId="599EEE73" w14:textId="77777777" w:rsidR="00A839C5" w:rsidRPr="00AA658F" w:rsidRDefault="00A839C5" w:rsidP="00A839C5">
            <w:pPr>
              <w:spacing w:after="0" w:line="240" w:lineRule="auto"/>
              <w:jc w:val="center"/>
              <w:rPr>
                <w:b/>
                <w:bCs/>
                <w:color w:val="000000"/>
                <w:sz w:val="18"/>
                <w:szCs w:val="18"/>
                <w:lang w:eastAsia="sk-SK"/>
              </w:rPr>
            </w:pPr>
            <w:r w:rsidRPr="00AA658F">
              <w:rPr>
                <w:b/>
                <w:bCs/>
                <w:color w:val="000000"/>
                <w:sz w:val="18"/>
                <w:szCs w:val="18"/>
                <w:lang w:eastAsia="sk-SK"/>
              </w:rPr>
              <w:t> </w:t>
            </w:r>
          </w:p>
        </w:tc>
        <w:tc>
          <w:tcPr>
            <w:tcW w:w="534" w:type="pct"/>
            <w:tcBorders>
              <w:top w:val="single" w:sz="4" w:space="0" w:color="auto"/>
              <w:left w:val="nil"/>
              <w:bottom w:val="single" w:sz="4" w:space="0" w:color="auto"/>
              <w:right w:val="nil"/>
            </w:tcBorders>
            <w:noWrap/>
            <w:vAlign w:val="center"/>
            <w:hideMark/>
          </w:tcPr>
          <w:p w14:paraId="412E900A" w14:textId="77777777" w:rsidR="00A839C5" w:rsidRPr="00AA658F" w:rsidRDefault="00A839C5" w:rsidP="00A839C5">
            <w:pPr>
              <w:spacing w:after="0" w:line="240" w:lineRule="auto"/>
              <w:jc w:val="center"/>
              <w:rPr>
                <w:b/>
                <w:bCs/>
                <w:color w:val="000000"/>
                <w:sz w:val="18"/>
                <w:szCs w:val="18"/>
                <w:lang w:eastAsia="sk-SK"/>
              </w:rPr>
            </w:pPr>
            <w:r w:rsidRPr="00AA658F">
              <w:rPr>
                <w:b/>
                <w:bCs/>
                <w:color w:val="000000"/>
                <w:sz w:val="18"/>
                <w:szCs w:val="18"/>
                <w:lang w:eastAsia="sk-SK"/>
              </w:rPr>
              <w:t> </w:t>
            </w:r>
          </w:p>
        </w:tc>
        <w:tc>
          <w:tcPr>
            <w:tcW w:w="638" w:type="pct"/>
            <w:tcBorders>
              <w:top w:val="single" w:sz="4" w:space="0" w:color="auto"/>
              <w:left w:val="nil"/>
              <w:bottom w:val="single" w:sz="4" w:space="0" w:color="auto"/>
            </w:tcBorders>
            <w:noWrap/>
            <w:vAlign w:val="center"/>
            <w:hideMark/>
          </w:tcPr>
          <w:p w14:paraId="32589671" w14:textId="77777777" w:rsidR="00A839C5" w:rsidRPr="00AA658F" w:rsidRDefault="00A839C5" w:rsidP="00A839C5">
            <w:pPr>
              <w:spacing w:after="0" w:line="240" w:lineRule="auto"/>
              <w:jc w:val="center"/>
              <w:rPr>
                <w:b/>
                <w:bCs/>
                <w:color w:val="000000"/>
                <w:sz w:val="18"/>
                <w:szCs w:val="18"/>
                <w:lang w:eastAsia="sk-SK"/>
              </w:rPr>
            </w:pPr>
            <w:r w:rsidRPr="00AA658F">
              <w:rPr>
                <w:b/>
                <w:bCs/>
                <w:color w:val="000000"/>
                <w:sz w:val="18"/>
                <w:szCs w:val="18"/>
                <w:lang w:eastAsia="sk-SK"/>
              </w:rPr>
              <w:t> </w:t>
            </w:r>
          </w:p>
        </w:tc>
      </w:tr>
      <w:tr w:rsidR="00AA658F" w:rsidRPr="00AA658F" w14:paraId="4CB07106" w14:textId="77777777" w:rsidTr="00AA658F">
        <w:trPr>
          <w:trHeight w:val="300"/>
        </w:trPr>
        <w:tc>
          <w:tcPr>
            <w:tcW w:w="2301" w:type="pct"/>
            <w:vMerge w:val="restart"/>
            <w:tcBorders>
              <w:top w:val="single" w:sz="4" w:space="0" w:color="auto"/>
              <w:right w:val="nil"/>
            </w:tcBorders>
            <w:vAlign w:val="center"/>
            <w:hideMark/>
          </w:tcPr>
          <w:p w14:paraId="36F9E1A6" w14:textId="61848DB2" w:rsidR="00AA658F" w:rsidRPr="00AA658F" w:rsidRDefault="00AA658F" w:rsidP="00AA658F">
            <w:pPr>
              <w:spacing w:after="0" w:line="240" w:lineRule="auto"/>
              <w:rPr>
                <w:sz w:val="18"/>
                <w:szCs w:val="18"/>
                <w:lang w:eastAsia="sk-SK"/>
              </w:rPr>
            </w:pPr>
            <w:r w:rsidRPr="00AA658F">
              <w:rPr>
                <w:sz w:val="18"/>
                <w:szCs w:val="18"/>
                <w:lang w:eastAsia="sk-SK"/>
              </w:rPr>
              <w:t>Správa služieb diplomatického zboru, a. s.</w:t>
            </w:r>
          </w:p>
        </w:tc>
        <w:tc>
          <w:tcPr>
            <w:tcW w:w="372" w:type="pct"/>
            <w:tcBorders>
              <w:top w:val="single" w:sz="4" w:space="0" w:color="auto"/>
              <w:left w:val="nil"/>
              <w:right w:val="nil"/>
            </w:tcBorders>
            <w:vAlign w:val="center"/>
            <w:hideMark/>
          </w:tcPr>
          <w:p w14:paraId="2B527F76" w14:textId="77777777" w:rsidR="00AA658F" w:rsidRPr="00AA658F" w:rsidRDefault="00AA658F" w:rsidP="00AA658F">
            <w:pPr>
              <w:spacing w:after="0" w:line="240" w:lineRule="auto"/>
              <w:rPr>
                <w:sz w:val="18"/>
                <w:szCs w:val="18"/>
                <w:lang w:eastAsia="sk-SK"/>
              </w:rPr>
            </w:pPr>
            <w:r w:rsidRPr="00AA658F">
              <w:rPr>
                <w:sz w:val="18"/>
                <w:szCs w:val="18"/>
                <w:lang w:eastAsia="sk-SK"/>
              </w:rPr>
              <w:t>Spolu</w:t>
            </w:r>
          </w:p>
        </w:tc>
        <w:tc>
          <w:tcPr>
            <w:tcW w:w="556" w:type="pct"/>
            <w:tcBorders>
              <w:top w:val="single" w:sz="4" w:space="0" w:color="auto"/>
              <w:left w:val="nil"/>
              <w:right w:val="nil"/>
            </w:tcBorders>
            <w:noWrap/>
            <w:vAlign w:val="bottom"/>
            <w:hideMark/>
          </w:tcPr>
          <w:p w14:paraId="16F0A9C3" w14:textId="51B82FE6" w:rsidR="00AA658F" w:rsidRPr="00AA658F" w:rsidRDefault="00AA658F" w:rsidP="00AA658F">
            <w:pPr>
              <w:spacing w:after="0" w:line="240" w:lineRule="auto"/>
              <w:jc w:val="right"/>
              <w:rPr>
                <w:b/>
                <w:bCs/>
                <w:sz w:val="18"/>
                <w:szCs w:val="18"/>
                <w:lang w:eastAsia="sk-SK"/>
              </w:rPr>
            </w:pPr>
            <w:r w:rsidRPr="00AA658F">
              <w:rPr>
                <w:b/>
                <w:bCs/>
                <w:sz w:val="18"/>
                <w:szCs w:val="18"/>
              </w:rPr>
              <w:t>240</w:t>
            </w:r>
          </w:p>
        </w:tc>
        <w:tc>
          <w:tcPr>
            <w:tcW w:w="599" w:type="pct"/>
            <w:tcBorders>
              <w:top w:val="single" w:sz="4" w:space="0" w:color="auto"/>
              <w:left w:val="nil"/>
              <w:right w:val="nil"/>
            </w:tcBorders>
            <w:noWrap/>
            <w:vAlign w:val="bottom"/>
            <w:hideMark/>
          </w:tcPr>
          <w:p w14:paraId="29AD53CA" w14:textId="39400A3B" w:rsidR="00AA658F" w:rsidRPr="00AA658F" w:rsidRDefault="00AA658F" w:rsidP="00AA658F">
            <w:pPr>
              <w:spacing w:after="0" w:line="240" w:lineRule="auto"/>
              <w:jc w:val="right"/>
              <w:rPr>
                <w:b/>
                <w:bCs/>
                <w:sz w:val="18"/>
                <w:szCs w:val="18"/>
                <w:lang w:eastAsia="sk-SK"/>
              </w:rPr>
            </w:pPr>
            <w:r w:rsidRPr="00AA658F">
              <w:rPr>
                <w:b/>
                <w:bCs/>
                <w:sz w:val="18"/>
                <w:szCs w:val="18"/>
              </w:rPr>
              <w:t>260</w:t>
            </w:r>
          </w:p>
        </w:tc>
        <w:tc>
          <w:tcPr>
            <w:tcW w:w="534" w:type="pct"/>
            <w:tcBorders>
              <w:top w:val="single" w:sz="4" w:space="0" w:color="auto"/>
              <w:left w:val="nil"/>
              <w:right w:val="nil"/>
            </w:tcBorders>
            <w:noWrap/>
            <w:vAlign w:val="bottom"/>
            <w:hideMark/>
          </w:tcPr>
          <w:p w14:paraId="79743DD4" w14:textId="5AAC18D1" w:rsidR="00AA658F" w:rsidRPr="00AA658F" w:rsidRDefault="00AA658F" w:rsidP="00AA658F">
            <w:pPr>
              <w:spacing w:after="0" w:line="240" w:lineRule="auto"/>
              <w:jc w:val="right"/>
              <w:rPr>
                <w:b/>
                <w:bCs/>
                <w:sz w:val="18"/>
                <w:szCs w:val="18"/>
                <w:lang w:eastAsia="sk-SK"/>
              </w:rPr>
            </w:pPr>
            <w:r w:rsidRPr="00AA658F">
              <w:rPr>
                <w:b/>
                <w:bCs/>
                <w:sz w:val="18"/>
                <w:szCs w:val="18"/>
              </w:rPr>
              <w:t>260</w:t>
            </w:r>
          </w:p>
        </w:tc>
        <w:tc>
          <w:tcPr>
            <w:tcW w:w="638" w:type="pct"/>
            <w:tcBorders>
              <w:top w:val="single" w:sz="4" w:space="0" w:color="auto"/>
              <w:left w:val="nil"/>
            </w:tcBorders>
            <w:noWrap/>
            <w:vAlign w:val="bottom"/>
            <w:hideMark/>
          </w:tcPr>
          <w:p w14:paraId="7B74D8DC" w14:textId="30D5F7B6" w:rsidR="00AA658F" w:rsidRPr="00AA658F" w:rsidRDefault="00AA658F" w:rsidP="00AA658F">
            <w:pPr>
              <w:spacing w:after="0" w:line="240" w:lineRule="auto"/>
              <w:jc w:val="right"/>
              <w:rPr>
                <w:b/>
                <w:bCs/>
                <w:sz w:val="18"/>
                <w:szCs w:val="18"/>
                <w:lang w:eastAsia="sk-SK"/>
              </w:rPr>
            </w:pPr>
            <w:r w:rsidRPr="00AA658F">
              <w:rPr>
                <w:b/>
                <w:bCs/>
                <w:sz w:val="18"/>
                <w:szCs w:val="18"/>
              </w:rPr>
              <w:t>0</w:t>
            </w:r>
          </w:p>
        </w:tc>
      </w:tr>
      <w:tr w:rsidR="00AA658F" w:rsidRPr="00AA658F" w14:paraId="46D41B43" w14:textId="77777777" w:rsidTr="00D56D13">
        <w:trPr>
          <w:trHeight w:val="300"/>
        </w:trPr>
        <w:tc>
          <w:tcPr>
            <w:tcW w:w="2301" w:type="pct"/>
            <w:vMerge/>
            <w:tcBorders>
              <w:top w:val="nil"/>
              <w:right w:val="nil"/>
            </w:tcBorders>
            <w:vAlign w:val="center"/>
            <w:hideMark/>
          </w:tcPr>
          <w:p w14:paraId="27ECCBD2" w14:textId="77777777" w:rsidR="00AA658F" w:rsidRPr="00AA658F" w:rsidRDefault="00AA658F" w:rsidP="00AA658F">
            <w:pPr>
              <w:spacing w:after="0" w:line="240" w:lineRule="auto"/>
              <w:rPr>
                <w:sz w:val="18"/>
                <w:szCs w:val="18"/>
                <w:lang w:eastAsia="sk-SK"/>
              </w:rPr>
            </w:pPr>
          </w:p>
        </w:tc>
        <w:tc>
          <w:tcPr>
            <w:tcW w:w="372" w:type="pct"/>
            <w:tcBorders>
              <w:top w:val="nil"/>
              <w:left w:val="nil"/>
              <w:right w:val="nil"/>
            </w:tcBorders>
            <w:vAlign w:val="center"/>
            <w:hideMark/>
          </w:tcPr>
          <w:p w14:paraId="42540C8F" w14:textId="77777777" w:rsidR="00AA658F" w:rsidRPr="00AA658F" w:rsidRDefault="00AA658F" w:rsidP="00AA658F">
            <w:pPr>
              <w:spacing w:after="0" w:line="240" w:lineRule="auto"/>
              <w:rPr>
                <w:sz w:val="18"/>
                <w:szCs w:val="18"/>
                <w:lang w:eastAsia="sk-SK"/>
              </w:rPr>
            </w:pPr>
            <w:r w:rsidRPr="00AA658F">
              <w:rPr>
                <w:sz w:val="18"/>
                <w:szCs w:val="18"/>
                <w:lang w:eastAsia="sk-SK"/>
              </w:rPr>
              <w:t xml:space="preserve">ESA </w:t>
            </w:r>
          </w:p>
        </w:tc>
        <w:tc>
          <w:tcPr>
            <w:tcW w:w="556" w:type="pct"/>
            <w:tcBorders>
              <w:top w:val="nil"/>
              <w:left w:val="nil"/>
              <w:right w:val="nil"/>
            </w:tcBorders>
            <w:noWrap/>
            <w:vAlign w:val="center"/>
            <w:hideMark/>
          </w:tcPr>
          <w:p w14:paraId="2D72988D" w14:textId="0331F7C7" w:rsidR="00AA658F" w:rsidRPr="00AA658F" w:rsidRDefault="00AA658F" w:rsidP="00AA658F">
            <w:pPr>
              <w:spacing w:after="0" w:line="240" w:lineRule="auto"/>
              <w:jc w:val="right"/>
              <w:rPr>
                <w:sz w:val="18"/>
                <w:szCs w:val="18"/>
                <w:lang w:eastAsia="sk-SK"/>
              </w:rPr>
            </w:pPr>
            <w:r w:rsidRPr="00AA658F">
              <w:rPr>
                <w:sz w:val="18"/>
                <w:szCs w:val="18"/>
              </w:rPr>
              <w:t>240</w:t>
            </w:r>
          </w:p>
        </w:tc>
        <w:tc>
          <w:tcPr>
            <w:tcW w:w="599" w:type="pct"/>
            <w:tcBorders>
              <w:top w:val="nil"/>
              <w:left w:val="nil"/>
              <w:right w:val="nil"/>
            </w:tcBorders>
            <w:noWrap/>
            <w:vAlign w:val="center"/>
            <w:hideMark/>
          </w:tcPr>
          <w:p w14:paraId="20532175" w14:textId="78D96CC3" w:rsidR="00AA658F" w:rsidRPr="00AA658F" w:rsidRDefault="00AA658F" w:rsidP="00AA658F">
            <w:pPr>
              <w:spacing w:after="0" w:line="240" w:lineRule="auto"/>
              <w:jc w:val="right"/>
              <w:rPr>
                <w:sz w:val="18"/>
                <w:szCs w:val="18"/>
                <w:lang w:eastAsia="sk-SK"/>
              </w:rPr>
            </w:pPr>
            <w:r w:rsidRPr="00AA658F">
              <w:rPr>
                <w:sz w:val="18"/>
                <w:szCs w:val="18"/>
              </w:rPr>
              <w:t>260</w:t>
            </w:r>
          </w:p>
        </w:tc>
        <w:tc>
          <w:tcPr>
            <w:tcW w:w="534" w:type="pct"/>
            <w:tcBorders>
              <w:top w:val="nil"/>
              <w:left w:val="nil"/>
              <w:right w:val="nil"/>
            </w:tcBorders>
            <w:noWrap/>
            <w:vAlign w:val="center"/>
            <w:hideMark/>
          </w:tcPr>
          <w:p w14:paraId="30373CE1" w14:textId="38A6403F" w:rsidR="00AA658F" w:rsidRPr="00AA658F" w:rsidRDefault="00AA658F" w:rsidP="00AA658F">
            <w:pPr>
              <w:spacing w:after="0" w:line="240" w:lineRule="auto"/>
              <w:jc w:val="right"/>
              <w:rPr>
                <w:color w:val="000000"/>
                <w:sz w:val="18"/>
                <w:szCs w:val="18"/>
                <w:lang w:eastAsia="sk-SK"/>
              </w:rPr>
            </w:pPr>
            <w:r w:rsidRPr="00AA658F">
              <w:rPr>
                <w:sz w:val="18"/>
                <w:szCs w:val="18"/>
              </w:rPr>
              <w:t>260</w:t>
            </w:r>
          </w:p>
        </w:tc>
        <w:tc>
          <w:tcPr>
            <w:tcW w:w="638" w:type="pct"/>
            <w:tcBorders>
              <w:top w:val="nil"/>
              <w:left w:val="nil"/>
            </w:tcBorders>
            <w:noWrap/>
            <w:vAlign w:val="bottom"/>
            <w:hideMark/>
          </w:tcPr>
          <w:p w14:paraId="52274021" w14:textId="35935AF2" w:rsidR="00AA658F" w:rsidRPr="00AA658F" w:rsidRDefault="00AA658F" w:rsidP="00AA658F">
            <w:pPr>
              <w:spacing w:after="0" w:line="240" w:lineRule="auto"/>
              <w:jc w:val="right"/>
              <w:rPr>
                <w:color w:val="000000"/>
                <w:sz w:val="18"/>
                <w:szCs w:val="18"/>
                <w:lang w:eastAsia="sk-SK"/>
              </w:rPr>
            </w:pPr>
            <w:r w:rsidRPr="00AA658F">
              <w:rPr>
                <w:sz w:val="18"/>
                <w:szCs w:val="18"/>
              </w:rPr>
              <w:t>0</w:t>
            </w:r>
          </w:p>
        </w:tc>
      </w:tr>
      <w:tr w:rsidR="00AA658F" w:rsidRPr="00AA658F" w14:paraId="5D98B7F4" w14:textId="77777777" w:rsidTr="00AA658F">
        <w:trPr>
          <w:trHeight w:val="300"/>
        </w:trPr>
        <w:tc>
          <w:tcPr>
            <w:tcW w:w="2301" w:type="pct"/>
            <w:vMerge/>
            <w:tcBorders>
              <w:top w:val="nil"/>
              <w:bottom w:val="double" w:sz="4" w:space="0" w:color="auto"/>
              <w:right w:val="nil"/>
            </w:tcBorders>
            <w:vAlign w:val="center"/>
            <w:hideMark/>
          </w:tcPr>
          <w:p w14:paraId="5226BB0C" w14:textId="77777777" w:rsidR="00AA658F" w:rsidRPr="00AA658F" w:rsidRDefault="00AA658F" w:rsidP="00AA658F">
            <w:pPr>
              <w:spacing w:after="0" w:line="240" w:lineRule="auto"/>
              <w:rPr>
                <w:sz w:val="18"/>
                <w:szCs w:val="18"/>
                <w:lang w:eastAsia="sk-SK"/>
              </w:rPr>
            </w:pPr>
          </w:p>
        </w:tc>
        <w:tc>
          <w:tcPr>
            <w:tcW w:w="372" w:type="pct"/>
            <w:tcBorders>
              <w:top w:val="nil"/>
              <w:left w:val="nil"/>
              <w:bottom w:val="double" w:sz="4" w:space="0" w:color="auto"/>
              <w:right w:val="nil"/>
            </w:tcBorders>
            <w:vAlign w:val="center"/>
            <w:hideMark/>
          </w:tcPr>
          <w:p w14:paraId="32E28FCE" w14:textId="77777777" w:rsidR="00AA658F" w:rsidRPr="00AA658F" w:rsidRDefault="00AA658F" w:rsidP="00AA658F">
            <w:pPr>
              <w:spacing w:after="0" w:line="240" w:lineRule="auto"/>
              <w:rPr>
                <w:sz w:val="18"/>
                <w:szCs w:val="18"/>
                <w:lang w:eastAsia="sk-SK"/>
              </w:rPr>
            </w:pPr>
            <w:r w:rsidRPr="00AA658F">
              <w:rPr>
                <w:sz w:val="18"/>
                <w:szCs w:val="18"/>
                <w:lang w:eastAsia="sk-SK"/>
              </w:rPr>
              <w:t>Super</w:t>
            </w:r>
          </w:p>
        </w:tc>
        <w:tc>
          <w:tcPr>
            <w:tcW w:w="556" w:type="pct"/>
            <w:tcBorders>
              <w:top w:val="nil"/>
              <w:left w:val="nil"/>
              <w:bottom w:val="double" w:sz="4" w:space="0" w:color="auto"/>
              <w:right w:val="nil"/>
            </w:tcBorders>
            <w:noWrap/>
            <w:vAlign w:val="bottom"/>
            <w:hideMark/>
          </w:tcPr>
          <w:p w14:paraId="38B3A083" w14:textId="464212FC" w:rsidR="00AA658F" w:rsidRPr="00AA658F" w:rsidRDefault="00AA658F" w:rsidP="00AA658F">
            <w:pPr>
              <w:spacing w:after="0" w:line="240" w:lineRule="auto"/>
              <w:jc w:val="right"/>
              <w:rPr>
                <w:sz w:val="18"/>
                <w:szCs w:val="18"/>
                <w:lang w:eastAsia="sk-SK"/>
              </w:rPr>
            </w:pPr>
            <w:r w:rsidRPr="00AA658F">
              <w:rPr>
                <w:sz w:val="18"/>
                <w:szCs w:val="18"/>
              </w:rPr>
              <w:t>0</w:t>
            </w:r>
          </w:p>
        </w:tc>
        <w:tc>
          <w:tcPr>
            <w:tcW w:w="599" w:type="pct"/>
            <w:tcBorders>
              <w:top w:val="nil"/>
              <w:left w:val="nil"/>
              <w:bottom w:val="double" w:sz="4" w:space="0" w:color="auto"/>
              <w:right w:val="nil"/>
            </w:tcBorders>
            <w:noWrap/>
            <w:vAlign w:val="bottom"/>
            <w:hideMark/>
          </w:tcPr>
          <w:p w14:paraId="5E2190CA" w14:textId="5DE89ECB" w:rsidR="00AA658F" w:rsidRPr="00AA658F" w:rsidRDefault="00AA658F" w:rsidP="00AA658F">
            <w:pPr>
              <w:spacing w:after="0" w:line="240" w:lineRule="auto"/>
              <w:jc w:val="right"/>
              <w:rPr>
                <w:sz w:val="18"/>
                <w:szCs w:val="18"/>
                <w:lang w:eastAsia="sk-SK"/>
              </w:rPr>
            </w:pPr>
            <w:r w:rsidRPr="00AA658F">
              <w:rPr>
                <w:sz w:val="18"/>
                <w:szCs w:val="18"/>
              </w:rPr>
              <w:t>0</w:t>
            </w:r>
          </w:p>
        </w:tc>
        <w:tc>
          <w:tcPr>
            <w:tcW w:w="534" w:type="pct"/>
            <w:tcBorders>
              <w:top w:val="nil"/>
              <w:left w:val="nil"/>
              <w:bottom w:val="double" w:sz="4" w:space="0" w:color="auto"/>
              <w:right w:val="nil"/>
            </w:tcBorders>
            <w:noWrap/>
            <w:vAlign w:val="bottom"/>
            <w:hideMark/>
          </w:tcPr>
          <w:p w14:paraId="48BC6EFF" w14:textId="40E1E579" w:rsidR="00AA658F" w:rsidRPr="00AA658F" w:rsidRDefault="00AA658F" w:rsidP="00AA658F">
            <w:pPr>
              <w:spacing w:after="0" w:line="240" w:lineRule="auto"/>
              <w:jc w:val="right"/>
              <w:rPr>
                <w:color w:val="000000"/>
                <w:sz w:val="18"/>
                <w:szCs w:val="18"/>
                <w:lang w:eastAsia="sk-SK"/>
              </w:rPr>
            </w:pPr>
            <w:r w:rsidRPr="00AA658F">
              <w:rPr>
                <w:sz w:val="18"/>
                <w:szCs w:val="18"/>
              </w:rPr>
              <w:t>0</w:t>
            </w:r>
          </w:p>
        </w:tc>
        <w:tc>
          <w:tcPr>
            <w:tcW w:w="638" w:type="pct"/>
            <w:tcBorders>
              <w:top w:val="nil"/>
              <w:left w:val="nil"/>
              <w:bottom w:val="double" w:sz="4" w:space="0" w:color="auto"/>
            </w:tcBorders>
            <w:noWrap/>
            <w:vAlign w:val="bottom"/>
            <w:hideMark/>
          </w:tcPr>
          <w:p w14:paraId="7FFB0FC3" w14:textId="229D8E74" w:rsidR="00AA658F" w:rsidRPr="00AA658F" w:rsidRDefault="00AA658F" w:rsidP="00AA658F">
            <w:pPr>
              <w:spacing w:after="0" w:line="240" w:lineRule="auto"/>
              <w:jc w:val="right"/>
              <w:rPr>
                <w:color w:val="000000"/>
                <w:sz w:val="18"/>
                <w:szCs w:val="18"/>
                <w:lang w:eastAsia="sk-SK"/>
              </w:rPr>
            </w:pPr>
            <w:r w:rsidRPr="00AA658F">
              <w:rPr>
                <w:sz w:val="18"/>
                <w:szCs w:val="18"/>
              </w:rPr>
              <w:t>0</w:t>
            </w:r>
          </w:p>
        </w:tc>
      </w:tr>
    </w:tbl>
    <w:p w14:paraId="2C6C6498" w14:textId="4634CFAD" w:rsidR="00E86ED2" w:rsidRPr="00AA658F" w:rsidRDefault="00304F49" w:rsidP="00304F49">
      <w:pPr>
        <w:spacing w:after="0" w:line="240" w:lineRule="auto"/>
        <w:ind w:left="7799"/>
        <w:jc w:val="both"/>
        <w:rPr>
          <w:sz w:val="16"/>
          <w:szCs w:val="16"/>
          <w:lang w:eastAsia="sk-SK"/>
        </w:rPr>
      </w:pPr>
      <w:r w:rsidRPr="00AA658F">
        <w:rPr>
          <w:sz w:val="16"/>
          <w:szCs w:val="16"/>
          <w:lang w:eastAsia="sk-SK"/>
        </w:rPr>
        <w:t xml:space="preserve"> </w:t>
      </w:r>
      <w:r w:rsidR="001A4BA1" w:rsidRPr="00AA658F">
        <w:rPr>
          <w:sz w:val="16"/>
          <w:szCs w:val="16"/>
          <w:lang w:eastAsia="sk-SK"/>
        </w:rPr>
        <w:t xml:space="preserve">   </w:t>
      </w:r>
      <w:r w:rsidRPr="00AA658F">
        <w:rPr>
          <w:sz w:val="16"/>
          <w:szCs w:val="16"/>
          <w:lang w:eastAsia="sk-SK"/>
        </w:rPr>
        <w:t xml:space="preserve">           Zdroj: MF SR</w:t>
      </w:r>
    </w:p>
    <w:p w14:paraId="63D6EBA7" w14:textId="77777777" w:rsidR="002D19D1" w:rsidRDefault="002D19D1" w:rsidP="00654390">
      <w:pPr>
        <w:spacing w:before="120" w:after="120" w:line="240" w:lineRule="auto"/>
        <w:jc w:val="both"/>
        <w:rPr>
          <w:b/>
          <w:color w:val="4F81BD" w:themeColor="accent1"/>
          <w:sz w:val="24"/>
          <w:szCs w:val="24"/>
        </w:rPr>
      </w:pPr>
    </w:p>
    <w:p w14:paraId="578D9056" w14:textId="77777777" w:rsidR="00456348" w:rsidRDefault="00456348">
      <w:pPr>
        <w:rPr>
          <w:b/>
          <w:color w:val="4F81BD" w:themeColor="accent1"/>
          <w:sz w:val="24"/>
          <w:szCs w:val="24"/>
        </w:rPr>
      </w:pPr>
      <w:r>
        <w:rPr>
          <w:b/>
          <w:color w:val="4F81BD" w:themeColor="accent1"/>
          <w:sz w:val="24"/>
          <w:szCs w:val="24"/>
        </w:rPr>
        <w:br w:type="page"/>
      </w:r>
    </w:p>
    <w:p w14:paraId="2D6938F3" w14:textId="101D8540" w:rsidR="00654390" w:rsidRPr="00573B83" w:rsidRDefault="00654390" w:rsidP="00654390">
      <w:pPr>
        <w:spacing w:before="120" w:after="120" w:line="240" w:lineRule="auto"/>
        <w:jc w:val="both"/>
        <w:rPr>
          <w:color w:val="FF0000"/>
          <w:szCs w:val="22"/>
        </w:rPr>
      </w:pPr>
      <w:r w:rsidRPr="00573B83">
        <w:rPr>
          <w:b/>
          <w:color w:val="4F81BD" w:themeColor="accent1"/>
          <w:sz w:val="24"/>
          <w:szCs w:val="24"/>
        </w:rPr>
        <w:lastRenderedPageBreak/>
        <w:t>Úroky</w:t>
      </w:r>
    </w:p>
    <w:p w14:paraId="38BA8BDC" w14:textId="1841EA16" w:rsidR="00654390" w:rsidRPr="00573B83" w:rsidRDefault="00341FF9" w:rsidP="00654390">
      <w:pPr>
        <w:spacing w:before="120" w:after="120" w:line="240" w:lineRule="auto"/>
        <w:jc w:val="both"/>
      </w:pPr>
      <w:r w:rsidRPr="00573B83">
        <w:t xml:space="preserve">Na strane </w:t>
      </w:r>
      <w:r w:rsidR="00567121" w:rsidRPr="00573B83">
        <w:t xml:space="preserve">úrokov sme </w:t>
      </w:r>
      <w:r w:rsidR="00573B83">
        <w:t xml:space="preserve">v roku 2024 oproti roku 2023 </w:t>
      </w:r>
      <w:r w:rsidR="00567121" w:rsidRPr="00573B83">
        <w:t xml:space="preserve">zaznamenali </w:t>
      </w:r>
      <w:r w:rsidR="001A32AA" w:rsidRPr="00573B83">
        <w:t>nárast</w:t>
      </w:r>
      <w:r w:rsidR="00567121" w:rsidRPr="00573B83">
        <w:t xml:space="preserve"> prijatých úrokov </w:t>
      </w:r>
      <w:r w:rsidRPr="00573B83">
        <w:t>v celkovom objeme 1</w:t>
      </w:r>
      <w:r w:rsidR="005270DE" w:rsidRPr="00573B83">
        <w:t>34</w:t>
      </w:r>
      <w:r w:rsidRPr="00573B83">
        <w:t> </w:t>
      </w:r>
      <w:r w:rsidR="005270DE" w:rsidRPr="00573B83">
        <w:t>731</w:t>
      </w:r>
      <w:r w:rsidRPr="00573B83">
        <w:t> tis. eur</w:t>
      </w:r>
      <w:r w:rsidR="005A0401">
        <w:t xml:space="preserve"> (t.</w:t>
      </w:r>
      <w:r w:rsidR="009B70E1">
        <w:t> </w:t>
      </w:r>
      <w:r w:rsidR="005A0401">
        <w:t>j. o 19,8</w:t>
      </w:r>
      <w:r w:rsidR="009B70E1">
        <w:t> </w:t>
      </w:r>
      <w:r w:rsidR="005A0401">
        <w:t>%)</w:t>
      </w:r>
      <w:r w:rsidR="005270DE" w:rsidRPr="00573B83">
        <w:t>, pričom nárast</w:t>
      </w:r>
      <w:r w:rsidRPr="00573B83">
        <w:t xml:space="preserve"> </w:t>
      </w:r>
      <w:r w:rsidR="005270DE" w:rsidRPr="00573B83">
        <w:t xml:space="preserve">hotovostných úrokov </w:t>
      </w:r>
      <w:r w:rsidR="00567121" w:rsidRPr="00573B83">
        <w:t xml:space="preserve">na samostatných účtoch organizácii ústrednej správy a zo zhodnocovania zdrojov držaných na likviditnej rezerve a pri riadení likvidity štátu, </w:t>
      </w:r>
      <w:r w:rsidR="005270DE" w:rsidRPr="00573B83">
        <w:t>bol</w:t>
      </w:r>
      <w:r w:rsidR="00EA4A61" w:rsidRPr="00573B83">
        <w:t xml:space="preserve"> 169 619 tis. eur</w:t>
      </w:r>
      <w:r w:rsidRPr="00573B83">
        <w:t xml:space="preserve">. </w:t>
      </w:r>
      <w:r w:rsidR="00EA4A61" w:rsidRPr="00573B83">
        <w:t xml:space="preserve">Tento nárast bol kompenzovaný na strane úrokových výdavkov </w:t>
      </w:r>
      <w:r w:rsidR="000F530E" w:rsidRPr="00573B83">
        <w:t>za obsluhu štátneho dlhu a</w:t>
      </w:r>
      <w:r w:rsidR="00041EA0">
        <w:t> </w:t>
      </w:r>
      <w:r w:rsidR="000F530E" w:rsidRPr="00573B83">
        <w:t>deficitu</w:t>
      </w:r>
      <w:r w:rsidR="00EA4A61" w:rsidRPr="00573B83">
        <w:t xml:space="preserve"> a pri riadení </w:t>
      </w:r>
      <w:r w:rsidR="00EA4A61" w:rsidRPr="00572728">
        <w:t>likvidity štátu v</w:t>
      </w:r>
      <w:r w:rsidR="00955BFD" w:rsidRPr="00572728">
        <w:t>o</w:t>
      </w:r>
      <w:r w:rsidR="00EA4A61" w:rsidRPr="00572728">
        <w:t xml:space="preserve"> forme hotovostných úrokov v objeme 280 034 tis. eur, pričom došlo aj k zvýšeniu časového rozlíšenia </w:t>
      </w:r>
      <w:r w:rsidR="000F530E" w:rsidRPr="00572728">
        <w:t xml:space="preserve">platených </w:t>
      </w:r>
      <w:r w:rsidR="00EA4A61" w:rsidRPr="00572728">
        <w:t xml:space="preserve">úrokov </w:t>
      </w:r>
      <w:r w:rsidR="000F530E" w:rsidRPr="00572728">
        <w:t>o 188 711 tis.</w:t>
      </w:r>
      <w:r w:rsidR="00C641D4" w:rsidRPr="00572728">
        <w:t xml:space="preserve"> eur. </w:t>
      </w:r>
      <w:r w:rsidR="000F530E" w:rsidRPr="00572728">
        <w:t>Celkový objem navýšenia výdavkov oproti roku 2023 bol 422 014 tis. eur.</w:t>
      </w:r>
    </w:p>
    <w:p w14:paraId="679438A2" w14:textId="486FAF10" w:rsidR="00654390" w:rsidRPr="00C641D4" w:rsidRDefault="00654390" w:rsidP="00654390">
      <w:pPr>
        <w:spacing w:before="120" w:after="120" w:line="240" w:lineRule="auto"/>
        <w:jc w:val="both"/>
        <w:rPr>
          <w:b/>
          <w:color w:val="4F81BD" w:themeColor="accent1"/>
          <w:sz w:val="24"/>
          <w:szCs w:val="24"/>
        </w:rPr>
      </w:pPr>
      <w:r w:rsidRPr="00C641D4">
        <w:rPr>
          <w:b/>
          <w:color w:val="4F81BD" w:themeColor="accent1"/>
          <w:sz w:val="24"/>
          <w:szCs w:val="24"/>
        </w:rPr>
        <w:t>Granty a transfery</w:t>
      </w:r>
    </w:p>
    <w:p w14:paraId="39FB42A4" w14:textId="2351B9F3" w:rsidR="0029028D" w:rsidRPr="001145AB" w:rsidRDefault="0029028D" w:rsidP="001145AB">
      <w:pPr>
        <w:spacing w:after="120" w:line="240" w:lineRule="auto"/>
        <w:jc w:val="both"/>
        <w:rPr>
          <w:bCs/>
        </w:rPr>
      </w:pPr>
      <w:r w:rsidRPr="00032502">
        <w:rPr>
          <w:bCs/>
        </w:rPr>
        <w:t>Medziročne zaznamenali granty a transfery</w:t>
      </w:r>
      <w:r w:rsidRPr="00032502">
        <w:rPr>
          <w:b/>
          <w:bCs/>
        </w:rPr>
        <w:t xml:space="preserve"> </w:t>
      </w:r>
      <w:r w:rsidR="00032502" w:rsidRPr="00032502">
        <w:t>pokles</w:t>
      </w:r>
      <w:r w:rsidR="000F1497" w:rsidRPr="00032502">
        <w:t xml:space="preserve"> o</w:t>
      </w:r>
      <w:r w:rsidR="00032502" w:rsidRPr="00032502">
        <w:t> 38,7</w:t>
      </w:r>
      <w:r w:rsidRPr="00032502">
        <w:t xml:space="preserve"> % </w:t>
      </w:r>
      <w:r w:rsidRPr="00032502">
        <w:rPr>
          <w:bCs/>
        </w:rPr>
        <w:t>(</w:t>
      </w:r>
      <w:r w:rsidR="00032502" w:rsidRPr="00032502">
        <w:rPr>
          <w:bCs/>
        </w:rPr>
        <w:t>pokles</w:t>
      </w:r>
      <w:r w:rsidRPr="00032502">
        <w:rPr>
          <w:bCs/>
        </w:rPr>
        <w:t xml:space="preserve"> o </w:t>
      </w:r>
      <w:r w:rsidR="00032502" w:rsidRPr="00032502">
        <w:rPr>
          <w:bCs/>
        </w:rPr>
        <w:t>1</w:t>
      </w:r>
      <w:r w:rsidR="000F1497" w:rsidRPr="00032502">
        <w:rPr>
          <w:bCs/>
        </w:rPr>
        <w:t> </w:t>
      </w:r>
      <w:r w:rsidR="00032502" w:rsidRPr="00032502">
        <w:rPr>
          <w:bCs/>
        </w:rPr>
        <w:t>903</w:t>
      </w:r>
      <w:r w:rsidR="000F1497" w:rsidRPr="00032502">
        <w:rPr>
          <w:bCs/>
        </w:rPr>
        <w:t> </w:t>
      </w:r>
      <w:r w:rsidR="00032502" w:rsidRPr="00032502">
        <w:rPr>
          <w:bCs/>
        </w:rPr>
        <w:t>303</w:t>
      </w:r>
      <w:r w:rsidR="000F1497" w:rsidRPr="00032502">
        <w:rPr>
          <w:bCs/>
        </w:rPr>
        <w:t> </w:t>
      </w:r>
      <w:r w:rsidRPr="00032502">
        <w:rPr>
          <w:bCs/>
        </w:rPr>
        <w:t>tis. </w:t>
      </w:r>
      <w:r w:rsidRPr="002674AA">
        <w:rPr>
          <w:bCs/>
        </w:rPr>
        <w:t xml:space="preserve">eur). Najvýznamnejší </w:t>
      </w:r>
      <w:r w:rsidR="002674AA" w:rsidRPr="002674AA">
        <w:rPr>
          <w:bCs/>
        </w:rPr>
        <w:t>pokles</w:t>
      </w:r>
      <w:r w:rsidRPr="002674AA">
        <w:rPr>
          <w:bCs/>
        </w:rPr>
        <w:t xml:space="preserve"> predstavovali kapitálové transfery o</w:t>
      </w:r>
      <w:r w:rsidR="002674AA" w:rsidRPr="002674AA">
        <w:rPr>
          <w:bCs/>
        </w:rPr>
        <w:t> 62,6</w:t>
      </w:r>
      <w:r w:rsidR="000F1497" w:rsidRPr="002674AA">
        <w:rPr>
          <w:bCs/>
        </w:rPr>
        <w:t> </w:t>
      </w:r>
      <w:r w:rsidRPr="002674AA">
        <w:rPr>
          <w:bCs/>
        </w:rPr>
        <w:t>% (</w:t>
      </w:r>
      <w:r w:rsidR="002674AA" w:rsidRPr="002674AA">
        <w:rPr>
          <w:bCs/>
        </w:rPr>
        <w:t>pokles</w:t>
      </w:r>
      <w:r w:rsidRPr="002674AA">
        <w:rPr>
          <w:bCs/>
        </w:rPr>
        <w:t xml:space="preserve"> o </w:t>
      </w:r>
      <w:r w:rsidR="000F1497" w:rsidRPr="002674AA">
        <w:rPr>
          <w:bCs/>
        </w:rPr>
        <w:t>1 </w:t>
      </w:r>
      <w:r w:rsidR="002674AA" w:rsidRPr="002674AA">
        <w:rPr>
          <w:bCs/>
        </w:rPr>
        <w:t>505</w:t>
      </w:r>
      <w:r w:rsidR="000F1497" w:rsidRPr="002674AA">
        <w:rPr>
          <w:bCs/>
        </w:rPr>
        <w:t> </w:t>
      </w:r>
      <w:r w:rsidR="002674AA" w:rsidRPr="002674AA">
        <w:rPr>
          <w:bCs/>
        </w:rPr>
        <w:t>590</w:t>
      </w:r>
      <w:r w:rsidR="000F1497" w:rsidRPr="002674AA">
        <w:rPr>
          <w:bCs/>
        </w:rPr>
        <w:t> </w:t>
      </w:r>
      <w:r w:rsidRPr="002674AA">
        <w:rPr>
          <w:bCs/>
        </w:rPr>
        <w:t xml:space="preserve">tis. eur) a bežné transfery zaznamenali </w:t>
      </w:r>
      <w:r w:rsidR="002674AA" w:rsidRPr="002674AA">
        <w:rPr>
          <w:bCs/>
        </w:rPr>
        <w:t>pokles</w:t>
      </w:r>
      <w:r w:rsidRPr="002674AA">
        <w:rPr>
          <w:bCs/>
        </w:rPr>
        <w:t xml:space="preserve"> o </w:t>
      </w:r>
      <w:r w:rsidR="002674AA" w:rsidRPr="002674AA">
        <w:rPr>
          <w:bCs/>
        </w:rPr>
        <w:t>15</w:t>
      </w:r>
      <w:r w:rsidR="000F1497" w:rsidRPr="002674AA">
        <w:rPr>
          <w:bCs/>
        </w:rPr>
        <w:t>,</w:t>
      </w:r>
      <w:r w:rsidR="002674AA" w:rsidRPr="002674AA">
        <w:rPr>
          <w:bCs/>
        </w:rPr>
        <w:t>8</w:t>
      </w:r>
      <w:r w:rsidR="000F1497" w:rsidRPr="002674AA">
        <w:rPr>
          <w:bCs/>
        </w:rPr>
        <w:t> % (</w:t>
      </w:r>
      <w:r w:rsidR="002674AA" w:rsidRPr="002674AA">
        <w:rPr>
          <w:bCs/>
        </w:rPr>
        <w:t>pokles</w:t>
      </w:r>
      <w:r w:rsidR="000F1497" w:rsidRPr="002674AA">
        <w:rPr>
          <w:bCs/>
        </w:rPr>
        <w:t xml:space="preserve"> o</w:t>
      </w:r>
      <w:r w:rsidR="009B70E1">
        <w:rPr>
          <w:bCs/>
        </w:rPr>
        <w:t> </w:t>
      </w:r>
      <w:r w:rsidR="002674AA" w:rsidRPr="002674AA">
        <w:rPr>
          <w:bCs/>
        </w:rPr>
        <w:t>397</w:t>
      </w:r>
      <w:r w:rsidR="000F1497" w:rsidRPr="002674AA">
        <w:rPr>
          <w:bCs/>
        </w:rPr>
        <w:t> </w:t>
      </w:r>
      <w:r w:rsidR="002674AA" w:rsidRPr="002674AA">
        <w:rPr>
          <w:bCs/>
        </w:rPr>
        <w:t>713</w:t>
      </w:r>
      <w:r w:rsidR="000F1497" w:rsidRPr="002674AA">
        <w:rPr>
          <w:bCs/>
        </w:rPr>
        <w:t> tis. eur</w:t>
      </w:r>
      <w:r w:rsidRPr="002674AA">
        <w:rPr>
          <w:bCs/>
        </w:rPr>
        <w:t xml:space="preserve">). Výrazný </w:t>
      </w:r>
      <w:r w:rsidR="002674AA" w:rsidRPr="002674AA">
        <w:rPr>
          <w:bCs/>
        </w:rPr>
        <w:t>pokles</w:t>
      </w:r>
      <w:r w:rsidRPr="002674AA">
        <w:rPr>
          <w:bCs/>
        </w:rPr>
        <w:t xml:space="preserve"> zaznamenalo aj čerpani</w:t>
      </w:r>
      <w:r w:rsidR="008E78EE">
        <w:rPr>
          <w:bCs/>
        </w:rPr>
        <w:t>e</w:t>
      </w:r>
      <w:r w:rsidRPr="002674AA">
        <w:rPr>
          <w:bCs/>
        </w:rPr>
        <w:t xml:space="preserve"> eurofondov</w:t>
      </w:r>
      <w:r w:rsidR="00804116" w:rsidRPr="002674AA">
        <w:rPr>
          <w:bCs/>
        </w:rPr>
        <w:t xml:space="preserve"> vrátane prostriedkov z Plánu obnovy a odolnosti</w:t>
      </w:r>
      <w:r w:rsidRPr="002674AA">
        <w:rPr>
          <w:bCs/>
        </w:rPr>
        <w:t xml:space="preserve"> o </w:t>
      </w:r>
      <w:r w:rsidR="002674AA" w:rsidRPr="002674AA">
        <w:rPr>
          <w:bCs/>
        </w:rPr>
        <w:t>45</w:t>
      </w:r>
      <w:r w:rsidRPr="002674AA">
        <w:rPr>
          <w:bCs/>
        </w:rPr>
        <w:t>,</w:t>
      </w:r>
      <w:r w:rsidR="002674AA" w:rsidRPr="002674AA">
        <w:rPr>
          <w:bCs/>
        </w:rPr>
        <w:t>0</w:t>
      </w:r>
      <w:r w:rsidRPr="002674AA">
        <w:rPr>
          <w:bCs/>
        </w:rPr>
        <w:t> % (</w:t>
      </w:r>
      <w:r w:rsidR="002674AA" w:rsidRPr="002674AA">
        <w:rPr>
          <w:bCs/>
        </w:rPr>
        <w:t>pokles</w:t>
      </w:r>
      <w:r w:rsidRPr="002674AA">
        <w:rPr>
          <w:bCs/>
        </w:rPr>
        <w:t xml:space="preserve"> o</w:t>
      </w:r>
      <w:r w:rsidR="00B74718">
        <w:rPr>
          <w:bCs/>
        </w:rPr>
        <w:t> </w:t>
      </w:r>
      <w:r w:rsidR="002674AA" w:rsidRPr="002674AA">
        <w:rPr>
          <w:bCs/>
        </w:rPr>
        <w:t>1</w:t>
      </w:r>
      <w:r w:rsidR="00B74718">
        <w:rPr>
          <w:bCs/>
        </w:rPr>
        <w:t> </w:t>
      </w:r>
      <w:r w:rsidR="002674AA" w:rsidRPr="002674AA">
        <w:rPr>
          <w:bCs/>
        </w:rPr>
        <w:t>587</w:t>
      </w:r>
      <w:r w:rsidRPr="002674AA">
        <w:rPr>
          <w:bCs/>
        </w:rPr>
        <w:t> </w:t>
      </w:r>
      <w:r w:rsidR="002674AA" w:rsidRPr="002674AA">
        <w:rPr>
          <w:bCs/>
        </w:rPr>
        <w:t>910</w:t>
      </w:r>
      <w:r w:rsidRPr="002674AA">
        <w:rPr>
          <w:bCs/>
        </w:rPr>
        <w:t> tis. eur).</w:t>
      </w:r>
      <w:r w:rsidR="00E6274B">
        <w:rPr>
          <w:bCs/>
        </w:rPr>
        <w:t xml:space="preserve"> V roku 2023 išlo</w:t>
      </w:r>
      <w:r w:rsidR="00E6274B" w:rsidRPr="00E6274B">
        <w:rPr>
          <w:bCs/>
        </w:rPr>
        <w:t xml:space="preserve"> o</w:t>
      </w:r>
      <w:r w:rsidR="00E6274B">
        <w:rPr>
          <w:bCs/>
        </w:rPr>
        <w:t> efekt dočerpávania eurofondov</w:t>
      </w:r>
      <w:r w:rsidR="00E6274B" w:rsidRPr="00E6274B">
        <w:rPr>
          <w:bCs/>
        </w:rPr>
        <w:t xml:space="preserve"> z tretieho programového obdobia 2014</w:t>
      </w:r>
      <w:r w:rsidR="009B70E1">
        <w:rPr>
          <w:bCs/>
        </w:rPr>
        <w:t> </w:t>
      </w:r>
      <w:r w:rsidR="00E6274B" w:rsidRPr="00E6274B">
        <w:rPr>
          <w:bCs/>
        </w:rPr>
        <w:t>-</w:t>
      </w:r>
      <w:r w:rsidR="009B70E1">
        <w:rPr>
          <w:bCs/>
        </w:rPr>
        <w:t> </w:t>
      </w:r>
      <w:r w:rsidR="00E6274B" w:rsidRPr="00E6274B">
        <w:rPr>
          <w:bCs/>
        </w:rPr>
        <w:t>2020</w:t>
      </w:r>
      <w:r w:rsidR="00E6274B">
        <w:rPr>
          <w:bCs/>
        </w:rPr>
        <w:t>.</w:t>
      </w:r>
    </w:p>
    <w:p w14:paraId="77385C06" w14:textId="4BDE0BAB" w:rsidR="0029028D" w:rsidRPr="00502E49" w:rsidRDefault="0029028D" w:rsidP="0029028D">
      <w:pPr>
        <w:spacing w:after="120" w:line="240" w:lineRule="auto"/>
        <w:jc w:val="both"/>
        <w:rPr>
          <w:bCs/>
        </w:rPr>
      </w:pPr>
      <w:r w:rsidRPr="00502E49">
        <w:rPr>
          <w:bCs/>
        </w:rPr>
        <w:t xml:space="preserve">V rámci </w:t>
      </w:r>
      <w:r w:rsidRPr="00502E49">
        <w:rPr>
          <w:bCs/>
          <w:u w:val="single"/>
        </w:rPr>
        <w:t>bežných transferov</w:t>
      </w:r>
      <w:r w:rsidRPr="00502E49">
        <w:rPr>
          <w:bCs/>
        </w:rPr>
        <w:t xml:space="preserve"> </w:t>
      </w:r>
      <w:r w:rsidRPr="00CF7962">
        <w:rPr>
          <w:bCs/>
        </w:rPr>
        <w:t>medziročne vzrástli</w:t>
      </w:r>
      <w:r w:rsidR="0010639F" w:rsidRPr="00CF7962">
        <w:rPr>
          <w:bCs/>
        </w:rPr>
        <w:t>/poklesli</w:t>
      </w:r>
      <w:r w:rsidRPr="00502E49">
        <w:rPr>
          <w:bCs/>
        </w:rPr>
        <w:t xml:space="preserve"> najmä transfery</w:t>
      </w:r>
      <w:r w:rsidR="007E7F8F">
        <w:rPr>
          <w:bCs/>
        </w:rPr>
        <w:t xml:space="preserve"> v týchto zložkách</w:t>
      </w:r>
      <w:r w:rsidRPr="00502E49">
        <w:rPr>
          <w:bCs/>
        </w:rPr>
        <w:t>:</w:t>
      </w:r>
    </w:p>
    <w:p w14:paraId="19860D58" w14:textId="77777777" w:rsidR="00572728" w:rsidRDefault="0029028D" w:rsidP="001145AB">
      <w:pPr>
        <w:pStyle w:val="Odsekzoznamu"/>
        <w:numPr>
          <w:ilvl w:val="0"/>
          <w:numId w:val="18"/>
        </w:numPr>
        <w:spacing w:after="120"/>
        <w:ind w:left="771" w:hanging="357"/>
        <w:contextualSpacing w:val="0"/>
        <w:jc w:val="both"/>
        <w:rPr>
          <w:bCs/>
        </w:rPr>
      </w:pPr>
      <w:r w:rsidRPr="00502E49">
        <w:rPr>
          <w:b/>
          <w:bCs/>
          <w:i/>
        </w:rPr>
        <w:t>Sociálnej poisťovni</w:t>
      </w:r>
      <w:r w:rsidRPr="00502E49">
        <w:rPr>
          <w:bCs/>
        </w:rPr>
        <w:t xml:space="preserve"> medziročne vzrástol transfer zo štátneho rozpočtu o</w:t>
      </w:r>
      <w:r w:rsidR="00E65F50" w:rsidRPr="00502E49">
        <w:rPr>
          <w:bCs/>
        </w:rPr>
        <w:t> </w:t>
      </w:r>
      <w:r w:rsidRPr="00502E49">
        <w:rPr>
          <w:bCs/>
        </w:rPr>
        <w:t>1</w:t>
      </w:r>
      <w:r w:rsidR="00E65F50" w:rsidRPr="00502E49">
        <w:rPr>
          <w:bCs/>
        </w:rPr>
        <w:t> </w:t>
      </w:r>
      <w:r w:rsidR="00502E49">
        <w:rPr>
          <w:bCs/>
        </w:rPr>
        <w:t>560</w:t>
      </w:r>
      <w:r w:rsidR="00E65F50" w:rsidRPr="00502E49">
        <w:rPr>
          <w:bCs/>
        </w:rPr>
        <w:t> </w:t>
      </w:r>
      <w:r w:rsidR="00502E49">
        <w:rPr>
          <w:bCs/>
        </w:rPr>
        <w:t>000</w:t>
      </w:r>
      <w:r w:rsidR="00E65F50" w:rsidRPr="00502E49">
        <w:rPr>
          <w:bCs/>
        </w:rPr>
        <w:t> </w:t>
      </w:r>
      <w:r w:rsidRPr="00502E49">
        <w:rPr>
          <w:bCs/>
        </w:rPr>
        <w:t>tis.</w:t>
      </w:r>
      <w:r w:rsidR="00E65F50" w:rsidRPr="00502E49">
        <w:rPr>
          <w:bCs/>
        </w:rPr>
        <w:t> </w:t>
      </w:r>
      <w:r w:rsidRPr="00502E49">
        <w:rPr>
          <w:bCs/>
        </w:rPr>
        <w:t>eur, išlo o vykrytie výdavkov predovšet</w:t>
      </w:r>
      <w:r w:rsidR="004D1D98" w:rsidRPr="00502E49">
        <w:rPr>
          <w:bCs/>
        </w:rPr>
        <w:t>kým na dôchodkové dávky.</w:t>
      </w:r>
    </w:p>
    <w:p w14:paraId="7226FA61" w14:textId="5B279B84" w:rsidR="0035525C" w:rsidRPr="00572728" w:rsidRDefault="00CF7962" w:rsidP="001145AB">
      <w:pPr>
        <w:pStyle w:val="Odsekzoznamu"/>
        <w:numPr>
          <w:ilvl w:val="0"/>
          <w:numId w:val="18"/>
        </w:numPr>
        <w:spacing w:after="120"/>
        <w:ind w:left="771" w:hanging="357"/>
        <w:contextualSpacing w:val="0"/>
        <w:jc w:val="both"/>
        <w:rPr>
          <w:bCs/>
        </w:rPr>
      </w:pPr>
      <w:r w:rsidRPr="001145AB">
        <w:rPr>
          <w:b/>
        </w:rPr>
        <w:t>Výnos</w:t>
      </w:r>
      <w:r w:rsidR="00572728" w:rsidRPr="001145AB">
        <w:rPr>
          <w:b/>
        </w:rPr>
        <w:t>y</w:t>
      </w:r>
      <w:r w:rsidRPr="001145AB">
        <w:rPr>
          <w:b/>
        </w:rPr>
        <w:t xml:space="preserve"> dane z príjmov </w:t>
      </w:r>
      <w:r w:rsidRPr="001145AB">
        <w:rPr>
          <w:bCs/>
        </w:rPr>
        <w:t>DPFO</w:t>
      </w:r>
      <w:r w:rsidRPr="00572728">
        <w:rPr>
          <w:bCs/>
        </w:rPr>
        <w:t xml:space="preserve"> a zo zdrojov z príjmov z DPPO poukázaných </w:t>
      </w:r>
      <w:r w:rsidRPr="00572728">
        <w:rPr>
          <w:b/>
          <w:bCs/>
          <w:i/>
        </w:rPr>
        <w:t>územnej samospráve</w:t>
      </w:r>
      <w:r w:rsidRPr="00572728">
        <w:rPr>
          <w:bCs/>
        </w:rPr>
        <w:t xml:space="preserve"> poklesli o 61 506 tis. eur (z toho obciam a ich RO o 42 002 tis. eur a VÚC a ich RO o 19 504 tis. eur), </w:t>
      </w:r>
      <w:r w:rsidR="0035525C" w:rsidRPr="00572728">
        <w:rPr>
          <w:bCs/>
        </w:rPr>
        <w:t>najmä z dôvodu vratiek, ktoré si uplatnili daňovníci v termíne zúčtovania DPFO.</w:t>
      </w:r>
    </w:p>
    <w:p w14:paraId="40A3EE7B" w14:textId="1868257F" w:rsidR="0035525C" w:rsidRPr="00DF62F7" w:rsidRDefault="0015568F" w:rsidP="001145AB">
      <w:pPr>
        <w:pStyle w:val="Odsekzoznamu"/>
        <w:spacing w:after="120"/>
        <w:ind w:left="771"/>
        <w:contextualSpacing w:val="0"/>
        <w:jc w:val="both"/>
        <w:rPr>
          <w:bCs/>
        </w:rPr>
      </w:pPr>
      <w:r w:rsidRPr="00DF62F7">
        <w:rPr>
          <w:bCs/>
        </w:rPr>
        <w:t xml:space="preserve">Na zmiernenie tohto deficitu </w:t>
      </w:r>
      <w:r w:rsidR="00734666">
        <w:rPr>
          <w:bCs/>
        </w:rPr>
        <w:t>v októbri 2024</w:t>
      </w:r>
      <w:r w:rsidR="0035525C" w:rsidRPr="00DF62F7">
        <w:rPr>
          <w:bCs/>
        </w:rPr>
        <w:t xml:space="preserve"> vláda SR schválila „Návrh na poskytnutie finančnej pomoci obciam a samosprávnym krajom v dôsledku výpadku príjmov z dane z príjmov fyzických osôb v roku 2024.“ </w:t>
      </w:r>
      <w:r w:rsidRPr="00DF62F7">
        <w:rPr>
          <w:bCs/>
        </w:rPr>
        <w:t xml:space="preserve"> Išlo o </w:t>
      </w:r>
      <w:r w:rsidR="0035525C" w:rsidRPr="00DF62F7">
        <w:rPr>
          <w:bCs/>
        </w:rPr>
        <w:t>jednorazovú pomoc formou dotácie z kapitoly Všeobecná pokladničná správa pre mestá a obce v sume 50</w:t>
      </w:r>
      <w:r w:rsidRPr="00DF62F7">
        <w:rPr>
          <w:bCs/>
        </w:rPr>
        <w:t> 000 tis. </w:t>
      </w:r>
      <w:r w:rsidR="0035525C" w:rsidRPr="00DF62F7">
        <w:rPr>
          <w:bCs/>
        </w:rPr>
        <w:t>eur a vyšším územným celkom formou odpustenia časti nesplatenej istiny poskytnutých návratných výpomocí v sume 20</w:t>
      </w:r>
      <w:r w:rsidR="009B70E1">
        <w:rPr>
          <w:bCs/>
        </w:rPr>
        <w:t> </w:t>
      </w:r>
      <w:r w:rsidRPr="00DF62F7">
        <w:rPr>
          <w:bCs/>
        </w:rPr>
        <w:t>000</w:t>
      </w:r>
      <w:r w:rsidR="009B70E1">
        <w:rPr>
          <w:bCs/>
        </w:rPr>
        <w:t> </w:t>
      </w:r>
      <w:r w:rsidRPr="00DF62F7">
        <w:rPr>
          <w:bCs/>
        </w:rPr>
        <w:t>tis.</w:t>
      </w:r>
      <w:r w:rsidR="009B70E1">
        <w:rPr>
          <w:bCs/>
        </w:rPr>
        <w:t> </w:t>
      </w:r>
      <w:r w:rsidR="0035525C" w:rsidRPr="00DF62F7">
        <w:rPr>
          <w:bCs/>
        </w:rPr>
        <w:t>eur.</w:t>
      </w:r>
    </w:p>
    <w:p w14:paraId="06F9F99D" w14:textId="55AB3BE0" w:rsidR="0029028D" w:rsidRPr="00502E49" w:rsidRDefault="004D1D98" w:rsidP="001145AB">
      <w:pPr>
        <w:pStyle w:val="Odsekzoznamu"/>
        <w:numPr>
          <w:ilvl w:val="0"/>
          <w:numId w:val="18"/>
        </w:numPr>
        <w:spacing w:after="120"/>
        <w:ind w:left="771" w:hanging="357"/>
        <w:contextualSpacing w:val="0"/>
        <w:jc w:val="both"/>
        <w:rPr>
          <w:bCs/>
        </w:rPr>
      </w:pPr>
      <w:r w:rsidRPr="00502E49">
        <w:rPr>
          <w:bCs/>
        </w:rPr>
        <w:t>V</w:t>
      </w:r>
      <w:r w:rsidR="0029028D" w:rsidRPr="00502E49">
        <w:rPr>
          <w:bCs/>
        </w:rPr>
        <w:t xml:space="preserve">zrástli aj príjmy </w:t>
      </w:r>
      <w:r w:rsidR="0029028D" w:rsidRPr="00502E49">
        <w:rPr>
          <w:b/>
          <w:bCs/>
          <w:i/>
        </w:rPr>
        <w:t>zdravotníckych zariadení</w:t>
      </w:r>
      <w:r w:rsidR="0029028D" w:rsidRPr="00502E49">
        <w:rPr>
          <w:bCs/>
        </w:rPr>
        <w:t xml:space="preserve"> </w:t>
      </w:r>
      <w:r w:rsidR="00C90823" w:rsidRPr="00C90823">
        <w:rPr>
          <w:b/>
          <w:i/>
          <w:iCs/>
        </w:rPr>
        <w:t>ústrednej správy</w:t>
      </w:r>
      <w:r w:rsidR="00C90823">
        <w:rPr>
          <w:bCs/>
        </w:rPr>
        <w:t xml:space="preserve"> </w:t>
      </w:r>
      <w:r w:rsidR="0029028D" w:rsidRPr="00502E49">
        <w:rPr>
          <w:bCs/>
        </w:rPr>
        <w:t>za lekárske výkony a</w:t>
      </w:r>
      <w:r w:rsidR="009B70E1">
        <w:rPr>
          <w:bCs/>
        </w:rPr>
        <w:t> </w:t>
      </w:r>
      <w:r w:rsidR="0029028D" w:rsidRPr="00502E49">
        <w:rPr>
          <w:bCs/>
        </w:rPr>
        <w:t>poskytnutú zdravotnú starostlivosť od zdravotných poisťovní o </w:t>
      </w:r>
      <w:r w:rsidR="00502E49" w:rsidRPr="00502E49">
        <w:rPr>
          <w:bCs/>
        </w:rPr>
        <w:t>198</w:t>
      </w:r>
      <w:r w:rsidR="0029028D" w:rsidRPr="00502E49">
        <w:rPr>
          <w:bCs/>
        </w:rPr>
        <w:t> </w:t>
      </w:r>
      <w:r w:rsidR="00502E49" w:rsidRPr="00502E49">
        <w:rPr>
          <w:bCs/>
        </w:rPr>
        <w:t>948</w:t>
      </w:r>
      <w:r w:rsidR="0029028D" w:rsidRPr="00502E49">
        <w:rPr>
          <w:bCs/>
        </w:rPr>
        <w:t> tis.</w:t>
      </w:r>
      <w:r w:rsidR="00E65F50" w:rsidRPr="00502E49">
        <w:rPr>
          <w:bCs/>
        </w:rPr>
        <w:t> </w:t>
      </w:r>
      <w:r w:rsidRPr="00502E49">
        <w:rPr>
          <w:bCs/>
        </w:rPr>
        <w:t>eur.</w:t>
      </w:r>
    </w:p>
    <w:p w14:paraId="3EE9BDBF" w14:textId="0112B28E" w:rsidR="0029028D" w:rsidRPr="00EC0753" w:rsidRDefault="0029028D" w:rsidP="001145AB">
      <w:pPr>
        <w:pStyle w:val="Odsekzoznamu"/>
        <w:numPr>
          <w:ilvl w:val="0"/>
          <w:numId w:val="18"/>
        </w:numPr>
        <w:spacing w:after="120"/>
        <w:ind w:left="771" w:hanging="357"/>
        <w:contextualSpacing w:val="0"/>
        <w:jc w:val="both"/>
        <w:rPr>
          <w:bCs/>
        </w:rPr>
      </w:pPr>
      <w:r w:rsidRPr="00EC0753">
        <w:rPr>
          <w:b/>
          <w:bCs/>
          <w:i/>
        </w:rPr>
        <w:t>ŽSR</w:t>
      </w:r>
      <w:r w:rsidRPr="00EC0753">
        <w:rPr>
          <w:bCs/>
        </w:rPr>
        <w:t xml:space="preserve"> medziročne narástli </w:t>
      </w:r>
      <w:r w:rsidR="00664A25" w:rsidRPr="00EC0753">
        <w:rPr>
          <w:bCs/>
        </w:rPr>
        <w:t xml:space="preserve">hotovostné </w:t>
      </w:r>
      <w:r w:rsidRPr="00EC0753">
        <w:rPr>
          <w:bCs/>
        </w:rPr>
        <w:t xml:space="preserve">tuzemské bežné transfery </w:t>
      </w:r>
      <w:r w:rsidRPr="00EC0753">
        <w:t xml:space="preserve">v rámci VS </w:t>
      </w:r>
      <w:r w:rsidRPr="00EC0753">
        <w:rPr>
          <w:bCs/>
        </w:rPr>
        <w:t>o</w:t>
      </w:r>
      <w:r w:rsidR="00E65F50" w:rsidRPr="00EC0753">
        <w:rPr>
          <w:bCs/>
        </w:rPr>
        <w:t> </w:t>
      </w:r>
      <w:r w:rsidR="007C3EB9" w:rsidRPr="00EC0753">
        <w:rPr>
          <w:bCs/>
        </w:rPr>
        <w:t>59</w:t>
      </w:r>
      <w:r w:rsidR="00E65F50" w:rsidRPr="00EC0753">
        <w:rPr>
          <w:bCs/>
        </w:rPr>
        <w:t> </w:t>
      </w:r>
      <w:r w:rsidR="007C3EB9" w:rsidRPr="00EC0753">
        <w:rPr>
          <w:bCs/>
        </w:rPr>
        <w:t>111</w:t>
      </w:r>
      <w:r w:rsidR="00E65F50" w:rsidRPr="00EC0753">
        <w:rPr>
          <w:bCs/>
        </w:rPr>
        <w:t> </w:t>
      </w:r>
      <w:r w:rsidRPr="00EC0753">
        <w:rPr>
          <w:bCs/>
        </w:rPr>
        <w:t>tis.</w:t>
      </w:r>
      <w:r w:rsidR="00E65F50" w:rsidRPr="00EC0753">
        <w:rPr>
          <w:bCs/>
        </w:rPr>
        <w:t> </w:t>
      </w:r>
      <w:r w:rsidRPr="00EC0753">
        <w:rPr>
          <w:bCs/>
        </w:rPr>
        <w:t xml:space="preserve">eur. </w:t>
      </w:r>
      <w:r w:rsidR="00664A25" w:rsidRPr="00EC0753">
        <w:rPr>
          <w:bCs/>
        </w:rPr>
        <w:t>V</w:t>
      </w:r>
      <w:r w:rsidR="0040316C" w:rsidRPr="00EC0753">
        <w:rPr>
          <w:bCs/>
        </w:rPr>
        <w:t> </w:t>
      </w:r>
      <w:r w:rsidRPr="00EC0753">
        <w:rPr>
          <w:bCs/>
        </w:rPr>
        <w:t>roku 202</w:t>
      </w:r>
      <w:r w:rsidR="007C3EB9" w:rsidRPr="00EC0753">
        <w:rPr>
          <w:bCs/>
        </w:rPr>
        <w:t>4</w:t>
      </w:r>
      <w:r w:rsidR="00664A25" w:rsidRPr="00EC0753">
        <w:rPr>
          <w:bCs/>
        </w:rPr>
        <w:t xml:space="preserve"> došlo</w:t>
      </w:r>
      <w:r w:rsidRPr="00EC0753">
        <w:rPr>
          <w:bCs/>
        </w:rPr>
        <w:t xml:space="preserve"> k</w:t>
      </w:r>
      <w:r w:rsidR="00E65F50" w:rsidRPr="00EC0753">
        <w:rPr>
          <w:bCs/>
        </w:rPr>
        <w:t> </w:t>
      </w:r>
      <w:r w:rsidRPr="00EC0753">
        <w:rPr>
          <w:bCs/>
        </w:rPr>
        <w:t>zvýšeniu p</w:t>
      </w:r>
      <w:r w:rsidR="007C3EB9" w:rsidRPr="00EC0753">
        <w:rPr>
          <w:bCs/>
        </w:rPr>
        <w:t>rijatého</w:t>
      </w:r>
      <w:r w:rsidRPr="00EC0753">
        <w:rPr>
          <w:bCs/>
        </w:rPr>
        <w:t xml:space="preserve"> transferu v zmysle Čiastkovej zmluvy na</w:t>
      </w:r>
      <w:r w:rsidR="0040316C" w:rsidRPr="00EC0753">
        <w:rPr>
          <w:bCs/>
        </w:rPr>
        <w:t> </w:t>
      </w:r>
      <w:r w:rsidRPr="00EC0753">
        <w:rPr>
          <w:bCs/>
        </w:rPr>
        <w:t>prevádzkovanie železničnej infraštruktúry a</w:t>
      </w:r>
      <w:r w:rsidR="00E65F50" w:rsidRPr="00EC0753">
        <w:rPr>
          <w:bCs/>
        </w:rPr>
        <w:t> </w:t>
      </w:r>
      <w:r w:rsidRPr="00EC0753">
        <w:rPr>
          <w:bCs/>
        </w:rPr>
        <w:t xml:space="preserve">servisných zariadení vrátane dodatkov. Čiastková zmluva </w:t>
      </w:r>
      <w:r w:rsidR="00E65F50" w:rsidRPr="00EC0753">
        <w:rPr>
          <w:bCs/>
        </w:rPr>
        <w:t>bola navýšená o</w:t>
      </w:r>
      <w:r w:rsidR="00664A25" w:rsidRPr="00EC0753">
        <w:rPr>
          <w:bCs/>
        </w:rPr>
        <w:t> </w:t>
      </w:r>
      <w:r w:rsidR="007C3EB9" w:rsidRPr="00EC0753">
        <w:rPr>
          <w:bCs/>
        </w:rPr>
        <w:t>60</w:t>
      </w:r>
      <w:r w:rsidR="00664A25" w:rsidRPr="00EC0753">
        <w:rPr>
          <w:bCs/>
        </w:rPr>
        <w:t> </w:t>
      </w:r>
      <w:r w:rsidR="00EC0753" w:rsidRPr="00EC0753">
        <w:rPr>
          <w:bCs/>
        </w:rPr>
        <w:t>821</w:t>
      </w:r>
      <w:r w:rsidR="00664A25" w:rsidRPr="00EC0753">
        <w:rPr>
          <w:bCs/>
        </w:rPr>
        <w:t> tis.</w:t>
      </w:r>
      <w:r w:rsidRPr="00EC0753">
        <w:rPr>
          <w:bCs/>
        </w:rPr>
        <w:t xml:space="preserve"> eur, z toho </w:t>
      </w:r>
      <w:r w:rsidR="007C3EB9" w:rsidRPr="00EC0753">
        <w:rPr>
          <w:bCs/>
        </w:rPr>
        <w:t>28</w:t>
      </w:r>
      <w:r w:rsidR="00B74718">
        <w:rPr>
          <w:bCs/>
        </w:rPr>
        <w:t> </w:t>
      </w:r>
      <w:r w:rsidR="00EC0753" w:rsidRPr="00EC0753">
        <w:rPr>
          <w:bCs/>
        </w:rPr>
        <w:t>197</w:t>
      </w:r>
      <w:r w:rsidR="00B74718">
        <w:rPr>
          <w:bCs/>
        </w:rPr>
        <w:t> </w:t>
      </w:r>
      <w:r w:rsidR="00664A25" w:rsidRPr="00EC0753">
        <w:rPr>
          <w:bCs/>
        </w:rPr>
        <w:t>tis.</w:t>
      </w:r>
      <w:r w:rsidR="00B74718">
        <w:rPr>
          <w:bCs/>
        </w:rPr>
        <w:t> </w:t>
      </w:r>
      <w:r w:rsidRPr="00EC0753">
        <w:rPr>
          <w:bCs/>
        </w:rPr>
        <w:t xml:space="preserve">eur </w:t>
      </w:r>
      <w:r w:rsidR="007C3EB9" w:rsidRPr="00EC0753">
        <w:rPr>
          <w:bCs/>
        </w:rPr>
        <w:t>tvorila dotácia na zabezpečenie financovania odloženej údržby</w:t>
      </w:r>
      <w:r w:rsidR="004D1D98" w:rsidRPr="00EC0753">
        <w:rPr>
          <w:bCs/>
        </w:rPr>
        <w:t>.</w:t>
      </w:r>
      <w:r w:rsidR="00EC0753" w:rsidRPr="00EC0753">
        <w:rPr>
          <w:bCs/>
        </w:rPr>
        <w:t xml:space="preserve"> </w:t>
      </w:r>
    </w:p>
    <w:p w14:paraId="1BE2A8F5" w14:textId="5F957632" w:rsidR="0029028D" w:rsidRPr="004A11BC" w:rsidRDefault="0029028D" w:rsidP="001145AB">
      <w:pPr>
        <w:spacing w:after="120" w:line="240" w:lineRule="auto"/>
        <w:jc w:val="both"/>
        <w:rPr>
          <w:bCs/>
        </w:rPr>
      </w:pPr>
      <w:r w:rsidRPr="004A11BC">
        <w:rPr>
          <w:bCs/>
        </w:rPr>
        <w:t xml:space="preserve">Bežné </w:t>
      </w:r>
      <w:r w:rsidRPr="001D26D4">
        <w:rPr>
          <w:bCs/>
        </w:rPr>
        <w:t xml:space="preserve">transfery zo zahraničia </w:t>
      </w:r>
      <w:r w:rsidR="00503E9F" w:rsidRPr="001D26D4">
        <w:rPr>
          <w:bCs/>
        </w:rPr>
        <w:t xml:space="preserve">medziročne </w:t>
      </w:r>
      <w:r w:rsidR="004A11BC" w:rsidRPr="001D26D4">
        <w:rPr>
          <w:bCs/>
        </w:rPr>
        <w:t>poklesli</w:t>
      </w:r>
      <w:r w:rsidR="00503E9F" w:rsidRPr="001D26D4">
        <w:rPr>
          <w:bCs/>
        </w:rPr>
        <w:t xml:space="preserve"> o</w:t>
      </w:r>
      <w:r w:rsidR="004A11BC" w:rsidRPr="001D26D4">
        <w:rPr>
          <w:bCs/>
        </w:rPr>
        <w:t> 509 590</w:t>
      </w:r>
      <w:r w:rsidR="00487D5F" w:rsidRPr="001D26D4">
        <w:rPr>
          <w:bCs/>
        </w:rPr>
        <w:t> </w:t>
      </w:r>
      <w:r w:rsidRPr="001D26D4">
        <w:rPr>
          <w:bCs/>
        </w:rPr>
        <w:t>tis.</w:t>
      </w:r>
      <w:r w:rsidR="00487D5F" w:rsidRPr="001D26D4">
        <w:rPr>
          <w:bCs/>
        </w:rPr>
        <w:t> </w:t>
      </w:r>
      <w:r w:rsidRPr="001D26D4">
        <w:rPr>
          <w:bCs/>
        </w:rPr>
        <w:t xml:space="preserve">eur, čo bolo spôsobené </w:t>
      </w:r>
      <w:r w:rsidR="004A11BC" w:rsidRPr="001D26D4">
        <w:rPr>
          <w:bCs/>
        </w:rPr>
        <w:t>najmä poklesom</w:t>
      </w:r>
      <w:r w:rsidRPr="001D26D4">
        <w:rPr>
          <w:bCs/>
        </w:rPr>
        <w:t xml:space="preserve"> príjmov z EÚ fondov</w:t>
      </w:r>
      <w:r w:rsidR="001228C9" w:rsidRPr="001D26D4">
        <w:rPr>
          <w:bCs/>
        </w:rPr>
        <w:t xml:space="preserve"> nakoľko v roku 2023 sa dočerpávali prostriedky z tretieho programového obdobia 2014</w:t>
      </w:r>
      <w:r w:rsidR="009B70E1">
        <w:rPr>
          <w:bCs/>
        </w:rPr>
        <w:t> </w:t>
      </w:r>
      <w:r w:rsidR="001228C9" w:rsidRPr="001D26D4">
        <w:rPr>
          <w:bCs/>
        </w:rPr>
        <w:t>-</w:t>
      </w:r>
      <w:r w:rsidR="009B70E1">
        <w:rPr>
          <w:bCs/>
        </w:rPr>
        <w:t> </w:t>
      </w:r>
      <w:r w:rsidR="001228C9" w:rsidRPr="001D26D4">
        <w:rPr>
          <w:bCs/>
        </w:rPr>
        <w:t>2020</w:t>
      </w:r>
      <w:r w:rsidRPr="001D26D4">
        <w:rPr>
          <w:bCs/>
        </w:rPr>
        <w:t>. P</w:t>
      </w:r>
      <w:r w:rsidRPr="004A11BC">
        <w:rPr>
          <w:bCs/>
        </w:rPr>
        <w:t>odľa metodiky ESA sa príjmy a výdavky z EÚ fondov, kde konečný príjemca je mimo sektora verejnej správy vylučujú.</w:t>
      </w:r>
    </w:p>
    <w:p w14:paraId="1BB53963" w14:textId="31374B29" w:rsidR="0029028D" w:rsidRPr="00A87012" w:rsidRDefault="0029028D" w:rsidP="0029028D">
      <w:pPr>
        <w:spacing w:after="120" w:line="240" w:lineRule="auto"/>
        <w:jc w:val="both"/>
        <w:rPr>
          <w:bCs/>
        </w:rPr>
      </w:pPr>
      <w:r w:rsidRPr="00A87012">
        <w:rPr>
          <w:bCs/>
        </w:rPr>
        <w:t xml:space="preserve">V rámci </w:t>
      </w:r>
      <w:r w:rsidR="0011263E" w:rsidRPr="00A87012">
        <w:rPr>
          <w:bCs/>
          <w:u w:val="single"/>
        </w:rPr>
        <w:t xml:space="preserve">prijatých </w:t>
      </w:r>
      <w:r w:rsidRPr="00A87012">
        <w:rPr>
          <w:bCs/>
          <w:u w:val="single"/>
        </w:rPr>
        <w:t>kapitálových transferov</w:t>
      </w:r>
      <w:r w:rsidRPr="00A87012">
        <w:rPr>
          <w:bCs/>
        </w:rPr>
        <w:t xml:space="preserve"> medziročne </w:t>
      </w:r>
      <w:r w:rsidR="00A87012" w:rsidRPr="00A87012">
        <w:rPr>
          <w:bCs/>
        </w:rPr>
        <w:t>poklesl</w:t>
      </w:r>
      <w:r w:rsidRPr="00A87012">
        <w:rPr>
          <w:bCs/>
        </w:rPr>
        <w:t xml:space="preserve">i </w:t>
      </w:r>
      <w:r w:rsidR="002A3FAA" w:rsidRPr="00A87012">
        <w:rPr>
          <w:bCs/>
        </w:rPr>
        <w:t>hotovostn</w:t>
      </w:r>
      <w:r w:rsidR="00970F96" w:rsidRPr="00A87012">
        <w:rPr>
          <w:bCs/>
        </w:rPr>
        <w:t>é</w:t>
      </w:r>
      <w:r w:rsidR="002A3FAA" w:rsidRPr="00A87012">
        <w:rPr>
          <w:bCs/>
        </w:rPr>
        <w:t xml:space="preserve"> </w:t>
      </w:r>
      <w:r w:rsidRPr="00A87012">
        <w:rPr>
          <w:bCs/>
        </w:rPr>
        <w:t>príjmy v týchto zložkách:</w:t>
      </w:r>
    </w:p>
    <w:p w14:paraId="16351910" w14:textId="427AD8F5" w:rsidR="00E131C0" w:rsidRDefault="00B6008D" w:rsidP="00947BE8">
      <w:pPr>
        <w:pStyle w:val="Odsekzoznamu"/>
        <w:numPr>
          <w:ilvl w:val="0"/>
          <w:numId w:val="19"/>
        </w:numPr>
        <w:spacing w:before="120" w:after="120"/>
        <w:ind w:left="714" w:hanging="357"/>
        <w:contextualSpacing w:val="0"/>
        <w:jc w:val="both"/>
      </w:pPr>
      <w:r w:rsidRPr="00E131C0">
        <w:rPr>
          <w:b/>
          <w:i/>
        </w:rPr>
        <w:t>ZSSK</w:t>
      </w:r>
      <w:r w:rsidR="0029028D" w:rsidRPr="009E197F">
        <w:t xml:space="preserve"> - v roku 202</w:t>
      </w:r>
      <w:r w:rsidR="00F34EF4" w:rsidRPr="009E197F">
        <w:t>4</w:t>
      </w:r>
      <w:r w:rsidR="0029028D" w:rsidRPr="009E197F">
        <w:t xml:space="preserve"> došlo k </w:t>
      </w:r>
      <w:r w:rsidR="00F34EF4" w:rsidRPr="009E197F">
        <w:t>poklesu</w:t>
      </w:r>
      <w:r w:rsidR="0029028D" w:rsidRPr="009E197F">
        <w:t xml:space="preserve"> prijatých kapitálových transferov zo štrukturálnych fondov EÚ a ŠR o</w:t>
      </w:r>
      <w:r w:rsidR="00487D5F" w:rsidRPr="009E197F">
        <w:t> </w:t>
      </w:r>
      <w:r w:rsidR="00F34EF4" w:rsidRPr="009E197F">
        <w:t>230</w:t>
      </w:r>
      <w:r w:rsidR="00487D5F" w:rsidRPr="009E197F">
        <w:t> </w:t>
      </w:r>
      <w:r w:rsidR="00F34EF4" w:rsidRPr="009E197F">
        <w:t>741</w:t>
      </w:r>
      <w:r w:rsidR="00487D5F" w:rsidRPr="009E197F">
        <w:t> </w:t>
      </w:r>
      <w:r w:rsidR="0029028D" w:rsidRPr="009E197F">
        <w:t>tis.</w:t>
      </w:r>
      <w:r w:rsidR="00487D5F" w:rsidRPr="009E197F">
        <w:t> </w:t>
      </w:r>
      <w:r w:rsidR="0029028D" w:rsidRPr="009E197F">
        <w:t>eur</w:t>
      </w:r>
      <w:r w:rsidR="00F34EF4" w:rsidRPr="009E197F">
        <w:t xml:space="preserve"> najmä z dôvodu ukončenia čerpania nenávratného finančného príspevku z dotácií v rámci Operačného programu Integrovaná infraštruktúra zameraného na</w:t>
      </w:r>
      <w:r w:rsidR="009B70E1">
        <w:t> </w:t>
      </w:r>
      <w:r w:rsidR="009E197F">
        <w:t>„</w:t>
      </w:r>
      <w:r w:rsidR="00F34EF4" w:rsidRPr="009E197F">
        <w:t>Vybudovanie infraštruktúry na kontrolu a prípravu vozového parku železničnej osobnej dopravy</w:t>
      </w:r>
      <w:r w:rsidR="009E197F">
        <w:t>“, kde bola</w:t>
      </w:r>
      <w:r w:rsidR="009E197F" w:rsidRPr="009E197F">
        <w:t xml:space="preserve"> zrealizovan</w:t>
      </w:r>
      <w:r w:rsidR="009E197F">
        <w:t>á</w:t>
      </w:r>
      <w:r w:rsidR="009E197F" w:rsidRPr="009E197F">
        <w:t xml:space="preserve"> </w:t>
      </w:r>
      <w:r w:rsidR="00F34EF4" w:rsidRPr="009E197F">
        <w:t>3.</w:t>
      </w:r>
      <w:r w:rsidR="009B70E1">
        <w:t> </w:t>
      </w:r>
      <w:r w:rsidR="00F34EF4" w:rsidRPr="009E197F">
        <w:t>etapa výstavby</w:t>
      </w:r>
      <w:r w:rsidR="001145AB">
        <w:t xml:space="preserve"> </w:t>
      </w:r>
      <w:r w:rsidR="001145AB" w:rsidRPr="00E92C88">
        <w:t>Technicko-hygienickej údržby</w:t>
      </w:r>
      <w:r w:rsidR="00E131C0">
        <w:t xml:space="preserve"> (THU)</w:t>
      </w:r>
      <w:r w:rsidR="001145AB" w:rsidRPr="00E92C88">
        <w:t xml:space="preserve"> železničných koľajových vozidiel </w:t>
      </w:r>
      <w:r w:rsidR="001145AB">
        <w:t>v troch mestách na Slovensku.</w:t>
      </w:r>
    </w:p>
    <w:p w14:paraId="1EE40A45" w14:textId="23B3F592" w:rsidR="0029028D" w:rsidRPr="007A3C6A" w:rsidRDefault="0029028D" w:rsidP="00947BE8">
      <w:pPr>
        <w:pStyle w:val="Odsekzoznamu"/>
        <w:numPr>
          <w:ilvl w:val="0"/>
          <w:numId w:val="19"/>
        </w:numPr>
        <w:spacing w:before="120" w:after="120"/>
        <w:ind w:left="714" w:hanging="357"/>
        <w:contextualSpacing w:val="0"/>
        <w:jc w:val="both"/>
      </w:pPr>
      <w:r w:rsidRPr="007A3C6A">
        <w:t xml:space="preserve">Medziročne </w:t>
      </w:r>
      <w:r w:rsidR="00281DD6" w:rsidRPr="007A3C6A">
        <w:t xml:space="preserve">klesli </w:t>
      </w:r>
      <w:r w:rsidR="00930E6C">
        <w:t xml:space="preserve">hotovostné </w:t>
      </w:r>
      <w:r w:rsidRPr="007A3C6A">
        <w:t xml:space="preserve">kapitálové transfery </w:t>
      </w:r>
      <w:r w:rsidRPr="00E131C0">
        <w:rPr>
          <w:b/>
          <w:i/>
        </w:rPr>
        <w:t>príspevkovým organizáciám štátu</w:t>
      </w:r>
      <w:r w:rsidRPr="007A3C6A">
        <w:t xml:space="preserve"> o</w:t>
      </w:r>
      <w:r w:rsidR="00487D5F" w:rsidRPr="007A3C6A">
        <w:t> </w:t>
      </w:r>
      <w:r w:rsidR="00281DD6" w:rsidRPr="007A3C6A">
        <w:t>196 279</w:t>
      </w:r>
      <w:r w:rsidR="00487D5F" w:rsidRPr="007A3C6A">
        <w:t> </w:t>
      </w:r>
      <w:r w:rsidRPr="007A3C6A">
        <w:t>tis.</w:t>
      </w:r>
      <w:r w:rsidR="00487D5F" w:rsidRPr="007A3C6A">
        <w:t> </w:t>
      </w:r>
      <w:r w:rsidRPr="007A3C6A">
        <w:t>eur. Podstatnú časť z tejto sumy predstavuje transfer Slovenskej ag</w:t>
      </w:r>
      <w:r w:rsidR="00487D5F" w:rsidRPr="007A3C6A">
        <w:t>entúre životného prostredia pod </w:t>
      </w:r>
      <w:r w:rsidRPr="007A3C6A">
        <w:t xml:space="preserve">kódom zdroja Plán </w:t>
      </w:r>
      <w:r w:rsidR="00487D5F" w:rsidRPr="007A3C6A">
        <w:t>obnovy a odolnosti v objeme 180 </w:t>
      </w:r>
      <w:r w:rsidRPr="007A3C6A">
        <w:t>346</w:t>
      </w:r>
      <w:r w:rsidR="00487D5F" w:rsidRPr="007A3C6A">
        <w:t> tis. </w:t>
      </w:r>
      <w:r w:rsidRPr="007A3C6A">
        <w:t xml:space="preserve">eur </w:t>
      </w:r>
      <w:r w:rsidR="00487D5F" w:rsidRPr="007A3C6A">
        <w:t>n</w:t>
      </w:r>
      <w:r w:rsidRPr="007A3C6A">
        <w:t>a</w:t>
      </w:r>
      <w:r w:rsidR="00487D5F" w:rsidRPr="007A3C6A">
        <w:t> </w:t>
      </w:r>
      <w:r w:rsidRPr="007A3C6A">
        <w:t>opatrenia na</w:t>
      </w:r>
      <w:r w:rsidR="00487D5F" w:rsidRPr="007A3C6A">
        <w:t> </w:t>
      </w:r>
      <w:r w:rsidRPr="007A3C6A">
        <w:t>podporu čiastkovej obnovy domácností „Obnov</w:t>
      </w:r>
      <w:r w:rsidR="009B70E1">
        <w:t> </w:t>
      </w:r>
      <w:r w:rsidRPr="007A3C6A">
        <w:t>dom“</w:t>
      </w:r>
      <w:r w:rsidR="00FB3225" w:rsidRPr="007A3C6A">
        <w:t xml:space="preserve">, ktorý </w:t>
      </w:r>
      <w:r w:rsidR="00BD61B4">
        <w:t>sa realizoval</w:t>
      </w:r>
      <w:r w:rsidR="00FB3225" w:rsidRPr="007A3C6A">
        <w:t xml:space="preserve"> v roku 2023, pričom</w:t>
      </w:r>
      <w:r w:rsidR="009B70E1">
        <w:t> </w:t>
      </w:r>
      <w:r w:rsidR="00FB3225" w:rsidRPr="007A3C6A">
        <w:t>v </w:t>
      </w:r>
      <w:r w:rsidR="00FB3225" w:rsidRPr="00A05C1E">
        <w:t>rok</w:t>
      </w:r>
      <w:r w:rsidR="00A05C1E" w:rsidRPr="00A05C1E">
        <w:t>u</w:t>
      </w:r>
      <w:r w:rsidR="00FB3225" w:rsidRPr="007A3C6A">
        <w:t xml:space="preserve"> 2024 bol tento transfer len v objeme </w:t>
      </w:r>
      <w:r w:rsidR="007A3C6A" w:rsidRPr="007A3C6A">
        <w:t>5 593 tis. eur.</w:t>
      </w:r>
    </w:p>
    <w:p w14:paraId="496B02C8" w14:textId="38AB3272" w:rsidR="00636BC1" w:rsidRPr="00636BC1" w:rsidRDefault="00636BC1" w:rsidP="001145AB">
      <w:pPr>
        <w:pStyle w:val="Odsekzoznamu"/>
        <w:numPr>
          <w:ilvl w:val="0"/>
          <w:numId w:val="19"/>
        </w:numPr>
        <w:spacing w:after="120"/>
        <w:ind w:left="714" w:hanging="357"/>
        <w:contextualSpacing w:val="0"/>
        <w:jc w:val="both"/>
      </w:pPr>
      <w:r w:rsidRPr="00636BC1">
        <w:rPr>
          <w:b/>
          <w:i/>
        </w:rPr>
        <w:lastRenderedPageBreak/>
        <w:t>Zdravotnícke zariadenia ústrednej správy</w:t>
      </w:r>
      <w:r w:rsidRPr="00636BC1">
        <w:t xml:space="preserve"> </w:t>
      </w:r>
      <w:r w:rsidR="003B2036">
        <w:t xml:space="preserve">- </w:t>
      </w:r>
      <w:r w:rsidRPr="00636BC1">
        <w:t>prijali hotovostne na kapitálových transferoch o 171 473 tis. eur viac ako v predchádzajúcom roku. Išlo predovšetkým o prijatú platbu z </w:t>
      </w:r>
      <w:r w:rsidR="0002125D">
        <w:t>P</w:t>
      </w:r>
      <w:r w:rsidRPr="00636BC1">
        <w:t>lánu obnovy a odolnosti (nárast o 142</w:t>
      </w:r>
      <w:r w:rsidR="00B74718">
        <w:t> </w:t>
      </w:r>
      <w:r w:rsidRPr="00636BC1">
        <w:t>067</w:t>
      </w:r>
      <w:r w:rsidR="00B74718">
        <w:t> </w:t>
      </w:r>
      <w:r w:rsidRPr="00636BC1">
        <w:t>tis.</w:t>
      </w:r>
      <w:r w:rsidR="00B74718">
        <w:t> </w:t>
      </w:r>
      <w:r w:rsidRPr="00636BC1">
        <w:t>eur) za Univerzitnú nemocnicu Martin (z prostriedkov má byť financovaná hrubá stavba novej nemocnice) a Fakultnú nemocnicu s</w:t>
      </w:r>
      <w:r w:rsidR="009B70E1">
        <w:t> </w:t>
      </w:r>
      <w:r w:rsidRPr="00636BC1">
        <w:t>poliklinikou F.</w:t>
      </w:r>
      <w:r w:rsidR="009B70E1">
        <w:t> </w:t>
      </w:r>
      <w:r w:rsidRPr="00636BC1">
        <w:t>D.</w:t>
      </w:r>
      <w:r w:rsidR="009B70E1">
        <w:t> </w:t>
      </w:r>
      <w:r w:rsidRPr="00636BC1">
        <w:t>Roosevelta Banská Bystrica (určené pre projekt s názvom „Výstavba fakultnej nemocnice s</w:t>
      </w:r>
      <w:r w:rsidR="007B7899">
        <w:t> </w:t>
      </w:r>
      <w:r w:rsidRPr="00636BC1">
        <w:t>poliklinikou F.</w:t>
      </w:r>
      <w:r w:rsidR="009B70E1">
        <w:t> </w:t>
      </w:r>
      <w:r w:rsidRPr="00636BC1">
        <w:t>D.</w:t>
      </w:r>
      <w:r w:rsidR="009B70E1">
        <w:t> </w:t>
      </w:r>
      <w:r w:rsidRPr="00636BC1">
        <w:t xml:space="preserve">Roosevelta Banská Bystrica). Prostriedky predpokladajú </w:t>
      </w:r>
      <w:r w:rsidR="007B7899" w:rsidRPr="00636BC1">
        <w:t>nemocnice</w:t>
      </w:r>
      <w:r w:rsidRPr="00636BC1">
        <w:t xml:space="preserve"> vyčerpať do</w:t>
      </w:r>
      <w:r w:rsidR="009B70E1">
        <w:t> </w:t>
      </w:r>
      <w:r w:rsidRPr="00636BC1">
        <w:t>konca roka 2025.</w:t>
      </w:r>
    </w:p>
    <w:p w14:paraId="26B45F88" w14:textId="1332BBA9" w:rsidR="005513C5" w:rsidRPr="007B36E2" w:rsidRDefault="005513C5" w:rsidP="001145AB">
      <w:pPr>
        <w:pStyle w:val="Odsekzoznamu"/>
        <w:numPr>
          <w:ilvl w:val="0"/>
          <w:numId w:val="19"/>
        </w:numPr>
        <w:spacing w:after="120"/>
        <w:ind w:left="714" w:hanging="357"/>
        <w:contextualSpacing w:val="0"/>
        <w:jc w:val="both"/>
      </w:pPr>
      <w:r w:rsidRPr="00EC42BE">
        <w:rPr>
          <w:b/>
          <w:i/>
        </w:rPr>
        <w:t xml:space="preserve">Obce a ich RO </w:t>
      </w:r>
      <w:r w:rsidR="00EC42BE" w:rsidRPr="00EC42BE">
        <w:rPr>
          <w:b/>
          <w:i/>
        </w:rPr>
        <w:t>–</w:t>
      </w:r>
      <w:r w:rsidRPr="00EC42BE">
        <w:rPr>
          <w:b/>
          <w:i/>
        </w:rPr>
        <w:t xml:space="preserve"> </w:t>
      </w:r>
      <w:r w:rsidR="00EC42BE" w:rsidRPr="00EC42BE">
        <w:rPr>
          <w:bCs/>
          <w:iCs/>
        </w:rPr>
        <w:t xml:space="preserve">medziročne sa </w:t>
      </w:r>
      <w:r w:rsidR="00A05C1E">
        <w:rPr>
          <w:bCs/>
          <w:iCs/>
        </w:rPr>
        <w:t xml:space="preserve">transfery znížili </w:t>
      </w:r>
      <w:r w:rsidR="00EC42BE" w:rsidRPr="00EC42BE">
        <w:rPr>
          <w:bCs/>
          <w:iCs/>
        </w:rPr>
        <w:t>o sumu 152 938 tis. eur</w:t>
      </w:r>
      <w:r w:rsidR="00A05C1E">
        <w:rPr>
          <w:bCs/>
          <w:iCs/>
        </w:rPr>
        <w:t>. pričom sa</w:t>
      </w:r>
      <w:r w:rsidR="00EC42BE" w:rsidRPr="00EC42BE">
        <w:rPr>
          <w:bCs/>
          <w:iCs/>
        </w:rPr>
        <w:t xml:space="preserve"> </w:t>
      </w:r>
      <w:r w:rsidR="00EC42BE" w:rsidRPr="00A05C1E">
        <w:rPr>
          <w:bCs/>
          <w:iCs/>
        </w:rPr>
        <w:t>znížili prijaté transfery zo štátneho rozpočtu (o</w:t>
      </w:r>
      <w:r w:rsidR="009B70E1">
        <w:rPr>
          <w:bCs/>
          <w:iCs/>
        </w:rPr>
        <w:t> </w:t>
      </w:r>
      <w:r w:rsidR="00EC42BE" w:rsidRPr="00A05C1E">
        <w:rPr>
          <w:bCs/>
          <w:iCs/>
        </w:rPr>
        <w:t>119 910 tis. eur) a Štátneho fondu rozvoja</w:t>
      </w:r>
      <w:r w:rsidR="00EC42BE" w:rsidRPr="00EC42BE">
        <w:rPr>
          <w:bCs/>
          <w:iCs/>
        </w:rPr>
        <w:t xml:space="preserve"> bývania (o 22</w:t>
      </w:r>
      <w:r w:rsidR="00B74718">
        <w:rPr>
          <w:bCs/>
          <w:iCs/>
        </w:rPr>
        <w:t> </w:t>
      </w:r>
      <w:r w:rsidR="00EC42BE" w:rsidRPr="00B74718">
        <w:t>573</w:t>
      </w:r>
      <w:r w:rsidR="00B74718">
        <w:t> </w:t>
      </w:r>
      <w:r w:rsidR="00EC42BE" w:rsidRPr="00B74718">
        <w:t>tis</w:t>
      </w:r>
      <w:r w:rsidR="00EC42BE" w:rsidRPr="00EC42BE">
        <w:rPr>
          <w:bCs/>
          <w:iCs/>
        </w:rPr>
        <w:t>.</w:t>
      </w:r>
      <w:r w:rsidR="00B74718">
        <w:rPr>
          <w:bCs/>
          <w:iCs/>
        </w:rPr>
        <w:t> </w:t>
      </w:r>
      <w:r w:rsidR="00EC42BE" w:rsidRPr="00EC42BE">
        <w:rPr>
          <w:bCs/>
          <w:iCs/>
        </w:rPr>
        <w:t xml:space="preserve">eur) hlavne z dôvodu </w:t>
      </w:r>
      <w:r w:rsidR="00EC42BE" w:rsidRPr="007B36E2">
        <w:rPr>
          <w:bCs/>
          <w:iCs/>
        </w:rPr>
        <w:t>poklesu výstavby nájomných bytových domov.</w:t>
      </w:r>
    </w:p>
    <w:p w14:paraId="74037E23" w14:textId="684D99C3" w:rsidR="000C71B2" w:rsidRDefault="002E6BC4" w:rsidP="001145AB">
      <w:pPr>
        <w:spacing w:after="120" w:line="240" w:lineRule="auto"/>
        <w:jc w:val="both"/>
      </w:pPr>
      <w:r w:rsidRPr="007B36E2">
        <w:t>V roku 2023</w:t>
      </w:r>
      <w:r w:rsidR="007B36E2" w:rsidRPr="007B36E2">
        <w:rPr>
          <w:rStyle w:val="Odkaznapoznmkupodiarou"/>
        </w:rPr>
        <w:footnoteReference w:id="10"/>
      </w:r>
      <w:r w:rsidRPr="007B36E2">
        <w:t xml:space="preserve"> bolo v zmysle metodiky ESA</w:t>
      </w:r>
      <w:r w:rsidR="009B70E1">
        <w:t> </w:t>
      </w:r>
      <w:r w:rsidRPr="007B36E2">
        <w:t>2010 zaznamenané odpustenie návratných finančných výpomocí obciam (99 749 tis.</w:t>
      </w:r>
      <w:r w:rsidR="00B74718">
        <w:t> </w:t>
      </w:r>
      <w:r w:rsidRPr="007B36E2">
        <w:t xml:space="preserve">eur) a vyšším územným </w:t>
      </w:r>
      <w:r w:rsidR="0002125D">
        <w:t xml:space="preserve">celkom </w:t>
      </w:r>
      <w:r w:rsidRPr="007B36E2">
        <w:t>(52 074 tis. eur) ako imputovaný prijatý kapitálový transfer</w:t>
      </w:r>
      <w:r w:rsidR="007B36E2">
        <w:t xml:space="preserve"> v územnej samospráve</w:t>
      </w:r>
      <w:r w:rsidR="007B36E2" w:rsidRPr="007B36E2">
        <w:t xml:space="preserve">. </w:t>
      </w:r>
      <w:r w:rsidR="000C71B2" w:rsidRPr="000C3C6F">
        <w:t xml:space="preserve">V roku 2024 v </w:t>
      </w:r>
      <w:r w:rsidR="000C71B2" w:rsidRPr="000C3C6F">
        <w:rPr>
          <w:bCs/>
        </w:rPr>
        <w:t>dôsledku výpadku príjmov z dane z</w:t>
      </w:r>
      <w:r w:rsidR="0021002F">
        <w:rPr>
          <w:bCs/>
        </w:rPr>
        <w:t> </w:t>
      </w:r>
      <w:r w:rsidR="000C71B2" w:rsidRPr="000C3C6F">
        <w:rPr>
          <w:bCs/>
        </w:rPr>
        <w:t>príjmov fyzických osôb bola</w:t>
      </w:r>
      <w:r w:rsidR="000C3C6F" w:rsidRPr="000C3C6F">
        <w:rPr>
          <w:bCs/>
        </w:rPr>
        <w:t xml:space="preserve"> z kapitoly Všeobecná pokladničná správa poskytnutá dotácia pre mestá a obce v</w:t>
      </w:r>
      <w:r w:rsidR="0021002F">
        <w:rPr>
          <w:bCs/>
        </w:rPr>
        <w:t> </w:t>
      </w:r>
      <w:r w:rsidR="000C3C6F" w:rsidRPr="000C3C6F">
        <w:rPr>
          <w:bCs/>
        </w:rPr>
        <w:t xml:space="preserve">sume 50 000 tis. eur. Zároveň sa </w:t>
      </w:r>
      <w:r w:rsidR="000C71B2" w:rsidRPr="000C3C6F">
        <w:rPr>
          <w:bCs/>
        </w:rPr>
        <w:t xml:space="preserve">vyšším územným celkom </w:t>
      </w:r>
      <w:r w:rsidR="000C3C6F" w:rsidRPr="000C3C6F">
        <w:rPr>
          <w:bCs/>
        </w:rPr>
        <w:t xml:space="preserve">odpustila </w:t>
      </w:r>
      <w:r w:rsidR="000C71B2" w:rsidRPr="000C3C6F">
        <w:rPr>
          <w:bCs/>
        </w:rPr>
        <w:t>čas</w:t>
      </w:r>
      <w:r w:rsidR="000C3C6F" w:rsidRPr="000C3C6F">
        <w:rPr>
          <w:bCs/>
        </w:rPr>
        <w:t>ť</w:t>
      </w:r>
      <w:r w:rsidR="000C71B2" w:rsidRPr="000C3C6F">
        <w:rPr>
          <w:bCs/>
        </w:rPr>
        <w:t xml:space="preserve"> nesplatenej istiny poskytnutých návratných výpomocí v</w:t>
      </w:r>
      <w:r w:rsidR="000C3C6F" w:rsidRPr="000C3C6F">
        <w:rPr>
          <w:bCs/>
        </w:rPr>
        <w:t> </w:t>
      </w:r>
      <w:r w:rsidR="000C71B2" w:rsidRPr="000C3C6F">
        <w:rPr>
          <w:bCs/>
        </w:rPr>
        <w:t xml:space="preserve"> sume 20 000</w:t>
      </w:r>
      <w:r w:rsidR="000C3C6F">
        <w:rPr>
          <w:bCs/>
        </w:rPr>
        <w:t> </w:t>
      </w:r>
      <w:r w:rsidR="000C71B2" w:rsidRPr="000C3C6F">
        <w:rPr>
          <w:bCs/>
        </w:rPr>
        <w:t>tis.</w:t>
      </w:r>
      <w:r w:rsidR="000C3C6F">
        <w:rPr>
          <w:bCs/>
        </w:rPr>
        <w:t> </w:t>
      </w:r>
      <w:r w:rsidR="000C71B2" w:rsidRPr="000C3C6F">
        <w:rPr>
          <w:bCs/>
        </w:rPr>
        <w:t>eur. Táto jednorazová pomoc bola zaznamenaná ako imputovaný kapitálový transfer</w:t>
      </w:r>
      <w:r w:rsidR="00CB19F4" w:rsidRPr="000C3C6F">
        <w:rPr>
          <w:bCs/>
        </w:rPr>
        <w:t>, ktorý bol v porovnaní s predchádzajúcim obdobím nižší</w:t>
      </w:r>
      <w:r w:rsidR="000C3C6F" w:rsidRPr="000C3C6F">
        <w:rPr>
          <w:bCs/>
        </w:rPr>
        <w:t>,</w:t>
      </w:r>
      <w:r w:rsidR="00CB19F4" w:rsidRPr="000C3C6F">
        <w:rPr>
          <w:bCs/>
        </w:rPr>
        <w:t xml:space="preserve"> čo </w:t>
      </w:r>
      <w:r w:rsidR="000C3C6F" w:rsidRPr="000C3C6F">
        <w:rPr>
          <w:bCs/>
        </w:rPr>
        <w:t>čiastočne prispelo k</w:t>
      </w:r>
      <w:r w:rsidR="0021002F">
        <w:rPr>
          <w:bCs/>
        </w:rPr>
        <w:t> </w:t>
      </w:r>
      <w:r w:rsidR="00CB19F4" w:rsidRPr="000C3C6F">
        <w:rPr>
          <w:bCs/>
        </w:rPr>
        <w:t>medziročn</w:t>
      </w:r>
      <w:r w:rsidR="000C3C6F" w:rsidRPr="000C3C6F">
        <w:rPr>
          <w:bCs/>
        </w:rPr>
        <w:t>ému</w:t>
      </w:r>
      <w:r w:rsidR="00CB19F4" w:rsidRPr="000C3C6F">
        <w:rPr>
          <w:bCs/>
        </w:rPr>
        <w:t xml:space="preserve"> pokles</w:t>
      </w:r>
      <w:r w:rsidR="000C3C6F" w:rsidRPr="000C3C6F">
        <w:rPr>
          <w:bCs/>
        </w:rPr>
        <w:t>u</w:t>
      </w:r>
      <w:r w:rsidR="00CB19F4" w:rsidRPr="000C3C6F">
        <w:rPr>
          <w:bCs/>
        </w:rPr>
        <w:t xml:space="preserve"> kapitálových transfero</w:t>
      </w:r>
      <w:r w:rsidR="000C3C6F" w:rsidRPr="000C3C6F">
        <w:rPr>
          <w:bCs/>
        </w:rPr>
        <w:t>v</w:t>
      </w:r>
      <w:r w:rsidR="00CB19F4" w:rsidRPr="000C3C6F">
        <w:rPr>
          <w:bCs/>
        </w:rPr>
        <w:t>.</w:t>
      </w:r>
    </w:p>
    <w:p w14:paraId="2803F27B" w14:textId="77777777" w:rsidR="00B5587A" w:rsidRDefault="00B5587A" w:rsidP="001145AB">
      <w:pPr>
        <w:spacing w:after="120" w:line="240" w:lineRule="auto"/>
        <w:jc w:val="both"/>
      </w:pPr>
    </w:p>
    <w:p w14:paraId="1EBC668A" w14:textId="63350406" w:rsidR="00500BD0" w:rsidRPr="00674FDD" w:rsidRDefault="00500BD0" w:rsidP="00AA46C8">
      <w:pPr>
        <w:pStyle w:val="Nadpis3"/>
        <w:numPr>
          <w:ilvl w:val="0"/>
          <w:numId w:val="0"/>
        </w:numPr>
        <w:ind w:left="1797"/>
      </w:pPr>
      <w:bookmarkStart w:id="38" w:name="_Toc212461601"/>
      <w:r w:rsidRPr="00674FDD">
        <w:t xml:space="preserve">2.1.2. </w:t>
      </w:r>
      <w:r w:rsidRPr="00674FDD">
        <w:tab/>
        <w:t>Výdavky verejnej správy</w:t>
      </w:r>
      <w:bookmarkEnd w:id="38"/>
    </w:p>
    <w:p w14:paraId="2590AE60" w14:textId="06924C06" w:rsidR="00174D14" w:rsidRDefault="009A3759" w:rsidP="001145AB">
      <w:pPr>
        <w:spacing w:after="120" w:line="240" w:lineRule="auto"/>
        <w:jc w:val="both"/>
        <w:rPr>
          <w:szCs w:val="22"/>
        </w:rPr>
      </w:pPr>
      <w:r w:rsidRPr="00674FDD">
        <w:rPr>
          <w:b/>
          <w:szCs w:val="22"/>
        </w:rPr>
        <w:t>Celkové výd</w:t>
      </w:r>
      <w:r w:rsidR="00095ADF" w:rsidRPr="00674FDD">
        <w:rPr>
          <w:b/>
          <w:szCs w:val="22"/>
        </w:rPr>
        <w:t>avky verejnej správy v roku 202</w:t>
      </w:r>
      <w:r w:rsidR="00887E91" w:rsidRPr="00674FDD">
        <w:rPr>
          <w:b/>
          <w:szCs w:val="22"/>
        </w:rPr>
        <w:t>4</w:t>
      </w:r>
      <w:r w:rsidRPr="00674FDD">
        <w:rPr>
          <w:b/>
          <w:szCs w:val="22"/>
        </w:rPr>
        <w:t xml:space="preserve"> v metodike ESA 2010 </w:t>
      </w:r>
      <w:r w:rsidRPr="004C309B">
        <w:rPr>
          <w:b/>
          <w:szCs w:val="22"/>
        </w:rPr>
        <w:t xml:space="preserve">dosiahli </w:t>
      </w:r>
      <w:r w:rsidR="00674FDD" w:rsidRPr="004C309B">
        <w:rPr>
          <w:b/>
          <w:szCs w:val="22"/>
        </w:rPr>
        <w:t>61</w:t>
      </w:r>
      <w:r w:rsidR="00095ADF" w:rsidRPr="004C309B">
        <w:rPr>
          <w:b/>
          <w:bCs/>
          <w:szCs w:val="22"/>
        </w:rPr>
        <w:t> </w:t>
      </w:r>
      <w:r w:rsidR="00674FDD" w:rsidRPr="004C309B">
        <w:rPr>
          <w:b/>
          <w:bCs/>
          <w:szCs w:val="22"/>
        </w:rPr>
        <w:t>806</w:t>
      </w:r>
      <w:r w:rsidRPr="004C309B">
        <w:rPr>
          <w:b/>
          <w:bCs/>
          <w:szCs w:val="22"/>
        </w:rPr>
        <w:t> </w:t>
      </w:r>
      <w:r w:rsidR="00674FDD" w:rsidRPr="004C309B">
        <w:rPr>
          <w:b/>
          <w:bCs/>
          <w:szCs w:val="22"/>
        </w:rPr>
        <w:t>358</w:t>
      </w:r>
      <w:r w:rsidRPr="004C309B">
        <w:rPr>
          <w:b/>
          <w:bCs/>
          <w:szCs w:val="22"/>
        </w:rPr>
        <w:t> </w:t>
      </w:r>
      <w:r w:rsidR="00095ADF" w:rsidRPr="004C309B">
        <w:rPr>
          <w:b/>
          <w:szCs w:val="22"/>
        </w:rPr>
        <w:t>tis. eur (4</w:t>
      </w:r>
      <w:r w:rsidR="00674FDD" w:rsidRPr="004C309B">
        <w:rPr>
          <w:b/>
          <w:szCs w:val="22"/>
        </w:rPr>
        <w:t>7</w:t>
      </w:r>
      <w:r w:rsidR="00095ADF" w:rsidRPr="004C309B">
        <w:rPr>
          <w:b/>
          <w:szCs w:val="22"/>
        </w:rPr>
        <w:t>,5</w:t>
      </w:r>
      <w:r w:rsidRPr="004C309B">
        <w:rPr>
          <w:b/>
          <w:szCs w:val="22"/>
        </w:rPr>
        <w:t> %</w:t>
      </w:r>
      <w:r w:rsidR="0021002F">
        <w:rPr>
          <w:b/>
          <w:szCs w:val="22"/>
        </w:rPr>
        <w:t> </w:t>
      </w:r>
      <w:r w:rsidRPr="004C309B">
        <w:rPr>
          <w:b/>
          <w:szCs w:val="22"/>
        </w:rPr>
        <w:t xml:space="preserve">HDP). </w:t>
      </w:r>
      <w:r w:rsidRPr="004C309B">
        <w:rPr>
          <w:szCs w:val="22"/>
        </w:rPr>
        <w:t xml:space="preserve">Medziročne </w:t>
      </w:r>
      <w:r w:rsidR="00095ADF" w:rsidRPr="004C309B">
        <w:rPr>
          <w:szCs w:val="22"/>
        </w:rPr>
        <w:t xml:space="preserve">celkové výdavky </w:t>
      </w:r>
      <w:r w:rsidR="00ED5428" w:rsidRPr="004C309B">
        <w:rPr>
          <w:szCs w:val="22"/>
        </w:rPr>
        <w:t>voči</w:t>
      </w:r>
      <w:r w:rsidR="0021002F">
        <w:rPr>
          <w:szCs w:val="22"/>
        </w:rPr>
        <w:t> </w:t>
      </w:r>
      <w:r w:rsidR="00ED5428" w:rsidRPr="004C309B">
        <w:rPr>
          <w:szCs w:val="22"/>
        </w:rPr>
        <w:t xml:space="preserve">HDP </w:t>
      </w:r>
      <w:r w:rsidR="004C309B" w:rsidRPr="004C309B">
        <w:rPr>
          <w:szCs w:val="22"/>
        </w:rPr>
        <w:t>poklesli</w:t>
      </w:r>
      <w:r w:rsidR="00095ADF" w:rsidRPr="004C309B">
        <w:rPr>
          <w:szCs w:val="22"/>
        </w:rPr>
        <w:t xml:space="preserve"> o </w:t>
      </w:r>
      <w:r w:rsidR="004C309B" w:rsidRPr="004C309B">
        <w:rPr>
          <w:szCs w:val="22"/>
        </w:rPr>
        <w:t>0</w:t>
      </w:r>
      <w:r w:rsidR="00095ADF" w:rsidRPr="004C309B">
        <w:rPr>
          <w:szCs w:val="22"/>
        </w:rPr>
        <w:t>,</w:t>
      </w:r>
      <w:r w:rsidR="004C309B" w:rsidRPr="004C309B">
        <w:rPr>
          <w:szCs w:val="22"/>
        </w:rPr>
        <w:t>8</w:t>
      </w:r>
      <w:r w:rsidRPr="004C309B">
        <w:rPr>
          <w:szCs w:val="22"/>
        </w:rPr>
        <w:t xml:space="preserve"> %, </w:t>
      </w:r>
      <w:r w:rsidR="004C309B" w:rsidRPr="004C309B">
        <w:rPr>
          <w:szCs w:val="22"/>
        </w:rPr>
        <w:t>ale v nominálnej hodnote vzrástli</w:t>
      </w:r>
      <w:r w:rsidRPr="004C309B">
        <w:rPr>
          <w:szCs w:val="22"/>
        </w:rPr>
        <w:t xml:space="preserve"> o </w:t>
      </w:r>
      <w:r w:rsidR="00095ADF" w:rsidRPr="004C309B">
        <w:rPr>
          <w:szCs w:val="22"/>
        </w:rPr>
        <w:t>2 </w:t>
      </w:r>
      <w:r w:rsidR="004C309B" w:rsidRPr="004C309B">
        <w:rPr>
          <w:szCs w:val="22"/>
        </w:rPr>
        <w:t>210</w:t>
      </w:r>
      <w:r w:rsidR="00095ADF" w:rsidRPr="004C309B">
        <w:rPr>
          <w:szCs w:val="22"/>
        </w:rPr>
        <w:t> </w:t>
      </w:r>
      <w:r w:rsidR="004C309B" w:rsidRPr="004C309B">
        <w:rPr>
          <w:szCs w:val="22"/>
        </w:rPr>
        <w:t>6</w:t>
      </w:r>
      <w:r w:rsidR="00095ADF" w:rsidRPr="004C309B">
        <w:rPr>
          <w:szCs w:val="22"/>
        </w:rPr>
        <w:t>0</w:t>
      </w:r>
      <w:r w:rsidR="004C309B" w:rsidRPr="004C309B">
        <w:rPr>
          <w:szCs w:val="22"/>
        </w:rPr>
        <w:t>7</w:t>
      </w:r>
      <w:r w:rsidRPr="004C309B">
        <w:rPr>
          <w:szCs w:val="22"/>
        </w:rPr>
        <w:t> tis. eur.</w:t>
      </w:r>
    </w:p>
    <w:p w14:paraId="4F9273C0" w14:textId="10CB4A72" w:rsidR="00C06FEF" w:rsidRDefault="00C06FEF" w:rsidP="001145AB">
      <w:pPr>
        <w:spacing w:after="120" w:line="240" w:lineRule="auto"/>
        <w:jc w:val="both"/>
        <w:rPr>
          <w:szCs w:val="22"/>
        </w:rPr>
      </w:pPr>
      <w:r w:rsidRPr="003660EC">
        <w:rPr>
          <w:szCs w:val="22"/>
        </w:rPr>
        <w:t xml:space="preserve">Nárast </w:t>
      </w:r>
      <w:r w:rsidR="004E61EB" w:rsidRPr="003660EC">
        <w:rPr>
          <w:szCs w:val="22"/>
        </w:rPr>
        <w:t xml:space="preserve">výdavkov oproti predchádzajúcemu roku </w:t>
      </w:r>
      <w:r w:rsidRPr="003660EC">
        <w:rPr>
          <w:szCs w:val="22"/>
        </w:rPr>
        <w:t xml:space="preserve">dosiahli </w:t>
      </w:r>
      <w:r w:rsidR="004E61EB" w:rsidRPr="003660EC">
        <w:rPr>
          <w:szCs w:val="22"/>
        </w:rPr>
        <w:t xml:space="preserve">predovšetkým </w:t>
      </w:r>
      <w:r w:rsidR="003660EC" w:rsidRPr="003660EC">
        <w:rPr>
          <w:szCs w:val="22"/>
        </w:rPr>
        <w:t>dane</w:t>
      </w:r>
      <w:r w:rsidR="00BC567B">
        <w:rPr>
          <w:szCs w:val="22"/>
        </w:rPr>
        <w:t xml:space="preserve"> (platené subjektmi verejnej správy) </w:t>
      </w:r>
      <w:r w:rsidR="003660EC" w:rsidRPr="003660EC">
        <w:rPr>
          <w:szCs w:val="22"/>
        </w:rPr>
        <w:t>o 76,3</w:t>
      </w:r>
      <w:r w:rsidR="0021002F">
        <w:rPr>
          <w:szCs w:val="22"/>
        </w:rPr>
        <w:t> </w:t>
      </w:r>
      <w:r w:rsidR="003660EC" w:rsidRPr="003660EC">
        <w:rPr>
          <w:szCs w:val="22"/>
        </w:rPr>
        <w:t>%, úrokové náklady o 29,6</w:t>
      </w:r>
      <w:r w:rsidR="0021002F">
        <w:rPr>
          <w:szCs w:val="22"/>
        </w:rPr>
        <w:t> </w:t>
      </w:r>
      <w:r w:rsidR="003660EC" w:rsidRPr="003660EC">
        <w:rPr>
          <w:szCs w:val="22"/>
        </w:rPr>
        <w:t>%</w:t>
      </w:r>
      <w:r w:rsidR="003660EC">
        <w:rPr>
          <w:szCs w:val="22"/>
        </w:rPr>
        <w:t>, celkové sociálne transfery o 11,5</w:t>
      </w:r>
      <w:r w:rsidR="0021002F">
        <w:rPr>
          <w:szCs w:val="22"/>
        </w:rPr>
        <w:t> </w:t>
      </w:r>
      <w:r w:rsidR="003660EC">
        <w:rPr>
          <w:szCs w:val="22"/>
        </w:rPr>
        <w:t>% a kompenzácie zamestnancov o 9,6</w:t>
      </w:r>
      <w:r w:rsidR="0021002F">
        <w:rPr>
          <w:szCs w:val="22"/>
        </w:rPr>
        <w:t> </w:t>
      </w:r>
      <w:r w:rsidR="003660EC">
        <w:rPr>
          <w:szCs w:val="22"/>
        </w:rPr>
        <w:t xml:space="preserve">%. </w:t>
      </w:r>
      <w:r w:rsidRPr="003660EC">
        <w:rPr>
          <w:szCs w:val="22"/>
        </w:rPr>
        <w:t xml:space="preserve">Na druhej strane v roku 2024 došlo k poklesu výdavkov </w:t>
      </w:r>
      <w:r w:rsidR="003660EC" w:rsidRPr="003660EC">
        <w:rPr>
          <w:szCs w:val="22"/>
        </w:rPr>
        <w:t>na subvencie o 47,0</w:t>
      </w:r>
      <w:r w:rsidR="0021002F">
        <w:rPr>
          <w:szCs w:val="22"/>
        </w:rPr>
        <w:t> </w:t>
      </w:r>
      <w:r w:rsidR="003660EC" w:rsidRPr="003660EC">
        <w:rPr>
          <w:szCs w:val="22"/>
        </w:rPr>
        <w:t>%</w:t>
      </w:r>
      <w:r w:rsidR="0002125D">
        <w:rPr>
          <w:szCs w:val="22"/>
        </w:rPr>
        <w:t xml:space="preserve"> a </w:t>
      </w:r>
      <w:r w:rsidRPr="003660EC">
        <w:rPr>
          <w:szCs w:val="22"/>
        </w:rPr>
        <w:t>kapitálových</w:t>
      </w:r>
      <w:r w:rsidR="003660EC" w:rsidRPr="003660EC">
        <w:rPr>
          <w:szCs w:val="22"/>
        </w:rPr>
        <w:t xml:space="preserve"> </w:t>
      </w:r>
      <w:r w:rsidR="003660EC">
        <w:rPr>
          <w:szCs w:val="22"/>
        </w:rPr>
        <w:t>transferov</w:t>
      </w:r>
      <w:r w:rsidR="003660EC" w:rsidRPr="003660EC">
        <w:rPr>
          <w:szCs w:val="22"/>
        </w:rPr>
        <w:t xml:space="preserve"> </w:t>
      </w:r>
      <w:r w:rsidRPr="003660EC">
        <w:rPr>
          <w:szCs w:val="22"/>
        </w:rPr>
        <w:t>o </w:t>
      </w:r>
      <w:r w:rsidR="003660EC">
        <w:rPr>
          <w:szCs w:val="22"/>
        </w:rPr>
        <w:t>70</w:t>
      </w:r>
      <w:r w:rsidRPr="003660EC">
        <w:rPr>
          <w:szCs w:val="22"/>
        </w:rPr>
        <w:t>,</w:t>
      </w:r>
      <w:r w:rsidR="003660EC">
        <w:rPr>
          <w:szCs w:val="22"/>
        </w:rPr>
        <w:t>4</w:t>
      </w:r>
      <w:r w:rsidRPr="003660EC">
        <w:rPr>
          <w:szCs w:val="22"/>
        </w:rPr>
        <w:t> %</w:t>
      </w:r>
      <w:r w:rsidR="003660EC">
        <w:rPr>
          <w:szCs w:val="22"/>
        </w:rPr>
        <w:t>.</w:t>
      </w:r>
    </w:p>
    <w:p w14:paraId="0A86A674" w14:textId="2ADF321E" w:rsidR="002F1D21" w:rsidRPr="00887E91" w:rsidRDefault="002F1D21" w:rsidP="002F1D21">
      <w:pPr>
        <w:spacing w:after="120" w:line="240" w:lineRule="auto"/>
        <w:jc w:val="both"/>
        <w:rPr>
          <w:b/>
          <w:color w:val="4F81BD" w:themeColor="accent1"/>
          <w:szCs w:val="22"/>
        </w:rPr>
      </w:pPr>
      <w:r w:rsidRPr="00887E91">
        <w:rPr>
          <w:b/>
          <w:color w:val="4F81BD" w:themeColor="accent1"/>
          <w:sz w:val="24"/>
          <w:szCs w:val="24"/>
        </w:rPr>
        <w:t>Kompenzácie zamestnancov</w:t>
      </w:r>
      <w:r w:rsidRPr="00887E91">
        <w:rPr>
          <w:b/>
          <w:color w:val="4F81BD" w:themeColor="accent1"/>
          <w:szCs w:val="22"/>
        </w:rPr>
        <w:t xml:space="preserve"> </w:t>
      </w:r>
    </w:p>
    <w:p w14:paraId="7C679B98" w14:textId="777E6A9C" w:rsidR="009A3759" w:rsidRPr="003C145A" w:rsidRDefault="009A3759" w:rsidP="001145AB">
      <w:pPr>
        <w:spacing w:after="120" w:line="240" w:lineRule="auto"/>
        <w:jc w:val="both"/>
        <w:rPr>
          <w:lang w:eastAsia="sk-SK"/>
        </w:rPr>
      </w:pPr>
      <w:r w:rsidRPr="00887E91">
        <w:rPr>
          <w:szCs w:val="22"/>
        </w:rPr>
        <w:t>V roku 202</w:t>
      </w:r>
      <w:r w:rsidR="00887E91" w:rsidRPr="00887E91">
        <w:rPr>
          <w:szCs w:val="22"/>
        </w:rPr>
        <w:t>4</w:t>
      </w:r>
      <w:r w:rsidRPr="00887E91">
        <w:rPr>
          <w:szCs w:val="22"/>
        </w:rPr>
        <w:t xml:space="preserve"> vzrástli kompenzácie zamestnancov </w:t>
      </w:r>
      <w:r w:rsidR="00F73520">
        <w:rPr>
          <w:szCs w:val="22"/>
        </w:rPr>
        <w:t xml:space="preserve">VS </w:t>
      </w:r>
      <w:r w:rsidRPr="00887E91">
        <w:rPr>
          <w:szCs w:val="22"/>
        </w:rPr>
        <w:t>o </w:t>
      </w:r>
      <w:r w:rsidR="00887E91" w:rsidRPr="00887E91">
        <w:rPr>
          <w:szCs w:val="22"/>
        </w:rPr>
        <w:t>9</w:t>
      </w:r>
      <w:r w:rsidRPr="00887E91">
        <w:rPr>
          <w:szCs w:val="22"/>
        </w:rPr>
        <w:t>,</w:t>
      </w:r>
      <w:r w:rsidR="00887E91" w:rsidRPr="00887E91">
        <w:rPr>
          <w:szCs w:val="22"/>
        </w:rPr>
        <w:t>6</w:t>
      </w:r>
      <w:r w:rsidRPr="00887E91">
        <w:rPr>
          <w:szCs w:val="22"/>
        </w:rPr>
        <w:t> % (nárast o 1 </w:t>
      </w:r>
      <w:r w:rsidR="00887E91" w:rsidRPr="00887E91">
        <w:rPr>
          <w:szCs w:val="22"/>
        </w:rPr>
        <w:t>296</w:t>
      </w:r>
      <w:r w:rsidRPr="00887E91">
        <w:rPr>
          <w:szCs w:val="22"/>
        </w:rPr>
        <w:t> </w:t>
      </w:r>
      <w:r w:rsidR="00887E91" w:rsidRPr="00887E91">
        <w:rPr>
          <w:szCs w:val="22"/>
        </w:rPr>
        <w:t>316</w:t>
      </w:r>
      <w:r w:rsidRPr="00887E91">
        <w:rPr>
          <w:szCs w:val="22"/>
        </w:rPr>
        <w:t xml:space="preserve"> tis. eur). </w:t>
      </w:r>
      <w:r w:rsidRPr="00887E91">
        <w:rPr>
          <w:lang w:eastAsia="sk-SK"/>
        </w:rPr>
        <w:t>Celkovo mzdy a platy zamestnancov vo verejnej správe vzrástli oproti predchádzajúcemu roku o </w:t>
      </w:r>
      <w:r w:rsidR="00887E91" w:rsidRPr="00887E91">
        <w:rPr>
          <w:lang w:eastAsia="sk-SK"/>
        </w:rPr>
        <w:t>780</w:t>
      </w:r>
      <w:r w:rsidRPr="00887E91">
        <w:rPr>
          <w:lang w:eastAsia="sk-SK"/>
        </w:rPr>
        <w:t> </w:t>
      </w:r>
      <w:r w:rsidR="00887E91" w:rsidRPr="00887E91">
        <w:rPr>
          <w:lang w:eastAsia="sk-SK"/>
        </w:rPr>
        <w:t>440</w:t>
      </w:r>
      <w:r w:rsidRPr="00887E91">
        <w:rPr>
          <w:lang w:eastAsia="sk-SK"/>
        </w:rPr>
        <w:t> tis. eur (o </w:t>
      </w:r>
      <w:r w:rsidR="00887E91" w:rsidRPr="00887E91">
        <w:rPr>
          <w:lang w:eastAsia="sk-SK"/>
        </w:rPr>
        <w:t>8,0</w:t>
      </w:r>
      <w:r w:rsidRPr="00887E91">
        <w:rPr>
          <w:lang w:eastAsia="sk-SK"/>
        </w:rPr>
        <w:t> %) a sociálne príspevky zamestnávateľov vzrástli o </w:t>
      </w:r>
      <w:r w:rsidR="00887E91" w:rsidRPr="00887E91">
        <w:rPr>
          <w:lang w:eastAsia="sk-SK"/>
        </w:rPr>
        <w:t>515</w:t>
      </w:r>
      <w:r w:rsidRPr="00887E91">
        <w:rPr>
          <w:lang w:eastAsia="sk-SK"/>
        </w:rPr>
        <w:t> </w:t>
      </w:r>
      <w:r w:rsidR="00887E91" w:rsidRPr="00887E91">
        <w:rPr>
          <w:lang w:eastAsia="sk-SK"/>
        </w:rPr>
        <w:t>876</w:t>
      </w:r>
      <w:r w:rsidRPr="00887E91">
        <w:rPr>
          <w:lang w:eastAsia="sk-SK"/>
        </w:rPr>
        <w:t> tis. eur (o 1</w:t>
      </w:r>
      <w:r w:rsidR="00887E91" w:rsidRPr="00887E91">
        <w:rPr>
          <w:lang w:eastAsia="sk-SK"/>
        </w:rPr>
        <w:t>3</w:t>
      </w:r>
      <w:r w:rsidRPr="00887E91">
        <w:rPr>
          <w:lang w:eastAsia="sk-SK"/>
        </w:rPr>
        <w:t>,</w:t>
      </w:r>
      <w:r w:rsidR="00887E91" w:rsidRPr="00887E91">
        <w:rPr>
          <w:lang w:eastAsia="sk-SK"/>
        </w:rPr>
        <w:t>6</w:t>
      </w:r>
      <w:r w:rsidRPr="00887E91">
        <w:rPr>
          <w:lang w:eastAsia="sk-SK"/>
        </w:rPr>
        <w:t xml:space="preserve"> %). Išlo predovšetkým o nárast výdavkov na mzdy a platy na akruálnej báze v týchto zložkách verejnej správy </w:t>
      </w:r>
      <w:r w:rsidRPr="003C145A">
        <w:rPr>
          <w:lang w:eastAsia="sk-SK"/>
        </w:rPr>
        <w:t>(adekvátne k tomu rástli aj sociálne príspevky):</w:t>
      </w:r>
    </w:p>
    <w:p w14:paraId="2CBBA4A4" w14:textId="13142263" w:rsidR="003C145A" w:rsidRPr="003C145A" w:rsidRDefault="003C145A" w:rsidP="00EC0753">
      <w:pPr>
        <w:pStyle w:val="Odsekzoznamu"/>
        <w:numPr>
          <w:ilvl w:val="0"/>
          <w:numId w:val="12"/>
        </w:numPr>
        <w:spacing w:after="120"/>
        <w:jc w:val="both"/>
      </w:pPr>
      <w:r w:rsidRPr="003C145A">
        <w:t>obce a ich RO o 260 184 tis. eur,</w:t>
      </w:r>
    </w:p>
    <w:p w14:paraId="2DC904E4" w14:textId="3E3C9018" w:rsidR="009A3759" w:rsidRPr="003C145A" w:rsidRDefault="009A3759" w:rsidP="00EC0753">
      <w:pPr>
        <w:pStyle w:val="Odsekzoznamu"/>
        <w:numPr>
          <w:ilvl w:val="0"/>
          <w:numId w:val="12"/>
        </w:numPr>
        <w:spacing w:after="120"/>
        <w:jc w:val="both"/>
      </w:pPr>
      <w:r w:rsidRPr="003C145A">
        <w:t>štátne rozpočtové organizácie o </w:t>
      </w:r>
      <w:r w:rsidR="003C145A" w:rsidRPr="003C145A">
        <w:t>247</w:t>
      </w:r>
      <w:r w:rsidRPr="003C145A">
        <w:t> </w:t>
      </w:r>
      <w:r w:rsidR="003C145A" w:rsidRPr="003C145A">
        <w:t>499</w:t>
      </w:r>
      <w:r w:rsidRPr="003C145A">
        <w:t> tis. eur,</w:t>
      </w:r>
    </w:p>
    <w:p w14:paraId="13CD5D3F" w14:textId="1225BB51" w:rsidR="009A3759" w:rsidRPr="003C145A" w:rsidRDefault="009A3759" w:rsidP="00EC0753">
      <w:pPr>
        <w:pStyle w:val="Odsekzoznamu"/>
        <w:numPr>
          <w:ilvl w:val="0"/>
          <w:numId w:val="12"/>
        </w:numPr>
        <w:spacing w:after="120"/>
        <w:jc w:val="both"/>
      </w:pPr>
      <w:r w:rsidRPr="003C145A">
        <w:t>zdravotnícke zariadenia ústrednej správy o </w:t>
      </w:r>
      <w:r w:rsidR="003C145A" w:rsidRPr="003C145A">
        <w:t>94</w:t>
      </w:r>
      <w:r w:rsidRPr="003C145A">
        <w:t> </w:t>
      </w:r>
      <w:r w:rsidR="003C145A" w:rsidRPr="003C145A">
        <w:t>370</w:t>
      </w:r>
      <w:r w:rsidRPr="003C145A">
        <w:t> tis. eur,</w:t>
      </w:r>
    </w:p>
    <w:p w14:paraId="7762372C" w14:textId="13F2D2A7" w:rsidR="003C145A" w:rsidRPr="003C145A" w:rsidRDefault="003C145A" w:rsidP="00EC0753">
      <w:pPr>
        <w:pStyle w:val="Odsekzoznamu"/>
        <w:numPr>
          <w:ilvl w:val="0"/>
          <w:numId w:val="12"/>
        </w:numPr>
        <w:spacing w:after="120"/>
        <w:jc w:val="both"/>
      </w:pPr>
      <w:r w:rsidRPr="003C145A">
        <w:t>verejné vysoké školy o 28 030 tis. eur,</w:t>
      </w:r>
    </w:p>
    <w:p w14:paraId="3069B637" w14:textId="2CEB75A1" w:rsidR="003C145A" w:rsidRPr="003C145A" w:rsidRDefault="003C145A" w:rsidP="00EC0753">
      <w:pPr>
        <w:pStyle w:val="Odsekzoznamu"/>
        <w:numPr>
          <w:ilvl w:val="0"/>
          <w:numId w:val="12"/>
        </w:numPr>
        <w:spacing w:after="120"/>
        <w:jc w:val="both"/>
      </w:pPr>
      <w:r w:rsidRPr="003C145A">
        <w:t>VÚC a ich RO o 27 709 tis. eur,</w:t>
      </w:r>
    </w:p>
    <w:p w14:paraId="2A7E6CDA" w14:textId="5CFA1C8D" w:rsidR="003C145A" w:rsidRPr="003C145A" w:rsidRDefault="003C145A" w:rsidP="00EC0753">
      <w:pPr>
        <w:pStyle w:val="Odsekzoznamu"/>
        <w:numPr>
          <w:ilvl w:val="0"/>
          <w:numId w:val="12"/>
        </w:numPr>
        <w:spacing w:after="120"/>
        <w:jc w:val="both"/>
      </w:pPr>
      <w:r w:rsidRPr="003C145A">
        <w:t>štátne príspevkové organizácie  o 25 75</w:t>
      </w:r>
      <w:r>
        <w:t>1</w:t>
      </w:r>
      <w:r w:rsidRPr="003C145A">
        <w:t> tis. eur</w:t>
      </w:r>
      <w:r>
        <w:t>,</w:t>
      </w:r>
    </w:p>
    <w:p w14:paraId="7A296A2F" w14:textId="792D0870" w:rsidR="003C145A" w:rsidRPr="003C145A" w:rsidRDefault="003C145A" w:rsidP="00EC0753">
      <w:pPr>
        <w:pStyle w:val="Odsekzoznamu"/>
        <w:numPr>
          <w:ilvl w:val="0"/>
          <w:numId w:val="12"/>
        </w:numPr>
        <w:spacing w:after="120"/>
        <w:jc w:val="both"/>
      </w:pPr>
      <w:r w:rsidRPr="003C145A">
        <w:t>príspevkové organizácie VÚC o 22 862 tis. eur</w:t>
      </w:r>
      <w:r>
        <w:t>,</w:t>
      </w:r>
    </w:p>
    <w:p w14:paraId="014C84BB" w14:textId="3C6F8717" w:rsidR="009A3759" w:rsidRPr="003C145A" w:rsidRDefault="003C145A" w:rsidP="00EC0753">
      <w:pPr>
        <w:pStyle w:val="Odsekzoznamu"/>
        <w:numPr>
          <w:ilvl w:val="0"/>
          <w:numId w:val="12"/>
        </w:numPr>
        <w:spacing w:after="120"/>
        <w:jc w:val="both"/>
      </w:pPr>
      <w:r w:rsidRPr="003C145A">
        <w:t xml:space="preserve">Železnice Slovenskej republiky </w:t>
      </w:r>
      <w:r w:rsidR="009A3759" w:rsidRPr="003C145A">
        <w:t>o </w:t>
      </w:r>
      <w:r w:rsidRPr="003C145A">
        <w:t>21</w:t>
      </w:r>
      <w:r w:rsidR="009A3759" w:rsidRPr="003C145A">
        <w:t> </w:t>
      </w:r>
      <w:r w:rsidRPr="003C145A">
        <w:t>486</w:t>
      </w:r>
      <w:r w:rsidR="009A3759" w:rsidRPr="003C145A">
        <w:t> tis. eur</w:t>
      </w:r>
      <w:r>
        <w:t>.</w:t>
      </w:r>
    </w:p>
    <w:p w14:paraId="655ECBCD" w14:textId="7A6C6515" w:rsidR="00BC567B" w:rsidRDefault="006F78A2" w:rsidP="004B1529">
      <w:pPr>
        <w:spacing w:after="120" w:line="240" w:lineRule="auto"/>
        <w:jc w:val="both"/>
        <w:rPr>
          <w:lang w:eastAsia="sk-SK"/>
        </w:rPr>
      </w:pPr>
      <w:r w:rsidRPr="006F78A2">
        <w:rPr>
          <w:lang w:eastAsia="sk-SK"/>
        </w:rPr>
        <w:t xml:space="preserve">V roku 2024 nedošlo k  valorizácii platov zamestnancov štátnej správy. </w:t>
      </w:r>
      <w:r w:rsidR="00BC567B">
        <w:rPr>
          <w:lang w:eastAsia="sk-SK"/>
        </w:rPr>
        <w:t>Na medziročnom raste výdavkov</w:t>
      </w:r>
      <w:r w:rsidRPr="006F78A2">
        <w:rPr>
          <w:lang w:eastAsia="sk-SK"/>
        </w:rPr>
        <w:t xml:space="preserve"> na mzdy, platy, služobné príjmy a ostatné osobné vyrovnania zamestnancov </w:t>
      </w:r>
      <w:r w:rsidRPr="00203DE8">
        <w:rPr>
          <w:lang w:eastAsia="sk-SK"/>
        </w:rPr>
        <w:t>štátnych rozpočtových organizácii o</w:t>
      </w:r>
      <w:r w:rsidR="0016486A" w:rsidRPr="00203DE8">
        <w:rPr>
          <w:lang w:eastAsia="sk-SK"/>
        </w:rPr>
        <w:t> 7,</w:t>
      </w:r>
      <w:r w:rsidR="00D059CD" w:rsidRPr="00203DE8">
        <w:rPr>
          <w:lang w:eastAsia="sk-SK"/>
        </w:rPr>
        <w:t>5</w:t>
      </w:r>
      <w:r w:rsidRPr="00203DE8">
        <w:rPr>
          <w:lang w:eastAsia="sk-SK"/>
        </w:rPr>
        <w:t> %</w:t>
      </w:r>
      <w:r w:rsidR="00611790">
        <w:rPr>
          <w:lang w:eastAsia="sk-SK"/>
        </w:rPr>
        <w:t>,</w:t>
      </w:r>
      <w:r w:rsidR="00BC567B">
        <w:rPr>
          <w:lang w:eastAsia="sk-SK"/>
        </w:rPr>
        <w:t xml:space="preserve"> malo vplyv viacero faktorov.</w:t>
      </w:r>
      <w:r w:rsidR="007E3DCF" w:rsidRPr="00203DE8">
        <w:rPr>
          <w:lang w:eastAsia="sk-SK"/>
        </w:rPr>
        <w:t xml:space="preserve"> </w:t>
      </w:r>
      <w:r w:rsidR="00BC567B">
        <w:rPr>
          <w:lang w:eastAsia="sk-SK"/>
        </w:rPr>
        <w:t xml:space="preserve">V rámci kapitoly Ministerstva vnútra išlo o čiastočné vrátenie výdavkov </w:t>
      </w:r>
      <w:r w:rsidR="006A0AA7">
        <w:rPr>
          <w:lang w:eastAsia="sk-SK"/>
        </w:rPr>
        <w:t xml:space="preserve">viazaných </w:t>
      </w:r>
      <w:r w:rsidR="00BC567B">
        <w:rPr>
          <w:lang w:eastAsia="sk-SK"/>
        </w:rPr>
        <w:t xml:space="preserve">od roku 2022 z dôvodu optimalizácie počtu policajtov a postupného dorovnania na priemer EÚ od roku 2027 vyplývajúceho z Revízie výdavkov zamestnanosti a odmeňovania vo verejnej </w:t>
      </w:r>
      <w:r w:rsidR="00BC567B">
        <w:rPr>
          <w:lang w:eastAsia="sk-SK"/>
        </w:rPr>
        <w:lastRenderedPageBreak/>
        <w:t xml:space="preserve">správe, </w:t>
      </w:r>
      <w:r w:rsidR="007D10CA">
        <w:rPr>
          <w:lang w:eastAsia="sk-SK"/>
        </w:rPr>
        <w:t>schválen</w:t>
      </w:r>
      <w:r w:rsidR="006A0AA7">
        <w:rPr>
          <w:lang w:eastAsia="sk-SK"/>
        </w:rPr>
        <w:t>ie</w:t>
      </w:r>
      <w:r w:rsidR="007D10CA">
        <w:rPr>
          <w:lang w:eastAsia="sk-SK"/>
        </w:rPr>
        <w:t xml:space="preserve"> legislatívn</w:t>
      </w:r>
      <w:r w:rsidR="006A0AA7">
        <w:rPr>
          <w:lang w:eastAsia="sk-SK"/>
        </w:rPr>
        <w:t>ych</w:t>
      </w:r>
      <w:r w:rsidR="007D10CA">
        <w:rPr>
          <w:lang w:eastAsia="sk-SK"/>
        </w:rPr>
        <w:t xml:space="preserve"> zm</w:t>
      </w:r>
      <w:r w:rsidR="006A0AA7">
        <w:rPr>
          <w:lang w:eastAsia="sk-SK"/>
        </w:rPr>
        <w:t>ien</w:t>
      </w:r>
      <w:r w:rsidR="007D10CA">
        <w:rPr>
          <w:lang w:eastAsia="sk-SK"/>
        </w:rPr>
        <w:t xml:space="preserve"> v rezorte Ministerstva školstva, výskumu, vývoja a mládeže SR v súvislosti so schválenou novelou školského zákona, v rezorte </w:t>
      </w:r>
      <w:r w:rsidR="007D10CA" w:rsidRPr="00203DE8">
        <w:rPr>
          <w:szCs w:val="22"/>
          <w:lang w:eastAsia="sk-SK"/>
        </w:rPr>
        <w:t>Ministerstva práce sociálnych vecí a rodiny SR</w:t>
      </w:r>
      <w:r w:rsidR="007D10CA">
        <w:rPr>
          <w:szCs w:val="22"/>
          <w:lang w:eastAsia="sk-SK"/>
        </w:rPr>
        <w:t xml:space="preserve"> v súvislosti so schváleným zákonom o inšpekcii v sociálnych veciach a so zákonom o profesionálnych náhradných rodičoch). Ďalej išlo o zlepšenie odmeňovania  zamestnancov niektorých kapitol štátneho rozpočtu, vplyv rastu priemernej mesačnej nominálnej mzdy zamestnanca v národnom hospodárstve pri mzdových výdavkoch zamestnancov, ktorých plat je naviazaný na plat poslanca NR SR resp. na rast priemernej mzdy v národnom hospodárstve.</w:t>
      </w:r>
    </w:p>
    <w:p w14:paraId="584BD076" w14:textId="5796FA34" w:rsidR="00917F9C" w:rsidRDefault="00917F9C" w:rsidP="001145AB">
      <w:pPr>
        <w:spacing w:after="120" w:line="240" w:lineRule="auto"/>
        <w:jc w:val="both"/>
        <w:rPr>
          <w:szCs w:val="22"/>
        </w:rPr>
      </w:pPr>
      <w:r w:rsidRPr="00917F9C">
        <w:rPr>
          <w:szCs w:val="22"/>
        </w:rPr>
        <w:t xml:space="preserve">V roku 2024 vzrástli </w:t>
      </w:r>
      <w:r w:rsidRPr="0003445F">
        <w:rPr>
          <w:b/>
          <w:bCs/>
          <w:i/>
          <w:iCs/>
          <w:szCs w:val="22"/>
        </w:rPr>
        <w:t>v obciach a ich RO</w:t>
      </w:r>
      <w:r w:rsidRPr="00917F9C">
        <w:rPr>
          <w:szCs w:val="22"/>
        </w:rPr>
        <w:t xml:space="preserve"> mzdové náklady oproti roku 2023 najmä v dôsledku zvýšenia minimálnej mzdy, valorizácie platov a rastu priemernej mzdy v hospodárstve. Vyššia minimálna mzda sa prejavila aj vo zvýšení zákonných príplatkov. Súčasťou osobných výdavkov boli aj odmeny z</w:t>
      </w:r>
      <w:r w:rsidR="0021002F">
        <w:rPr>
          <w:szCs w:val="22"/>
        </w:rPr>
        <w:t> </w:t>
      </w:r>
      <w:r w:rsidRPr="00917F9C">
        <w:rPr>
          <w:szCs w:val="22"/>
        </w:rPr>
        <w:t>dohôd o</w:t>
      </w:r>
      <w:r w:rsidR="00041EA0">
        <w:rPr>
          <w:szCs w:val="22"/>
        </w:rPr>
        <w:t> </w:t>
      </w:r>
      <w:r w:rsidRPr="00917F9C">
        <w:rPr>
          <w:szCs w:val="22"/>
        </w:rPr>
        <w:t>prácach vykonávaných mimo pracovného pomeru, cestovné náhrady, príspevky na stravovanie a</w:t>
      </w:r>
      <w:r w:rsidR="0021002F">
        <w:rPr>
          <w:szCs w:val="22"/>
        </w:rPr>
        <w:t> </w:t>
      </w:r>
      <w:r w:rsidRPr="00917F9C">
        <w:rPr>
          <w:szCs w:val="22"/>
        </w:rPr>
        <w:t>čerpanie sociálneho fondu. Samosprávy zároveň prijali opatrenia na efektívne riadenie personálnych zdrojov a</w:t>
      </w:r>
      <w:r w:rsidR="00041EA0">
        <w:rPr>
          <w:szCs w:val="22"/>
        </w:rPr>
        <w:t> </w:t>
      </w:r>
      <w:r w:rsidRPr="00917F9C">
        <w:rPr>
          <w:szCs w:val="22"/>
        </w:rPr>
        <w:t>kontrolu výdavkov.</w:t>
      </w:r>
    </w:p>
    <w:p w14:paraId="5C53E778" w14:textId="4EF79D3C" w:rsidR="004B1529" w:rsidRPr="004D3920" w:rsidRDefault="004B1529" w:rsidP="004B1529">
      <w:pPr>
        <w:spacing w:after="120" w:line="240" w:lineRule="auto"/>
        <w:jc w:val="both"/>
        <w:rPr>
          <w:lang w:eastAsia="sk-SK"/>
        </w:rPr>
      </w:pPr>
      <w:r w:rsidRPr="0016486A">
        <w:rPr>
          <w:lang w:eastAsia="sk-SK"/>
        </w:rPr>
        <w:t xml:space="preserve">V roku 2024 </w:t>
      </w:r>
      <w:r w:rsidR="004327E3">
        <w:rPr>
          <w:lang w:eastAsia="sk-SK"/>
        </w:rPr>
        <w:t>(za 5</w:t>
      </w:r>
      <w:r w:rsidR="0021002F">
        <w:rPr>
          <w:lang w:eastAsia="sk-SK"/>
        </w:rPr>
        <w:t> </w:t>
      </w:r>
      <w:r w:rsidR="004327E3">
        <w:rPr>
          <w:lang w:eastAsia="sk-SK"/>
        </w:rPr>
        <w:t xml:space="preserve">mesiacov účinnosti legislatívy) </w:t>
      </w:r>
      <w:r>
        <w:rPr>
          <w:lang w:eastAsia="sk-SK"/>
        </w:rPr>
        <w:t xml:space="preserve">na základe novely </w:t>
      </w:r>
      <w:r w:rsidRPr="0016486A">
        <w:rPr>
          <w:lang w:eastAsia="sk-SK"/>
        </w:rPr>
        <w:t>zákona</w:t>
      </w:r>
      <w:r>
        <w:rPr>
          <w:lang w:eastAsia="sk-SK"/>
        </w:rPr>
        <w:t xml:space="preserve"> č.</w:t>
      </w:r>
      <w:r w:rsidR="0021002F">
        <w:rPr>
          <w:lang w:eastAsia="sk-SK"/>
        </w:rPr>
        <w:t> </w:t>
      </w:r>
      <w:r w:rsidRPr="0016486A">
        <w:rPr>
          <w:lang w:eastAsia="sk-SK"/>
        </w:rPr>
        <w:t>73/1998 Z.</w:t>
      </w:r>
      <w:r>
        <w:rPr>
          <w:lang w:eastAsia="sk-SK"/>
        </w:rPr>
        <w:t> </w:t>
      </w:r>
      <w:r w:rsidRPr="0016486A">
        <w:rPr>
          <w:lang w:eastAsia="sk-SK"/>
        </w:rPr>
        <w:t xml:space="preserve">z. </w:t>
      </w:r>
      <w:r>
        <w:rPr>
          <w:lang w:eastAsia="sk-SK"/>
        </w:rPr>
        <w:t xml:space="preserve">bol </w:t>
      </w:r>
      <w:r w:rsidRPr="0016486A">
        <w:rPr>
          <w:lang w:eastAsia="sk-SK"/>
        </w:rPr>
        <w:t>vyplatený stabilizačný príspevok</w:t>
      </w:r>
      <w:r>
        <w:rPr>
          <w:lang w:eastAsia="sk-SK"/>
        </w:rPr>
        <w:t xml:space="preserve"> a náborový príspevok </w:t>
      </w:r>
      <w:r w:rsidRPr="0016486A">
        <w:rPr>
          <w:lang w:eastAsia="sk-SK"/>
        </w:rPr>
        <w:t xml:space="preserve">policajtom (zamestnancom v silových rezortoch) v celkovej sume </w:t>
      </w:r>
      <w:r w:rsidRPr="0016486A">
        <w:rPr>
          <w:szCs w:val="22"/>
        </w:rPr>
        <w:t>21 1</w:t>
      </w:r>
      <w:r>
        <w:rPr>
          <w:szCs w:val="22"/>
        </w:rPr>
        <w:t>45</w:t>
      </w:r>
      <w:r w:rsidRPr="0016486A">
        <w:t xml:space="preserve"> tis. eur, </w:t>
      </w:r>
      <w:r>
        <w:t xml:space="preserve">z toho </w:t>
      </w:r>
      <w:r w:rsidRPr="0016486A">
        <w:rPr>
          <w:lang w:eastAsia="sk-SK"/>
        </w:rPr>
        <w:t>vyplatený stabilizačný príspevok</w:t>
      </w:r>
      <w:r w:rsidRPr="004A0943">
        <w:rPr>
          <w:lang w:eastAsia="sk-SK"/>
        </w:rPr>
        <w:t xml:space="preserve"> </w:t>
      </w:r>
      <w:r>
        <w:rPr>
          <w:lang w:eastAsia="sk-SK"/>
        </w:rPr>
        <w:t>v sume 21 140 tis. eur pre 4</w:t>
      </w:r>
      <w:r w:rsidR="0021002F">
        <w:rPr>
          <w:lang w:eastAsia="sk-SK"/>
        </w:rPr>
        <w:t> </w:t>
      </w:r>
      <w:r>
        <w:rPr>
          <w:lang w:eastAsia="sk-SK"/>
        </w:rPr>
        <w:t>228</w:t>
      </w:r>
      <w:r w:rsidR="0021002F">
        <w:rPr>
          <w:lang w:eastAsia="sk-SK"/>
        </w:rPr>
        <w:t> </w:t>
      </w:r>
      <w:r>
        <w:rPr>
          <w:lang w:eastAsia="sk-SK"/>
        </w:rPr>
        <w:t>zamestnancov (5 tis. eur/zamestnanec) a</w:t>
      </w:r>
      <w:r w:rsidR="00611790">
        <w:rPr>
          <w:lang w:eastAsia="sk-SK"/>
        </w:rPr>
        <w:t xml:space="preserve"> jeden </w:t>
      </w:r>
      <w:r>
        <w:rPr>
          <w:lang w:eastAsia="sk-SK"/>
        </w:rPr>
        <w:t>náborový príspevok</w:t>
      </w:r>
      <w:r w:rsidRPr="0016486A">
        <w:rPr>
          <w:lang w:eastAsia="sk-SK"/>
        </w:rPr>
        <w:t xml:space="preserve"> </w:t>
      </w:r>
      <w:r>
        <w:rPr>
          <w:lang w:eastAsia="sk-SK"/>
        </w:rPr>
        <w:t xml:space="preserve">v sume 5 tis. eur. Cieľom novely je </w:t>
      </w:r>
      <w:r w:rsidRPr="00EF721E">
        <w:rPr>
          <w:lang w:eastAsia="sk-SK"/>
        </w:rPr>
        <w:t>zlepšenie podmienok odmeňovania, udržateľnosť príslušníkov</w:t>
      </w:r>
      <w:r w:rsidR="00611790">
        <w:rPr>
          <w:lang w:eastAsia="sk-SK"/>
        </w:rPr>
        <w:t xml:space="preserve"> v zbore</w:t>
      </w:r>
      <w:r>
        <w:rPr>
          <w:lang w:eastAsia="sk-SK"/>
        </w:rPr>
        <w:t>, ako aj nábor nových zamestnancov.</w:t>
      </w:r>
      <w:r w:rsidRPr="00EF721E">
        <w:rPr>
          <w:lang w:eastAsia="sk-SK"/>
        </w:rPr>
        <w:t xml:space="preserve"> Príspevky sa zav</w:t>
      </w:r>
      <w:r>
        <w:rPr>
          <w:lang w:eastAsia="sk-SK"/>
        </w:rPr>
        <w:t>iedli</w:t>
      </w:r>
      <w:r w:rsidRPr="00EF721E">
        <w:rPr>
          <w:lang w:eastAsia="sk-SK"/>
        </w:rPr>
        <w:t xml:space="preserve"> aj pre ozbrojených príslušníkov finančnej správy,</w:t>
      </w:r>
      <w:r>
        <w:rPr>
          <w:lang w:eastAsia="sk-SK"/>
        </w:rPr>
        <w:t xml:space="preserve"> </w:t>
      </w:r>
      <w:r w:rsidR="008B0C7B">
        <w:rPr>
          <w:lang w:eastAsia="sk-SK"/>
        </w:rPr>
        <w:t>p</w:t>
      </w:r>
      <w:r w:rsidRPr="0016486A">
        <w:t>ričom účinnosť zmeny zákona bola platná od</w:t>
      </w:r>
      <w:r w:rsidR="0021002F">
        <w:t> </w:t>
      </w:r>
      <w:r w:rsidRPr="0016486A">
        <w:t>1.8.2024.</w:t>
      </w:r>
      <w:r>
        <w:t xml:space="preserve"> </w:t>
      </w:r>
    </w:p>
    <w:p w14:paraId="2BDC1D11" w14:textId="2C104967" w:rsidR="008A3991" w:rsidRDefault="008A3991" w:rsidP="001145AB">
      <w:pPr>
        <w:spacing w:after="120" w:line="240" w:lineRule="auto"/>
        <w:jc w:val="both"/>
        <w:rPr>
          <w:lang w:eastAsia="sk-SK"/>
        </w:rPr>
      </w:pPr>
      <w:r w:rsidRPr="008A3991">
        <w:rPr>
          <w:lang w:eastAsia="sk-SK"/>
        </w:rPr>
        <w:t xml:space="preserve">Najväčší vplyv na rast mzdových nákladov </w:t>
      </w:r>
      <w:r w:rsidR="0003445F">
        <w:rPr>
          <w:lang w:eastAsia="sk-SK"/>
        </w:rPr>
        <w:t>v </w:t>
      </w:r>
      <w:r w:rsidR="0003445F" w:rsidRPr="0003445F">
        <w:rPr>
          <w:b/>
          <w:bCs/>
          <w:i/>
          <w:iCs/>
          <w:lang w:eastAsia="sk-SK"/>
        </w:rPr>
        <w:t>zdravotníckych zariadeniach</w:t>
      </w:r>
      <w:r w:rsidR="0003445F">
        <w:rPr>
          <w:lang w:eastAsia="sk-SK"/>
        </w:rPr>
        <w:t xml:space="preserve"> </w:t>
      </w:r>
      <w:r w:rsidRPr="008A3991">
        <w:rPr>
          <w:lang w:eastAsia="sk-SK"/>
        </w:rPr>
        <w:t>mala novela zákona č.</w:t>
      </w:r>
      <w:r w:rsidR="008B4345">
        <w:rPr>
          <w:lang w:eastAsia="sk-SK"/>
        </w:rPr>
        <w:t> </w:t>
      </w:r>
      <w:r w:rsidRPr="008A3991">
        <w:rPr>
          <w:lang w:eastAsia="sk-SK"/>
        </w:rPr>
        <w:t>578/2004</w:t>
      </w:r>
      <w:r w:rsidR="008B4345">
        <w:rPr>
          <w:lang w:eastAsia="sk-SK"/>
        </w:rPr>
        <w:t> </w:t>
      </w:r>
      <w:r w:rsidR="00C50041">
        <w:rPr>
          <w:lang w:eastAsia="sk-SK"/>
        </w:rPr>
        <w:t>Z.</w:t>
      </w:r>
      <w:r w:rsidR="0021002F">
        <w:rPr>
          <w:lang w:eastAsia="sk-SK"/>
        </w:rPr>
        <w:t> </w:t>
      </w:r>
      <w:r w:rsidR="00C50041">
        <w:rPr>
          <w:lang w:eastAsia="sk-SK"/>
        </w:rPr>
        <w:t>z.</w:t>
      </w:r>
      <w:r w:rsidR="0021002F">
        <w:rPr>
          <w:lang w:eastAsia="sk-SK"/>
        </w:rPr>
        <w:t xml:space="preserve"> </w:t>
      </w:r>
      <w:r w:rsidR="00615B0B" w:rsidRPr="00615B0B">
        <w:rPr>
          <w:lang w:eastAsia="sk-SK"/>
        </w:rPr>
        <w:t>o poskytovateľoch zdravotnej starostlivosti, zdravotníckych pracovníkoch, stavovských organizáciách v zdravotníctve a o zmene a doplnení niektorých zákonov</w:t>
      </w:r>
      <w:r w:rsidRPr="008A3991">
        <w:rPr>
          <w:lang w:eastAsia="sk-SK"/>
        </w:rPr>
        <w:t xml:space="preserve">, ktorá garantuje navýšenie základných </w:t>
      </w:r>
      <w:r w:rsidR="00C50041" w:rsidRPr="00C50041">
        <w:rPr>
          <w:lang w:eastAsia="sk-SK"/>
        </w:rPr>
        <w:t xml:space="preserve">hrubých </w:t>
      </w:r>
      <w:r w:rsidRPr="008A3991">
        <w:rPr>
          <w:lang w:eastAsia="sk-SK"/>
        </w:rPr>
        <w:t xml:space="preserve">miezd </w:t>
      </w:r>
      <w:r w:rsidR="00C50041" w:rsidRPr="00C50041">
        <w:rPr>
          <w:lang w:eastAsia="sk-SK"/>
        </w:rPr>
        <w:t>všetkých zdravotníkov v ústavných zdravotníckych zariadeniach a</w:t>
      </w:r>
      <w:r w:rsidR="00041EA0">
        <w:rPr>
          <w:lang w:eastAsia="sk-SK"/>
        </w:rPr>
        <w:t> </w:t>
      </w:r>
      <w:r w:rsidR="00C50041" w:rsidRPr="00C50041">
        <w:rPr>
          <w:lang w:eastAsia="sk-SK"/>
        </w:rPr>
        <w:t>v</w:t>
      </w:r>
      <w:r w:rsidR="00041EA0">
        <w:rPr>
          <w:lang w:eastAsia="sk-SK"/>
        </w:rPr>
        <w:t> </w:t>
      </w:r>
      <w:r w:rsidR="00C50041" w:rsidRPr="00C50041">
        <w:rPr>
          <w:lang w:eastAsia="sk-SK"/>
        </w:rPr>
        <w:t>ambulanciách záchrannej zdravotnej služby</w:t>
      </w:r>
      <w:r w:rsidR="00C50041">
        <w:rPr>
          <w:lang w:eastAsia="sk-SK"/>
        </w:rPr>
        <w:t xml:space="preserve"> </w:t>
      </w:r>
      <w:r w:rsidRPr="008A3991">
        <w:rPr>
          <w:lang w:eastAsia="sk-SK"/>
        </w:rPr>
        <w:t xml:space="preserve">spolu s ohľadom na odpracované roky, ďalej to </w:t>
      </w:r>
      <w:r w:rsidR="0003445F">
        <w:rPr>
          <w:lang w:eastAsia="sk-SK"/>
        </w:rPr>
        <w:t xml:space="preserve">bol vplyv </w:t>
      </w:r>
      <w:r w:rsidRPr="008A3991">
        <w:rPr>
          <w:lang w:eastAsia="sk-SK"/>
        </w:rPr>
        <w:t>zvýšeni</w:t>
      </w:r>
      <w:r w:rsidR="0003445F">
        <w:rPr>
          <w:lang w:eastAsia="sk-SK"/>
        </w:rPr>
        <w:t>a</w:t>
      </w:r>
      <w:r w:rsidRPr="008A3991">
        <w:rPr>
          <w:lang w:eastAsia="sk-SK"/>
        </w:rPr>
        <w:t xml:space="preserve"> minimálnej mzdy a úprava miezd u nezdravotníckych pracovníkov.</w:t>
      </w:r>
      <w:r w:rsidR="0003445F" w:rsidRPr="0003445F">
        <w:t xml:space="preserve"> </w:t>
      </w:r>
      <w:r w:rsidR="0003445F">
        <w:rPr>
          <w:lang w:eastAsia="sk-SK"/>
        </w:rPr>
        <w:t>Keďže sa zvýšila minimálna mzda, nadväzne sa zvyšujú aj príplatky za nočnú prácu, prácu počas víkendu, sviatkov, či príplatok za nadčas</w:t>
      </w:r>
      <w:r w:rsidR="00A31BFA">
        <w:rPr>
          <w:lang w:eastAsia="sk-SK"/>
        </w:rPr>
        <w:t>.</w:t>
      </w:r>
    </w:p>
    <w:p w14:paraId="78707028" w14:textId="2166310F" w:rsidR="00C50041" w:rsidRDefault="00C50041" w:rsidP="001145AB">
      <w:pPr>
        <w:spacing w:after="120" w:line="240" w:lineRule="auto"/>
        <w:jc w:val="both"/>
        <w:rPr>
          <w:lang w:eastAsia="sk-SK"/>
        </w:rPr>
      </w:pPr>
      <w:r w:rsidRPr="002851E5">
        <w:rPr>
          <w:lang w:eastAsia="sk-SK"/>
        </w:rPr>
        <w:t>Kompenzácie zamestnancov aj v roku 2024 ovplyvnil</w:t>
      </w:r>
      <w:r w:rsidR="00BA2CDA" w:rsidRPr="002851E5">
        <w:rPr>
          <w:lang w:eastAsia="sk-SK"/>
        </w:rPr>
        <w:t>o akruálne zaznamenanie</w:t>
      </w:r>
      <w:r w:rsidRPr="002851E5">
        <w:rPr>
          <w:lang w:eastAsia="sk-SK"/>
        </w:rPr>
        <w:t xml:space="preserve"> poskytnut</w:t>
      </w:r>
      <w:r w:rsidR="00BA2CDA" w:rsidRPr="002851E5">
        <w:rPr>
          <w:lang w:eastAsia="sk-SK"/>
        </w:rPr>
        <w:t>ých</w:t>
      </w:r>
      <w:r w:rsidRPr="002851E5">
        <w:rPr>
          <w:lang w:eastAsia="sk-SK"/>
        </w:rPr>
        <w:t xml:space="preserve"> tzv.</w:t>
      </w:r>
      <w:r w:rsidR="0021002F">
        <w:rPr>
          <w:lang w:eastAsia="sk-SK"/>
        </w:rPr>
        <w:t> </w:t>
      </w:r>
      <w:r w:rsidRPr="002851E5">
        <w:rPr>
          <w:lang w:eastAsia="sk-SK"/>
        </w:rPr>
        <w:t>stabilizačn</w:t>
      </w:r>
      <w:r w:rsidR="00BA2CDA" w:rsidRPr="002851E5">
        <w:rPr>
          <w:lang w:eastAsia="sk-SK"/>
        </w:rPr>
        <w:t>ých</w:t>
      </w:r>
      <w:r w:rsidRPr="002851E5">
        <w:rPr>
          <w:lang w:eastAsia="sk-SK"/>
        </w:rPr>
        <w:t xml:space="preserve"> príspevk</w:t>
      </w:r>
      <w:r w:rsidR="00BA2CDA" w:rsidRPr="002851E5">
        <w:rPr>
          <w:lang w:eastAsia="sk-SK"/>
        </w:rPr>
        <w:t>ov</w:t>
      </w:r>
      <w:r w:rsidRPr="002851E5">
        <w:rPr>
          <w:rStyle w:val="Odkaznapoznmkupodiarou"/>
          <w:lang w:eastAsia="sk-SK"/>
        </w:rPr>
        <w:footnoteReference w:id="11"/>
      </w:r>
      <w:r w:rsidRPr="002851E5">
        <w:rPr>
          <w:lang w:eastAsia="sk-SK"/>
        </w:rPr>
        <w:t xml:space="preserve"> pre zamestnancov (t. j. zdravotníckych pracovníkov v rámci ústavnej zdravotnej starostlivosti a ambulancií záchrannej zdravotnej služby) zdravotníckych zariadení</w:t>
      </w:r>
      <w:r w:rsidR="0003445F" w:rsidRPr="002851E5">
        <w:rPr>
          <w:lang w:eastAsia="sk-SK"/>
        </w:rPr>
        <w:t xml:space="preserve"> ústrednej správy aj územnej samosprávy</w:t>
      </w:r>
      <w:r w:rsidRPr="002851E5">
        <w:rPr>
          <w:lang w:eastAsia="sk-SK"/>
        </w:rPr>
        <w:t xml:space="preserve"> v pomernej výške 39 158 tis. eur. </w:t>
      </w:r>
      <w:r w:rsidR="00BA2CDA" w:rsidRPr="002851E5">
        <w:rPr>
          <w:lang w:eastAsia="sk-SK"/>
        </w:rPr>
        <w:t>Tieto príspevky sa už v</w:t>
      </w:r>
      <w:r w:rsidR="0021002F">
        <w:rPr>
          <w:lang w:eastAsia="sk-SK"/>
        </w:rPr>
        <w:t> </w:t>
      </w:r>
      <w:r w:rsidR="00354828">
        <w:rPr>
          <w:lang w:eastAsia="sk-SK"/>
        </w:rPr>
        <w:t>roku</w:t>
      </w:r>
      <w:r w:rsidR="0021002F">
        <w:rPr>
          <w:lang w:eastAsia="sk-SK"/>
        </w:rPr>
        <w:t> </w:t>
      </w:r>
      <w:r w:rsidR="00BA2CDA" w:rsidRPr="002851E5">
        <w:rPr>
          <w:lang w:eastAsia="sk-SK"/>
        </w:rPr>
        <w:t>2024 hotovostne nevyplácali</w:t>
      </w:r>
      <w:r w:rsidR="003C3769" w:rsidRPr="002851E5">
        <w:rPr>
          <w:lang w:eastAsia="sk-SK"/>
        </w:rPr>
        <w:t xml:space="preserve"> (boli vyplatené v roku 2022)</w:t>
      </w:r>
      <w:r w:rsidR="00BA2CDA" w:rsidRPr="002851E5">
        <w:rPr>
          <w:lang w:eastAsia="sk-SK"/>
        </w:rPr>
        <w:t>, ale akruálne sa výdavky zaznamenali v</w:t>
      </w:r>
      <w:r w:rsidR="00E523BC" w:rsidRPr="002851E5">
        <w:rPr>
          <w:lang w:eastAsia="sk-SK"/>
        </w:rPr>
        <w:t> </w:t>
      </w:r>
      <w:r w:rsidR="00BA2CDA" w:rsidRPr="002851E5">
        <w:rPr>
          <w:lang w:eastAsia="sk-SK"/>
        </w:rPr>
        <w:t>obdobiach</w:t>
      </w:r>
      <w:r w:rsidR="00E523BC" w:rsidRPr="002851E5">
        <w:rPr>
          <w:lang w:eastAsia="sk-SK"/>
        </w:rPr>
        <w:t>,</w:t>
      </w:r>
      <w:r w:rsidR="00BA2CDA" w:rsidRPr="002851E5">
        <w:rPr>
          <w:lang w:eastAsia="sk-SK"/>
        </w:rPr>
        <w:t xml:space="preserve"> ku</w:t>
      </w:r>
      <w:r w:rsidR="0021002F">
        <w:rPr>
          <w:lang w:eastAsia="sk-SK"/>
        </w:rPr>
        <w:t> </w:t>
      </w:r>
      <w:r w:rsidR="00BA2CDA" w:rsidRPr="002851E5">
        <w:rPr>
          <w:lang w:eastAsia="sk-SK"/>
        </w:rPr>
        <w:t xml:space="preserve">ktorým prislúchajú. </w:t>
      </w:r>
      <w:r w:rsidR="003C3769" w:rsidRPr="002851E5">
        <w:rPr>
          <w:lang w:eastAsia="sk-SK"/>
        </w:rPr>
        <w:t>V zmysle dohody o poskytnutí stabilizačného príspevku sa zamestnanec zaviazal, že</w:t>
      </w:r>
      <w:r w:rsidR="0021002F">
        <w:rPr>
          <w:lang w:eastAsia="sk-SK"/>
        </w:rPr>
        <w:t> </w:t>
      </w:r>
      <w:r w:rsidR="003C3769" w:rsidRPr="002851E5">
        <w:rPr>
          <w:lang w:eastAsia="sk-SK"/>
        </w:rPr>
        <w:t>zotrvá v</w:t>
      </w:r>
      <w:r w:rsidR="00041EA0">
        <w:rPr>
          <w:lang w:eastAsia="sk-SK"/>
        </w:rPr>
        <w:t> </w:t>
      </w:r>
      <w:r w:rsidR="003C3769" w:rsidRPr="002851E5">
        <w:rPr>
          <w:lang w:eastAsia="sk-SK"/>
        </w:rPr>
        <w:t>pracovnom pomere nepretržite počas troch rokov, preto výdavok zdravotníckych zariadení v</w:t>
      </w:r>
      <w:r w:rsidR="0021002F">
        <w:rPr>
          <w:lang w:eastAsia="sk-SK"/>
        </w:rPr>
        <w:t> </w:t>
      </w:r>
      <w:r w:rsidR="003C3769" w:rsidRPr="002851E5">
        <w:rPr>
          <w:lang w:eastAsia="sk-SK"/>
        </w:rPr>
        <w:t>sektore verejnej správy b</w:t>
      </w:r>
      <w:r w:rsidR="00E523BC" w:rsidRPr="002851E5">
        <w:rPr>
          <w:lang w:eastAsia="sk-SK"/>
        </w:rPr>
        <w:t>ol</w:t>
      </w:r>
      <w:r w:rsidR="003C3769" w:rsidRPr="002851E5">
        <w:rPr>
          <w:lang w:eastAsia="sk-SK"/>
        </w:rPr>
        <w:t xml:space="preserve"> rozložený na obdobie rokov 2023, 2024 a 2025 v pomernej časti</w:t>
      </w:r>
      <w:r w:rsidR="00E523BC" w:rsidRPr="002851E5">
        <w:rPr>
          <w:lang w:eastAsia="sk-SK"/>
        </w:rPr>
        <w:t>.</w:t>
      </w:r>
    </w:p>
    <w:p w14:paraId="2B59BB29" w14:textId="77777777" w:rsidR="000D5363" w:rsidRPr="000404E5" w:rsidRDefault="000D5363" w:rsidP="000D5363">
      <w:pPr>
        <w:keepNext/>
        <w:spacing w:after="120" w:line="240" w:lineRule="auto"/>
        <w:jc w:val="both"/>
        <w:rPr>
          <w:b/>
          <w:color w:val="4F81BD" w:themeColor="accent1"/>
          <w:szCs w:val="22"/>
        </w:rPr>
      </w:pPr>
      <w:r w:rsidRPr="000404E5">
        <w:rPr>
          <w:b/>
          <w:color w:val="4F81BD" w:themeColor="accent1"/>
          <w:sz w:val="24"/>
          <w:szCs w:val="24"/>
        </w:rPr>
        <w:t>Medzispotreba</w:t>
      </w:r>
    </w:p>
    <w:p w14:paraId="1FEB7796" w14:textId="7ABD5322" w:rsidR="00CB79D3" w:rsidRPr="00CB79D3" w:rsidRDefault="009A3759" w:rsidP="001145AB">
      <w:pPr>
        <w:spacing w:after="120" w:line="240" w:lineRule="auto"/>
        <w:jc w:val="both"/>
      </w:pPr>
      <w:r w:rsidRPr="000404E5">
        <w:t>Spotreba tovarov a služieb v rámci verejnej správy sa medziročne zvýšila o </w:t>
      </w:r>
      <w:r w:rsidR="000404E5" w:rsidRPr="000404E5">
        <w:t>11</w:t>
      </w:r>
      <w:r w:rsidRPr="000404E5">
        <w:t>,</w:t>
      </w:r>
      <w:r w:rsidR="000404E5" w:rsidRPr="000404E5">
        <w:t>2</w:t>
      </w:r>
      <w:r w:rsidRPr="000404E5">
        <w:t> % (nárast o </w:t>
      </w:r>
      <w:r w:rsidR="000404E5" w:rsidRPr="000404E5">
        <w:t>747</w:t>
      </w:r>
      <w:r w:rsidRPr="000404E5">
        <w:t> </w:t>
      </w:r>
      <w:r w:rsidR="000404E5" w:rsidRPr="000404E5">
        <w:t>283</w:t>
      </w:r>
      <w:r w:rsidRPr="000404E5">
        <w:t xml:space="preserve"> tis. eur), </w:t>
      </w:r>
      <w:r w:rsidRPr="00D80EE4">
        <w:t xml:space="preserve">čo bolo spôsobené predovšetkým </w:t>
      </w:r>
      <w:r w:rsidR="00CB79D3" w:rsidRPr="00D80EE4">
        <w:t xml:space="preserve">vplyvom </w:t>
      </w:r>
      <w:r w:rsidR="00CB79D3" w:rsidRPr="00D80EE4">
        <w:rPr>
          <w:u w:val="single"/>
        </w:rPr>
        <w:t>akrualizácie dlhodobých záväzkov</w:t>
      </w:r>
      <w:r w:rsidR="00CB79D3" w:rsidRPr="00D80EE4">
        <w:t xml:space="preserve"> z neuhradených investičných faktúr (najvýraznejšie zvýšenie zaznamenali obce</w:t>
      </w:r>
      <w:r w:rsidR="004D1529">
        <w:t xml:space="preserve"> </w:t>
      </w:r>
      <w:r w:rsidR="00CB79D3" w:rsidRPr="00D80EE4">
        <w:t xml:space="preserve">a ich </w:t>
      </w:r>
      <w:r w:rsidR="004D1529">
        <w:t xml:space="preserve">RO </w:t>
      </w:r>
      <w:r w:rsidR="00D80EE4" w:rsidRPr="00D80EE4">
        <w:t>o</w:t>
      </w:r>
      <w:r w:rsidR="004D1529">
        <w:t> </w:t>
      </w:r>
      <w:r w:rsidR="00D80EE4" w:rsidRPr="00D80EE4">
        <w:t>117 370 tis.</w:t>
      </w:r>
      <w:r w:rsidR="004D1529">
        <w:t> </w:t>
      </w:r>
      <w:r w:rsidR="00D80EE4" w:rsidRPr="00D80EE4">
        <w:t>eur</w:t>
      </w:r>
      <w:r w:rsidR="00CB79D3" w:rsidRPr="00D80EE4">
        <w:t>)</w:t>
      </w:r>
      <w:r w:rsidR="004D1529">
        <w:t xml:space="preserve">, </w:t>
      </w:r>
      <w:r w:rsidR="004D1529" w:rsidRPr="004D1529">
        <w:t xml:space="preserve">nárastom </w:t>
      </w:r>
      <w:r w:rsidR="004D1529" w:rsidRPr="004D1529">
        <w:rPr>
          <w:u w:val="single"/>
        </w:rPr>
        <w:t>výdavkov na školenia a výcvik</w:t>
      </w:r>
      <w:r w:rsidR="004D1529" w:rsidRPr="004D1529">
        <w:t xml:space="preserve"> </w:t>
      </w:r>
      <w:r w:rsidR="004D1529">
        <w:t>v kapitole</w:t>
      </w:r>
      <w:r w:rsidR="004D1529" w:rsidRPr="004D1529">
        <w:t xml:space="preserve"> MO SR o</w:t>
      </w:r>
      <w:r w:rsidR="00B74718">
        <w:t> </w:t>
      </w:r>
      <w:r w:rsidR="004D1529" w:rsidRPr="004D1529">
        <w:t>177</w:t>
      </w:r>
      <w:r w:rsidR="00B74718">
        <w:t> </w:t>
      </w:r>
      <w:r w:rsidR="004D1529" w:rsidRPr="004D1529">
        <w:t>614</w:t>
      </w:r>
      <w:r w:rsidR="00B74718">
        <w:t> </w:t>
      </w:r>
      <w:r w:rsidR="004D1529" w:rsidRPr="004D1529">
        <w:t>tis.</w:t>
      </w:r>
      <w:r w:rsidR="00B74718">
        <w:t> </w:t>
      </w:r>
      <w:r w:rsidR="004D1529" w:rsidRPr="004D1529">
        <w:t>eur</w:t>
      </w:r>
      <w:r w:rsidR="001145AB">
        <w:t xml:space="preserve"> </w:t>
      </w:r>
      <w:r w:rsidR="00D80EE4">
        <w:t xml:space="preserve">a vplyvom </w:t>
      </w:r>
      <w:r w:rsidR="00D80EE4" w:rsidRPr="001145AB">
        <w:rPr>
          <w:u w:val="single"/>
        </w:rPr>
        <w:t>akrualizácie výdavkov na opravy a údržbu</w:t>
      </w:r>
      <w:r w:rsidR="00D80EE4" w:rsidRPr="005F1A0D">
        <w:t xml:space="preserve"> stavieb a rýchlostných ciest</w:t>
      </w:r>
      <w:r w:rsidR="00D80EE4">
        <w:t xml:space="preserve"> (najviac v Národnej diaľničnej spoločnosti,</w:t>
      </w:r>
      <w:r w:rsidR="0021002F">
        <w:t> </w:t>
      </w:r>
      <w:r w:rsidR="00D80EE4">
        <w:t>a.</w:t>
      </w:r>
      <w:r w:rsidR="0021002F">
        <w:t> </w:t>
      </w:r>
      <w:r w:rsidR="00D80EE4">
        <w:t>s. o sumu 63 966 tis. eur.</w:t>
      </w:r>
    </w:p>
    <w:p w14:paraId="3946A2D9" w14:textId="308D362A" w:rsidR="009A3759" w:rsidRPr="005922C9" w:rsidRDefault="009A3759" w:rsidP="009A3759">
      <w:pPr>
        <w:spacing w:line="240" w:lineRule="auto"/>
        <w:jc w:val="both"/>
      </w:pPr>
      <w:r w:rsidRPr="005922C9">
        <w:t xml:space="preserve">Najvyšší nárast výdavkov na medzispotrebu vykázali tieto </w:t>
      </w:r>
      <w:r w:rsidR="000F1AF0" w:rsidRPr="005922C9">
        <w:t>subjekty/</w:t>
      </w:r>
      <w:r w:rsidRPr="005922C9">
        <w:t>zložky verejnej správy:</w:t>
      </w:r>
    </w:p>
    <w:p w14:paraId="24B5C73E" w14:textId="0E348F7A" w:rsidR="00B477A1" w:rsidRDefault="00B477A1" w:rsidP="006210BA">
      <w:pPr>
        <w:pStyle w:val="Odsekzoznamu"/>
        <w:numPr>
          <w:ilvl w:val="0"/>
          <w:numId w:val="13"/>
        </w:numPr>
        <w:spacing w:after="120"/>
        <w:ind w:left="425" w:hanging="357"/>
        <w:contextualSpacing w:val="0"/>
        <w:jc w:val="both"/>
      </w:pPr>
      <w:r w:rsidRPr="00B477A1">
        <w:rPr>
          <w:b/>
          <w:i/>
        </w:rPr>
        <w:t>Štátne rozpočtové organizácie o 333 384 tis. eur</w:t>
      </w:r>
      <w:r w:rsidRPr="00B477A1">
        <w:t xml:space="preserve"> – nárast výdavkov na medzispotrebu zaznamenal štátny rozpočet najmä na položke školenia, kurzy, semináre, porady, konferencie, sympóziá materiál u</w:t>
      </w:r>
      <w:r w:rsidR="0021002F">
        <w:t> </w:t>
      </w:r>
      <w:r w:rsidRPr="00B477A1">
        <w:t>Ministerstva obrany SR o </w:t>
      </w:r>
      <w:r w:rsidRPr="002851E5">
        <w:t xml:space="preserve">223 306 tis. eur. Na čerpaní tejto položky sa podieľali najmä výdavky </w:t>
      </w:r>
      <w:r w:rsidRPr="002851E5">
        <w:lastRenderedPageBreak/>
        <w:t>na</w:t>
      </w:r>
      <w:r w:rsidR="00041EA0">
        <w:t> </w:t>
      </w:r>
      <w:r w:rsidRPr="002851E5">
        <w:t>školenia, kurzy, semináre, výcvik pilotov na Slovensku aj v</w:t>
      </w:r>
      <w:r w:rsidRPr="00B477A1">
        <w:t> zahraničí, výdavky na</w:t>
      </w:r>
      <w:r w:rsidR="0021002F">
        <w:t> </w:t>
      </w:r>
      <w:r w:rsidRPr="00B477A1">
        <w:t>stravovanie, náhrady, dane, všeobecné a špeciálne služby, prídel do sociálneho fondu a špeciálnu podporu.</w:t>
      </w:r>
    </w:p>
    <w:p w14:paraId="6308FA9D" w14:textId="528F6C54" w:rsidR="00B15E94" w:rsidRPr="00094EB7" w:rsidRDefault="00B15E94" w:rsidP="006210BA">
      <w:pPr>
        <w:pStyle w:val="Odsekzoznamu"/>
        <w:numPr>
          <w:ilvl w:val="0"/>
          <w:numId w:val="13"/>
        </w:numPr>
        <w:spacing w:after="120"/>
        <w:ind w:left="425" w:hanging="357"/>
        <w:contextualSpacing w:val="0"/>
        <w:jc w:val="both"/>
      </w:pPr>
      <w:r w:rsidRPr="00094EB7">
        <w:rPr>
          <w:b/>
          <w:i/>
        </w:rPr>
        <w:t>Zdravotnícke zariadenia ústredné o 203 022 tis. eur</w:t>
      </w:r>
      <w:r w:rsidR="00094EB7" w:rsidRPr="00094EB7">
        <w:rPr>
          <w:b/>
          <w:i/>
        </w:rPr>
        <w:t xml:space="preserve"> - </w:t>
      </w:r>
      <w:r w:rsidR="00094EB7" w:rsidRPr="00094EB7">
        <w:rPr>
          <w:bCs/>
          <w:iCs/>
        </w:rPr>
        <w:t>nárast výdavkov oproti predchádzajúcemu roku zaznamenali v najväčšej miere výdavky na obstaranie všeobecného materiálu o 221</w:t>
      </w:r>
      <w:r w:rsidR="00CC2343">
        <w:rPr>
          <w:bCs/>
          <w:iCs/>
        </w:rPr>
        <w:t> </w:t>
      </w:r>
      <w:r w:rsidR="00094EB7" w:rsidRPr="00094EB7">
        <w:rPr>
          <w:bCs/>
          <w:iCs/>
        </w:rPr>
        <w:t>578</w:t>
      </w:r>
      <w:r w:rsidR="00CC2343">
        <w:rPr>
          <w:bCs/>
          <w:iCs/>
        </w:rPr>
        <w:t> </w:t>
      </w:r>
      <w:r w:rsidR="00094EB7" w:rsidRPr="00094EB7">
        <w:rPr>
          <w:bCs/>
          <w:iCs/>
        </w:rPr>
        <w:t>tis.</w:t>
      </w:r>
      <w:r w:rsidR="00CC2343">
        <w:rPr>
          <w:bCs/>
          <w:iCs/>
        </w:rPr>
        <w:t> </w:t>
      </w:r>
      <w:r w:rsidR="00094EB7" w:rsidRPr="00094EB7">
        <w:rPr>
          <w:bCs/>
          <w:iCs/>
        </w:rPr>
        <w:t>eur (predovšetkým na zdravotnícky materiál</w:t>
      </w:r>
      <w:r w:rsidR="00345597">
        <w:rPr>
          <w:bCs/>
          <w:iCs/>
        </w:rPr>
        <w:t xml:space="preserve"> a</w:t>
      </w:r>
      <w:r w:rsidR="0007739B">
        <w:rPr>
          <w:bCs/>
          <w:iCs/>
        </w:rPr>
        <w:t> </w:t>
      </w:r>
      <w:r w:rsidR="00345597">
        <w:rPr>
          <w:bCs/>
          <w:iCs/>
        </w:rPr>
        <w:t>lieky</w:t>
      </w:r>
      <w:r w:rsidR="0007739B">
        <w:rPr>
          <w:bCs/>
          <w:iCs/>
        </w:rPr>
        <w:t xml:space="preserve"> a taktiež aj</w:t>
      </w:r>
      <w:r w:rsidR="0007739B" w:rsidRPr="0007739B">
        <w:rPr>
          <w:bCs/>
          <w:iCs/>
        </w:rPr>
        <w:t xml:space="preserve"> z dôvodu úhrady </w:t>
      </w:r>
      <w:r w:rsidR="0007739B">
        <w:rPr>
          <w:bCs/>
          <w:iCs/>
        </w:rPr>
        <w:t xml:space="preserve">niektorých </w:t>
      </w:r>
      <w:r w:rsidR="0007739B" w:rsidRPr="0007739B">
        <w:rPr>
          <w:bCs/>
          <w:iCs/>
        </w:rPr>
        <w:t>záväzkov po</w:t>
      </w:r>
      <w:r w:rsidR="00041EA0">
        <w:rPr>
          <w:bCs/>
          <w:iCs/>
        </w:rPr>
        <w:t> </w:t>
      </w:r>
      <w:r w:rsidR="0007739B" w:rsidRPr="0007739B">
        <w:rPr>
          <w:bCs/>
          <w:iCs/>
        </w:rPr>
        <w:t>lehote splatnosti z minulých rokov</w:t>
      </w:r>
      <w:r w:rsidR="0007739B">
        <w:rPr>
          <w:bCs/>
          <w:iCs/>
        </w:rPr>
        <w:t xml:space="preserve"> súvisiacich s obstaraním zdravotníckeho materiálu a liekov)</w:t>
      </w:r>
      <w:r w:rsidR="0007739B" w:rsidRPr="0007739B">
        <w:rPr>
          <w:bCs/>
          <w:iCs/>
        </w:rPr>
        <w:t xml:space="preserve">. </w:t>
      </w:r>
      <w:r w:rsidR="00094EB7" w:rsidRPr="00094EB7">
        <w:rPr>
          <w:bCs/>
          <w:iCs/>
        </w:rPr>
        <w:t>A</w:t>
      </w:r>
      <w:r w:rsidR="0021002F">
        <w:rPr>
          <w:bCs/>
          <w:iCs/>
        </w:rPr>
        <w:t> </w:t>
      </w:r>
      <w:r w:rsidR="00094EB7" w:rsidRPr="00094EB7">
        <w:rPr>
          <w:bCs/>
          <w:iCs/>
        </w:rPr>
        <w:t>naopak došlo k poklesu výdavkov na energie o 22</w:t>
      </w:r>
      <w:r w:rsidR="00CC2343">
        <w:rPr>
          <w:bCs/>
          <w:iCs/>
        </w:rPr>
        <w:t> </w:t>
      </w:r>
      <w:r w:rsidR="00094EB7" w:rsidRPr="00094EB7">
        <w:rPr>
          <w:bCs/>
          <w:iCs/>
        </w:rPr>
        <w:t>006</w:t>
      </w:r>
      <w:r w:rsidR="00CC2343">
        <w:rPr>
          <w:bCs/>
          <w:iCs/>
        </w:rPr>
        <w:t> </w:t>
      </w:r>
      <w:r w:rsidR="00094EB7" w:rsidRPr="00094EB7">
        <w:rPr>
          <w:bCs/>
          <w:iCs/>
        </w:rPr>
        <w:t>tis.</w:t>
      </w:r>
      <w:r w:rsidR="00CC2343">
        <w:rPr>
          <w:bCs/>
          <w:iCs/>
        </w:rPr>
        <w:t> </w:t>
      </w:r>
      <w:r w:rsidR="00094EB7" w:rsidRPr="00094EB7">
        <w:rPr>
          <w:bCs/>
          <w:iCs/>
        </w:rPr>
        <w:t>eur.</w:t>
      </w:r>
      <w:r w:rsidR="003515FB" w:rsidRPr="003515FB">
        <w:rPr>
          <w:bCs/>
          <w:iCs/>
        </w:rPr>
        <w:t xml:space="preserve"> </w:t>
      </w:r>
      <w:r w:rsidR="0007739B">
        <w:rPr>
          <w:bCs/>
          <w:iCs/>
        </w:rPr>
        <w:t>Výdavky na medzispotrebu</w:t>
      </w:r>
      <w:r w:rsidR="003515FB" w:rsidRPr="00094EB7">
        <w:rPr>
          <w:bCs/>
          <w:iCs/>
        </w:rPr>
        <w:t xml:space="preserve"> vzrástli</w:t>
      </w:r>
      <w:r w:rsidR="003515FB">
        <w:rPr>
          <w:bCs/>
          <w:iCs/>
        </w:rPr>
        <w:t>, resp. poklesli</w:t>
      </w:r>
      <w:r w:rsidR="003515FB" w:rsidRPr="00094EB7">
        <w:rPr>
          <w:bCs/>
          <w:iCs/>
        </w:rPr>
        <w:t xml:space="preserve"> najmä v univerzitných a fakultných nemocniciach (napr. Fakultná nemocnica s poliklinikou Prešov, Univerzitná nemocnica Bratislava</w:t>
      </w:r>
      <w:r w:rsidR="003515FB">
        <w:rPr>
          <w:bCs/>
          <w:iCs/>
        </w:rPr>
        <w:t xml:space="preserve">, </w:t>
      </w:r>
      <w:r w:rsidR="003515FB" w:rsidRPr="00094EB7">
        <w:rPr>
          <w:bCs/>
          <w:iCs/>
        </w:rPr>
        <w:t xml:space="preserve">Fakultná nemocnica s poliklinikou </w:t>
      </w:r>
      <w:r w:rsidR="003515FB">
        <w:rPr>
          <w:bCs/>
          <w:iCs/>
        </w:rPr>
        <w:t>F.</w:t>
      </w:r>
      <w:r w:rsidR="0021002F">
        <w:rPr>
          <w:bCs/>
          <w:iCs/>
        </w:rPr>
        <w:t> </w:t>
      </w:r>
      <w:r w:rsidR="003515FB">
        <w:rPr>
          <w:bCs/>
          <w:iCs/>
        </w:rPr>
        <w:t>D.</w:t>
      </w:r>
      <w:r w:rsidR="0021002F">
        <w:rPr>
          <w:bCs/>
          <w:iCs/>
        </w:rPr>
        <w:t> </w:t>
      </w:r>
      <w:r w:rsidR="003515FB">
        <w:rPr>
          <w:bCs/>
          <w:iCs/>
        </w:rPr>
        <w:t>Roosevelta Banská Bystrica</w:t>
      </w:r>
      <w:r w:rsidR="00690750">
        <w:rPr>
          <w:bCs/>
          <w:iCs/>
        </w:rPr>
        <w:t>, Univerzitná nemocnica Martin, Univerzitná nemocnica L.</w:t>
      </w:r>
      <w:r w:rsidR="0021002F">
        <w:rPr>
          <w:bCs/>
          <w:iCs/>
        </w:rPr>
        <w:t> </w:t>
      </w:r>
      <w:r w:rsidR="00690750">
        <w:rPr>
          <w:bCs/>
          <w:iCs/>
        </w:rPr>
        <w:t>Pasteura Košice</w:t>
      </w:r>
      <w:r w:rsidR="003515FB" w:rsidRPr="00094EB7">
        <w:rPr>
          <w:bCs/>
          <w:iCs/>
        </w:rPr>
        <w:t xml:space="preserve"> a pod.).</w:t>
      </w:r>
    </w:p>
    <w:p w14:paraId="6EC0611A" w14:textId="77777777" w:rsidR="009A3759" w:rsidRDefault="009A3759" w:rsidP="009A3759">
      <w:pPr>
        <w:spacing w:after="120" w:line="240" w:lineRule="auto"/>
        <w:jc w:val="both"/>
        <w:rPr>
          <w:szCs w:val="22"/>
        </w:rPr>
      </w:pPr>
      <w:r w:rsidRPr="009A27EC">
        <w:rPr>
          <w:szCs w:val="22"/>
        </w:rPr>
        <w:t>Medziročný nárast výdavkov na medzispotrebu bol eliminovaný poklesom výdavkov predovšetkým v týchto dvoch zložkách:</w:t>
      </w:r>
    </w:p>
    <w:p w14:paraId="7DAEA2BC" w14:textId="01B7C319" w:rsidR="009A27EC" w:rsidRPr="0085485E" w:rsidRDefault="00820AB4" w:rsidP="006210BA">
      <w:pPr>
        <w:pStyle w:val="Odsekzoznamu"/>
        <w:numPr>
          <w:ilvl w:val="0"/>
          <w:numId w:val="13"/>
        </w:numPr>
        <w:tabs>
          <w:tab w:val="left" w:pos="1276"/>
        </w:tabs>
        <w:spacing w:after="120"/>
        <w:ind w:left="425" w:hanging="357"/>
        <w:jc w:val="both"/>
      </w:pPr>
      <w:r>
        <w:rPr>
          <w:b/>
          <w:i/>
        </w:rPr>
        <w:t>Štátne rozpočtové organizácie a ich samostatné</w:t>
      </w:r>
      <w:r w:rsidRPr="006E4563">
        <w:rPr>
          <w:b/>
          <w:i/>
        </w:rPr>
        <w:t xml:space="preserve"> </w:t>
      </w:r>
      <w:r w:rsidR="009A27EC" w:rsidRPr="006E4563">
        <w:rPr>
          <w:b/>
          <w:i/>
        </w:rPr>
        <w:t xml:space="preserve">účty o 94 058 tis. eur – </w:t>
      </w:r>
      <w:r w:rsidR="0085485E" w:rsidRPr="0085485E">
        <w:t>najvä</w:t>
      </w:r>
      <w:r w:rsidR="0085485E">
        <w:t>čší pokles výdavkov na</w:t>
      </w:r>
      <w:r w:rsidR="00041EA0">
        <w:t> </w:t>
      </w:r>
      <w:r>
        <w:t xml:space="preserve">samostatných </w:t>
      </w:r>
      <w:r w:rsidR="0085485E">
        <w:t>účtoch v celkovej sume 8</w:t>
      </w:r>
      <w:r w:rsidR="00C17858">
        <w:t>3</w:t>
      </w:r>
      <w:r w:rsidR="0085485E">
        <w:t> </w:t>
      </w:r>
      <w:r w:rsidR="00C17858">
        <w:t>872</w:t>
      </w:r>
      <w:r w:rsidR="0085485E">
        <w:t xml:space="preserve"> tis. eur zaznamenalo Ministerstvo </w:t>
      </w:r>
      <w:r w:rsidR="00DC3E4E">
        <w:t>obrany</w:t>
      </w:r>
      <w:r w:rsidR="0021002F">
        <w:t> </w:t>
      </w:r>
      <w:r w:rsidR="00DC3E4E">
        <w:t>SR</w:t>
      </w:r>
      <w:r w:rsidR="0085485E">
        <w:t xml:space="preserve"> na</w:t>
      </w:r>
      <w:r w:rsidR="00041EA0">
        <w:t> </w:t>
      </w:r>
      <w:r w:rsidR="0085485E">
        <w:t>položke d</w:t>
      </w:r>
      <w:r w:rsidR="0085485E" w:rsidRPr="0085485E">
        <w:t>aň z pridanej hodnoty</w:t>
      </w:r>
      <w:r w:rsidR="0085485E">
        <w:t xml:space="preserve">. </w:t>
      </w:r>
      <w:r w:rsidR="0085485E" w:rsidRPr="0085485E">
        <w:t>Na tejto podpoložke subjekty verejnej správy klasifikujú úhradu DPH na obstaranie tovarov a služieb v rámci výkonu predmetu činnosti.</w:t>
      </w:r>
    </w:p>
    <w:p w14:paraId="6798CF59" w14:textId="2407E9AA" w:rsidR="003D3577" w:rsidRPr="00C55988" w:rsidRDefault="009A27EC" w:rsidP="006210BA">
      <w:pPr>
        <w:pStyle w:val="Odsekzoznamu"/>
        <w:numPr>
          <w:ilvl w:val="0"/>
          <w:numId w:val="13"/>
        </w:numPr>
        <w:spacing w:after="120"/>
        <w:ind w:left="425" w:hanging="357"/>
        <w:contextualSpacing w:val="0"/>
        <w:jc w:val="both"/>
        <w:rPr>
          <w:b/>
          <w:color w:val="0070C0"/>
          <w:sz w:val="24"/>
          <w:szCs w:val="24"/>
        </w:rPr>
      </w:pPr>
      <w:r w:rsidRPr="00C55988">
        <w:rPr>
          <w:b/>
          <w:i/>
        </w:rPr>
        <w:t xml:space="preserve">Dopravné podniky o 49 210 tis. eur </w:t>
      </w:r>
      <w:r w:rsidR="009A3759" w:rsidRPr="00C55988">
        <w:t xml:space="preserve">– </w:t>
      </w:r>
      <w:r w:rsidR="003D3577" w:rsidRPr="00C55988">
        <w:t>medziročne sa ušetrilo na výdavkoch na energie</w:t>
      </w:r>
      <w:r w:rsidR="00C55988" w:rsidRPr="00C55988">
        <w:t>,</w:t>
      </w:r>
      <w:r w:rsidR="003D3577" w:rsidRPr="00C55988">
        <w:t xml:space="preserve"> komunikačnú infraštruktúru </w:t>
      </w:r>
      <w:bookmarkStart w:id="39" w:name="_Hlk211424683"/>
      <w:r w:rsidR="00C55988" w:rsidRPr="00C55988">
        <w:t>a znížili sa náklady na údržbu a opravy súvisiace s dopravou a na pomocný materiál</w:t>
      </w:r>
      <w:r w:rsidR="00C55988">
        <w:t>.</w:t>
      </w:r>
    </w:p>
    <w:p w14:paraId="0058015C" w14:textId="0DF71E5E" w:rsidR="002F1D21" w:rsidRPr="006E4563" w:rsidRDefault="002F1D21" w:rsidP="006E4563">
      <w:pPr>
        <w:spacing w:before="120" w:after="120"/>
        <w:jc w:val="both"/>
        <w:rPr>
          <w:b/>
          <w:color w:val="0070C0"/>
          <w:sz w:val="24"/>
          <w:szCs w:val="24"/>
        </w:rPr>
      </w:pPr>
      <w:r w:rsidRPr="006E4563">
        <w:rPr>
          <w:b/>
          <w:color w:val="4F81BD" w:themeColor="accent1"/>
          <w:sz w:val="24"/>
          <w:szCs w:val="24"/>
        </w:rPr>
        <w:t>Subvencie</w:t>
      </w:r>
    </w:p>
    <w:p w14:paraId="6CECBEEE" w14:textId="0AA01ECA" w:rsidR="009A3759" w:rsidRPr="00174C84" w:rsidRDefault="009A3759" w:rsidP="006210BA">
      <w:pPr>
        <w:spacing w:after="120" w:line="240" w:lineRule="auto"/>
        <w:jc w:val="both"/>
        <w:rPr>
          <w:highlight w:val="yellow"/>
          <w:lang w:eastAsia="sk-SK"/>
        </w:rPr>
      </w:pPr>
      <w:r w:rsidRPr="000404E5">
        <w:rPr>
          <w:szCs w:val="22"/>
        </w:rPr>
        <w:t>Celkové subvencie</w:t>
      </w:r>
      <w:r w:rsidRPr="000404E5">
        <w:rPr>
          <w:rStyle w:val="Odkaznapoznmkupodiarou"/>
          <w:szCs w:val="22"/>
        </w:rPr>
        <w:footnoteReference w:id="12"/>
      </w:r>
      <w:r w:rsidRPr="000404E5">
        <w:rPr>
          <w:szCs w:val="22"/>
        </w:rPr>
        <w:t xml:space="preserve"> </w:t>
      </w:r>
      <w:r w:rsidR="000404E5">
        <w:rPr>
          <w:szCs w:val="22"/>
        </w:rPr>
        <w:t>pokles</w:t>
      </w:r>
      <w:r w:rsidRPr="000404E5">
        <w:rPr>
          <w:szCs w:val="22"/>
        </w:rPr>
        <w:t>li o</w:t>
      </w:r>
      <w:r w:rsidR="000404E5">
        <w:rPr>
          <w:szCs w:val="22"/>
        </w:rPr>
        <w:t> 47,0</w:t>
      </w:r>
      <w:r w:rsidRPr="000404E5">
        <w:rPr>
          <w:szCs w:val="22"/>
        </w:rPr>
        <w:t xml:space="preserve"> %, čo predstavovalo </w:t>
      </w:r>
      <w:r w:rsidR="000404E5">
        <w:rPr>
          <w:szCs w:val="22"/>
        </w:rPr>
        <w:t>pokles</w:t>
      </w:r>
      <w:r w:rsidRPr="000404E5">
        <w:rPr>
          <w:szCs w:val="22"/>
        </w:rPr>
        <w:t xml:space="preserve"> o </w:t>
      </w:r>
      <w:r w:rsidR="000404E5">
        <w:rPr>
          <w:szCs w:val="22"/>
        </w:rPr>
        <w:t>1</w:t>
      </w:r>
      <w:r w:rsidRPr="000404E5">
        <w:rPr>
          <w:szCs w:val="22"/>
        </w:rPr>
        <w:t> 9</w:t>
      </w:r>
      <w:r w:rsidR="000404E5">
        <w:rPr>
          <w:szCs w:val="22"/>
        </w:rPr>
        <w:t>65</w:t>
      </w:r>
      <w:r w:rsidRPr="000404E5">
        <w:rPr>
          <w:szCs w:val="22"/>
        </w:rPr>
        <w:t> </w:t>
      </w:r>
      <w:r w:rsidR="000404E5">
        <w:rPr>
          <w:szCs w:val="22"/>
        </w:rPr>
        <w:t>917</w:t>
      </w:r>
      <w:r w:rsidRPr="000404E5">
        <w:rPr>
          <w:szCs w:val="22"/>
        </w:rPr>
        <w:t xml:space="preserve"> tis. eur. </w:t>
      </w:r>
      <w:r w:rsidRPr="00294626">
        <w:rPr>
          <w:szCs w:val="22"/>
        </w:rPr>
        <w:t xml:space="preserve">Najvýznamnejší </w:t>
      </w:r>
      <w:r w:rsidR="0024110A">
        <w:rPr>
          <w:szCs w:val="22"/>
        </w:rPr>
        <w:t xml:space="preserve">medziročný </w:t>
      </w:r>
      <w:r w:rsidR="00294626" w:rsidRPr="00294626">
        <w:rPr>
          <w:szCs w:val="22"/>
        </w:rPr>
        <w:t>pokles</w:t>
      </w:r>
      <w:r w:rsidRPr="00294626">
        <w:rPr>
          <w:szCs w:val="22"/>
        </w:rPr>
        <w:t xml:space="preserve"> </w:t>
      </w:r>
      <w:r w:rsidRPr="00294626">
        <w:rPr>
          <w:lang w:eastAsia="sk-SK"/>
        </w:rPr>
        <w:t xml:space="preserve">zaznamenali </w:t>
      </w:r>
      <w:r w:rsidRPr="00294626">
        <w:rPr>
          <w:u w:val="single"/>
          <w:lang w:eastAsia="sk-SK"/>
        </w:rPr>
        <w:t>ostatné subvencie</w:t>
      </w:r>
      <w:r w:rsidRPr="00294626">
        <w:rPr>
          <w:lang w:eastAsia="sk-SK"/>
        </w:rPr>
        <w:t xml:space="preserve"> o 2 </w:t>
      </w:r>
      <w:r w:rsidR="00294626" w:rsidRPr="00294626">
        <w:rPr>
          <w:lang w:eastAsia="sk-SK"/>
        </w:rPr>
        <w:t>036</w:t>
      </w:r>
      <w:r w:rsidRPr="00294626">
        <w:rPr>
          <w:lang w:eastAsia="sk-SK"/>
        </w:rPr>
        <w:t> 1</w:t>
      </w:r>
      <w:r w:rsidR="00294626" w:rsidRPr="00294626">
        <w:rPr>
          <w:lang w:eastAsia="sk-SK"/>
        </w:rPr>
        <w:t>79</w:t>
      </w:r>
      <w:r w:rsidRPr="00294626">
        <w:rPr>
          <w:lang w:eastAsia="sk-SK"/>
        </w:rPr>
        <w:t> tis. </w:t>
      </w:r>
      <w:r w:rsidR="00771BB3" w:rsidRPr="00294626">
        <w:rPr>
          <w:lang w:eastAsia="sk-SK"/>
        </w:rPr>
        <w:t>eur</w:t>
      </w:r>
      <w:r w:rsidR="00294626" w:rsidRPr="00F90425">
        <w:rPr>
          <w:lang w:eastAsia="sk-SK"/>
        </w:rPr>
        <w:t>,</w:t>
      </w:r>
      <w:r w:rsidRPr="00F90425">
        <w:rPr>
          <w:lang w:eastAsia="sk-SK"/>
        </w:rPr>
        <w:t xml:space="preserve"> v rámci ktorých zaznamenali </w:t>
      </w:r>
      <w:r w:rsidR="0024110A">
        <w:rPr>
          <w:lang w:eastAsia="sk-SK"/>
        </w:rPr>
        <w:t xml:space="preserve">najväčší </w:t>
      </w:r>
      <w:r w:rsidR="00F90425" w:rsidRPr="00F90425">
        <w:rPr>
          <w:lang w:eastAsia="sk-SK"/>
        </w:rPr>
        <w:t>pokles</w:t>
      </w:r>
      <w:r w:rsidRPr="00F90425">
        <w:rPr>
          <w:lang w:eastAsia="sk-SK"/>
        </w:rPr>
        <w:t xml:space="preserve"> </w:t>
      </w:r>
      <w:r w:rsidRPr="00B94DE0">
        <w:rPr>
          <w:u w:val="single"/>
          <w:lang w:eastAsia="sk-SK"/>
        </w:rPr>
        <w:t>subvencie na energopomoc</w:t>
      </w:r>
      <w:r w:rsidR="0024110A">
        <w:rPr>
          <w:lang w:eastAsia="sk-SK"/>
        </w:rPr>
        <w:t>.</w:t>
      </w:r>
    </w:p>
    <w:p w14:paraId="4226A4F8" w14:textId="29C086D4" w:rsidR="009A3759" w:rsidRPr="00174C84" w:rsidRDefault="009A3759" w:rsidP="006210BA">
      <w:pPr>
        <w:spacing w:after="120" w:line="240" w:lineRule="auto"/>
        <w:jc w:val="both"/>
        <w:rPr>
          <w:szCs w:val="22"/>
          <w:highlight w:val="yellow"/>
        </w:rPr>
      </w:pPr>
      <w:r w:rsidRPr="006913AD">
        <w:rPr>
          <w:szCs w:val="22"/>
        </w:rPr>
        <w:t>V roku 202</w:t>
      </w:r>
      <w:r w:rsidR="00913092" w:rsidRPr="006913AD">
        <w:rPr>
          <w:szCs w:val="22"/>
        </w:rPr>
        <w:t>4</w:t>
      </w:r>
      <w:r w:rsidRPr="006913AD">
        <w:rPr>
          <w:szCs w:val="22"/>
        </w:rPr>
        <w:t xml:space="preserve"> MH</w:t>
      </w:r>
      <w:r w:rsidR="0021002F">
        <w:rPr>
          <w:szCs w:val="22"/>
        </w:rPr>
        <w:t> </w:t>
      </w:r>
      <w:r w:rsidRPr="006913AD">
        <w:rPr>
          <w:szCs w:val="22"/>
        </w:rPr>
        <w:t>SR spolu</w:t>
      </w:r>
      <w:r w:rsidRPr="00F90425">
        <w:rPr>
          <w:szCs w:val="22"/>
        </w:rPr>
        <w:t xml:space="preserve"> s vládou pokračovali v riešení pomoci s vysokými cenami energií pre domácnosti, verejný sektor a podnikateľské subjekty.</w:t>
      </w:r>
      <w:r w:rsidRPr="00F90425">
        <w:rPr>
          <w:sz w:val="24"/>
          <w:szCs w:val="24"/>
        </w:rPr>
        <w:t xml:space="preserve"> </w:t>
      </w:r>
      <w:r w:rsidRPr="00F90425">
        <w:rPr>
          <w:lang w:eastAsia="sk-SK"/>
        </w:rPr>
        <w:t>Finančné prostriedky boli v roku 202</w:t>
      </w:r>
      <w:r w:rsidR="00913092" w:rsidRPr="00F90425">
        <w:rPr>
          <w:lang w:eastAsia="sk-SK"/>
        </w:rPr>
        <w:t>4</w:t>
      </w:r>
      <w:r w:rsidRPr="00F90425">
        <w:rPr>
          <w:lang w:eastAsia="sk-SK"/>
        </w:rPr>
        <w:t xml:space="preserve"> poskytnuté </w:t>
      </w:r>
      <w:r w:rsidR="00F90425" w:rsidRPr="00F90425">
        <w:rPr>
          <w:lang w:eastAsia="sk-SK"/>
        </w:rPr>
        <w:t>na základe príslušnej legislatívy MH</w:t>
      </w:r>
      <w:r w:rsidR="0021002F">
        <w:rPr>
          <w:lang w:eastAsia="sk-SK"/>
        </w:rPr>
        <w:t> </w:t>
      </w:r>
      <w:r w:rsidR="00F90425" w:rsidRPr="00F90425">
        <w:rPr>
          <w:lang w:eastAsia="sk-SK"/>
        </w:rPr>
        <w:t>SR</w:t>
      </w:r>
      <w:r w:rsidR="000D1FCC">
        <w:rPr>
          <w:lang w:eastAsia="sk-SK"/>
        </w:rPr>
        <w:t>.</w:t>
      </w:r>
      <w:r w:rsidR="000D1FCC">
        <w:rPr>
          <w:rStyle w:val="Odkaznapoznmkupodiarou"/>
          <w:szCs w:val="22"/>
        </w:rPr>
        <w:footnoteReference w:id="13"/>
      </w:r>
      <w:r w:rsidR="00F90425" w:rsidRPr="00F90425">
        <w:rPr>
          <w:lang w:eastAsia="sk-SK"/>
        </w:rPr>
        <w:t xml:space="preserve"> </w:t>
      </w:r>
      <w:r w:rsidRPr="00913092">
        <w:rPr>
          <w:szCs w:val="22"/>
        </w:rPr>
        <w:t>Pomoc vo forme tzv. energodotácií ministerstvo vyplácalo priamo odberateľom energií. O kompenzácie žiadali podniky, ale i verejný sektor, ako sú samosprávy, domovy sociálnych služieb či občianske združenia.</w:t>
      </w:r>
    </w:p>
    <w:p w14:paraId="1ADC40A3" w14:textId="6DCF482E" w:rsidR="00A2425F" w:rsidRPr="00605F73" w:rsidRDefault="009A3759" w:rsidP="006210BA">
      <w:pPr>
        <w:spacing w:after="120" w:line="240" w:lineRule="auto"/>
        <w:jc w:val="both"/>
        <w:rPr>
          <w:szCs w:val="22"/>
        </w:rPr>
      </w:pPr>
      <w:r w:rsidRPr="00605F73">
        <w:rPr>
          <w:szCs w:val="22"/>
        </w:rPr>
        <w:t>Celkové ESA výdavky na schémy pomoci súvisiace s nárastom cien energií v roku 202</w:t>
      </w:r>
      <w:r w:rsidR="00913092" w:rsidRPr="00605F73">
        <w:rPr>
          <w:szCs w:val="22"/>
        </w:rPr>
        <w:t>4</w:t>
      </w:r>
      <w:r w:rsidRPr="00605F73">
        <w:rPr>
          <w:szCs w:val="22"/>
        </w:rPr>
        <w:t xml:space="preserve"> predstavovali objem </w:t>
      </w:r>
      <w:r w:rsidR="00854272">
        <w:rPr>
          <w:szCs w:val="22"/>
        </w:rPr>
        <w:t>1 125 700</w:t>
      </w:r>
      <w:r w:rsidRPr="00605F73">
        <w:rPr>
          <w:szCs w:val="22"/>
        </w:rPr>
        <w:t> tis. eur</w:t>
      </w:r>
      <w:r w:rsidR="00F90425" w:rsidRPr="00605F73">
        <w:rPr>
          <w:szCs w:val="22"/>
        </w:rPr>
        <w:t>. H</w:t>
      </w:r>
      <w:r w:rsidR="003964A1" w:rsidRPr="00605F73">
        <w:rPr>
          <w:szCs w:val="22"/>
        </w:rPr>
        <w:t>otovostné čerpanie vyplatené v roku 202</w:t>
      </w:r>
      <w:r w:rsidR="00913092" w:rsidRPr="00605F73">
        <w:rPr>
          <w:szCs w:val="22"/>
        </w:rPr>
        <w:t>4</w:t>
      </w:r>
      <w:r w:rsidR="003964A1" w:rsidRPr="00605F73">
        <w:rPr>
          <w:szCs w:val="22"/>
        </w:rPr>
        <w:t xml:space="preserve"> bolo v</w:t>
      </w:r>
      <w:r w:rsidR="001C21A5" w:rsidRPr="00605F73">
        <w:rPr>
          <w:szCs w:val="22"/>
        </w:rPr>
        <w:t> </w:t>
      </w:r>
      <w:r w:rsidR="003964A1" w:rsidRPr="00605F73">
        <w:rPr>
          <w:szCs w:val="22"/>
        </w:rPr>
        <w:t xml:space="preserve">sume </w:t>
      </w:r>
      <w:r w:rsidR="00913092" w:rsidRPr="00605F73">
        <w:rPr>
          <w:szCs w:val="22"/>
        </w:rPr>
        <w:t>1</w:t>
      </w:r>
      <w:r w:rsidR="00575319">
        <w:rPr>
          <w:szCs w:val="22"/>
        </w:rPr>
        <w:t> </w:t>
      </w:r>
      <w:r w:rsidR="00854272">
        <w:rPr>
          <w:szCs w:val="22"/>
        </w:rPr>
        <w:t>221</w:t>
      </w:r>
      <w:r w:rsidR="00575319">
        <w:rPr>
          <w:szCs w:val="22"/>
        </w:rPr>
        <w:t> </w:t>
      </w:r>
      <w:r w:rsidR="00854272">
        <w:rPr>
          <w:szCs w:val="22"/>
        </w:rPr>
        <w:t>410</w:t>
      </w:r>
      <w:r w:rsidR="003964A1" w:rsidRPr="00605F73">
        <w:rPr>
          <w:szCs w:val="22"/>
        </w:rPr>
        <w:t> tis. eur a</w:t>
      </w:r>
      <w:r w:rsidR="00C765EA" w:rsidRPr="00605F73">
        <w:rPr>
          <w:szCs w:val="22"/>
        </w:rPr>
        <w:t> </w:t>
      </w:r>
      <w:r w:rsidR="003964A1" w:rsidRPr="00605F73">
        <w:rPr>
          <w:szCs w:val="22"/>
        </w:rPr>
        <w:t>v</w:t>
      </w:r>
      <w:r w:rsidR="00C765EA" w:rsidRPr="00605F73">
        <w:rPr>
          <w:szCs w:val="22"/>
        </w:rPr>
        <w:t> </w:t>
      </w:r>
      <w:r w:rsidR="003964A1" w:rsidRPr="00605F73">
        <w:rPr>
          <w:szCs w:val="22"/>
        </w:rPr>
        <w:t>zmysle metodiky ESA 2010 navyše do roka 202</w:t>
      </w:r>
      <w:r w:rsidR="00F90425" w:rsidRPr="00605F73">
        <w:rPr>
          <w:szCs w:val="22"/>
        </w:rPr>
        <w:t>4</w:t>
      </w:r>
      <w:r w:rsidR="003964A1" w:rsidRPr="00605F73">
        <w:rPr>
          <w:szCs w:val="22"/>
        </w:rPr>
        <w:t xml:space="preserve"> patria aj pomoci vyplatené v</w:t>
      </w:r>
      <w:r w:rsidR="001C21A5" w:rsidRPr="00605F73">
        <w:rPr>
          <w:szCs w:val="22"/>
        </w:rPr>
        <w:t> </w:t>
      </w:r>
      <w:r w:rsidR="003964A1" w:rsidRPr="00605F73">
        <w:rPr>
          <w:szCs w:val="22"/>
        </w:rPr>
        <w:t>roku 202</w:t>
      </w:r>
      <w:r w:rsidR="00F90425" w:rsidRPr="00605F73">
        <w:rPr>
          <w:szCs w:val="22"/>
        </w:rPr>
        <w:t>5</w:t>
      </w:r>
      <w:r w:rsidR="003964A1" w:rsidRPr="00605F73">
        <w:rPr>
          <w:szCs w:val="22"/>
        </w:rPr>
        <w:t>, ktoré sa vecne vzťahujú na schémy z roku 202</w:t>
      </w:r>
      <w:r w:rsidR="00F90425" w:rsidRPr="00605F73">
        <w:rPr>
          <w:szCs w:val="22"/>
        </w:rPr>
        <w:t>4</w:t>
      </w:r>
      <w:r w:rsidR="003964A1" w:rsidRPr="00605F73">
        <w:rPr>
          <w:szCs w:val="22"/>
        </w:rPr>
        <w:t xml:space="preserve"> (</w:t>
      </w:r>
      <w:r w:rsidR="00F90425" w:rsidRPr="00605F73">
        <w:rPr>
          <w:szCs w:val="22"/>
        </w:rPr>
        <w:t>94</w:t>
      </w:r>
      <w:r w:rsidR="003964A1" w:rsidRPr="00605F73">
        <w:rPr>
          <w:szCs w:val="22"/>
        </w:rPr>
        <w:t> </w:t>
      </w:r>
      <w:r w:rsidR="00F90425" w:rsidRPr="00605F73">
        <w:rPr>
          <w:szCs w:val="22"/>
        </w:rPr>
        <w:t>400</w:t>
      </w:r>
      <w:r w:rsidR="003964A1" w:rsidRPr="00605F73">
        <w:rPr>
          <w:szCs w:val="22"/>
        </w:rPr>
        <w:t> tis. eur).</w:t>
      </w:r>
      <w:r w:rsidR="00A2425F" w:rsidRPr="00605F73">
        <w:rPr>
          <w:szCs w:val="22"/>
        </w:rPr>
        <w:t xml:space="preserve"> </w:t>
      </w:r>
      <w:r w:rsidR="00F90425" w:rsidRPr="00605F73">
        <w:rPr>
          <w:szCs w:val="22"/>
        </w:rPr>
        <w:t>Zároveň je potrebné vylúčiť z výdavkov výdavky vyplatené v roku 2024 týkajúce sa energopomoci za rok 2023 vo výške 190</w:t>
      </w:r>
      <w:r w:rsidR="00B74718">
        <w:rPr>
          <w:szCs w:val="22"/>
        </w:rPr>
        <w:t> </w:t>
      </w:r>
      <w:r w:rsidR="00F90425" w:rsidRPr="00605F73">
        <w:rPr>
          <w:szCs w:val="22"/>
        </w:rPr>
        <w:t>110</w:t>
      </w:r>
      <w:r w:rsidR="00B74718">
        <w:rPr>
          <w:szCs w:val="22"/>
        </w:rPr>
        <w:t> </w:t>
      </w:r>
      <w:r w:rsidR="00F90425" w:rsidRPr="00605F73">
        <w:rPr>
          <w:szCs w:val="22"/>
        </w:rPr>
        <w:t>tis.</w:t>
      </w:r>
      <w:r w:rsidR="00B74718">
        <w:rPr>
          <w:szCs w:val="22"/>
        </w:rPr>
        <w:t> </w:t>
      </w:r>
      <w:r w:rsidR="00F90425" w:rsidRPr="00605F73">
        <w:rPr>
          <w:szCs w:val="22"/>
        </w:rPr>
        <w:t>eur.</w:t>
      </w:r>
    </w:p>
    <w:p w14:paraId="7EC28FCE" w14:textId="3D8F0CFC" w:rsidR="00F90425" w:rsidRPr="00605F73" w:rsidRDefault="00F90425" w:rsidP="006210BA">
      <w:pPr>
        <w:spacing w:after="120" w:line="240" w:lineRule="auto"/>
        <w:jc w:val="both"/>
        <w:rPr>
          <w:szCs w:val="22"/>
        </w:rPr>
      </w:pPr>
      <w:r w:rsidRPr="00456348">
        <w:rPr>
          <w:szCs w:val="22"/>
        </w:rPr>
        <w:t xml:space="preserve">Subvencie </w:t>
      </w:r>
      <w:r w:rsidR="00A33DD9" w:rsidRPr="00456348">
        <w:rPr>
          <w:szCs w:val="22"/>
        </w:rPr>
        <w:t xml:space="preserve">podľa metodiky ESA </w:t>
      </w:r>
      <w:r w:rsidRPr="00456348">
        <w:rPr>
          <w:szCs w:val="22"/>
        </w:rPr>
        <w:t>na energopomoc za rok 2024 boli v porovnaní z rokom 2023 nižšie o 2</w:t>
      </w:r>
      <w:r w:rsidR="00444423" w:rsidRPr="00456348">
        <w:rPr>
          <w:szCs w:val="22"/>
        </w:rPr>
        <w:t> </w:t>
      </w:r>
      <w:r w:rsidR="009B11FF" w:rsidRPr="00456348">
        <w:rPr>
          <w:szCs w:val="22"/>
        </w:rPr>
        <w:t>05</w:t>
      </w:r>
      <w:r w:rsidRPr="00456348">
        <w:rPr>
          <w:szCs w:val="22"/>
        </w:rPr>
        <w:t>9</w:t>
      </w:r>
      <w:r w:rsidR="00B74718" w:rsidRPr="00456348">
        <w:rPr>
          <w:szCs w:val="22"/>
        </w:rPr>
        <w:t> </w:t>
      </w:r>
      <w:r w:rsidR="009B11FF" w:rsidRPr="00456348">
        <w:rPr>
          <w:szCs w:val="22"/>
        </w:rPr>
        <w:t>486</w:t>
      </w:r>
      <w:r w:rsidR="00B74718" w:rsidRPr="00456348">
        <w:rPr>
          <w:szCs w:val="22"/>
        </w:rPr>
        <w:t> </w:t>
      </w:r>
      <w:r w:rsidRPr="00456348">
        <w:rPr>
          <w:szCs w:val="22"/>
        </w:rPr>
        <w:t>tis.</w:t>
      </w:r>
      <w:r w:rsidR="00B74718" w:rsidRPr="00456348">
        <w:rPr>
          <w:szCs w:val="22"/>
        </w:rPr>
        <w:t> </w:t>
      </w:r>
      <w:r w:rsidRPr="00456348">
        <w:rPr>
          <w:szCs w:val="22"/>
        </w:rPr>
        <w:t>eur.</w:t>
      </w:r>
    </w:p>
    <w:bookmarkEnd w:id="39"/>
    <w:p w14:paraId="0D4E0958" w14:textId="1F40F6BC" w:rsidR="009A3759" w:rsidRPr="00174C84" w:rsidRDefault="009A3759" w:rsidP="006210BA">
      <w:pPr>
        <w:spacing w:after="120" w:line="240" w:lineRule="auto"/>
        <w:jc w:val="both"/>
        <w:rPr>
          <w:highlight w:val="yellow"/>
          <w:lang w:eastAsia="sk-SK"/>
        </w:rPr>
      </w:pPr>
      <w:r w:rsidRPr="00913092">
        <w:rPr>
          <w:lang w:eastAsia="sk-SK"/>
        </w:rPr>
        <w:t xml:space="preserve">Subvencie ovplyvnili aj výdavkové </w:t>
      </w:r>
      <w:r w:rsidRPr="00B94DE0">
        <w:rPr>
          <w:u w:val="single"/>
          <w:lang w:eastAsia="sk-SK"/>
        </w:rPr>
        <w:t>subvencie štátu na zelenú energiu</w:t>
      </w:r>
      <w:r w:rsidRPr="00913092">
        <w:rPr>
          <w:lang w:eastAsia="sk-SK"/>
        </w:rPr>
        <w:t>, ktoré sa medziročne zvýšili o</w:t>
      </w:r>
      <w:r w:rsidR="00444423">
        <w:rPr>
          <w:lang w:eastAsia="sk-SK"/>
        </w:rPr>
        <w:t> </w:t>
      </w:r>
      <w:r w:rsidR="00913092" w:rsidRPr="00913092">
        <w:rPr>
          <w:lang w:eastAsia="sk-SK"/>
        </w:rPr>
        <w:t>70</w:t>
      </w:r>
      <w:r w:rsidR="00444423">
        <w:rPr>
          <w:lang w:eastAsia="sk-SK"/>
        </w:rPr>
        <w:t> </w:t>
      </w:r>
      <w:r w:rsidR="00913092" w:rsidRPr="00913092">
        <w:rPr>
          <w:lang w:eastAsia="sk-SK"/>
        </w:rPr>
        <w:t>992</w:t>
      </w:r>
      <w:r w:rsidRPr="00913092">
        <w:rPr>
          <w:lang w:eastAsia="sk-SK"/>
        </w:rPr>
        <w:t> tis. eur.</w:t>
      </w:r>
      <w:r w:rsidRPr="00913092">
        <w:t xml:space="preserve"> </w:t>
      </w:r>
      <w:r w:rsidRPr="00913092">
        <w:rPr>
          <w:lang w:eastAsia="sk-SK"/>
        </w:rPr>
        <w:t>Ide o podporu obnoviteľných zdrojov energie a vysoko účinnej kombinovanej výroby elektriny a tepla.</w:t>
      </w:r>
    </w:p>
    <w:p w14:paraId="064EA0C2" w14:textId="244D1E38" w:rsidR="002E5268" w:rsidRPr="003063E4" w:rsidRDefault="009A3759" w:rsidP="006210BA">
      <w:pPr>
        <w:spacing w:after="120" w:line="240" w:lineRule="auto"/>
        <w:jc w:val="both"/>
        <w:rPr>
          <w:szCs w:val="22"/>
        </w:rPr>
      </w:pPr>
      <w:r w:rsidRPr="003063E4">
        <w:rPr>
          <w:lang w:eastAsia="sk-SK"/>
        </w:rPr>
        <w:t xml:space="preserve">Subvencie </w:t>
      </w:r>
      <w:r w:rsidRPr="003063E4">
        <w:rPr>
          <w:u w:val="single"/>
          <w:lang w:eastAsia="sk-SK"/>
        </w:rPr>
        <w:t>do poľnohospodárstva</w:t>
      </w:r>
      <w:r w:rsidRPr="003063E4">
        <w:rPr>
          <w:lang w:eastAsia="sk-SK"/>
        </w:rPr>
        <w:t xml:space="preserve"> medziročne </w:t>
      </w:r>
      <w:r w:rsidR="003063E4" w:rsidRPr="003063E4">
        <w:rPr>
          <w:lang w:eastAsia="sk-SK"/>
        </w:rPr>
        <w:t>vzrást</w:t>
      </w:r>
      <w:r w:rsidRPr="003063E4">
        <w:rPr>
          <w:lang w:eastAsia="sk-SK"/>
        </w:rPr>
        <w:t>li o </w:t>
      </w:r>
      <w:r w:rsidR="003063E4" w:rsidRPr="003063E4">
        <w:rPr>
          <w:lang w:eastAsia="sk-SK"/>
        </w:rPr>
        <w:t>42</w:t>
      </w:r>
      <w:r w:rsidRPr="003063E4">
        <w:rPr>
          <w:lang w:eastAsia="sk-SK"/>
        </w:rPr>
        <w:t>,</w:t>
      </w:r>
      <w:r w:rsidR="003063E4" w:rsidRPr="003063E4">
        <w:rPr>
          <w:lang w:eastAsia="sk-SK"/>
        </w:rPr>
        <w:t>6</w:t>
      </w:r>
      <w:r w:rsidRPr="003063E4">
        <w:rPr>
          <w:lang w:eastAsia="sk-SK"/>
        </w:rPr>
        <w:t> % (o </w:t>
      </w:r>
      <w:r w:rsidR="003063E4" w:rsidRPr="003063E4">
        <w:rPr>
          <w:lang w:eastAsia="sk-SK"/>
        </w:rPr>
        <w:t>61</w:t>
      </w:r>
      <w:r w:rsidRPr="003063E4">
        <w:rPr>
          <w:lang w:eastAsia="sk-SK"/>
        </w:rPr>
        <w:t> </w:t>
      </w:r>
      <w:r w:rsidR="003063E4" w:rsidRPr="003063E4">
        <w:rPr>
          <w:lang w:eastAsia="sk-SK"/>
        </w:rPr>
        <w:t>213</w:t>
      </w:r>
      <w:r w:rsidRPr="003063E4">
        <w:rPr>
          <w:lang w:eastAsia="sk-SK"/>
        </w:rPr>
        <w:t> tis. eur)</w:t>
      </w:r>
      <w:r w:rsidR="003063E4" w:rsidRPr="003063E4">
        <w:rPr>
          <w:szCs w:val="22"/>
        </w:rPr>
        <w:t xml:space="preserve"> a </w:t>
      </w:r>
      <w:r w:rsidRPr="003063E4">
        <w:rPr>
          <w:szCs w:val="22"/>
        </w:rPr>
        <w:t xml:space="preserve">subvencie </w:t>
      </w:r>
      <w:r w:rsidRPr="003063E4">
        <w:rPr>
          <w:szCs w:val="22"/>
          <w:u w:val="single"/>
        </w:rPr>
        <w:t>do dopravy</w:t>
      </w:r>
      <w:r w:rsidRPr="003063E4">
        <w:rPr>
          <w:szCs w:val="22"/>
        </w:rPr>
        <w:t xml:space="preserve"> </w:t>
      </w:r>
      <w:r w:rsidR="003063E4" w:rsidRPr="003063E4">
        <w:rPr>
          <w:szCs w:val="22"/>
        </w:rPr>
        <w:t>vzrástli</w:t>
      </w:r>
      <w:r w:rsidRPr="003063E4">
        <w:rPr>
          <w:szCs w:val="22"/>
        </w:rPr>
        <w:t xml:space="preserve"> o 2,</w:t>
      </w:r>
      <w:r w:rsidR="00294626" w:rsidRPr="003063E4">
        <w:rPr>
          <w:szCs w:val="22"/>
        </w:rPr>
        <w:t>7</w:t>
      </w:r>
      <w:r w:rsidRPr="003063E4">
        <w:rPr>
          <w:szCs w:val="22"/>
        </w:rPr>
        <w:t> %</w:t>
      </w:r>
      <w:r w:rsidRPr="003063E4">
        <w:rPr>
          <w:lang w:eastAsia="sk-SK"/>
        </w:rPr>
        <w:t xml:space="preserve"> (nárast o </w:t>
      </w:r>
      <w:r w:rsidR="00294626" w:rsidRPr="003063E4">
        <w:rPr>
          <w:lang w:eastAsia="sk-SK"/>
        </w:rPr>
        <w:t>9</w:t>
      </w:r>
      <w:r w:rsidRPr="003063E4">
        <w:rPr>
          <w:lang w:eastAsia="sk-SK"/>
        </w:rPr>
        <w:t> </w:t>
      </w:r>
      <w:r w:rsidR="00294626" w:rsidRPr="003063E4">
        <w:rPr>
          <w:lang w:eastAsia="sk-SK"/>
        </w:rPr>
        <w:t>049</w:t>
      </w:r>
      <w:r w:rsidRPr="003063E4">
        <w:rPr>
          <w:lang w:eastAsia="sk-SK"/>
        </w:rPr>
        <w:t xml:space="preserve"> tis. eur), z čoho najväčšiu položku tvorila </w:t>
      </w:r>
      <w:r w:rsidR="00294626" w:rsidRPr="003063E4">
        <w:rPr>
          <w:lang w:eastAsia="sk-SK"/>
        </w:rPr>
        <w:t>železničná</w:t>
      </w:r>
      <w:r w:rsidRPr="003063E4">
        <w:rPr>
          <w:lang w:eastAsia="sk-SK"/>
        </w:rPr>
        <w:t xml:space="preserve"> doprava</w:t>
      </w:r>
      <w:r w:rsidR="00294626" w:rsidRPr="003063E4">
        <w:rPr>
          <w:lang w:eastAsia="sk-SK"/>
        </w:rPr>
        <w:t>.</w:t>
      </w:r>
    </w:p>
    <w:p w14:paraId="743B1959" w14:textId="62C67155" w:rsidR="00654390" w:rsidRPr="003063E4" w:rsidRDefault="00654390" w:rsidP="00C41C45">
      <w:pPr>
        <w:spacing w:after="120" w:line="240" w:lineRule="auto"/>
        <w:jc w:val="both"/>
        <w:rPr>
          <w:b/>
          <w:color w:val="4F81BD" w:themeColor="accent1"/>
          <w:sz w:val="24"/>
          <w:szCs w:val="24"/>
        </w:rPr>
      </w:pPr>
      <w:r w:rsidRPr="003063E4">
        <w:rPr>
          <w:b/>
          <w:color w:val="4F81BD" w:themeColor="accent1"/>
          <w:sz w:val="24"/>
          <w:szCs w:val="24"/>
        </w:rPr>
        <w:t>Úrokové náklady</w:t>
      </w:r>
    </w:p>
    <w:p w14:paraId="5F79CA1D" w14:textId="22945E3D" w:rsidR="00A90EF8" w:rsidRDefault="00520082" w:rsidP="0021002F">
      <w:pPr>
        <w:spacing w:after="120" w:line="240" w:lineRule="auto"/>
        <w:jc w:val="both"/>
        <w:rPr>
          <w:b/>
          <w:color w:val="4F81BD" w:themeColor="accent1"/>
          <w:sz w:val="24"/>
          <w:szCs w:val="24"/>
        </w:rPr>
      </w:pPr>
      <w:r w:rsidRPr="00520082">
        <w:rPr>
          <w:szCs w:val="22"/>
        </w:rPr>
        <w:t>V roku 2024 úrokové náklady verejného dlhu vzrástli o 23,58 %, čo predstavovalo nárast o 473 704 tis. eur oproti roku 2023. Hlavnou príčinou bol nárast hotovostných úrokov pri obsluhe štátneho dlhu a deficitu štátneho rozpočtu v objeme približne 280 034 tis. eur</w:t>
      </w:r>
      <w:r w:rsidRPr="00520082">
        <w:t xml:space="preserve"> a nárast časového rozlíšenia úrokov a disážia </w:t>
      </w:r>
      <w:r w:rsidRPr="00520082">
        <w:lastRenderedPageBreak/>
        <w:t>o približne 188 711 </w:t>
      </w:r>
      <w:r w:rsidRPr="00520082">
        <w:rPr>
          <w:szCs w:val="22"/>
        </w:rPr>
        <w:t>tis. eur</w:t>
      </w:r>
      <w:r w:rsidRPr="00520082">
        <w:t>. Tento nárast bol zapríčinený zvýšenými potrebami na</w:t>
      </w:r>
      <w:r w:rsidR="0021002F">
        <w:t> </w:t>
      </w:r>
      <w:r w:rsidRPr="00520082">
        <w:t>financovanie maturujúceho dlhu a aktuálneho deficitu za vyššie úrokové sadzby v porovnaní s maturujúcim dlhom</w:t>
      </w:r>
      <w:r>
        <w:t>.</w:t>
      </w:r>
    </w:p>
    <w:p w14:paraId="16F23432" w14:textId="6593503B" w:rsidR="00654390" w:rsidRPr="003063E4" w:rsidRDefault="00654390" w:rsidP="00654390">
      <w:pPr>
        <w:spacing w:after="120" w:line="240" w:lineRule="auto"/>
        <w:jc w:val="both"/>
        <w:rPr>
          <w:b/>
          <w:color w:val="4F81BD" w:themeColor="accent1"/>
          <w:sz w:val="24"/>
          <w:szCs w:val="24"/>
        </w:rPr>
      </w:pPr>
      <w:r w:rsidRPr="003063E4">
        <w:rPr>
          <w:b/>
          <w:color w:val="4F81BD" w:themeColor="accent1"/>
          <w:sz w:val="24"/>
          <w:szCs w:val="24"/>
        </w:rPr>
        <w:t>Sociálne transfery</w:t>
      </w:r>
    </w:p>
    <w:p w14:paraId="2C97E024" w14:textId="343C6C00" w:rsidR="009A3759" w:rsidRPr="00174C84" w:rsidRDefault="009A3759" w:rsidP="006210BA">
      <w:pPr>
        <w:spacing w:after="120" w:line="240" w:lineRule="auto"/>
        <w:jc w:val="both"/>
        <w:rPr>
          <w:szCs w:val="22"/>
          <w:highlight w:val="yellow"/>
        </w:rPr>
      </w:pPr>
      <w:r w:rsidRPr="001D05D1">
        <w:rPr>
          <w:szCs w:val="22"/>
        </w:rPr>
        <w:t>Sociálne transfery vzrástli o </w:t>
      </w:r>
      <w:r w:rsidR="001D05D1" w:rsidRPr="001D05D1">
        <w:rPr>
          <w:szCs w:val="22"/>
        </w:rPr>
        <w:t>11</w:t>
      </w:r>
      <w:r w:rsidRPr="001D05D1">
        <w:rPr>
          <w:szCs w:val="22"/>
        </w:rPr>
        <w:t>,</w:t>
      </w:r>
      <w:r w:rsidR="001D05D1" w:rsidRPr="001D05D1">
        <w:rPr>
          <w:szCs w:val="22"/>
        </w:rPr>
        <w:t>5</w:t>
      </w:r>
      <w:r w:rsidRPr="001D05D1">
        <w:rPr>
          <w:szCs w:val="22"/>
        </w:rPr>
        <w:t> %, čo predstavovalo nárast o </w:t>
      </w:r>
      <w:r w:rsidR="001D05D1" w:rsidRPr="001D05D1">
        <w:rPr>
          <w:szCs w:val="22"/>
        </w:rPr>
        <w:t>2</w:t>
      </w:r>
      <w:r w:rsidRPr="001D05D1">
        <w:rPr>
          <w:szCs w:val="22"/>
        </w:rPr>
        <w:t> </w:t>
      </w:r>
      <w:r w:rsidR="001D05D1" w:rsidRPr="001D05D1">
        <w:rPr>
          <w:szCs w:val="22"/>
        </w:rPr>
        <w:t>815</w:t>
      </w:r>
      <w:r w:rsidR="0066335F" w:rsidRPr="001D05D1">
        <w:rPr>
          <w:szCs w:val="22"/>
        </w:rPr>
        <w:t> </w:t>
      </w:r>
      <w:r w:rsidR="001D05D1" w:rsidRPr="001D05D1">
        <w:rPr>
          <w:szCs w:val="22"/>
        </w:rPr>
        <w:t>096</w:t>
      </w:r>
      <w:r w:rsidRPr="001D05D1">
        <w:rPr>
          <w:szCs w:val="22"/>
        </w:rPr>
        <w:t xml:space="preserve"> tis. eur. </w:t>
      </w:r>
      <w:r w:rsidRPr="00633472">
        <w:rPr>
          <w:szCs w:val="22"/>
        </w:rPr>
        <w:t>Nárast bežných transferov</w:t>
      </w:r>
      <w:r w:rsidRPr="00210A48">
        <w:rPr>
          <w:szCs w:val="22"/>
        </w:rPr>
        <w:t xml:space="preserve"> </w:t>
      </w:r>
      <w:r w:rsidRPr="00633472">
        <w:rPr>
          <w:szCs w:val="22"/>
          <w:u w:val="single"/>
        </w:rPr>
        <w:t>v Sociálnej poisťovni</w:t>
      </w:r>
      <w:r w:rsidRPr="00210A48">
        <w:rPr>
          <w:szCs w:val="22"/>
        </w:rPr>
        <w:t xml:space="preserve"> bol v hotovostných platbách z poistenia o 2 </w:t>
      </w:r>
      <w:r w:rsidR="00210A48" w:rsidRPr="00210A48">
        <w:rPr>
          <w:szCs w:val="22"/>
        </w:rPr>
        <w:t>388</w:t>
      </w:r>
      <w:r w:rsidRPr="00210A48">
        <w:rPr>
          <w:szCs w:val="22"/>
        </w:rPr>
        <w:t> </w:t>
      </w:r>
      <w:r w:rsidR="00210A48" w:rsidRPr="00210A48">
        <w:rPr>
          <w:szCs w:val="22"/>
        </w:rPr>
        <w:t>704</w:t>
      </w:r>
      <w:r w:rsidRPr="00210A48">
        <w:rPr>
          <w:szCs w:val="22"/>
        </w:rPr>
        <w:t> tis. eur vyšší, z toho:</w:t>
      </w:r>
    </w:p>
    <w:p w14:paraId="597E9566" w14:textId="28AACAC9" w:rsidR="009A3759" w:rsidRPr="00210A48" w:rsidRDefault="009A3759" w:rsidP="00EC0753">
      <w:pPr>
        <w:pStyle w:val="Odsekzoznamu"/>
        <w:numPr>
          <w:ilvl w:val="0"/>
          <w:numId w:val="15"/>
        </w:numPr>
        <w:spacing w:after="120"/>
        <w:jc w:val="both"/>
      </w:pPr>
      <w:r w:rsidRPr="00210A48">
        <w:t>dôchodkové dávky zo starobného poistenia a z invalidného poistenia vzrástli o 2 </w:t>
      </w:r>
      <w:r w:rsidR="00210A48" w:rsidRPr="00210A48">
        <w:t>314</w:t>
      </w:r>
      <w:r w:rsidRPr="00210A48">
        <w:t> 0</w:t>
      </w:r>
      <w:r w:rsidR="00210A48" w:rsidRPr="00210A48">
        <w:t>2</w:t>
      </w:r>
      <w:r w:rsidRPr="00210A48">
        <w:t>6 tis. eur</w:t>
      </w:r>
      <w:r w:rsidR="00807EA7">
        <w:rPr>
          <w:rStyle w:val="Odkaznapoznmkupodiarou"/>
        </w:rPr>
        <w:footnoteReference w:id="14"/>
      </w:r>
      <w:r w:rsidR="00080BB8">
        <w:t>,</w:t>
      </w:r>
    </w:p>
    <w:p w14:paraId="68365F77" w14:textId="7F76A9F6" w:rsidR="009A3759" w:rsidRPr="00210A48" w:rsidRDefault="009A3759" w:rsidP="00EC0753">
      <w:pPr>
        <w:pStyle w:val="Odsekzoznamu"/>
        <w:numPr>
          <w:ilvl w:val="0"/>
          <w:numId w:val="15"/>
        </w:numPr>
        <w:spacing w:after="120"/>
        <w:jc w:val="both"/>
      </w:pPr>
      <w:r w:rsidRPr="00210A48">
        <w:t>dávky v nezamestnanosti vzrástli o 2</w:t>
      </w:r>
      <w:r w:rsidR="00210A48" w:rsidRPr="00210A48">
        <w:t>6</w:t>
      </w:r>
      <w:r w:rsidRPr="00210A48">
        <w:t> </w:t>
      </w:r>
      <w:r w:rsidR="00210A48" w:rsidRPr="00210A48">
        <w:t>968</w:t>
      </w:r>
      <w:r w:rsidRPr="00210A48">
        <w:t> tis. eur</w:t>
      </w:r>
      <w:r w:rsidR="00080BB8">
        <w:t>,</w:t>
      </w:r>
    </w:p>
    <w:p w14:paraId="08F94A46" w14:textId="749C18F4" w:rsidR="009A3759" w:rsidRPr="00210A48" w:rsidRDefault="009A3759" w:rsidP="00EC0753">
      <w:pPr>
        <w:pStyle w:val="Odsekzoznamu"/>
        <w:numPr>
          <w:ilvl w:val="0"/>
          <w:numId w:val="15"/>
        </w:numPr>
        <w:spacing w:after="120"/>
        <w:ind w:left="771" w:hanging="357"/>
        <w:contextualSpacing w:val="0"/>
        <w:jc w:val="both"/>
      </w:pPr>
      <w:r w:rsidRPr="00210A48">
        <w:t>nemocenské dávky vzrástli o </w:t>
      </w:r>
      <w:r w:rsidR="00210A48" w:rsidRPr="00210A48">
        <w:t>47</w:t>
      </w:r>
      <w:r w:rsidRPr="00210A48">
        <w:t> </w:t>
      </w:r>
      <w:r w:rsidR="00210A48" w:rsidRPr="00210A48">
        <w:t>0</w:t>
      </w:r>
      <w:r w:rsidRPr="00210A48">
        <w:t>3</w:t>
      </w:r>
      <w:r w:rsidR="00FB717B">
        <w:t>4</w:t>
      </w:r>
      <w:r w:rsidRPr="00210A48">
        <w:t> tis. eur.</w:t>
      </w:r>
    </w:p>
    <w:p w14:paraId="33B9C1B1" w14:textId="04ABA151" w:rsidR="009A3759" w:rsidRPr="00FB717B" w:rsidRDefault="009A3759" w:rsidP="009A3759">
      <w:pPr>
        <w:pStyle w:val="Odsekzoznamu"/>
        <w:spacing w:after="120"/>
        <w:ind w:left="0"/>
        <w:jc w:val="both"/>
      </w:pPr>
      <w:r w:rsidRPr="00FB717B">
        <w:t xml:space="preserve">Zo samostatných účtov </w:t>
      </w:r>
      <w:r w:rsidRPr="00633472">
        <w:rPr>
          <w:u w:val="single"/>
        </w:rPr>
        <w:t>silových zložiek</w:t>
      </w:r>
      <w:r w:rsidRPr="00FB717B">
        <w:t xml:space="preserve"> bol nárast vyplatených dávok o </w:t>
      </w:r>
      <w:r w:rsidR="00FB717B" w:rsidRPr="00FB717B">
        <w:t>125</w:t>
      </w:r>
      <w:r w:rsidRPr="00FB717B">
        <w:t> </w:t>
      </w:r>
      <w:r w:rsidR="00FB717B" w:rsidRPr="00FB717B">
        <w:t>746</w:t>
      </w:r>
      <w:r w:rsidRPr="00FB717B">
        <w:t> tis. eur, z toho:</w:t>
      </w:r>
    </w:p>
    <w:p w14:paraId="78487771" w14:textId="02A134B5" w:rsidR="009A3759" w:rsidRPr="00FB717B" w:rsidRDefault="009A3759" w:rsidP="00EC0753">
      <w:pPr>
        <w:pStyle w:val="Odsekzoznamu"/>
        <w:numPr>
          <w:ilvl w:val="0"/>
          <w:numId w:val="16"/>
        </w:numPr>
        <w:spacing w:after="120"/>
        <w:jc w:val="both"/>
      </w:pPr>
      <w:r w:rsidRPr="00FB717B">
        <w:t>dôchodkové dávky zo starobného a z invalidného poistenia vzrástli o </w:t>
      </w:r>
      <w:r w:rsidR="00FB717B" w:rsidRPr="00FB717B">
        <w:t>125</w:t>
      </w:r>
      <w:r w:rsidRPr="00FB717B">
        <w:t> </w:t>
      </w:r>
      <w:r w:rsidR="00FB717B" w:rsidRPr="00FB717B">
        <w:t>483</w:t>
      </w:r>
      <w:r w:rsidRPr="00FB717B">
        <w:t> tis. eur,</w:t>
      </w:r>
    </w:p>
    <w:p w14:paraId="0F1B2995" w14:textId="779296A7" w:rsidR="009A3759" w:rsidRPr="00FB717B" w:rsidRDefault="009A3759" w:rsidP="00EC0753">
      <w:pPr>
        <w:pStyle w:val="Odsekzoznamu"/>
        <w:numPr>
          <w:ilvl w:val="0"/>
          <w:numId w:val="16"/>
        </w:numPr>
        <w:spacing w:after="120"/>
        <w:jc w:val="both"/>
      </w:pPr>
      <w:r w:rsidRPr="00FB717B">
        <w:t xml:space="preserve">nemocenské dávky </w:t>
      </w:r>
      <w:r w:rsidR="00FB717B" w:rsidRPr="00FB717B">
        <w:t>vzrást</w:t>
      </w:r>
      <w:r w:rsidRPr="00FB717B">
        <w:t>li o </w:t>
      </w:r>
      <w:r w:rsidR="00FB717B" w:rsidRPr="00FB717B">
        <w:t>263</w:t>
      </w:r>
      <w:r w:rsidRPr="00FB717B">
        <w:t> tis. eur.</w:t>
      </w:r>
    </w:p>
    <w:p w14:paraId="2016F29A" w14:textId="1E9D128F" w:rsidR="009A3759" w:rsidRPr="008B370A" w:rsidRDefault="009A3759" w:rsidP="006210BA">
      <w:pPr>
        <w:spacing w:after="120" w:line="240" w:lineRule="auto"/>
        <w:jc w:val="both"/>
        <w:rPr>
          <w:szCs w:val="22"/>
        </w:rPr>
      </w:pPr>
      <w:r w:rsidRPr="00EB27F1">
        <w:rPr>
          <w:szCs w:val="22"/>
        </w:rPr>
        <w:t>Celkovo dôchodkové dávky zo starobného a invalidného poistenia</w:t>
      </w:r>
      <w:r w:rsidR="00A90EF8">
        <w:rPr>
          <w:szCs w:val="22"/>
        </w:rPr>
        <w:t xml:space="preserve"> (zo Sociálnej poisťovne a z účtov silových zložiek)</w:t>
      </w:r>
      <w:r w:rsidRPr="00EB27F1">
        <w:rPr>
          <w:szCs w:val="22"/>
        </w:rPr>
        <w:t xml:space="preserve"> sa zvýšili o 2</w:t>
      </w:r>
      <w:r w:rsidR="00FB717B" w:rsidRPr="00EB27F1">
        <w:rPr>
          <w:szCs w:val="22"/>
        </w:rPr>
        <w:t>2</w:t>
      </w:r>
      <w:r w:rsidRPr="00EB27F1">
        <w:rPr>
          <w:szCs w:val="22"/>
        </w:rPr>
        <w:t>,</w:t>
      </w:r>
      <w:r w:rsidR="00FB717B" w:rsidRPr="00EB27F1">
        <w:rPr>
          <w:szCs w:val="22"/>
        </w:rPr>
        <w:t>5</w:t>
      </w:r>
      <w:r w:rsidRPr="00EB27F1">
        <w:rPr>
          <w:szCs w:val="22"/>
        </w:rPr>
        <w:t> % (nárast o 2 </w:t>
      </w:r>
      <w:r w:rsidR="00FB717B" w:rsidRPr="00EB27F1">
        <w:rPr>
          <w:szCs w:val="22"/>
        </w:rPr>
        <w:t>439</w:t>
      </w:r>
      <w:r w:rsidRPr="00EB27F1">
        <w:rPr>
          <w:szCs w:val="22"/>
        </w:rPr>
        <w:t> 5</w:t>
      </w:r>
      <w:r w:rsidR="00FB717B" w:rsidRPr="00EB27F1">
        <w:rPr>
          <w:szCs w:val="22"/>
        </w:rPr>
        <w:t>08</w:t>
      </w:r>
      <w:r w:rsidRPr="00EB27F1">
        <w:rPr>
          <w:szCs w:val="22"/>
        </w:rPr>
        <w:t> tis. eur</w:t>
      </w:r>
      <w:r w:rsidR="00395EAC" w:rsidRPr="00EB27F1">
        <w:rPr>
          <w:szCs w:val="22"/>
        </w:rPr>
        <w:t xml:space="preserve">), </w:t>
      </w:r>
      <w:r w:rsidRPr="00EB27F1">
        <w:rPr>
          <w:szCs w:val="22"/>
        </w:rPr>
        <w:t>dávky v nezamestnanosti vzrástli o 1</w:t>
      </w:r>
      <w:r w:rsidR="00EB27F1" w:rsidRPr="00EB27F1">
        <w:rPr>
          <w:szCs w:val="22"/>
        </w:rPr>
        <w:t>0</w:t>
      </w:r>
      <w:r w:rsidRPr="00EB27F1">
        <w:rPr>
          <w:szCs w:val="22"/>
        </w:rPr>
        <w:t>,</w:t>
      </w:r>
      <w:r w:rsidR="00EB27F1" w:rsidRPr="00EB27F1">
        <w:rPr>
          <w:szCs w:val="22"/>
        </w:rPr>
        <w:t>1</w:t>
      </w:r>
      <w:r w:rsidRPr="00EB27F1">
        <w:rPr>
          <w:szCs w:val="22"/>
        </w:rPr>
        <w:t> % (nárast o 2</w:t>
      </w:r>
      <w:r w:rsidR="00EB27F1" w:rsidRPr="00EB27F1">
        <w:rPr>
          <w:szCs w:val="22"/>
        </w:rPr>
        <w:t>6</w:t>
      </w:r>
      <w:r w:rsidRPr="00EB27F1">
        <w:rPr>
          <w:szCs w:val="22"/>
        </w:rPr>
        <w:t> </w:t>
      </w:r>
      <w:r w:rsidR="00EB27F1" w:rsidRPr="00EB27F1">
        <w:rPr>
          <w:szCs w:val="22"/>
        </w:rPr>
        <w:t>968</w:t>
      </w:r>
      <w:r w:rsidRPr="00EB27F1">
        <w:rPr>
          <w:szCs w:val="22"/>
        </w:rPr>
        <w:t> tis. eur)</w:t>
      </w:r>
      <w:r w:rsidR="00395EAC" w:rsidRPr="00EB27F1">
        <w:rPr>
          <w:szCs w:val="22"/>
        </w:rPr>
        <w:t xml:space="preserve"> nemocenské dávky v roku 202</w:t>
      </w:r>
      <w:r w:rsidR="00EB27F1" w:rsidRPr="00EB27F1">
        <w:rPr>
          <w:szCs w:val="22"/>
        </w:rPr>
        <w:t>4</w:t>
      </w:r>
      <w:r w:rsidR="00395EAC" w:rsidRPr="00EB27F1">
        <w:rPr>
          <w:szCs w:val="22"/>
        </w:rPr>
        <w:t xml:space="preserve"> vzrástli o </w:t>
      </w:r>
      <w:r w:rsidR="00EB27F1" w:rsidRPr="00EB27F1">
        <w:rPr>
          <w:szCs w:val="22"/>
        </w:rPr>
        <w:t>4</w:t>
      </w:r>
      <w:r w:rsidR="00395EAC" w:rsidRPr="00EB27F1">
        <w:rPr>
          <w:szCs w:val="22"/>
        </w:rPr>
        <w:t>,</w:t>
      </w:r>
      <w:r w:rsidR="00EB27F1" w:rsidRPr="00EB27F1">
        <w:rPr>
          <w:szCs w:val="22"/>
        </w:rPr>
        <w:t>6</w:t>
      </w:r>
      <w:r w:rsidR="00395EAC" w:rsidRPr="00EB27F1">
        <w:rPr>
          <w:szCs w:val="22"/>
        </w:rPr>
        <w:t> % (nárast o 4</w:t>
      </w:r>
      <w:r w:rsidR="00EB27F1" w:rsidRPr="00EB27F1">
        <w:rPr>
          <w:szCs w:val="22"/>
        </w:rPr>
        <w:t>7</w:t>
      </w:r>
      <w:r w:rsidR="00395EAC" w:rsidRPr="00EB27F1">
        <w:rPr>
          <w:szCs w:val="22"/>
        </w:rPr>
        <w:t> </w:t>
      </w:r>
      <w:r w:rsidR="00EB27F1" w:rsidRPr="00EB27F1">
        <w:rPr>
          <w:szCs w:val="22"/>
        </w:rPr>
        <w:t>296</w:t>
      </w:r>
      <w:r w:rsidR="00395EAC" w:rsidRPr="00EB27F1">
        <w:rPr>
          <w:szCs w:val="22"/>
        </w:rPr>
        <w:t> tis. eur)</w:t>
      </w:r>
      <w:r w:rsidRPr="00EB27F1">
        <w:rPr>
          <w:szCs w:val="22"/>
        </w:rPr>
        <w:t xml:space="preserve">. </w:t>
      </w:r>
      <w:r w:rsidRPr="00945C1E">
        <w:rPr>
          <w:szCs w:val="22"/>
        </w:rPr>
        <w:t>Významný nárast dôchodkový</w:t>
      </w:r>
      <w:r w:rsidR="00872599">
        <w:rPr>
          <w:szCs w:val="22"/>
        </w:rPr>
        <w:t>ch</w:t>
      </w:r>
      <w:r w:rsidRPr="00945C1E">
        <w:rPr>
          <w:szCs w:val="22"/>
        </w:rPr>
        <w:t xml:space="preserve"> dávok bol spôsobený valorizáciou</w:t>
      </w:r>
      <w:r w:rsidRPr="00945C1E">
        <w:rPr>
          <w:rStyle w:val="Odkaznapoznmkupodiarou"/>
          <w:szCs w:val="22"/>
        </w:rPr>
        <w:footnoteReference w:id="15"/>
      </w:r>
      <w:r w:rsidRPr="00945C1E">
        <w:rPr>
          <w:szCs w:val="22"/>
        </w:rPr>
        <w:t>, kedy sa od 1. </w:t>
      </w:r>
      <w:r w:rsidR="00945C1E" w:rsidRPr="00945C1E">
        <w:rPr>
          <w:szCs w:val="22"/>
        </w:rPr>
        <w:t>januára</w:t>
      </w:r>
      <w:r w:rsidR="0021002F">
        <w:rPr>
          <w:szCs w:val="22"/>
        </w:rPr>
        <w:t> </w:t>
      </w:r>
      <w:r w:rsidRPr="00945C1E">
        <w:rPr>
          <w:szCs w:val="22"/>
        </w:rPr>
        <w:t>202</w:t>
      </w:r>
      <w:r w:rsidR="00945C1E" w:rsidRPr="00945C1E">
        <w:rPr>
          <w:szCs w:val="22"/>
        </w:rPr>
        <w:t>4</w:t>
      </w:r>
      <w:r w:rsidRPr="00945C1E">
        <w:rPr>
          <w:szCs w:val="22"/>
        </w:rPr>
        <w:t xml:space="preserve"> zvýšili dôchodkové dávky</w:t>
      </w:r>
      <w:r w:rsidR="000772FF">
        <w:rPr>
          <w:szCs w:val="22"/>
        </w:rPr>
        <w:t xml:space="preserve"> (priznané pred rokom 2024)</w:t>
      </w:r>
      <w:r w:rsidRPr="00945C1E">
        <w:rPr>
          <w:szCs w:val="22"/>
        </w:rPr>
        <w:t xml:space="preserve"> o</w:t>
      </w:r>
      <w:r w:rsidR="00945C1E" w:rsidRPr="00945C1E">
        <w:rPr>
          <w:szCs w:val="22"/>
        </w:rPr>
        <w:t> 3,</w:t>
      </w:r>
      <w:r w:rsidRPr="00945C1E">
        <w:rPr>
          <w:szCs w:val="22"/>
        </w:rPr>
        <w:t xml:space="preserve">6 % </w:t>
      </w:r>
      <w:r w:rsidR="00945C1E">
        <w:rPr>
          <w:szCs w:val="22"/>
        </w:rPr>
        <w:t xml:space="preserve"> mesačnej sumy dôchodku </w:t>
      </w:r>
      <w:r w:rsidR="0052500C">
        <w:rPr>
          <w:szCs w:val="22"/>
        </w:rPr>
        <w:t xml:space="preserve">a </w:t>
      </w:r>
      <w:r w:rsidR="00945C1E">
        <w:rPr>
          <w:szCs w:val="22"/>
        </w:rPr>
        <w:t xml:space="preserve">dôchodky </w:t>
      </w:r>
      <w:r w:rsidR="000772FF">
        <w:rPr>
          <w:szCs w:val="22"/>
        </w:rPr>
        <w:t>novo</w:t>
      </w:r>
      <w:r w:rsidR="00945C1E">
        <w:rPr>
          <w:szCs w:val="22"/>
        </w:rPr>
        <w:t>priznané od</w:t>
      </w:r>
      <w:r w:rsidR="0021002F">
        <w:rPr>
          <w:szCs w:val="22"/>
        </w:rPr>
        <w:t> </w:t>
      </w:r>
      <w:r w:rsidR="00945C1E">
        <w:rPr>
          <w:szCs w:val="22"/>
        </w:rPr>
        <w:t>1. januára 2024 sa zvyšovali o 14,5</w:t>
      </w:r>
      <w:r w:rsidR="00CC5E6B">
        <w:rPr>
          <w:szCs w:val="22"/>
        </w:rPr>
        <w:t> </w:t>
      </w:r>
      <w:r w:rsidR="00945C1E">
        <w:rPr>
          <w:szCs w:val="22"/>
        </w:rPr>
        <w:t xml:space="preserve">%. Zároveň sa od 1. júla </w:t>
      </w:r>
      <w:r w:rsidR="00945C1E" w:rsidRPr="008B370A">
        <w:rPr>
          <w:szCs w:val="22"/>
        </w:rPr>
        <w:t>2024 z</w:t>
      </w:r>
      <w:r w:rsidR="00562E43" w:rsidRPr="008B370A">
        <w:rPr>
          <w:szCs w:val="22"/>
        </w:rPr>
        <w:t>aviedli plnohodnotné</w:t>
      </w:r>
      <w:r w:rsidR="00945C1E" w:rsidRPr="008B370A">
        <w:rPr>
          <w:szCs w:val="22"/>
        </w:rPr>
        <w:t xml:space="preserve"> 13.</w:t>
      </w:r>
      <w:r w:rsidR="0021002F">
        <w:rPr>
          <w:szCs w:val="22"/>
        </w:rPr>
        <w:t> </w:t>
      </w:r>
      <w:r w:rsidR="00945C1E" w:rsidRPr="008B370A">
        <w:rPr>
          <w:szCs w:val="22"/>
        </w:rPr>
        <w:t>dôchodky</w:t>
      </w:r>
      <w:r w:rsidR="0052500C" w:rsidRPr="008B370A">
        <w:rPr>
          <w:szCs w:val="22"/>
        </w:rPr>
        <w:t xml:space="preserve"> </w:t>
      </w:r>
      <w:r w:rsidR="000772FF" w:rsidRPr="008B370A">
        <w:rPr>
          <w:szCs w:val="22"/>
        </w:rPr>
        <w:t>(ako nov</w:t>
      </w:r>
      <w:r w:rsidR="00872599" w:rsidRPr="008B370A">
        <w:rPr>
          <w:szCs w:val="22"/>
        </w:rPr>
        <w:t>á</w:t>
      </w:r>
      <w:r w:rsidR="000772FF" w:rsidRPr="008B370A">
        <w:rPr>
          <w:szCs w:val="22"/>
        </w:rPr>
        <w:t xml:space="preserve"> dávk</w:t>
      </w:r>
      <w:r w:rsidR="009E5EC7" w:rsidRPr="008B370A">
        <w:rPr>
          <w:szCs w:val="22"/>
        </w:rPr>
        <w:t>a</w:t>
      </w:r>
      <w:r w:rsidR="000772FF" w:rsidRPr="008B370A">
        <w:rPr>
          <w:szCs w:val="22"/>
        </w:rPr>
        <w:t xml:space="preserve"> sociálneho poistenia)</w:t>
      </w:r>
      <w:r w:rsidR="00562E43" w:rsidRPr="008B370A">
        <w:rPr>
          <w:szCs w:val="22"/>
        </w:rPr>
        <w:t>, ktoré boli vyplácané vo výške priemerného dôchodku daného druhu za predchádzajúci kalendárny rok</w:t>
      </w:r>
      <w:r w:rsidRPr="008B370A">
        <w:rPr>
          <w:szCs w:val="22"/>
        </w:rPr>
        <w:t>.</w:t>
      </w:r>
      <w:r w:rsidR="00C363CE" w:rsidRPr="008B370A">
        <w:rPr>
          <w:szCs w:val="22"/>
        </w:rPr>
        <w:t xml:space="preserve"> </w:t>
      </w:r>
      <w:r w:rsidR="002F5E56" w:rsidRPr="008B370A">
        <w:rPr>
          <w:szCs w:val="22"/>
        </w:rPr>
        <w:t xml:space="preserve">Od 2024 sa </w:t>
      </w:r>
      <w:r w:rsidR="00E523BC" w:rsidRPr="008B370A">
        <w:rPr>
          <w:szCs w:val="22"/>
        </w:rPr>
        <w:t>v</w:t>
      </w:r>
      <w:r w:rsidR="002F5E56" w:rsidRPr="008B370A">
        <w:rPr>
          <w:szCs w:val="22"/>
        </w:rPr>
        <w:t>ykazujú 13. dôchodky</w:t>
      </w:r>
      <w:r w:rsidR="00E523BC" w:rsidRPr="008B370A">
        <w:rPr>
          <w:szCs w:val="22"/>
        </w:rPr>
        <w:t xml:space="preserve"> v rámci štandardných dôchodkových dávok zo</w:t>
      </w:r>
      <w:r w:rsidR="00CE79E5">
        <w:rPr>
          <w:szCs w:val="22"/>
        </w:rPr>
        <w:t> </w:t>
      </w:r>
      <w:r w:rsidR="00E523BC" w:rsidRPr="008B370A">
        <w:rPr>
          <w:szCs w:val="22"/>
        </w:rPr>
        <w:t>starobného a invalidného poistenia</w:t>
      </w:r>
      <w:r w:rsidR="004A4535" w:rsidRPr="008B370A">
        <w:rPr>
          <w:szCs w:val="22"/>
        </w:rPr>
        <w:t>, ktoré sú už</w:t>
      </w:r>
      <w:r w:rsidR="002F5E56" w:rsidRPr="008B370A">
        <w:rPr>
          <w:szCs w:val="22"/>
        </w:rPr>
        <w:t xml:space="preserve"> vyplácané </w:t>
      </w:r>
      <w:r w:rsidR="004A4535" w:rsidRPr="008B370A">
        <w:rPr>
          <w:szCs w:val="22"/>
        </w:rPr>
        <w:t>zo Sociálnej poisťovne</w:t>
      </w:r>
      <w:r w:rsidR="00562E43" w:rsidRPr="008B370A">
        <w:rPr>
          <w:szCs w:val="22"/>
        </w:rPr>
        <w:t xml:space="preserve"> (do</w:t>
      </w:r>
      <w:r w:rsidR="0021002F">
        <w:rPr>
          <w:szCs w:val="22"/>
        </w:rPr>
        <w:t> </w:t>
      </w:r>
      <w:r w:rsidR="00562E43" w:rsidRPr="008B370A">
        <w:rPr>
          <w:szCs w:val="22"/>
        </w:rPr>
        <w:t>roku</w:t>
      </w:r>
      <w:r w:rsidR="0021002F">
        <w:rPr>
          <w:szCs w:val="22"/>
        </w:rPr>
        <w:t> </w:t>
      </w:r>
      <w:r w:rsidR="00562E43" w:rsidRPr="008B370A">
        <w:rPr>
          <w:szCs w:val="22"/>
        </w:rPr>
        <w:t>2024 boli vyplácané ako štátna sociálna dávka z</w:t>
      </w:r>
      <w:r w:rsidR="00041EA0">
        <w:rPr>
          <w:szCs w:val="22"/>
        </w:rPr>
        <w:t> </w:t>
      </w:r>
      <w:r w:rsidR="00562E43" w:rsidRPr="008B370A">
        <w:rPr>
          <w:szCs w:val="22"/>
        </w:rPr>
        <w:t>rozpočtu Ministerstva práce, sociálnych vecí a rodiny SR)</w:t>
      </w:r>
      <w:r w:rsidR="002F5E56" w:rsidRPr="008B370A">
        <w:rPr>
          <w:szCs w:val="22"/>
        </w:rPr>
        <w:t>.</w:t>
      </w:r>
    </w:p>
    <w:p w14:paraId="033DFB7E" w14:textId="20E1D0E8" w:rsidR="00E523BC" w:rsidRDefault="008002A4" w:rsidP="008002A4">
      <w:pPr>
        <w:spacing w:after="120" w:line="240" w:lineRule="auto"/>
        <w:jc w:val="both"/>
        <w:rPr>
          <w:szCs w:val="22"/>
        </w:rPr>
      </w:pPr>
      <w:bookmarkStart w:id="40" w:name="_Hlk211868231"/>
      <w:r w:rsidRPr="008B370A">
        <w:rPr>
          <w:szCs w:val="22"/>
        </w:rPr>
        <w:t>V decembri 2024 Sociálna poisťovňa vyplatila 13.</w:t>
      </w:r>
      <w:r w:rsidR="0021002F">
        <w:rPr>
          <w:szCs w:val="22"/>
        </w:rPr>
        <w:t> </w:t>
      </w:r>
      <w:r w:rsidRPr="008B370A">
        <w:rPr>
          <w:szCs w:val="22"/>
        </w:rPr>
        <w:t>dôchodky 1</w:t>
      </w:r>
      <w:r w:rsidR="0021002F">
        <w:rPr>
          <w:szCs w:val="22"/>
        </w:rPr>
        <w:t> </w:t>
      </w:r>
      <w:r w:rsidRPr="008B370A">
        <w:rPr>
          <w:szCs w:val="22"/>
        </w:rPr>
        <w:t>487</w:t>
      </w:r>
      <w:r w:rsidR="0021002F">
        <w:rPr>
          <w:szCs w:val="22"/>
        </w:rPr>
        <w:t> </w:t>
      </w:r>
      <w:r w:rsidRPr="008B370A">
        <w:rPr>
          <w:szCs w:val="22"/>
        </w:rPr>
        <w:t>576</w:t>
      </w:r>
      <w:r w:rsidR="0021002F">
        <w:rPr>
          <w:szCs w:val="22"/>
        </w:rPr>
        <w:t> </w:t>
      </w:r>
      <w:r w:rsidRPr="008B370A">
        <w:rPr>
          <w:szCs w:val="22"/>
        </w:rPr>
        <w:t>poberateľom v celkovej sume 8</w:t>
      </w:r>
      <w:r w:rsidR="00CE79E5">
        <w:rPr>
          <w:szCs w:val="22"/>
        </w:rPr>
        <w:t>23</w:t>
      </w:r>
      <w:r w:rsidRPr="008B370A">
        <w:rPr>
          <w:szCs w:val="22"/>
        </w:rPr>
        <w:t> </w:t>
      </w:r>
      <w:r w:rsidR="00CE79E5">
        <w:rPr>
          <w:szCs w:val="22"/>
        </w:rPr>
        <w:t>019</w:t>
      </w:r>
      <w:r w:rsidRPr="008B370A">
        <w:rPr>
          <w:szCs w:val="22"/>
        </w:rPr>
        <w:t> tis.</w:t>
      </w:r>
      <w:r w:rsidR="0021002F">
        <w:rPr>
          <w:szCs w:val="22"/>
        </w:rPr>
        <w:t> </w:t>
      </w:r>
      <w:r w:rsidRPr="008B370A">
        <w:rPr>
          <w:szCs w:val="22"/>
        </w:rPr>
        <w:t>eur.</w:t>
      </w:r>
    </w:p>
    <w:bookmarkEnd w:id="40"/>
    <w:p w14:paraId="2B65BDA3" w14:textId="0BC0EC82" w:rsidR="009A3759" w:rsidRPr="002F5E56" w:rsidRDefault="009A3759" w:rsidP="009A3759">
      <w:pPr>
        <w:spacing w:after="120" w:line="240" w:lineRule="auto"/>
        <w:jc w:val="both"/>
        <w:rPr>
          <w:szCs w:val="22"/>
        </w:rPr>
      </w:pPr>
      <w:r w:rsidRPr="002F5E56">
        <w:rPr>
          <w:szCs w:val="22"/>
        </w:rPr>
        <w:t xml:space="preserve">Vyplácané </w:t>
      </w:r>
      <w:r w:rsidRPr="002F5E56">
        <w:rPr>
          <w:szCs w:val="22"/>
          <w:u w:val="single"/>
        </w:rPr>
        <w:t>štátne sociálne dávky</w:t>
      </w:r>
      <w:r w:rsidRPr="002F5E56">
        <w:rPr>
          <w:szCs w:val="22"/>
        </w:rPr>
        <w:t xml:space="preserve"> medziročne </w:t>
      </w:r>
      <w:r w:rsidR="00FB717B" w:rsidRPr="002F5E56">
        <w:rPr>
          <w:szCs w:val="22"/>
        </w:rPr>
        <w:t>pokles</w:t>
      </w:r>
      <w:r w:rsidRPr="002F5E56">
        <w:rPr>
          <w:szCs w:val="22"/>
        </w:rPr>
        <w:t>li o 15,1 % (</w:t>
      </w:r>
      <w:r w:rsidR="00FB717B" w:rsidRPr="002F5E56">
        <w:rPr>
          <w:szCs w:val="22"/>
        </w:rPr>
        <w:t>pokles</w:t>
      </w:r>
      <w:r w:rsidRPr="002F5E56">
        <w:rPr>
          <w:szCs w:val="22"/>
        </w:rPr>
        <w:t xml:space="preserve"> o 4</w:t>
      </w:r>
      <w:r w:rsidR="00FB717B" w:rsidRPr="002F5E56">
        <w:rPr>
          <w:szCs w:val="22"/>
        </w:rPr>
        <w:t>7</w:t>
      </w:r>
      <w:r w:rsidRPr="002F5E56">
        <w:rPr>
          <w:szCs w:val="22"/>
        </w:rPr>
        <w:t>6 </w:t>
      </w:r>
      <w:r w:rsidR="00FB717B" w:rsidRPr="002F5E56">
        <w:rPr>
          <w:szCs w:val="22"/>
        </w:rPr>
        <w:t>908</w:t>
      </w:r>
      <w:r w:rsidRPr="002F5E56">
        <w:rPr>
          <w:szCs w:val="22"/>
        </w:rPr>
        <w:t> tis. eur)</w:t>
      </w:r>
      <w:r w:rsidR="00636987" w:rsidRPr="002F5E56">
        <w:rPr>
          <w:szCs w:val="22"/>
        </w:rPr>
        <w:t xml:space="preserve">, </w:t>
      </w:r>
      <w:r w:rsidRPr="002F5E56">
        <w:rPr>
          <w:szCs w:val="22"/>
        </w:rPr>
        <w:t>z toho najvýraznejší vplyv mali dávky:</w:t>
      </w:r>
    </w:p>
    <w:p w14:paraId="5C8D58C1" w14:textId="7A0989A2" w:rsidR="002F5E56" w:rsidRPr="008B370A" w:rsidRDefault="00636987" w:rsidP="006210BA">
      <w:pPr>
        <w:pStyle w:val="Odsekzoznamu"/>
        <w:numPr>
          <w:ilvl w:val="0"/>
          <w:numId w:val="17"/>
        </w:numPr>
        <w:spacing w:after="120"/>
        <w:ind w:left="714" w:hanging="357"/>
        <w:jc w:val="both"/>
      </w:pPr>
      <w:r w:rsidRPr="002F5E56">
        <w:rPr>
          <w:b/>
          <w:bCs/>
          <w:i/>
          <w:iCs/>
        </w:rPr>
        <w:t>ostatné štátne sociálne dávky</w:t>
      </w:r>
      <w:r w:rsidRPr="002F5E56">
        <w:t xml:space="preserve"> sa medziročné znížili o 69,3 % </w:t>
      </w:r>
      <w:r w:rsidR="002F5E56" w:rsidRPr="002F5E56">
        <w:t>(pokles o 665 266 tis. eur) – tento medziročný pokles bol spôsobený novelou</w:t>
      </w:r>
      <w:r w:rsidR="002F5E56" w:rsidRPr="002F5E56">
        <w:rPr>
          <w:rStyle w:val="Odkaznapoznmkupodiarou"/>
        </w:rPr>
        <w:footnoteReference w:id="16"/>
      </w:r>
      <w:r w:rsidR="002F5E56" w:rsidRPr="002F5E56">
        <w:t xml:space="preserve"> zákona o sociálnom poistení, ktorou sa s účinnosťou od</w:t>
      </w:r>
      <w:r w:rsidR="0021002F">
        <w:t> </w:t>
      </w:r>
      <w:r w:rsidR="002F5E56" w:rsidRPr="002F5E56">
        <w:t>1.</w:t>
      </w:r>
      <w:r w:rsidR="0021002F">
        <w:t> </w:t>
      </w:r>
      <w:r w:rsidR="002F5E56" w:rsidRPr="002F5E56">
        <w:t>júla 2024 zaviedla nová dôchodková dávka – 13.</w:t>
      </w:r>
      <w:r w:rsidR="0021002F">
        <w:t> </w:t>
      </w:r>
      <w:r w:rsidR="002F5E56" w:rsidRPr="002F5E56">
        <w:t xml:space="preserve">dôchodok a nahrádza doterajšiu štátnu </w:t>
      </w:r>
      <w:r w:rsidR="002F5E56" w:rsidRPr="008B370A">
        <w:t>sociálnu dávku 13.</w:t>
      </w:r>
      <w:r w:rsidR="0021002F">
        <w:t> </w:t>
      </w:r>
      <w:r w:rsidR="002F5E56" w:rsidRPr="008B370A">
        <w:t>dôchodok. Táto nová dávka sa od 2024 vykazuje pod dôchodkovými dávkami zo</w:t>
      </w:r>
      <w:r w:rsidR="00041EA0">
        <w:t> </w:t>
      </w:r>
      <w:r w:rsidR="002F5E56" w:rsidRPr="008B370A">
        <w:t>starobného poistenia a z invalidného poistenia</w:t>
      </w:r>
      <w:r w:rsidR="009E5EC7" w:rsidRPr="008B370A">
        <w:t>, ktoré vypláca Sociálna poisťovňa</w:t>
      </w:r>
      <w:r w:rsidR="002F5E56" w:rsidRPr="008B370A">
        <w:t>.</w:t>
      </w:r>
      <w:r w:rsidR="008002A4" w:rsidRPr="008B370A">
        <w:t xml:space="preserve"> </w:t>
      </w:r>
    </w:p>
    <w:p w14:paraId="2754FB22" w14:textId="7596B67A" w:rsidR="002F5E56" w:rsidRPr="008B370A" w:rsidRDefault="002F5E56" w:rsidP="005F0C23">
      <w:pPr>
        <w:pStyle w:val="Odsekzoznamu"/>
        <w:numPr>
          <w:ilvl w:val="0"/>
          <w:numId w:val="17"/>
        </w:numPr>
        <w:spacing w:after="120"/>
        <w:ind w:left="714" w:hanging="357"/>
        <w:jc w:val="both"/>
      </w:pPr>
      <w:r w:rsidRPr="008B370A">
        <w:t xml:space="preserve">Suma vyplatených </w:t>
      </w:r>
      <w:r w:rsidRPr="008B370A">
        <w:rPr>
          <w:b/>
          <w:bCs/>
          <w:i/>
          <w:iCs/>
        </w:rPr>
        <w:t>rodičovských príspevkov</w:t>
      </w:r>
      <w:r w:rsidRPr="008B370A">
        <w:t xml:space="preserve"> sa medziročne zvýšila o 5,6</w:t>
      </w:r>
      <w:r w:rsidR="00BE610E" w:rsidRPr="008B370A">
        <w:t> </w:t>
      </w:r>
      <w:r w:rsidRPr="008B370A">
        <w:t>% (nárast o</w:t>
      </w:r>
      <w:r w:rsidR="00BE610E" w:rsidRPr="008B370A">
        <w:t> </w:t>
      </w:r>
      <w:r w:rsidRPr="008B370A">
        <w:t>36</w:t>
      </w:r>
      <w:r w:rsidR="006C3CE5" w:rsidRPr="008B370A">
        <w:t> </w:t>
      </w:r>
      <w:r w:rsidRPr="008B370A">
        <w:t>981</w:t>
      </w:r>
      <w:r w:rsidR="006C3CE5" w:rsidRPr="008B370A">
        <w:t> </w:t>
      </w:r>
      <w:r w:rsidRPr="008B370A">
        <w:t>tis.</w:t>
      </w:r>
      <w:r w:rsidR="006C3CE5" w:rsidRPr="008B370A">
        <w:t> </w:t>
      </w:r>
      <w:r w:rsidRPr="008B370A">
        <w:t xml:space="preserve">eur) aj napriek tomu, že </w:t>
      </w:r>
      <w:r w:rsidR="005F0C23" w:rsidRPr="008B370A">
        <w:t>rodičovský príspevok bol valorizovaný už od 1.</w:t>
      </w:r>
      <w:r w:rsidR="0021002F">
        <w:t> </w:t>
      </w:r>
      <w:r w:rsidR="005F0C23" w:rsidRPr="008B370A">
        <w:t>augusta 2023, tzv.</w:t>
      </w:r>
      <w:r w:rsidR="0021002F">
        <w:t> </w:t>
      </w:r>
      <w:r w:rsidR="005F0C23" w:rsidRPr="008B370A">
        <w:t>predsunutá valorizácia (suma mesačného prídavku príspevku sa zvýšila na sumu 345,20 eur (ak oprávnená osoba nemala nárok na materské na dieťa, na ktoré si uplatnila nárok na rodičovský príspevok) a  na sumu 473,30</w:t>
      </w:r>
      <w:r w:rsidR="0021002F">
        <w:t> </w:t>
      </w:r>
      <w:r w:rsidR="005F0C23" w:rsidRPr="008B370A">
        <w:t>eur (ak oprávnená osoba mala nárok na materské na dieťa, na ktoré si uplatnila nárok na</w:t>
      </w:r>
      <w:r w:rsidR="00041EA0">
        <w:t> </w:t>
      </w:r>
      <w:r w:rsidR="005F0C23" w:rsidRPr="008B370A">
        <w:t>rodičovský príspevok) a od 1.</w:t>
      </w:r>
      <w:r w:rsidR="0021002F">
        <w:t> </w:t>
      </w:r>
      <w:r w:rsidR="005F0C23" w:rsidRPr="008B370A">
        <w:t>januára 2024 už nedošlo k ďalšiemu zvýšeniu mesačných príspevkov.</w:t>
      </w:r>
    </w:p>
    <w:p w14:paraId="218B7C16" w14:textId="3A6EC81C" w:rsidR="002F5E56" w:rsidRPr="002F5E56" w:rsidRDefault="002F5E56" w:rsidP="006210BA">
      <w:pPr>
        <w:pStyle w:val="Odsekzoznamu"/>
        <w:numPr>
          <w:ilvl w:val="0"/>
          <w:numId w:val="17"/>
        </w:numPr>
        <w:spacing w:after="120"/>
        <w:ind w:left="714" w:hanging="357"/>
        <w:jc w:val="both"/>
      </w:pPr>
      <w:r w:rsidRPr="008B370A">
        <w:rPr>
          <w:b/>
          <w:bCs/>
          <w:i/>
          <w:iCs/>
        </w:rPr>
        <w:t>peňažné príspevky na kompenzáciu</w:t>
      </w:r>
      <w:r w:rsidRPr="008B370A">
        <w:t xml:space="preserve"> zaznamenali medziročný nárast o 21,9 % (nárast o 133 442 tis. eur), čo bolo spôsobené </w:t>
      </w:r>
      <w:r w:rsidR="00677DC8" w:rsidRPr="008B370A">
        <w:t>vyššími výdavkami na peňažný príspevok na opatrovanie v</w:t>
      </w:r>
      <w:r w:rsidR="00041EA0">
        <w:t> </w:t>
      </w:r>
      <w:r w:rsidR="00677DC8" w:rsidRPr="008B370A">
        <w:t>dôsledku viacerých legislatívnych zmien o</w:t>
      </w:r>
      <w:r w:rsidR="00E70C44" w:rsidRPr="008B370A">
        <w:t> </w:t>
      </w:r>
      <w:r w:rsidR="00677DC8" w:rsidRPr="008B370A">
        <w:t>94</w:t>
      </w:r>
      <w:r w:rsidR="00E70C44" w:rsidRPr="008B370A">
        <w:t> </w:t>
      </w:r>
      <w:r w:rsidR="00677DC8" w:rsidRPr="008B370A">
        <w:t>145</w:t>
      </w:r>
      <w:r w:rsidR="00E70C44" w:rsidRPr="008B370A">
        <w:t> </w:t>
      </w:r>
      <w:r w:rsidR="00677DC8" w:rsidRPr="008B370A">
        <w:t>tis.</w:t>
      </w:r>
      <w:r w:rsidR="00E70C44" w:rsidRPr="008B370A">
        <w:t> </w:t>
      </w:r>
      <w:r w:rsidR="00677DC8" w:rsidRPr="008B370A">
        <w:t>eur (najmä dorovnanie výšky príspevku na</w:t>
      </w:r>
      <w:r w:rsidR="00041EA0">
        <w:t> </w:t>
      </w:r>
      <w:r w:rsidR="00677DC8" w:rsidRPr="008B370A">
        <w:t>opatrovanie pre tých poberateľov, ktorí zároveň boli poberateľmi niektorej dôchodkovej dávky a</w:t>
      </w:r>
      <w:r w:rsidR="00041EA0">
        <w:t> </w:t>
      </w:r>
      <w:r w:rsidR="00677DC8" w:rsidRPr="008B370A">
        <w:t>valorizáciou príspevku od 1.</w:t>
      </w:r>
      <w:r w:rsidR="0021002F">
        <w:t> </w:t>
      </w:r>
      <w:r w:rsidR="00677DC8" w:rsidRPr="008B370A">
        <w:t xml:space="preserve">júla 2024 na novú úroveň spolu s kontinuálnym rastom počtu poberateľov) a zvýšením sadzby na hodinu osobnej asistencie nariadením vlády SR, ako aj </w:t>
      </w:r>
      <w:r w:rsidRPr="008B370A">
        <w:t>zvýšením životného minima o 1,9</w:t>
      </w:r>
      <w:r w:rsidR="00BE610E" w:rsidRPr="008B370A">
        <w:t> </w:t>
      </w:r>
      <w:r w:rsidRPr="008B370A">
        <w:t>% od 1.</w:t>
      </w:r>
      <w:r w:rsidR="00BE610E" w:rsidRPr="008B370A">
        <w:t> </w:t>
      </w:r>
      <w:r w:rsidRPr="008B370A">
        <w:t>júla 2024. Úprava súm životného minima má priamy</w:t>
      </w:r>
      <w:r w:rsidRPr="002F5E56">
        <w:t xml:space="preserve"> vplyv na</w:t>
      </w:r>
      <w:r w:rsidR="0021002F">
        <w:t> </w:t>
      </w:r>
      <w:r w:rsidRPr="002F5E56">
        <w:t xml:space="preserve">výšku rôznych dávok a príspevkov, </w:t>
      </w:r>
      <w:r w:rsidR="00EC288D">
        <w:t>to znamená,</w:t>
      </w:r>
      <w:r w:rsidRPr="002F5E56">
        <w:t xml:space="preserve"> že od 1.</w:t>
      </w:r>
      <w:r w:rsidR="0021002F">
        <w:t> </w:t>
      </w:r>
      <w:r w:rsidRPr="002F5E56">
        <w:t xml:space="preserve">júla 2024 sa zvýšili aj peňažné príspevky </w:t>
      </w:r>
      <w:r w:rsidRPr="002F5E56">
        <w:lastRenderedPageBreak/>
        <w:t>na</w:t>
      </w:r>
      <w:r w:rsidR="00041EA0">
        <w:t> </w:t>
      </w:r>
      <w:r w:rsidRPr="002F5E56">
        <w:t xml:space="preserve"> kompenzácie (príspevok na prepravu, na diétne stravovanie, na opatrovanie, peňažný príspevok na kompenzáciu zvýšených výdavkov súvisiacich so</w:t>
      </w:r>
      <w:r w:rsidR="00BE610E">
        <w:t> </w:t>
      </w:r>
      <w:r w:rsidRPr="002F5E56">
        <w:t xml:space="preserve">zabezpečením prevádzky osobného motorového vozidla a pod.). </w:t>
      </w:r>
    </w:p>
    <w:p w14:paraId="6C456256" w14:textId="41D1325B" w:rsidR="00636987" w:rsidRPr="006210BA" w:rsidRDefault="002F5E56" w:rsidP="006210BA">
      <w:pPr>
        <w:pStyle w:val="Odsekzoznamu"/>
        <w:numPr>
          <w:ilvl w:val="0"/>
          <w:numId w:val="17"/>
        </w:numPr>
        <w:spacing w:after="120"/>
        <w:ind w:left="714" w:hanging="357"/>
        <w:jc w:val="both"/>
        <w:rPr>
          <w:u w:val="single"/>
        </w:rPr>
      </w:pPr>
      <w:r w:rsidRPr="002F5E56">
        <w:t xml:space="preserve">suma </w:t>
      </w:r>
      <w:r w:rsidRPr="002F5E56">
        <w:rPr>
          <w:b/>
          <w:bCs/>
          <w:i/>
          <w:iCs/>
        </w:rPr>
        <w:t xml:space="preserve">dávok v hmotnej núdzi </w:t>
      </w:r>
      <w:r w:rsidRPr="002F5E56">
        <w:t>sa zvýšila o 12,8 % (nárast o 15 074 tis. eur) predovšetkým z dôvodu, že od 1. januára 2024 došlo k zvýšeniu súm dávky v hmotnej núdzi (vo výške 84,90</w:t>
      </w:r>
      <w:r w:rsidR="006C3CE5">
        <w:t> </w:t>
      </w:r>
      <w:r w:rsidRPr="002F5E56">
        <w:t>eur mesačne pre</w:t>
      </w:r>
      <w:r w:rsidR="00041EA0">
        <w:t> </w:t>
      </w:r>
      <w:r w:rsidRPr="002F5E56">
        <w:t xml:space="preserve">jednotlivca, resp. v závislosti od počtu členov v domácnosti a od toho či sú osoby spoločne posudzované). </w:t>
      </w:r>
    </w:p>
    <w:p w14:paraId="51B547E7" w14:textId="3FB22388" w:rsidR="009A3759" w:rsidRPr="005D5BE3" w:rsidRDefault="009A3759" w:rsidP="006210BA">
      <w:pPr>
        <w:spacing w:after="120" w:line="240" w:lineRule="auto"/>
        <w:jc w:val="both"/>
        <w:rPr>
          <w:szCs w:val="22"/>
        </w:rPr>
      </w:pPr>
      <w:r w:rsidRPr="005D5BE3">
        <w:rPr>
          <w:szCs w:val="22"/>
          <w:u w:val="single"/>
        </w:rPr>
        <w:t>Naturálne sociálne transfery</w:t>
      </w:r>
      <w:r w:rsidRPr="005D5BE3">
        <w:rPr>
          <w:szCs w:val="22"/>
        </w:rPr>
        <w:t xml:space="preserve"> vzrástli o 1</w:t>
      </w:r>
      <w:r w:rsidR="005D5BE3" w:rsidRPr="005D5BE3">
        <w:rPr>
          <w:szCs w:val="22"/>
        </w:rPr>
        <w:t>4</w:t>
      </w:r>
      <w:r w:rsidRPr="005D5BE3">
        <w:rPr>
          <w:szCs w:val="22"/>
        </w:rPr>
        <w:t>,</w:t>
      </w:r>
      <w:r w:rsidR="005D5BE3" w:rsidRPr="005D5BE3">
        <w:rPr>
          <w:szCs w:val="22"/>
        </w:rPr>
        <w:t>0</w:t>
      </w:r>
      <w:r w:rsidRPr="005D5BE3">
        <w:rPr>
          <w:szCs w:val="22"/>
        </w:rPr>
        <w:t> % (nárast o </w:t>
      </w:r>
      <w:r w:rsidR="005D5BE3" w:rsidRPr="005D5BE3">
        <w:rPr>
          <w:szCs w:val="22"/>
        </w:rPr>
        <w:t>598</w:t>
      </w:r>
      <w:r w:rsidRPr="005D5BE3">
        <w:rPr>
          <w:szCs w:val="22"/>
        </w:rPr>
        <w:t> </w:t>
      </w:r>
      <w:r w:rsidR="005D5BE3" w:rsidRPr="005D5BE3">
        <w:rPr>
          <w:szCs w:val="22"/>
        </w:rPr>
        <w:t>572</w:t>
      </w:r>
      <w:r w:rsidRPr="005D5BE3">
        <w:rPr>
          <w:szCs w:val="22"/>
        </w:rPr>
        <w:t xml:space="preserve"> tis. eur), </w:t>
      </w:r>
      <w:r w:rsidR="00CF7D79" w:rsidRPr="005D5BE3">
        <w:rPr>
          <w:szCs w:val="22"/>
        </w:rPr>
        <w:t>ide o platby poskytovateľom zdravotnej starostlivosti, lekárňam</w:t>
      </w:r>
      <w:r w:rsidR="006A0CDF">
        <w:rPr>
          <w:szCs w:val="22"/>
        </w:rPr>
        <w:t>,</w:t>
      </w:r>
      <w:r w:rsidR="00CF7D79" w:rsidRPr="005D5BE3">
        <w:rPr>
          <w:szCs w:val="22"/>
        </w:rPr>
        <w:t xml:space="preserve"> optikám a výdajniam liekov a zdravotníckych potrieb vrátane úhrad poistencom</w:t>
      </w:r>
      <w:r w:rsidR="00CF7D79" w:rsidRPr="005D5BE3">
        <w:rPr>
          <w:rStyle w:val="Odkaznapoznmkupodiarou"/>
          <w:szCs w:val="22"/>
        </w:rPr>
        <w:footnoteReference w:id="17"/>
      </w:r>
      <w:r w:rsidR="00CF7D79" w:rsidRPr="005D5BE3">
        <w:rPr>
          <w:szCs w:val="22"/>
        </w:rPr>
        <w:t xml:space="preserve"> za lieky, zdravotnícke pomôcky, dietetické potraviny a taktiež úhrada nákladov pre</w:t>
      </w:r>
      <w:r w:rsidR="00C765EA" w:rsidRPr="005D5BE3">
        <w:rPr>
          <w:szCs w:val="22"/>
        </w:rPr>
        <w:t> </w:t>
      </w:r>
      <w:r w:rsidR="00CF7D79" w:rsidRPr="005D5BE3">
        <w:rPr>
          <w:szCs w:val="22"/>
        </w:rPr>
        <w:t>Úrad pre</w:t>
      </w:r>
      <w:r w:rsidR="00041EA0">
        <w:rPr>
          <w:szCs w:val="22"/>
        </w:rPr>
        <w:t> </w:t>
      </w:r>
      <w:r w:rsidR="00CF7D79" w:rsidRPr="005D5BE3">
        <w:rPr>
          <w:szCs w:val="22"/>
        </w:rPr>
        <w:t>dohľad nad zdravotnou starostlivosťou za poskytnutú zdravotnú starostlivosť poistencovi verejného zdravotného poistenia v iných členských štátoch Európskej únie.</w:t>
      </w:r>
    </w:p>
    <w:p w14:paraId="3DB8648A" w14:textId="77777777" w:rsidR="002F1D21" w:rsidRPr="005D5BE3" w:rsidRDefault="002F1D21" w:rsidP="002F1D21">
      <w:pPr>
        <w:spacing w:after="120" w:line="240" w:lineRule="auto"/>
        <w:jc w:val="both"/>
        <w:rPr>
          <w:b/>
          <w:color w:val="4F81BD" w:themeColor="accent1"/>
          <w:sz w:val="24"/>
          <w:szCs w:val="24"/>
        </w:rPr>
      </w:pPr>
      <w:r w:rsidRPr="005D5BE3">
        <w:rPr>
          <w:b/>
          <w:color w:val="4F81BD" w:themeColor="accent1"/>
          <w:sz w:val="24"/>
          <w:szCs w:val="24"/>
        </w:rPr>
        <w:t>Kapitálové výdavky</w:t>
      </w:r>
    </w:p>
    <w:p w14:paraId="286AFB97" w14:textId="6B8D13A8" w:rsidR="004501AA" w:rsidRPr="00ED7A0D" w:rsidRDefault="009A3759" w:rsidP="0021002F">
      <w:pPr>
        <w:spacing w:after="120" w:line="240" w:lineRule="auto"/>
        <w:jc w:val="both"/>
      </w:pPr>
      <w:r w:rsidRPr="005D5BE3">
        <w:rPr>
          <w:szCs w:val="22"/>
        </w:rPr>
        <w:t>Oproti pre</w:t>
      </w:r>
      <w:r w:rsidR="00CF7D79" w:rsidRPr="005D5BE3">
        <w:rPr>
          <w:szCs w:val="22"/>
        </w:rPr>
        <w:t xml:space="preserve">dchádzajúcemu roku </w:t>
      </w:r>
      <w:r w:rsidR="005D5BE3" w:rsidRPr="00ED7A0D">
        <w:rPr>
          <w:szCs w:val="22"/>
        </w:rPr>
        <w:t>pokles</w:t>
      </w:r>
      <w:r w:rsidR="00CF7D79" w:rsidRPr="00ED7A0D">
        <w:rPr>
          <w:szCs w:val="22"/>
        </w:rPr>
        <w:t>li o </w:t>
      </w:r>
      <w:r w:rsidR="005D5BE3" w:rsidRPr="00ED7A0D">
        <w:rPr>
          <w:szCs w:val="22"/>
        </w:rPr>
        <w:t>19</w:t>
      </w:r>
      <w:r w:rsidR="00CF7D79" w:rsidRPr="00ED7A0D">
        <w:rPr>
          <w:szCs w:val="22"/>
        </w:rPr>
        <w:t>,</w:t>
      </w:r>
      <w:r w:rsidR="005D5BE3" w:rsidRPr="00ED7A0D">
        <w:rPr>
          <w:szCs w:val="22"/>
        </w:rPr>
        <w:t>5</w:t>
      </w:r>
      <w:r w:rsidR="00CF7D79" w:rsidRPr="00ED7A0D">
        <w:rPr>
          <w:szCs w:val="22"/>
        </w:rPr>
        <w:t> % (</w:t>
      </w:r>
      <w:r w:rsidR="00F1202A" w:rsidRPr="00ED7A0D">
        <w:rPr>
          <w:szCs w:val="22"/>
        </w:rPr>
        <w:t>pokles</w:t>
      </w:r>
      <w:r w:rsidR="00CF7D79" w:rsidRPr="00ED7A0D">
        <w:rPr>
          <w:szCs w:val="22"/>
        </w:rPr>
        <w:t xml:space="preserve"> o </w:t>
      </w:r>
      <w:r w:rsidR="005D5BE3" w:rsidRPr="00ED7A0D">
        <w:rPr>
          <w:szCs w:val="22"/>
        </w:rPr>
        <w:t>1</w:t>
      </w:r>
      <w:r w:rsidR="00CF7D79" w:rsidRPr="00ED7A0D">
        <w:rPr>
          <w:szCs w:val="22"/>
        </w:rPr>
        <w:t> </w:t>
      </w:r>
      <w:r w:rsidR="005D5BE3" w:rsidRPr="00ED7A0D">
        <w:rPr>
          <w:szCs w:val="22"/>
        </w:rPr>
        <w:t>280</w:t>
      </w:r>
      <w:r w:rsidRPr="00ED7A0D">
        <w:rPr>
          <w:szCs w:val="22"/>
        </w:rPr>
        <w:t> </w:t>
      </w:r>
      <w:r w:rsidR="005D5BE3" w:rsidRPr="00ED7A0D">
        <w:rPr>
          <w:szCs w:val="22"/>
        </w:rPr>
        <w:t>665</w:t>
      </w:r>
      <w:r w:rsidRPr="00ED7A0D">
        <w:rPr>
          <w:szCs w:val="22"/>
        </w:rPr>
        <w:t xml:space="preserve"> tis. eur) najmä z dôvodu </w:t>
      </w:r>
      <w:r w:rsidR="005D5BE3" w:rsidRPr="00ED7A0D">
        <w:rPr>
          <w:szCs w:val="22"/>
        </w:rPr>
        <w:t>pokles</w:t>
      </w:r>
      <w:r w:rsidRPr="00ED7A0D">
        <w:rPr>
          <w:szCs w:val="22"/>
        </w:rPr>
        <w:t xml:space="preserve">u </w:t>
      </w:r>
      <w:r w:rsidRPr="00ED7A0D">
        <w:rPr>
          <w:szCs w:val="22"/>
          <w:u w:val="single"/>
        </w:rPr>
        <w:t>kapitálových transferov</w:t>
      </w:r>
      <w:r w:rsidR="00CF7D79" w:rsidRPr="00ED7A0D">
        <w:rPr>
          <w:szCs w:val="22"/>
        </w:rPr>
        <w:t xml:space="preserve"> o 1 </w:t>
      </w:r>
      <w:r w:rsidR="005D5BE3" w:rsidRPr="00ED7A0D">
        <w:rPr>
          <w:szCs w:val="22"/>
        </w:rPr>
        <w:t>384</w:t>
      </w:r>
      <w:r w:rsidR="00CF7D79" w:rsidRPr="00ED7A0D">
        <w:rPr>
          <w:szCs w:val="22"/>
        </w:rPr>
        <w:t> </w:t>
      </w:r>
      <w:r w:rsidR="005D5BE3" w:rsidRPr="00ED7A0D">
        <w:rPr>
          <w:szCs w:val="22"/>
        </w:rPr>
        <w:t>120</w:t>
      </w:r>
      <w:r w:rsidRPr="00ED7A0D">
        <w:rPr>
          <w:szCs w:val="22"/>
        </w:rPr>
        <w:t> tis. eur</w:t>
      </w:r>
      <w:r w:rsidR="007B36E2" w:rsidRPr="00ED7A0D">
        <w:rPr>
          <w:szCs w:val="22"/>
        </w:rPr>
        <w:t>.</w:t>
      </w:r>
      <w:r w:rsidR="004501AA" w:rsidRPr="00ED7A0D">
        <w:rPr>
          <w:szCs w:val="22"/>
        </w:rPr>
        <w:t xml:space="preserve"> Išlo o pokles v kapitole </w:t>
      </w:r>
      <w:r w:rsidR="004501AA" w:rsidRPr="00ED7A0D">
        <w:t>Ministerstva obrany SR z dôvodu, že</w:t>
      </w:r>
      <w:r w:rsidR="0021002F">
        <w:t> </w:t>
      </w:r>
      <w:r w:rsidR="004501AA" w:rsidRPr="00ED7A0D">
        <w:t xml:space="preserve">v roku 2023 bol </w:t>
      </w:r>
      <w:r w:rsidR="00AB152A">
        <w:t xml:space="preserve">v národných účtoch </w:t>
      </w:r>
      <w:r w:rsidR="004501AA" w:rsidRPr="00ED7A0D">
        <w:t xml:space="preserve">zaznamenaný kapitálový výdavok vo výške </w:t>
      </w:r>
      <w:r w:rsidR="004501AA" w:rsidRPr="00ED7A0D">
        <w:rPr>
          <w:szCs w:val="22"/>
        </w:rPr>
        <w:t>1</w:t>
      </w:r>
      <w:r w:rsidR="0021002F">
        <w:rPr>
          <w:szCs w:val="22"/>
        </w:rPr>
        <w:t> </w:t>
      </w:r>
      <w:r w:rsidR="00443F4E" w:rsidRPr="00ED7A0D">
        <w:rPr>
          <w:szCs w:val="22"/>
        </w:rPr>
        <w:t>463</w:t>
      </w:r>
      <w:r w:rsidR="0021002F">
        <w:rPr>
          <w:szCs w:val="22"/>
        </w:rPr>
        <w:t> </w:t>
      </w:r>
      <w:r w:rsidR="00443F4E" w:rsidRPr="00ED7A0D">
        <w:rPr>
          <w:szCs w:val="22"/>
        </w:rPr>
        <w:t>280</w:t>
      </w:r>
      <w:r w:rsidR="0021002F">
        <w:rPr>
          <w:szCs w:val="22"/>
        </w:rPr>
        <w:t> </w:t>
      </w:r>
      <w:r w:rsidR="004501AA" w:rsidRPr="00ED7A0D">
        <w:rPr>
          <w:szCs w:val="22"/>
        </w:rPr>
        <w:t>tis.</w:t>
      </w:r>
      <w:r w:rsidR="0021002F">
        <w:rPr>
          <w:szCs w:val="22"/>
        </w:rPr>
        <w:t> </w:t>
      </w:r>
      <w:r w:rsidR="004501AA" w:rsidRPr="00ED7A0D">
        <w:rPr>
          <w:szCs w:val="22"/>
        </w:rPr>
        <w:t>eur</w:t>
      </w:r>
      <w:r w:rsidR="00211994" w:rsidRPr="00ED7A0D">
        <w:t xml:space="preserve"> </w:t>
      </w:r>
      <w:r w:rsidR="00AB152A">
        <w:t>za</w:t>
      </w:r>
      <w:r w:rsidR="00211994" w:rsidRPr="00ED7A0D">
        <w:t xml:space="preserve"> </w:t>
      </w:r>
      <w:r w:rsidR="004501AA" w:rsidRPr="00ED7A0D">
        <w:rPr>
          <w:szCs w:val="22"/>
        </w:rPr>
        <w:t>darovan</w:t>
      </w:r>
      <w:r w:rsidR="00AB152A">
        <w:rPr>
          <w:szCs w:val="22"/>
        </w:rPr>
        <w:t>ú</w:t>
      </w:r>
      <w:r w:rsidR="004501AA" w:rsidRPr="00ED7A0D">
        <w:rPr>
          <w:szCs w:val="22"/>
        </w:rPr>
        <w:t xml:space="preserve"> vojensk</w:t>
      </w:r>
      <w:r w:rsidR="00AB152A">
        <w:rPr>
          <w:szCs w:val="22"/>
        </w:rPr>
        <w:t>ú</w:t>
      </w:r>
      <w:r w:rsidR="004501AA" w:rsidRPr="00ED7A0D">
        <w:rPr>
          <w:szCs w:val="22"/>
        </w:rPr>
        <w:t xml:space="preserve"> technik</w:t>
      </w:r>
      <w:r w:rsidR="00AB152A">
        <w:rPr>
          <w:szCs w:val="22"/>
        </w:rPr>
        <w:t>u</w:t>
      </w:r>
      <w:r w:rsidR="004501AA" w:rsidRPr="00ED7A0D">
        <w:rPr>
          <w:szCs w:val="22"/>
        </w:rPr>
        <w:t xml:space="preserve"> OS</w:t>
      </w:r>
      <w:r w:rsidR="0021002F">
        <w:rPr>
          <w:szCs w:val="22"/>
        </w:rPr>
        <w:t> </w:t>
      </w:r>
      <w:r w:rsidR="004501AA" w:rsidRPr="00ED7A0D">
        <w:rPr>
          <w:szCs w:val="22"/>
        </w:rPr>
        <w:t>SR na Ukrajinu</w:t>
      </w:r>
      <w:r w:rsidR="00211994" w:rsidRPr="00ED7A0D">
        <w:rPr>
          <w:szCs w:val="22"/>
        </w:rPr>
        <w:t>. V roku 2024 sa takýto výdavok neuskutočnil.</w:t>
      </w:r>
    </w:p>
    <w:p w14:paraId="31219E3D" w14:textId="4E691221" w:rsidR="009A3759" w:rsidRPr="00ED7A0D" w:rsidRDefault="009A3759" w:rsidP="009A3759">
      <w:pPr>
        <w:spacing w:line="240" w:lineRule="auto"/>
        <w:jc w:val="both"/>
      </w:pPr>
      <w:r w:rsidRPr="00ED7A0D">
        <w:rPr>
          <w:u w:val="single"/>
        </w:rPr>
        <w:t>Výdavky na obstaranie kapitálových aktív</w:t>
      </w:r>
      <w:r w:rsidRPr="00ED7A0D">
        <w:t xml:space="preserve"> vzrástli oproti roku 202</w:t>
      </w:r>
      <w:r w:rsidR="005D5BE3" w:rsidRPr="00ED7A0D">
        <w:t>3</w:t>
      </w:r>
      <w:r w:rsidRPr="00ED7A0D">
        <w:t xml:space="preserve"> o </w:t>
      </w:r>
      <w:r w:rsidR="005D5BE3" w:rsidRPr="00ED7A0D">
        <w:t>2</w:t>
      </w:r>
      <w:r w:rsidRPr="00ED7A0D">
        <w:t>,</w:t>
      </w:r>
      <w:r w:rsidR="005D5BE3" w:rsidRPr="00ED7A0D">
        <w:t>3</w:t>
      </w:r>
      <w:r w:rsidRPr="00ED7A0D">
        <w:t> % (</w:t>
      </w:r>
      <w:r w:rsidR="00F85857">
        <w:t xml:space="preserve">celkový </w:t>
      </w:r>
      <w:r w:rsidRPr="00ED7A0D">
        <w:t>nárast o 1</w:t>
      </w:r>
      <w:r w:rsidR="005D5BE3" w:rsidRPr="00ED7A0D">
        <w:t>03</w:t>
      </w:r>
      <w:r w:rsidRPr="00ED7A0D">
        <w:t> </w:t>
      </w:r>
      <w:r w:rsidR="005D5BE3" w:rsidRPr="00ED7A0D">
        <w:t>455</w:t>
      </w:r>
      <w:r w:rsidRPr="00ED7A0D">
        <w:t> tis. eur</w:t>
      </w:r>
      <w:r w:rsidR="00073D99">
        <w:rPr>
          <w:rStyle w:val="Odkaznapoznmkupodiarou"/>
        </w:rPr>
        <w:footnoteReference w:id="18"/>
      </w:r>
      <w:r w:rsidRPr="00ED7A0D">
        <w:t xml:space="preserve">). Najvyšší nárast výdavkov na nové investície vykázali tieto </w:t>
      </w:r>
      <w:r w:rsidR="000D1D1F" w:rsidRPr="00ED7A0D">
        <w:t>subjekty/</w:t>
      </w:r>
      <w:r w:rsidRPr="00ED7A0D">
        <w:t>zložky verejnej správy:</w:t>
      </w:r>
    </w:p>
    <w:p w14:paraId="4A7A2B92" w14:textId="6C5B82E3" w:rsidR="002A4569" w:rsidRDefault="002A4569" w:rsidP="00E76C9D">
      <w:pPr>
        <w:pStyle w:val="Odsekzoznamu"/>
        <w:numPr>
          <w:ilvl w:val="0"/>
          <w:numId w:val="13"/>
        </w:numPr>
        <w:spacing w:after="120"/>
        <w:ind w:left="419" w:hanging="357"/>
        <w:contextualSpacing w:val="0"/>
        <w:jc w:val="both"/>
      </w:pPr>
      <w:r w:rsidRPr="00ED7A0D">
        <w:rPr>
          <w:b/>
          <w:i/>
        </w:rPr>
        <w:t>Štátne rozpočtové organizácie o </w:t>
      </w:r>
      <w:r w:rsidR="00520082" w:rsidRPr="00ED7A0D">
        <w:rPr>
          <w:b/>
          <w:i/>
        </w:rPr>
        <w:t> </w:t>
      </w:r>
      <w:r w:rsidR="001415C2">
        <w:rPr>
          <w:b/>
          <w:i/>
        </w:rPr>
        <w:t>166</w:t>
      </w:r>
      <w:r w:rsidR="00520082" w:rsidRPr="00ED7A0D">
        <w:rPr>
          <w:b/>
          <w:i/>
        </w:rPr>
        <w:t> </w:t>
      </w:r>
      <w:r w:rsidR="001415C2">
        <w:rPr>
          <w:b/>
          <w:i/>
        </w:rPr>
        <w:t>429</w:t>
      </w:r>
      <w:r w:rsidRPr="00ED7A0D">
        <w:rPr>
          <w:b/>
          <w:i/>
        </w:rPr>
        <w:t> tis. eur</w:t>
      </w:r>
      <w:r w:rsidRPr="00ED7A0D">
        <w:t xml:space="preserve"> – najväčší </w:t>
      </w:r>
      <w:r w:rsidR="00271615" w:rsidRPr="00ED7A0D">
        <w:t>nárast</w:t>
      </w:r>
      <w:r w:rsidRPr="00ED7A0D">
        <w:t xml:space="preserve"> bol zaznamenaný</w:t>
      </w:r>
      <w:r w:rsidR="00ED7A0D">
        <w:t xml:space="preserve"> </w:t>
      </w:r>
      <w:r w:rsidR="00ED7A0D" w:rsidRPr="00ED7A0D">
        <w:t xml:space="preserve">najmä </w:t>
      </w:r>
      <w:r w:rsidRPr="00ED7A0D">
        <w:t>v</w:t>
      </w:r>
      <w:r w:rsidR="00130813" w:rsidRPr="00ED7A0D">
        <w:t> </w:t>
      </w:r>
      <w:r w:rsidRPr="00ED7A0D">
        <w:t>kapitol</w:t>
      </w:r>
      <w:r w:rsidR="00130813" w:rsidRPr="00ED7A0D">
        <w:t>e</w:t>
      </w:r>
      <w:r w:rsidRPr="00ED7A0D">
        <w:t xml:space="preserve"> Ministerstva obrany SR </w:t>
      </w:r>
      <w:r w:rsidR="006B0AFA" w:rsidRPr="00ED7A0D">
        <w:t xml:space="preserve">vo výdavkoch </w:t>
      </w:r>
      <w:r w:rsidRPr="00ED7A0D">
        <w:t>n</w:t>
      </w:r>
      <w:r w:rsidR="006B0AFA" w:rsidRPr="00ED7A0D">
        <w:t>a</w:t>
      </w:r>
      <w:r w:rsidRPr="00ED7A0D">
        <w:t xml:space="preserve"> vojenské zariadenia.</w:t>
      </w:r>
      <w:r w:rsidR="00301D5C" w:rsidRPr="00ED7A0D">
        <w:t xml:space="preserve"> </w:t>
      </w:r>
      <w:r w:rsidR="00E76C9D" w:rsidRPr="00ED7A0D">
        <w:rPr>
          <w:rStyle w:val="Odkaznakomentr"/>
          <w:sz w:val="22"/>
          <w:szCs w:val="22"/>
        </w:rPr>
        <w:t xml:space="preserve">V roku 2024 narástli hotovostné výdavky na obstaranie kapitálových aktív v celkovej výške 164 887 tis. eur. </w:t>
      </w:r>
      <w:r w:rsidR="00130813" w:rsidRPr="00ED7A0D">
        <w:t xml:space="preserve">Narástli aj </w:t>
      </w:r>
      <w:r w:rsidRPr="00ED7A0D">
        <w:t>výdavk</w:t>
      </w:r>
      <w:r w:rsidR="00130813" w:rsidRPr="00ED7A0D">
        <w:t>y</w:t>
      </w:r>
      <w:r w:rsidRPr="00ED7A0D">
        <w:t xml:space="preserve"> z nákupov budov v kapitolách Ministerstva dopravy SR (62 823 tis. eur) a Ministerstva</w:t>
      </w:r>
      <w:r w:rsidRPr="002A4569">
        <w:t xml:space="preserve"> spravodlivosti</w:t>
      </w:r>
      <w:r w:rsidR="00BF17A8">
        <w:t> </w:t>
      </w:r>
      <w:r w:rsidRPr="002A4569">
        <w:t>SR (40 466 tis.</w:t>
      </w:r>
      <w:r w:rsidR="00271615">
        <w:t> </w:t>
      </w:r>
      <w:r w:rsidRPr="002A4569">
        <w:t xml:space="preserve">eur). </w:t>
      </w:r>
    </w:p>
    <w:p w14:paraId="6C56021A" w14:textId="3DBE3775" w:rsidR="005E2611" w:rsidRPr="00840535" w:rsidRDefault="005E2611" w:rsidP="006210BA">
      <w:pPr>
        <w:pStyle w:val="Odsekzoznamu"/>
        <w:numPr>
          <w:ilvl w:val="0"/>
          <w:numId w:val="13"/>
        </w:numPr>
        <w:spacing w:after="120"/>
        <w:ind w:left="419" w:hanging="357"/>
        <w:contextualSpacing w:val="0"/>
        <w:jc w:val="both"/>
      </w:pPr>
      <w:r w:rsidRPr="00840535">
        <w:rPr>
          <w:b/>
          <w:i/>
        </w:rPr>
        <w:t>Dopravné podniky o 66 092 tis. eur</w:t>
      </w:r>
      <w:r w:rsidRPr="00840535">
        <w:t xml:space="preserve"> – investície v zvýšenej miere smerovali</w:t>
      </w:r>
      <w:r w:rsidR="00840535" w:rsidRPr="00840535">
        <w:t xml:space="preserve"> </w:t>
      </w:r>
      <w:r w:rsidRPr="00840535">
        <w:t>do rekonštrukcie, modernizácie údržbových základní (</w:t>
      </w:r>
      <w:r w:rsidR="0058362E">
        <w:t xml:space="preserve">napr. Depo </w:t>
      </w:r>
      <w:r w:rsidRPr="00840535">
        <w:t>Krasňan</w:t>
      </w:r>
      <w:r w:rsidR="00840535" w:rsidRPr="00840535">
        <w:t>y</w:t>
      </w:r>
      <w:r w:rsidR="0058362E">
        <w:t xml:space="preserve"> v Bratislave</w:t>
      </w:r>
      <w:r w:rsidRPr="00840535">
        <w:t>), modernizácie a</w:t>
      </w:r>
      <w:r w:rsidR="0021002F">
        <w:t> </w:t>
      </w:r>
      <w:r w:rsidRPr="00840535">
        <w:t xml:space="preserve">výstavby </w:t>
      </w:r>
      <w:r w:rsidR="004C4174" w:rsidRPr="00840535">
        <w:t xml:space="preserve">trolejbusového depa a </w:t>
      </w:r>
      <w:r w:rsidRPr="00840535">
        <w:t xml:space="preserve">trolejbusových </w:t>
      </w:r>
      <w:r w:rsidR="00840535" w:rsidRPr="00840535">
        <w:t xml:space="preserve">a električkových </w:t>
      </w:r>
      <w:r w:rsidRPr="00840535">
        <w:t xml:space="preserve">tratí, </w:t>
      </w:r>
      <w:r w:rsidR="00840535" w:rsidRPr="00840535">
        <w:t xml:space="preserve">prístreškov a zastávok. </w:t>
      </w:r>
      <w:r w:rsidRPr="00840535">
        <w:t>K nárastu výdavkov na obstaranie kapitálových aktív prispel aj nákup vodíkových a CNG autobusov, elektrobusov, trolejbusov a obstaranie dráhových vozidiel (</w:t>
      </w:r>
      <w:r w:rsidR="00264CDD">
        <w:t xml:space="preserve">napr. </w:t>
      </w:r>
      <w:r w:rsidRPr="00840535">
        <w:t>električk</w:t>
      </w:r>
      <w:r w:rsidR="00264CDD">
        <w:t>y v Bratislave pre dokončený úsek trate v</w:t>
      </w:r>
      <w:r w:rsidR="00041EA0">
        <w:t> </w:t>
      </w:r>
      <w:r w:rsidR="00264CDD">
        <w:t>Petržalke</w:t>
      </w:r>
      <w:r w:rsidRPr="00840535">
        <w:t>).</w:t>
      </w:r>
    </w:p>
    <w:p w14:paraId="1BF98139" w14:textId="1C25A44B" w:rsidR="00181D9C" w:rsidRPr="00181D9C" w:rsidRDefault="00181D9C" w:rsidP="006210BA">
      <w:pPr>
        <w:spacing w:after="120"/>
        <w:jc w:val="both"/>
      </w:pPr>
      <w:r w:rsidRPr="00181D9C">
        <w:t xml:space="preserve">Medziročný nárast výdavkov na </w:t>
      </w:r>
      <w:r>
        <w:t>obstaranie kapitálových aktív</w:t>
      </w:r>
      <w:r w:rsidRPr="00181D9C">
        <w:t xml:space="preserve"> bol eliminovaný poklesom výdavkov predovšetkým v týchto zložkách:</w:t>
      </w:r>
    </w:p>
    <w:p w14:paraId="6155FAA4" w14:textId="6833DB31" w:rsidR="00C93CB4" w:rsidRPr="00F33F0C" w:rsidRDefault="00181D9C" w:rsidP="006210BA">
      <w:pPr>
        <w:pStyle w:val="Odsekzoznamu"/>
        <w:numPr>
          <w:ilvl w:val="0"/>
          <w:numId w:val="13"/>
        </w:numPr>
        <w:spacing w:after="120"/>
        <w:ind w:left="419" w:hanging="357"/>
        <w:contextualSpacing w:val="0"/>
        <w:jc w:val="both"/>
      </w:pPr>
      <w:r w:rsidRPr="00F33F0C">
        <w:rPr>
          <w:b/>
          <w:i/>
        </w:rPr>
        <w:t>Obce a ich RO o </w:t>
      </w:r>
      <w:r w:rsidR="00821ABF" w:rsidRPr="00F33F0C">
        <w:rPr>
          <w:b/>
          <w:i/>
        </w:rPr>
        <w:t>484</w:t>
      </w:r>
      <w:r w:rsidRPr="00F33F0C">
        <w:rPr>
          <w:b/>
          <w:i/>
        </w:rPr>
        <w:t> </w:t>
      </w:r>
      <w:r w:rsidR="00821ABF" w:rsidRPr="00F33F0C">
        <w:rPr>
          <w:b/>
          <w:i/>
        </w:rPr>
        <w:t>659</w:t>
      </w:r>
      <w:r w:rsidRPr="00F33F0C">
        <w:rPr>
          <w:b/>
          <w:i/>
        </w:rPr>
        <w:t> tis. eur</w:t>
      </w:r>
      <w:r w:rsidRPr="00F33F0C">
        <w:t xml:space="preserve"> – </w:t>
      </w:r>
      <w:r w:rsidR="00C93CB4" w:rsidRPr="00F33F0C">
        <w:t xml:space="preserve"> zaznamenali pokles výdavkov na obstaranie kapitálových aktív i keď vykonávali široké spektrum investičných aktív</w:t>
      </w:r>
      <w:r w:rsidR="00F33F0C" w:rsidRPr="00F33F0C">
        <w:t xml:space="preserve"> zameraných z väčšej časti na rekonštrukciu a modernizáciu existujúcich budov a verejných priestorov, zatiaľ čo novostavby tvorili menší, no</w:t>
      </w:r>
      <w:r w:rsidR="0021002F">
        <w:t> </w:t>
      </w:r>
      <w:r w:rsidR="00F33F0C" w:rsidRPr="00F33F0C">
        <w:t xml:space="preserve">strategicky významný podiel, najmä v oblasti </w:t>
      </w:r>
      <w:r w:rsidR="00F33F0C" w:rsidRPr="006210BA">
        <w:t>predškolskej výchovy, sociálnych služieb a</w:t>
      </w:r>
      <w:r w:rsidR="00041EA0">
        <w:t> </w:t>
      </w:r>
      <w:r w:rsidR="00F33F0C" w:rsidRPr="006210BA">
        <w:t xml:space="preserve">environmentálnych projektov. </w:t>
      </w:r>
      <w:r w:rsidR="00C93CB4" w:rsidRPr="006210BA">
        <w:t>V menšo</w:t>
      </w:r>
      <w:r w:rsidR="00C93CB4" w:rsidRPr="00F33F0C">
        <w:t>m objeme oproti roku 2023 sa realizovali revitalizácie námestí, parkov, miestnych komunikácií, úpravy športovísk</w:t>
      </w:r>
      <w:r w:rsidR="00F33F0C" w:rsidRPr="00F33F0C">
        <w:t xml:space="preserve"> a iné.</w:t>
      </w:r>
    </w:p>
    <w:p w14:paraId="0E48EB19" w14:textId="7365B45D" w:rsidR="00E8542D" w:rsidRPr="00E8542D" w:rsidRDefault="00181D9C" w:rsidP="006210BA">
      <w:pPr>
        <w:pStyle w:val="Odsekzoznamu"/>
        <w:numPr>
          <w:ilvl w:val="0"/>
          <w:numId w:val="13"/>
        </w:numPr>
        <w:spacing w:after="120"/>
        <w:ind w:left="419" w:hanging="357"/>
        <w:contextualSpacing w:val="0"/>
        <w:jc w:val="both"/>
      </w:pPr>
      <w:r w:rsidRPr="00E8542D">
        <w:rPr>
          <w:b/>
          <w:i/>
        </w:rPr>
        <w:t>VÚC a ich RO o </w:t>
      </w:r>
      <w:r w:rsidR="00821ABF" w:rsidRPr="00E8542D">
        <w:rPr>
          <w:b/>
          <w:i/>
        </w:rPr>
        <w:t>437</w:t>
      </w:r>
      <w:r w:rsidRPr="00E8542D">
        <w:rPr>
          <w:b/>
          <w:i/>
        </w:rPr>
        <w:t> </w:t>
      </w:r>
      <w:r w:rsidR="00821ABF" w:rsidRPr="00E8542D">
        <w:rPr>
          <w:b/>
          <w:i/>
        </w:rPr>
        <w:t>146</w:t>
      </w:r>
      <w:r w:rsidRPr="00E8542D">
        <w:rPr>
          <w:b/>
          <w:i/>
        </w:rPr>
        <w:t> tis. eur</w:t>
      </w:r>
      <w:r w:rsidRPr="00E8542D">
        <w:t xml:space="preserve"> – </w:t>
      </w:r>
      <w:r w:rsidR="00E8542D" w:rsidRPr="00E8542D">
        <w:t>znížený objem investícií na rekonštrukciu a modernizáciu cestnej infraštruktúry (cesty II. a III. triedy a mosty), realizovalo sa menej projektov modernizácie škôl, verejných priestorov, renovácie školských historických budov (múzeí, knižníc) a pokles zaznamenali aj investície alokované na výstavbu cyklotrás a do projektov technickej infraštruktúry a cestovného ruchu.</w:t>
      </w:r>
    </w:p>
    <w:p w14:paraId="68AF5117" w14:textId="1AB968CA" w:rsidR="0020508B" w:rsidRPr="004747E2" w:rsidRDefault="00B6008D" w:rsidP="006210BA">
      <w:pPr>
        <w:pStyle w:val="Odsekzoznamu"/>
        <w:numPr>
          <w:ilvl w:val="0"/>
          <w:numId w:val="13"/>
        </w:numPr>
        <w:spacing w:after="120"/>
        <w:ind w:left="419" w:hanging="357"/>
        <w:contextualSpacing w:val="0"/>
        <w:jc w:val="both"/>
      </w:pPr>
      <w:r w:rsidRPr="004747E2">
        <w:rPr>
          <w:b/>
          <w:i/>
        </w:rPr>
        <w:lastRenderedPageBreak/>
        <w:t>ZSSK</w:t>
      </w:r>
      <w:r w:rsidR="009A3759" w:rsidRPr="004747E2">
        <w:rPr>
          <w:b/>
          <w:i/>
        </w:rPr>
        <w:t xml:space="preserve"> o </w:t>
      </w:r>
      <w:r w:rsidR="00821ABF" w:rsidRPr="004747E2">
        <w:rPr>
          <w:b/>
          <w:i/>
        </w:rPr>
        <w:t>307</w:t>
      </w:r>
      <w:r w:rsidR="009A3759" w:rsidRPr="004747E2">
        <w:rPr>
          <w:b/>
          <w:i/>
        </w:rPr>
        <w:t> </w:t>
      </w:r>
      <w:r w:rsidR="00821ABF" w:rsidRPr="004747E2">
        <w:rPr>
          <w:b/>
          <w:i/>
        </w:rPr>
        <w:t>319</w:t>
      </w:r>
      <w:r w:rsidR="009A3759" w:rsidRPr="004747E2">
        <w:rPr>
          <w:b/>
          <w:i/>
        </w:rPr>
        <w:t> tis. eur</w:t>
      </w:r>
      <w:r w:rsidR="009A3759" w:rsidRPr="004747E2">
        <w:t xml:space="preserve"> – </w:t>
      </w:r>
      <w:r w:rsidR="00244749" w:rsidRPr="004747E2">
        <w:t xml:space="preserve">na medziročný </w:t>
      </w:r>
      <w:r w:rsidR="0020508B" w:rsidRPr="004747E2">
        <w:t xml:space="preserve">pokles mal vplyv posun príjmu z predaja pracovísk </w:t>
      </w:r>
      <w:r w:rsidR="00F85857">
        <w:t>THU</w:t>
      </w:r>
      <w:r w:rsidR="0020508B" w:rsidRPr="004747E2">
        <w:t xml:space="preserve"> </w:t>
      </w:r>
      <w:r w:rsidR="0020508B" w:rsidRPr="004747E2">
        <w:rPr>
          <w:rFonts w:cs="Times New Roman"/>
        </w:rPr>
        <w:t xml:space="preserve">železničných koľajových vozidiel </w:t>
      </w:r>
      <w:r w:rsidR="0020508B" w:rsidRPr="004747E2">
        <w:t xml:space="preserve">z roku 2024 do roku 2025 </w:t>
      </w:r>
      <w:r w:rsidR="0020508B" w:rsidRPr="004747E2">
        <w:rPr>
          <w:rFonts w:cs="Times New Roman"/>
        </w:rPr>
        <w:t xml:space="preserve">v nadväznosti na disponibilné vlastné zdroje </w:t>
      </w:r>
      <w:r w:rsidR="004747E2" w:rsidRPr="004747E2">
        <w:rPr>
          <w:rFonts w:cs="Times New Roman"/>
        </w:rPr>
        <w:t>použité pre projekty</w:t>
      </w:r>
      <w:r w:rsidR="0020508B" w:rsidRPr="004747E2">
        <w:t xml:space="preserve"> zameran</w:t>
      </w:r>
      <w:r w:rsidR="004747E2" w:rsidRPr="004747E2">
        <w:t>é</w:t>
      </w:r>
      <w:r w:rsidR="0020508B" w:rsidRPr="004747E2">
        <w:t xml:space="preserve"> na obnovu parku železničných koľajových vozidiel pre</w:t>
      </w:r>
      <w:r w:rsidR="00B60D0E">
        <w:t> </w:t>
      </w:r>
      <w:r w:rsidR="0020508B" w:rsidRPr="004747E2">
        <w:t>prímestskú a medziregionálnu verejnú železničnú osobnú dopravu</w:t>
      </w:r>
      <w:r w:rsidR="004747E2" w:rsidRPr="004747E2">
        <w:t>.</w:t>
      </w:r>
    </w:p>
    <w:p w14:paraId="39FD610C" w14:textId="2A8FC162" w:rsidR="00292F78" w:rsidRPr="00B27B13" w:rsidRDefault="00B27B13" w:rsidP="006B39FE">
      <w:pPr>
        <w:pStyle w:val="Odsekzoznamu"/>
        <w:numPr>
          <w:ilvl w:val="0"/>
          <w:numId w:val="13"/>
        </w:numPr>
        <w:spacing w:after="120"/>
        <w:ind w:left="419" w:hanging="357"/>
        <w:contextualSpacing w:val="0"/>
        <w:jc w:val="both"/>
      </w:pPr>
      <w:r w:rsidRPr="003A01E8">
        <w:rPr>
          <w:b/>
          <w:i/>
        </w:rPr>
        <w:t>Verejné vysoké školy o 111 727 tis. eur</w:t>
      </w:r>
      <w:r w:rsidRPr="0085021D">
        <w:t xml:space="preserve"> – </w:t>
      </w:r>
      <w:r w:rsidR="00F85857">
        <w:t>v</w:t>
      </w:r>
      <w:r w:rsidRPr="006F1CE5">
        <w:t xml:space="preserve"> roku 2024 univerzity </w:t>
      </w:r>
      <w:r w:rsidR="00885439">
        <w:t>pokračovali</w:t>
      </w:r>
      <w:r w:rsidR="00885439" w:rsidRPr="006F1CE5">
        <w:t xml:space="preserve"> </w:t>
      </w:r>
      <w:r w:rsidRPr="006F1CE5">
        <w:t>v rekonštrukciách svojich ubytovacích a akademických priestorov, avšak v porovnaní s predchádzajúcim rokom bolo zaznamenané nižšie čerpanie finančných zdrojov určených na nové stavebné projekty, renovácie a</w:t>
      </w:r>
      <w:r>
        <w:t> s tým</w:t>
      </w:r>
      <w:r w:rsidRPr="006F1CE5">
        <w:t xml:space="preserve"> súvisiace obstarávanie technológií a vybavenia. Tento pokles súvisí</w:t>
      </w:r>
      <w:r w:rsidR="00885439">
        <w:t xml:space="preserve"> aj</w:t>
      </w:r>
      <w:r w:rsidRPr="006F1CE5">
        <w:t xml:space="preserve"> s dokončením viacerých projektov </w:t>
      </w:r>
      <w:r>
        <w:t xml:space="preserve">už </w:t>
      </w:r>
      <w:r w:rsidRPr="006F1CE5">
        <w:t>v roku 2023.</w:t>
      </w:r>
    </w:p>
    <w:p w14:paraId="7EDBE89D" w14:textId="60292869" w:rsidR="0035366F" w:rsidRPr="00631932" w:rsidRDefault="003A01E8" w:rsidP="00EC0753">
      <w:pPr>
        <w:pStyle w:val="Nadpis2"/>
        <w:numPr>
          <w:ilvl w:val="1"/>
          <w:numId w:val="2"/>
        </w:numPr>
      </w:pPr>
      <w:bookmarkStart w:id="41" w:name="_Toc399324366"/>
      <w:bookmarkStart w:id="42" w:name="_Toc401920020"/>
      <w:bookmarkStart w:id="43" w:name="_Toc465255021"/>
      <w:bookmarkStart w:id="44" w:name="_Toc495990490"/>
      <w:bookmarkEnd w:id="2"/>
      <w:bookmarkEnd w:id="3"/>
      <w:bookmarkEnd w:id="8"/>
      <w:bookmarkEnd w:id="9"/>
      <w:r>
        <w:t xml:space="preserve"> </w:t>
      </w:r>
      <w:bookmarkStart w:id="45" w:name="_Toc212461602"/>
      <w:r w:rsidR="005F0AF6" w:rsidRPr="00631932">
        <w:t xml:space="preserve">Štrukturálne saldo, </w:t>
      </w:r>
      <w:r w:rsidR="00EF3DE1" w:rsidRPr="00631932">
        <w:t>cyklická zložka a</w:t>
      </w:r>
      <w:r w:rsidR="005F0AF6" w:rsidRPr="00631932">
        <w:t xml:space="preserve"> jednorazové vplyvy</w:t>
      </w:r>
      <w:bookmarkEnd w:id="41"/>
      <w:bookmarkEnd w:id="42"/>
      <w:bookmarkEnd w:id="43"/>
      <w:bookmarkEnd w:id="44"/>
      <w:bookmarkEnd w:id="45"/>
    </w:p>
    <w:p w14:paraId="5E29771B" w14:textId="493DA6D4" w:rsidR="00EA459E" w:rsidRDefault="006210BA" w:rsidP="002F07DF">
      <w:pPr>
        <w:spacing w:after="120" w:line="240" w:lineRule="auto"/>
        <w:jc w:val="both"/>
      </w:pPr>
      <w:bookmarkStart w:id="46" w:name="_Toc399324369"/>
      <w:r w:rsidRPr="00550E2B">
        <w:rPr>
          <w:b/>
          <w:color w:val="4F81BD" w:themeColor="accent1"/>
        </w:rPr>
        <w:t>Štrukturálne saldo dosiahlo v roku 2024 hodnotu -4,8</w:t>
      </w:r>
      <w:r w:rsidR="00B60D0E">
        <w:rPr>
          <w:b/>
          <w:color w:val="4F81BD" w:themeColor="accent1"/>
        </w:rPr>
        <w:t> </w:t>
      </w:r>
      <w:r w:rsidRPr="00550E2B">
        <w:rPr>
          <w:b/>
          <w:color w:val="4F81BD" w:themeColor="accent1"/>
        </w:rPr>
        <w:t>%</w:t>
      </w:r>
      <w:r w:rsidR="00B60D0E">
        <w:rPr>
          <w:b/>
          <w:color w:val="4F81BD" w:themeColor="accent1"/>
        </w:rPr>
        <w:t> </w:t>
      </w:r>
      <w:r w:rsidRPr="00550E2B">
        <w:rPr>
          <w:b/>
          <w:color w:val="4F81BD" w:themeColor="accent1"/>
        </w:rPr>
        <w:t>HDP</w:t>
      </w:r>
      <w:r w:rsidRPr="00672745">
        <w:rPr>
          <w:rStyle w:val="Odkaznapoznmkupodiarou"/>
          <w:rFonts w:eastAsiaTheme="majorEastAsia"/>
        </w:rPr>
        <w:t xml:space="preserve"> </w:t>
      </w:r>
      <w:r w:rsidR="00EA459E" w:rsidRPr="00672745">
        <w:rPr>
          <w:rStyle w:val="Odkaznapoznmkupodiarou"/>
          <w:rFonts w:eastAsiaTheme="majorEastAsia"/>
        </w:rPr>
        <w:footnoteReference w:id="19"/>
      </w:r>
      <w:r w:rsidR="00EA459E" w:rsidRPr="00672745">
        <w:t>. Medziročná zmena štrukturálneho salda oproti úrovni z roku 2023 zodpovedá výraznej expanzii na úrovni 1,2</w:t>
      </w:r>
      <w:r w:rsidR="00B60D0E">
        <w:t> </w:t>
      </w:r>
      <w:r w:rsidR="00EA459E" w:rsidRPr="00672745">
        <w:t>p.</w:t>
      </w:r>
      <w:r w:rsidR="00B60D0E">
        <w:t> </w:t>
      </w:r>
      <w:r w:rsidR="00EA459E" w:rsidRPr="00672745">
        <w:t>b.</w:t>
      </w:r>
      <w:r w:rsidR="00B60D0E">
        <w:t> </w:t>
      </w:r>
      <w:r w:rsidR="00EA459E" w:rsidRPr="00672745">
        <w:t>HDP. Do</w:t>
      </w:r>
      <w:r w:rsidR="00B60D0E">
        <w:t> </w:t>
      </w:r>
      <w:r w:rsidR="00EA459E" w:rsidRPr="00672745">
        <w:t xml:space="preserve">tejto expanzie nevstupujú kompenzačné schémy spojené s energo-pomocou, keďže tie sa v rámci jednorazových a dočasných opatrení očisťujú. Rast štrukturálneho salda spôsobili rôzne opatrenia trvalého charakteru ako </w:t>
      </w:r>
      <w:r w:rsidR="00EA459E" w:rsidRPr="0049408A">
        <w:t>napríklad zdvojnásobenie 13.</w:t>
      </w:r>
      <w:r w:rsidR="00B60D0E">
        <w:t> </w:t>
      </w:r>
      <w:r w:rsidR="00EA459E" w:rsidRPr="0049408A">
        <w:t>dôchodku, zavedenie možnosti odchodu do dôchodku po 40.</w:t>
      </w:r>
      <w:r w:rsidR="00B60D0E">
        <w:t> </w:t>
      </w:r>
      <w:r w:rsidR="00EA459E" w:rsidRPr="0049408A">
        <w:t>odpracovaných rokoch, či novela školského zákona. Za navýšením štrukturálneho deficitu je rast obranných výdavkov na</w:t>
      </w:r>
      <w:r w:rsidR="002F07DF">
        <w:t> </w:t>
      </w:r>
      <w:r w:rsidR="00EA459E" w:rsidRPr="0049408A">
        <w:t>2</w:t>
      </w:r>
      <w:r w:rsidR="002F07DF">
        <w:t> </w:t>
      </w:r>
      <w:r w:rsidR="00EA459E" w:rsidRPr="0049408A">
        <w:t>%</w:t>
      </w:r>
      <w:r w:rsidR="00B60D0E">
        <w:t> </w:t>
      </w:r>
      <w:r w:rsidR="00EA459E" w:rsidRPr="0049408A">
        <w:t>HDP v súlade s našimi záväzkami voči NATO, ako aj dodanie väčšieho množstva obrannej techniky, ktorá bola zaplatená v minulosti.</w:t>
      </w:r>
      <w:r w:rsidR="00EA459E">
        <w:t xml:space="preserve"> Nezanedbateľný vplyv má aj rast úrokových nákladov spojený so</w:t>
      </w:r>
      <w:r w:rsidR="002F07DF">
        <w:t> </w:t>
      </w:r>
      <w:r w:rsidR="00EA459E">
        <w:t>zvýšenými úrokovými sadzbami ECB.</w:t>
      </w:r>
    </w:p>
    <w:p w14:paraId="7E5D0265" w14:textId="501FACBF" w:rsidR="00633472" w:rsidRDefault="00633472" w:rsidP="00D162A9">
      <w:pPr>
        <w:pStyle w:val="Popis"/>
      </w:pPr>
      <w:bookmarkStart w:id="47" w:name="_Toc212124633"/>
      <w:r>
        <w:t xml:space="preserve">Tabuľka </w:t>
      </w:r>
      <w:r w:rsidR="00CA4B84">
        <w:fldChar w:fldCharType="begin"/>
      </w:r>
      <w:r w:rsidR="00CA4B84">
        <w:instrText xml:space="preserve"> SEQ Tabuľka \* ARABIC </w:instrText>
      </w:r>
      <w:r w:rsidR="00CA4B84">
        <w:fldChar w:fldCharType="separate"/>
      </w:r>
      <w:r w:rsidR="00076866">
        <w:rPr>
          <w:noProof/>
        </w:rPr>
        <w:t>12</w:t>
      </w:r>
      <w:r w:rsidR="00CA4B84">
        <w:rPr>
          <w:noProof/>
        </w:rPr>
        <w:fldChar w:fldCharType="end"/>
      </w:r>
      <w:r>
        <w:t xml:space="preserve"> - </w:t>
      </w:r>
      <w:r w:rsidRPr="00586D44">
        <w:t>Výpočet štrukturálneho salda a konsolidačného úsilia (ESA 2010)</w:t>
      </w:r>
      <w:bookmarkEnd w:id="47"/>
    </w:p>
    <w:tbl>
      <w:tblPr>
        <w:tblW w:w="9072" w:type="dxa"/>
        <w:tblLook w:val="04A0" w:firstRow="1" w:lastRow="0" w:firstColumn="1" w:lastColumn="0" w:noHBand="0" w:noVBand="1"/>
      </w:tblPr>
      <w:tblGrid>
        <w:gridCol w:w="5754"/>
        <w:gridCol w:w="467"/>
        <w:gridCol w:w="1018"/>
        <w:gridCol w:w="941"/>
        <w:gridCol w:w="892"/>
      </w:tblGrid>
      <w:tr w:rsidR="006210BA" w:rsidRPr="000D25B4" w14:paraId="6FEA93E1" w14:textId="77777777" w:rsidTr="00B93010">
        <w:trPr>
          <w:trHeight w:val="253"/>
        </w:trPr>
        <w:tc>
          <w:tcPr>
            <w:tcW w:w="5754" w:type="dxa"/>
            <w:vMerge w:val="restart"/>
            <w:tcBorders>
              <w:top w:val="single" w:sz="4" w:space="0" w:color="auto"/>
              <w:left w:val="nil"/>
              <w:bottom w:val="nil"/>
              <w:right w:val="nil"/>
            </w:tcBorders>
            <w:noWrap/>
            <w:vAlign w:val="center"/>
            <w:hideMark/>
          </w:tcPr>
          <w:p w14:paraId="325F71E4" w14:textId="77777777" w:rsidR="006210BA" w:rsidRPr="000D25B4" w:rsidRDefault="006210BA" w:rsidP="00B93010">
            <w:pPr>
              <w:spacing w:after="0" w:line="240" w:lineRule="auto"/>
              <w:jc w:val="center"/>
              <w:rPr>
                <w:color w:val="000000"/>
                <w:sz w:val="18"/>
                <w:szCs w:val="18"/>
                <w:lang w:eastAsia="en-GB"/>
              </w:rPr>
            </w:pPr>
            <w:r w:rsidRPr="000D25B4">
              <w:rPr>
                <w:color w:val="000000"/>
                <w:sz w:val="18"/>
                <w:szCs w:val="18"/>
                <w:lang w:eastAsia="en-GB"/>
              </w:rPr>
              <w:t> </w:t>
            </w:r>
          </w:p>
        </w:tc>
        <w:tc>
          <w:tcPr>
            <w:tcW w:w="467" w:type="dxa"/>
            <w:tcBorders>
              <w:top w:val="single" w:sz="4" w:space="0" w:color="auto"/>
              <w:left w:val="nil"/>
              <w:bottom w:val="nil"/>
              <w:right w:val="single" w:sz="8" w:space="0" w:color="auto"/>
            </w:tcBorders>
            <w:vAlign w:val="center"/>
          </w:tcPr>
          <w:p w14:paraId="12A10BAD" w14:textId="77777777" w:rsidR="006210BA" w:rsidRPr="000D25B4" w:rsidRDefault="006210BA" w:rsidP="00B93010">
            <w:pPr>
              <w:spacing w:after="0" w:line="240" w:lineRule="auto"/>
              <w:jc w:val="center"/>
              <w:rPr>
                <w:b/>
                <w:bCs/>
                <w:color w:val="000000"/>
                <w:sz w:val="18"/>
                <w:szCs w:val="18"/>
                <w:lang w:eastAsia="en-GB"/>
              </w:rPr>
            </w:pPr>
          </w:p>
        </w:tc>
        <w:tc>
          <w:tcPr>
            <w:tcW w:w="2851" w:type="dxa"/>
            <w:gridSpan w:val="3"/>
            <w:tcBorders>
              <w:top w:val="single" w:sz="4" w:space="0" w:color="auto"/>
              <w:left w:val="nil"/>
              <w:bottom w:val="nil"/>
              <w:right w:val="nil"/>
            </w:tcBorders>
            <w:vAlign w:val="center"/>
            <w:hideMark/>
          </w:tcPr>
          <w:p w14:paraId="4749A924" w14:textId="77777777" w:rsidR="006210BA" w:rsidRPr="000D25B4" w:rsidRDefault="006210BA" w:rsidP="00B93010">
            <w:pPr>
              <w:spacing w:after="0" w:line="240" w:lineRule="auto"/>
              <w:jc w:val="center"/>
              <w:rPr>
                <w:b/>
                <w:bCs/>
                <w:color w:val="000000"/>
                <w:sz w:val="18"/>
                <w:szCs w:val="18"/>
                <w:lang w:eastAsia="en-GB"/>
              </w:rPr>
            </w:pPr>
            <w:r w:rsidRPr="000D25B4">
              <w:rPr>
                <w:b/>
                <w:bCs/>
                <w:color w:val="000000"/>
                <w:sz w:val="18"/>
                <w:szCs w:val="18"/>
                <w:lang w:eastAsia="en-GB"/>
              </w:rPr>
              <w:t>% HDP</w:t>
            </w:r>
          </w:p>
        </w:tc>
      </w:tr>
      <w:tr w:rsidR="006210BA" w:rsidRPr="000D25B4" w14:paraId="48AA5924" w14:textId="77777777" w:rsidTr="00B93010">
        <w:trPr>
          <w:trHeight w:val="253"/>
        </w:trPr>
        <w:tc>
          <w:tcPr>
            <w:tcW w:w="5754" w:type="dxa"/>
            <w:vMerge/>
            <w:tcBorders>
              <w:top w:val="nil"/>
              <w:left w:val="nil"/>
              <w:bottom w:val="single" w:sz="4" w:space="0" w:color="auto"/>
              <w:right w:val="nil"/>
            </w:tcBorders>
            <w:vAlign w:val="center"/>
            <w:hideMark/>
          </w:tcPr>
          <w:p w14:paraId="15381BB9" w14:textId="77777777" w:rsidR="006210BA" w:rsidRPr="000D25B4" w:rsidRDefault="006210BA" w:rsidP="00B93010">
            <w:pPr>
              <w:spacing w:after="0" w:line="240" w:lineRule="auto"/>
              <w:rPr>
                <w:color w:val="000000"/>
                <w:sz w:val="18"/>
                <w:szCs w:val="18"/>
                <w:lang w:eastAsia="en-GB"/>
              </w:rPr>
            </w:pPr>
          </w:p>
        </w:tc>
        <w:tc>
          <w:tcPr>
            <w:tcW w:w="467" w:type="dxa"/>
            <w:tcBorders>
              <w:top w:val="nil"/>
              <w:left w:val="nil"/>
              <w:bottom w:val="single" w:sz="4" w:space="0" w:color="auto"/>
              <w:right w:val="single" w:sz="8" w:space="0" w:color="auto"/>
            </w:tcBorders>
            <w:vAlign w:val="center"/>
          </w:tcPr>
          <w:p w14:paraId="248C3AC9" w14:textId="77777777" w:rsidR="006210BA" w:rsidRPr="000D25B4" w:rsidRDefault="006210BA" w:rsidP="00B93010">
            <w:pPr>
              <w:spacing w:after="0" w:line="240" w:lineRule="auto"/>
              <w:jc w:val="center"/>
              <w:rPr>
                <w:b/>
                <w:bCs/>
                <w:color w:val="000000"/>
                <w:sz w:val="18"/>
                <w:szCs w:val="18"/>
                <w:lang w:eastAsia="en-GB"/>
              </w:rPr>
            </w:pPr>
          </w:p>
        </w:tc>
        <w:tc>
          <w:tcPr>
            <w:tcW w:w="1018" w:type="dxa"/>
            <w:tcBorders>
              <w:top w:val="nil"/>
              <w:left w:val="nil"/>
              <w:bottom w:val="single" w:sz="4" w:space="0" w:color="auto"/>
              <w:right w:val="nil"/>
            </w:tcBorders>
            <w:vAlign w:val="center"/>
            <w:hideMark/>
          </w:tcPr>
          <w:p w14:paraId="32B7FBCD" w14:textId="77777777" w:rsidR="006210BA" w:rsidRPr="000D25B4" w:rsidRDefault="006210BA" w:rsidP="00B93010">
            <w:pPr>
              <w:spacing w:after="0" w:line="240" w:lineRule="auto"/>
              <w:jc w:val="center"/>
              <w:rPr>
                <w:b/>
                <w:bCs/>
                <w:color w:val="000000"/>
                <w:sz w:val="18"/>
                <w:szCs w:val="18"/>
                <w:lang w:eastAsia="en-GB"/>
              </w:rPr>
            </w:pPr>
            <w:r w:rsidRPr="000D25B4">
              <w:rPr>
                <w:b/>
                <w:bCs/>
                <w:color w:val="000000"/>
                <w:sz w:val="18"/>
                <w:szCs w:val="18"/>
                <w:lang w:eastAsia="en-GB"/>
              </w:rPr>
              <w:t>2022</w:t>
            </w:r>
          </w:p>
        </w:tc>
        <w:tc>
          <w:tcPr>
            <w:tcW w:w="941" w:type="dxa"/>
            <w:tcBorders>
              <w:top w:val="nil"/>
              <w:left w:val="nil"/>
              <w:bottom w:val="single" w:sz="4" w:space="0" w:color="auto"/>
              <w:right w:val="nil"/>
            </w:tcBorders>
            <w:vAlign w:val="center"/>
            <w:hideMark/>
          </w:tcPr>
          <w:p w14:paraId="5743A596" w14:textId="77777777" w:rsidR="006210BA" w:rsidRPr="000D25B4" w:rsidRDefault="006210BA" w:rsidP="00B93010">
            <w:pPr>
              <w:spacing w:after="0" w:line="240" w:lineRule="auto"/>
              <w:jc w:val="center"/>
              <w:rPr>
                <w:b/>
                <w:bCs/>
                <w:color w:val="000000"/>
                <w:sz w:val="18"/>
                <w:szCs w:val="18"/>
                <w:lang w:eastAsia="en-GB"/>
              </w:rPr>
            </w:pPr>
            <w:r w:rsidRPr="000D25B4">
              <w:rPr>
                <w:b/>
                <w:bCs/>
                <w:color w:val="000000"/>
                <w:sz w:val="18"/>
                <w:szCs w:val="18"/>
                <w:lang w:eastAsia="en-GB"/>
              </w:rPr>
              <w:t>2023</w:t>
            </w:r>
          </w:p>
        </w:tc>
        <w:tc>
          <w:tcPr>
            <w:tcW w:w="892" w:type="dxa"/>
            <w:tcBorders>
              <w:top w:val="nil"/>
              <w:left w:val="nil"/>
              <w:bottom w:val="single" w:sz="4" w:space="0" w:color="auto"/>
              <w:right w:val="nil"/>
            </w:tcBorders>
            <w:vAlign w:val="center"/>
            <w:hideMark/>
          </w:tcPr>
          <w:p w14:paraId="59345B95" w14:textId="77777777" w:rsidR="006210BA" w:rsidRPr="000D25B4" w:rsidRDefault="006210BA" w:rsidP="00B93010">
            <w:pPr>
              <w:spacing w:after="0" w:line="240" w:lineRule="auto"/>
              <w:jc w:val="center"/>
              <w:rPr>
                <w:b/>
                <w:bCs/>
                <w:color w:val="000000"/>
                <w:sz w:val="18"/>
                <w:szCs w:val="18"/>
                <w:lang w:eastAsia="en-GB"/>
              </w:rPr>
            </w:pPr>
            <w:r w:rsidRPr="000D25B4">
              <w:rPr>
                <w:b/>
                <w:bCs/>
                <w:color w:val="000000"/>
                <w:sz w:val="18"/>
                <w:szCs w:val="18"/>
                <w:lang w:eastAsia="en-GB"/>
              </w:rPr>
              <w:t>2024</w:t>
            </w:r>
          </w:p>
        </w:tc>
      </w:tr>
      <w:tr w:rsidR="006210BA" w:rsidRPr="000D25B4" w14:paraId="667ECB7E" w14:textId="77777777" w:rsidTr="00B93010">
        <w:trPr>
          <w:trHeight w:val="253"/>
        </w:trPr>
        <w:tc>
          <w:tcPr>
            <w:tcW w:w="6221" w:type="dxa"/>
            <w:gridSpan w:val="2"/>
            <w:tcBorders>
              <w:top w:val="single" w:sz="4" w:space="0" w:color="auto"/>
              <w:left w:val="nil"/>
              <w:bottom w:val="nil"/>
              <w:right w:val="single" w:sz="8" w:space="0" w:color="auto"/>
            </w:tcBorders>
            <w:noWrap/>
            <w:vAlign w:val="center"/>
            <w:hideMark/>
          </w:tcPr>
          <w:p w14:paraId="4A2A9724" w14:textId="77777777" w:rsidR="006210BA" w:rsidRPr="000D25B4" w:rsidRDefault="006210BA" w:rsidP="00B93010">
            <w:pPr>
              <w:spacing w:after="0" w:line="240" w:lineRule="auto"/>
              <w:rPr>
                <w:b/>
                <w:color w:val="000000"/>
                <w:sz w:val="18"/>
                <w:szCs w:val="18"/>
                <w:lang w:eastAsia="en-GB"/>
              </w:rPr>
            </w:pPr>
            <w:r w:rsidRPr="000D25B4">
              <w:rPr>
                <w:b/>
                <w:color w:val="000000"/>
                <w:sz w:val="18"/>
                <w:szCs w:val="18"/>
                <w:lang w:eastAsia="en-GB"/>
              </w:rPr>
              <w:t>1. Saldo verejnej správy podľa ESA 2010*</w:t>
            </w:r>
          </w:p>
        </w:tc>
        <w:tc>
          <w:tcPr>
            <w:tcW w:w="1018" w:type="dxa"/>
            <w:tcBorders>
              <w:top w:val="single" w:sz="4" w:space="0" w:color="auto"/>
              <w:left w:val="nil"/>
              <w:bottom w:val="nil"/>
              <w:right w:val="nil"/>
            </w:tcBorders>
            <w:noWrap/>
            <w:vAlign w:val="bottom"/>
          </w:tcPr>
          <w:p w14:paraId="5EF50A7B" w14:textId="77777777" w:rsidR="006210BA" w:rsidRPr="000D25B4" w:rsidRDefault="006210BA" w:rsidP="00B93010">
            <w:pPr>
              <w:spacing w:after="0" w:line="240" w:lineRule="auto"/>
              <w:jc w:val="center"/>
              <w:rPr>
                <w:b/>
                <w:sz w:val="18"/>
                <w:szCs w:val="18"/>
                <w:lang w:eastAsia="en-GB"/>
              </w:rPr>
            </w:pPr>
            <w:r w:rsidRPr="000D25B4">
              <w:rPr>
                <w:b/>
                <w:bCs/>
                <w:color w:val="000000"/>
                <w:sz w:val="18"/>
                <w:szCs w:val="18"/>
              </w:rPr>
              <w:t>-1,6</w:t>
            </w:r>
          </w:p>
        </w:tc>
        <w:tc>
          <w:tcPr>
            <w:tcW w:w="941" w:type="dxa"/>
            <w:tcBorders>
              <w:top w:val="single" w:sz="4" w:space="0" w:color="auto"/>
              <w:left w:val="nil"/>
              <w:bottom w:val="nil"/>
              <w:right w:val="nil"/>
            </w:tcBorders>
            <w:noWrap/>
            <w:vAlign w:val="bottom"/>
          </w:tcPr>
          <w:p w14:paraId="799FF8AE" w14:textId="77777777" w:rsidR="006210BA" w:rsidRPr="000D25B4" w:rsidRDefault="006210BA" w:rsidP="00B93010">
            <w:pPr>
              <w:spacing w:after="0" w:line="240" w:lineRule="auto"/>
              <w:jc w:val="center"/>
              <w:rPr>
                <w:b/>
                <w:sz w:val="18"/>
                <w:szCs w:val="18"/>
                <w:lang w:eastAsia="en-GB"/>
              </w:rPr>
            </w:pPr>
            <w:r w:rsidRPr="000D25B4">
              <w:rPr>
                <w:b/>
                <w:bCs/>
                <w:color w:val="000000"/>
                <w:sz w:val="18"/>
                <w:szCs w:val="18"/>
              </w:rPr>
              <w:t>-5,3</w:t>
            </w:r>
          </w:p>
        </w:tc>
        <w:tc>
          <w:tcPr>
            <w:tcW w:w="892" w:type="dxa"/>
            <w:tcBorders>
              <w:top w:val="single" w:sz="4" w:space="0" w:color="auto"/>
              <w:left w:val="nil"/>
              <w:bottom w:val="nil"/>
              <w:right w:val="nil"/>
            </w:tcBorders>
            <w:noWrap/>
            <w:vAlign w:val="bottom"/>
          </w:tcPr>
          <w:p w14:paraId="09142FEA" w14:textId="77777777" w:rsidR="006210BA" w:rsidRPr="000D25B4" w:rsidRDefault="006210BA" w:rsidP="00B93010">
            <w:pPr>
              <w:spacing w:after="0" w:line="240" w:lineRule="auto"/>
              <w:jc w:val="center"/>
              <w:rPr>
                <w:b/>
                <w:sz w:val="18"/>
                <w:szCs w:val="18"/>
                <w:lang w:eastAsia="en-GB"/>
              </w:rPr>
            </w:pPr>
            <w:r w:rsidRPr="000D25B4">
              <w:rPr>
                <w:b/>
                <w:bCs/>
                <w:color w:val="000000"/>
                <w:sz w:val="18"/>
                <w:szCs w:val="18"/>
              </w:rPr>
              <w:t>-5,5</w:t>
            </w:r>
          </w:p>
        </w:tc>
      </w:tr>
      <w:tr w:rsidR="006210BA" w:rsidRPr="000D25B4" w14:paraId="1966B1C6" w14:textId="77777777" w:rsidTr="00B93010">
        <w:trPr>
          <w:trHeight w:val="253"/>
        </w:trPr>
        <w:tc>
          <w:tcPr>
            <w:tcW w:w="6221" w:type="dxa"/>
            <w:gridSpan w:val="2"/>
            <w:tcBorders>
              <w:top w:val="nil"/>
              <w:left w:val="nil"/>
              <w:bottom w:val="nil"/>
              <w:right w:val="single" w:sz="8" w:space="0" w:color="auto"/>
            </w:tcBorders>
            <w:noWrap/>
            <w:vAlign w:val="center"/>
            <w:hideMark/>
          </w:tcPr>
          <w:p w14:paraId="2951966A" w14:textId="77777777" w:rsidR="006210BA" w:rsidRPr="000D25B4" w:rsidRDefault="006210BA" w:rsidP="00B93010">
            <w:pPr>
              <w:spacing w:after="0" w:line="240" w:lineRule="auto"/>
              <w:rPr>
                <w:color w:val="000000"/>
                <w:sz w:val="18"/>
                <w:szCs w:val="18"/>
                <w:lang w:eastAsia="en-GB"/>
              </w:rPr>
            </w:pPr>
            <w:r w:rsidRPr="000D25B4">
              <w:rPr>
                <w:color w:val="000000"/>
                <w:sz w:val="18"/>
                <w:szCs w:val="18"/>
                <w:lang w:eastAsia="en-GB"/>
              </w:rPr>
              <w:t>2. Cyklická zložka</w:t>
            </w:r>
          </w:p>
        </w:tc>
        <w:tc>
          <w:tcPr>
            <w:tcW w:w="1018" w:type="dxa"/>
            <w:tcBorders>
              <w:top w:val="nil"/>
              <w:left w:val="nil"/>
              <w:bottom w:val="nil"/>
              <w:right w:val="nil"/>
            </w:tcBorders>
            <w:vAlign w:val="bottom"/>
          </w:tcPr>
          <w:p w14:paraId="3A041ABA" w14:textId="77777777" w:rsidR="006210BA" w:rsidRPr="000D25B4" w:rsidRDefault="006210BA" w:rsidP="00B93010">
            <w:pPr>
              <w:spacing w:after="0" w:line="240" w:lineRule="auto"/>
              <w:jc w:val="center"/>
              <w:rPr>
                <w:b/>
                <w:sz w:val="18"/>
                <w:szCs w:val="18"/>
                <w:lang w:eastAsia="en-GB"/>
              </w:rPr>
            </w:pPr>
            <w:r w:rsidRPr="000D25B4">
              <w:rPr>
                <w:color w:val="595959"/>
                <w:sz w:val="18"/>
                <w:szCs w:val="18"/>
              </w:rPr>
              <w:t>0,2</w:t>
            </w:r>
          </w:p>
        </w:tc>
        <w:tc>
          <w:tcPr>
            <w:tcW w:w="941" w:type="dxa"/>
            <w:tcBorders>
              <w:top w:val="nil"/>
              <w:left w:val="nil"/>
              <w:bottom w:val="nil"/>
              <w:right w:val="nil"/>
            </w:tcBorders>
            <w:vAlign w:val="bottom"/>
          </w:tcPr>
          <w:p w14:paraId="4A823094" w14:textId="77777777" w:rsidR="006210BA" w:rsidRPr="000D25B4" w:rsidRDefault="006210BA" w:rsidP="00B93010">
            <w:pPr>
              <w:spacing w:after="0" w:line="240" w:lineRule="auto"/>
              <w:jc w:val="center"/>
              <w:rPr>
                <w:b/>
                <w:sz w:val="18"/>
                <w:szCs w:val="18"/>
                <w:lang w:eastAsia="en-GB"/>
              </w:rPr>
            </w:pPr>
            <w:r w:rsidRPr="000D25B4">
              <w:rPr>
                <w:color w:val="595959"/>
                <w:sz w:val="18"/>
                <w:szCs w:val="18"/>
              </w:rPr>
              <w:t>0,2</w:t>
            </w:r>
          </w:p>
        </w:tc>
        <w:tc>
          <w:tcPr>
            <w:tcW w:w="892" w:type="dxa"/>
            <w:tcBorders>
              <w:top w:val="nil"/>
              <w:left w:val="nil"/>
              <w:bottom w:val="nil"/>
              <w:right w:val="nil"/>
            </w:tcBorders>
            <w:vAlign w:val="bottom"/>
          </w:tcPr>
          <w:p w14:paraId="7F8E83E4" w14:textId="77777777" w:rsidR="006210BA" w:rsidRPr="000D25B4" w:rsidRDefault="006210BA" w:rsidP="00B93010">
            <w:pPr>
              <w:spacing w:after="0" w:line="240" w:lineRule="auto"/>
              <w:jc w:val="center"/>
              <w:rPr>
                <w:b/>
                <w:sz w:val="18"/>
                <w:szCs w:val="18"/>
                <w:lang w:eastAsia="en-GB"/>
              </w:rPr>
            </w:pPr>
            <w:r w:rsidRPr="000D25B4">
              <w:rPr>
                <w:color w:val="595959"/>
                <w:sz w:val="18"/>
                <w:szCs w:val="18"/>
              </w:rPr>
              <w:t>0,2</w:t>
            </w:r>
          </w:p>
        </w:tc>
      </w:tr>
      <w:tr w:rsidR="006210BA" w:rsidRPr="000D25B4" w14:paraId="6FFE6E73" w14:textId="77777777" w:rsidTr="00B93010">
        <w:trPr>
          <w:trHeight w:val="253"/>
        </w:trPr>
        <w:tc>
          <w:tcPr>
            <w:tcW w:w="6221" w:type="dxa"/>
            <w:gridSpan w:val="2"/>
            <w:tcBorders>
              <w:top w:val="nil"/>
              <w:left w:val="nil"/>
              <w:bottom w:val="nil"/>
              <w:right w:val="single" w:sz="8" w:space="0" w:color="auto"/>
            </w:tcBorders>
            <w:noWrap/>
            <w:vAlign w:val="center"/>
            <w:hideMark/>
          </w:tcPr>
          <w:p w14:paraId="13BEBACB" w14:textId="77777777" w:rsidR="006210BA" w:rsidRPr="000D25B4" w:rsidRDefault="006210BA" w:rsidP="00B93010">
            <w:pPr>
              <w:spacing w:after="0" w:line="240" w:lineRule="auto"/>
              <w:rPr>
                <w:color w:val="000000"/>
                <w:sz w:val="18"/>
                <w:szCs w:val="18"/>
                <w:lang w:eastAsia="en-GB"/>
              </w:rPr>
            </w:pPr>
            <w:r w:rsidRPr="000D25B4">
              <w:rPr>
                <w:color w:val="000000"/>
                <w:sz w:val="18"/>
                <w:szCs w:val="18"/>
                <w:lang w:eastAsia="en-GB"/>
              </w:rPr>
              <w:t xml:space="preserve">3. Jednorazové a dočasné vplyvy </w:t>
            </w:r>
          </w:p>
        </w:tc>
        <w:tc>
          <w:tcPr>
            <w:tcW w:w="1018" w:type="dxa"/>
            <w:tcBorders>
              <w:top w:val="nil"/>
              <w:left w:val="nil"/>
              <w:bottom w:val="nil"/>
              <w:right w:val="nil"/>
            </w:tcBorders>
            <w:noWrap/>
            <w:vAlign w:val="bottom"/>
          </w:tcPr>
          <w:p w14:paraId="1710CAA0" w14:textId="77777777" w:rsidR="006210BA" w:rsidRPr="000D25B4" w:rsidRDefault="006210BA" w:rsidP="00B93010">
            <w:pPr>
              <w:spacing w:after="0" w:line="240" w:lineRule="auto"/>
              <w:jc w:val="center"/>
              <w:rPr>
                <w:b/>
                <w:sz w:val="18"/>
                <w:szCs w:val="18"/>
                <w:lang w:eastAsia="en-GB"/>
              </w:rPr>
            </w:pPr>
            <w:r w:rsidRPr="000D25B4">
              <w:rPr>
                <w:sz w:val="18"/>
                <w:szCs w:val="18"/>
              </w:rPr>
              <w:t>-0,8</w:t>
            </w:r>
          </w:p>
        </w:tc>
        <w:tc>
          <w:tcPr>
            <w:tcW w:w="941" w:type="dxa"/>
            <w:tcBorders>
              <w:top w:val="nil"/>
              <w:left w:val="nil"/>
              <w:bottom w:val="nil"/>
              <w:right w:val="nil"/>
            </w:tcBorders>
            <w:noWrap/>
            <w:vAlign w:val="bottom"/>
          </w:tcPr>
          <w:p w14:paraId="7A3A1D89" w14:textId="77777777" w:rsidR="006210BA" w:rsidRPr="000D25B4" w:rsidRDefault="006210BA" w:rsidP="00B93010">
            <w:pPr>
              <w:spacing w:after="0" w:line="240" w:lineRule="auto"/>
              <w:jc w:val="center"/>
              <w:rPr>
                <w:b/>
                <w:sz w:val="18"/>
                <w:szCs w:val="18"/>
                <w:lang w:eastAsia="en-GB"/>
              </w:rPr>
            </w:pPr>
            <w:r w:rsidRPr="000D25B4">
              <w:rPr>
                <w:sz w:val="18"/>
                <w:szCs w:val="18"/>
              </w:rPr>
              <w:t>-1,9</w:t>
            </w:r>
          </w:p>
        </w:tc>
        <w:tc>
          <w:tcPr>
            <w:tcW w:w="892" w:type="dxa"/>
            <w:tcBorders>
              <w:top w:val="nil"/>
              <w:left w:val="nil"/>
              <w:bottom w:val="nil"/>
              <w:right w:val="nil"/>
            </w:tcBorders>
            <w:noWrap/>
            <w:vAlign w:val="bottom"/>
          </w:tcPr>
          <w:p w14:paraId="228C0091" w14:textId="77777777" w:rsidR="006210BA" w:rsidRPr="000D25B4" w:rsidRDefault="006210BA" w:rsidP="00B93010">
            <w:pPr>
              <w:spacing w:after="0" w:line="240" w:lineRule="auto"/>
              <w:jc w:val="center"/>
              <w:rPr>
                <w:b/>
                <w:sz w:val="18"/>
                <w:szCs w:val="18"/>
                <w:lang w:eastAsia="en-GB"/>
              </w:rPr>
            </w:pPr>
            <w:r w:rsidRPr="000D25B4">
              <w:rPr>
                <w:sz w:val="18"/>
                <w:szCs w:val="18"/>
              </w:rPr>
              <w:t>-0,9</w:t>
            </w:r>
          </w:p>
        </w:tc>
      </w:tr>
      <w:tr w:rsidR="006210BA" w:rsidRPr="000D25B4" w14:paraId="52803F37" w14:textId="77777777" w:rsidTr="00B93010">
        <w:trPr>
          <w:trHeight w:val="253"/>
        </w:trPr>
        <w:tc>
          <w:tcPr>
            <w:tcW w:w="6221" w:type="dxa"/>
            <w:gridSpan w:val="2"/>
            <w:tcBorders>
              <w:top w:val="nil"/>
              <w:left w:val="nil"/>
              <w:right w:val="single" w:sz="8" w:space="0" w:color="auto"/>
            </w:tcBorders>
            <w:noWrap/>
            <w:vAlign w:val="center"/>
            <w:hideMark/>
          </w:tcPr>
          <w:p w14:paraId="0EE01F53" w14:textId="77777777" w:rsidR="006210BA" w:rsidRPr="000D25B4" w:rsidRDefault="006210BA" w:rsidP="00B93010">
            <w:pPr>
              <w:spacing w:after="0" w:line="240" w:lineRule="auto"/>
              <w:rPr>
                <w:b/>
                <w:color w:val="000000"/>
                <w:sz w:val="18"/>
                <w:szCs w:val="18"/>
                <w:lang w:eastAsia="en-GB"/>
              </w:rPr>
            </w:pPr>
            <w:r w:rsidRPr="000D25B4">
              <w:rPr>
                <w:b/>
                <w:bCs/>
                <w:color w:val="000000"/>
                <w:sz w:val="18"/>
                <w:szCs w:val="18"/>
                <w:lang w:eastAsia="en-GB"/>
              </w:rPr>
              <w:t>4. Štrukturálne saldo verejnej správy (1-2-3)</w:t>
            </w:r>
          </w:p>
        </w:tc>
        <w:tc>
          <w:tcPr>
            <w:tcW w:w="1018" w:type="dxa"/>
            <w:tcBorders>
              <w:top w:val="nil"/>
              <w:left w:val="nil"/>
              <w:right w:val="nil"/>
            </w:tcBorders>
            <w:noWrap/>
            <w:vAlign w:val="bottom"/>
            <w:hideMark/>
          </w:tcPr>
          <w:p w14:paraId="471E7C35" w14:textId="77777777" w:rsidR="006210BA" w:rsidRPr="000D25B4" w:rsidRDefault="006210BA" w:rsidP="00B93010">
            <w:pPr>
              <w:spacing w:after="0" w:line="240" w:lineRule="auto"/>
              <w:jc w:val="center"/>
              <w:rPr>
                <w:b/>
                <w:sz w:val="18"/>
                <w:szCs w:val="18"/>
                <w:lang w:eastAsia="en-GB"/>
              </w:rPr>
            </w:pPr>
            <w:r w:rsidRPr="000D25B4">
              <w:rPr>
                <w:b/>
                <w:bCs/>
                <w:color w:val="000000"/>
                <w:sz w:val="18"/>
                <w:szCs w:val="18"/>
              </w:rPr>
              <w:t>-0,9</w:t>
            </w:r>
          </w:p>
        </w:tc>
        <w:tc>
          <w:tcPr>
            <w:tcW w:w="941" w:type="dxa"/>
            <w:tcBorders>
              <w:top w:val="nil"/>
              <w:left w:val="nil"/>
              <w:right w:val="nil"/>
            </w:tcBorders>
            <w:noWrap/>
            <w:vAlign w:val="bottom"/>
          </w:tcPr>
          <w:p w14:paraId="778FDAE9" w14:textId="77777777" w:rsidR="006210BA" w:rsidRPr="000D25B4" w:rsidRDefault="006210BA" w:rsidP="00B93010">
            <w:pPr>
              <w:spacing w:after="0" w:line="240" w:lineRule="auto"/>
              <w:jc w:val="center"/>
              <w:rPr>
                <w:b/>
                <w:sz w:val="18"/>
                <w:szCs w:val="18"/>
                <w:lang w:eastAsia="en-GB"/>
              </w:rPr>
            </w:pPr>
            <w:r w:rsidRPr="000D25B4">
              <w:rPr>
                <w:b/>
                <w:bCs/>
                <w:color w:val="000000"/>
                <w:sz w:val="18"/>
                <w:szCs w:val="18"/>
              </w:rPr>
              <w:t>-3,6</w:t>
            </w:r>
          </w:p>
        </w:tc>
        <w:tc>
          <w:tcPr>
            <w:tcW w:w="892" w:type="dxa"/>
            <w:tcBorders>
              <w:top w:val="nil"/>
              <w:left w:val="nil"/>
              <w:right w:val="nil"/>
            </w:tcBorders>
            <w:noWrap/>
            <w:vAlign w:val="bottom"/>
          </w:tcPr>
          <w:p w14:paraId="64CE1ECB" w14:textId="77777777" w:rsidR="006210BA" w:rsidRPr="000D25B4" w:rsidRDefault="006210BA" w:rsidP="00B93010">
            <w:pPr>
              <w:spacing w:after="0" w:line="240" w:lineRule="auto"/>
              <w:jc w:val="center"/>
              <w:rPr>
                <w:b/>
                <w:sz w:val="18"/>
                <w:szCs w:val="18"/>
                <w:lang w:eastAsia="en-GB"/>
              </w:rPr>
            </w:pPr>
            <w:r w:rsidRPr="000D25B4">
              <w:rPr>
                <w:b/>
                <w:bCs/>
                <w:color w:val="000000"/>
                <w:sz w:val="18"/>
                <w:szCs w:val="18"/>
              </w:rPr>
              <w:t>-4,8</w:t>
            </w:r>
          </w:p>
        </w:tc>
      </w:tr>
      <w:tr w:rsidR="006210BA" w:rsidRPr="005A50DE" w14:paraId="01EBD25E" w14:textId="77777777" w:rsidTr="00B93010">
        <w:trPr>
          <w:trHeight w:val="265"/>
        </w:trPr>
        <w:tc>
          <w:tcPr>
            <w:tcW w:w="5754" w:type="dxa"/>
            <w:tcBorders>
              <w:top w:val="nil"/>
              <w:left w:val="nil"/>
              <w:bottom w:val="single" w:sz="4" w:space="0" w:color="auto"/>
              <w:right w:val="nil"/>
            </w:tcBorders>
            <w:noWrap/>
            <w:vAlign w:val="center"/>
            <w:hideMark/>
          </w:tcPr>
          <w:p w14:paraId="1D060948" w14:textId="77777777" w:rsidR="006210BA" w:rsidRPr="000D25B4" w:rsidRDefault="006210BA" w:rsidP="00B93010">
            <w:pPr>
              <w:spacing w:after="0" w:line="240" w:lineRule="auto"/>
              <w:rPr>
                <w:bCs/>
                <w:color w:val="000000"/>
                <w:sz w:val="18"/>
                <w:szCs w:val="18"/>
                <w:lang w:eastAsia="en-GB"/>
              </w:rPr>
            </w:pPr>
            <w:r w:rsidRPr="000D25B4">
              <w:rPr>
                <w:bCs/>
                <w:color w:val="000000"/>
                <w:sz w:val="18"/>
                <w:szCs w:val="18"/>
                <w:lang w:eastAsia="en-GB"/>
              </w:rPr>
              <w:t>5. Konsolidačné úsilie (medziročná zmena 4)</w:t>
            </w:r>
          </w:p>
        </w:tc>
        <w:tc>
          <w:tcPr>
            <w:tcW w:w="467" w:type="dxa"/>
            <w:tcBorders>
              <w:top w:val="nil"/>
              <w:left w:val="nil"/>
              <w:bottom w:val="single" w:sz="4" w:space="0" w:color="auto"/>
              <w:right w:val="single" w:sz="8" w:space="0" w:color="auto"/>
            </w:tcBorders>
            <w:noWrap/>
            <w:vAlign w:val="bottom"/>
          </w:tcPr>
          <w:p w14:paraId="0B9EE301" w14:textId="77777777" w:rsidR="006210BA" w:rsidRPr="000D25B4" w:rsidRDefault="006210BA" w:rsidP="00B93010">
            <w:pPr>
              <w:spacing w:after="0" w:line="240" w:lineRule="auto"/>
              <w:rPr>
                <w:bCs/>
                <w:color w:val="000000"/>
                <w:sz w:val="18"/>
                <w:szCs w:val="18"/>
                <w:lang w:eastAsia="en-GB"/>
              </w:rPr>
            </w:pPr>
          </w:p>
        </w:tc>
        <w:tc>
          <w:tcPr>
            <w:tcW w:w="1018" w:type="dxa"/>
            <w:tcBorders>
              <w:top w:val="nil"/>
              <w:left w:val="nil"/>
              <w:bottom w:val="single" w:sz="4" w:space="0" w:color="auto"/>
              <w:right w:val="nil"/>
            </w:tcBorders>
            <w:noWrap/>
            <w:vAlign w:val="bottom"/>
            <w:hideMark/>
          </w:tcPr>
          <w:p w14:paraId="69775AA7" w14:textId="77777777" w:rsidR="006210BA" w:rsidRPr="000D25B4" w:rsidRDefault="006210BA" w:rsidP="00B93010">
            <w:pPr>
              <w:spacing w:after="0" w:line="240" w:lineRule="auto"/>
              <w:jc w:val="center"/>
              <w:rPr>
                <w:b/>
                <w:bCs/>
                <w:sz w:val="18"/>
                <w:szCs w:val="18"/>
                <w:lang w:eastAsia="en-GB"/>
              </w:rPr>
            </w:pPr>
            <w:r w:rsidRPr="000D25B4">
              <w:rPr>
                <w:b/>
                <w:bCs/>
                <w:sz w:val="18"/>
                <w:szCs w:val="18"/>
                <w:lang w:eastAsia="en-GB"/>
              </w:rPr>
              <w:t>0,9</w:t>
            </w:r>
          </w:p>
        </w:tc>
        <w:tc>
          <w:tcPr>
            <w:tcW w:w="941" w:type="dxa"/>
            <w:tcBorders>
              <w:top w:val="nil"/>
              <w:left w:val="nil"/>
              <w:bottom w:val="single" w:sz="4" w:space="0" w:color="auto"/>
              <w:right w:val="nil"/>
            </w:tcBorders>
            <w:noWrap/>
            <w:vAlign w:val="bottom"/>
          </w:tcPr>
          <w:p w14:paraId="22DDA8D6" w14:textId="77777777" w:rsidR="006210BA" w:rsidRPr="000D25B4" w:rsidRDefault="006210BA" w:rsidP="00B93010">
            <w:pPr>
              <w:spacing w:after="0" w:line="240" w:lineRule="auto"/>
              <w:jc w:val="center"/>
              <w:rPr>
                <w:b/>
                <w:bCs/>
                <w:sz w:val="18"/>
                <w:szCs w:val="18"/>
                <w:lang w:eastAsia="en-GB"/>
              </w:rPr>
            </w:pPr>
            <w:r w:rsidRPr="000D25B4">
              <w:rPr>
                <w:b/>
                <w:bCs/>
                <w:color w:val="000000"/>
                <w:sz w:val="18"/>
                <w:szCs w:val="18"/>
              </w:rPr>
              <w:t>-2,6</w:t>
            </w:r>
          </w:p>
        </w:tc>
        <w:tc>
          <w:tcPr>
            <w:tcW w:w="892" w:type="dxa"/>
            <w:tcBorders>
              <w:top w:val="nil"/>
              <w:left w:val="nil"/>
              <w:bottom w:val="single" w:sz="4" w:space="0" w:color="auto"/>
              <w:right w:val="nil"/>
            </w:tcBorders>
            <w:noWrap/>
            <w:vAlign w:val="bottom"/>
          </w:tcPr>
          <w:p w14:paraId="2CA2F05C" w14:textId="77777777" w:rsidR="006210BA" w:rsidRPr="00904CB2" w:rsidRDefault="006210BA" w:rsidP="00B93010">
            <w:pPr>
              <w:spacing w:after="0" w:line="240" w:lineRule="auto"/>
              <w:jc w:val="center"/>
              <w:rPr>
                <w:b/>
                <w:bCs/>
                <w:sz w:val="18"/>
                <w:szCs w:val="18"/>
                <w:lang w:eastAsia="en-GB"/>
              </w:rPr>
            </w:pPr>
            <w:r w:rsidRPr="000D25B4">
              <w:rPr>
                <w:b/>
                <w:bCs/>
                <w:color w:val="000000"/>
                <w:sz w:val="18"/>
                <w:szCs w:val="18"/>
              </w:rPr>
              <w:t>-1,2</w:t>
            </w:r>
          </w:p>
        </w:tc>
      </w:tr>
    </w:tbl>
    <w:p w14:paraId="35A5ECCB" w14:textId="588F5704" w:rsidR="006210BA" w:rsidRPr="005A50DE" w:rsidRDefault="006210BA" w:rsidP="006210BA">
      <w:pPr>
        <w:pStyle w:val="NormalList"/>
        <w:spacing w:line="276" w:lineRule="auto"/>
        <w:jc w:val="left"/>
        <w:rPr>
          <w:rFonts w:cs="Times New Roman"/>
          <w:color w:val="000000"/>
          <w:sz w:val="14"/>
          <w:szCs w:val="18"/>
          <w:lang w:eastAsia="en-GB"/>
        </w:rPr>
      </w:pPr>
      <w:r w:rsidRPr="00034766">
        <w:rPr>
          <w:rFonts w:cs="Times New Roman"/>
          <w:color w:val="000000"/>
          <w:sz w:val="14"/>
          <w:szCs w:val="18"/>
          <w:lang w:eastAsia="en-GB"/>
        </w:rPr>
        <w:t>* V súlade s údajmi pre jesennú noti</w:t>
      </w:r>
      <w:r>
        <w:rPr>
          <w:rFonts w:cs="Times New Roman"/>
          <w:color w:val="000000"/>
          <w:sz w:val="14"/>
          <w:szCs w:val="18"/>
          <w:lang w:eastAsia="en-GB"/>
        </w:rPr>
        <w:t>fikáciu Eurostatu z októbra 2024</w:t>
      </w:r>
      <w:r w:rsidRPr="00034766">
        <w:rPr>
          <w:rFonts w:cs="Times New Roman"/>
          <w:color w:val="000000"/>
          <w:sz w:val="14"/>
          <w:szCs w:val="18"/>
          <w:lang w:eastAsia="en-GB"/>
        </w:rPr>
        <w:t>.</w:t>
      </w:r>
      <w:r>
        <w:rPr>
          <w:rFonts w:cs="Times New Roman"/>
          <w:color w:val="000000"/>
          <w:sz w:val="14"/>
          <w:szCs w:val="18"/>
          <w:lang w:eastAsia="en-GB"/>
        </w:rPr>
        <w:t xml:space="preserve"> </w:t>
      </w:r>
      <w:r>
        <w:rPr>
          <w:rFonts w:cs="Times New Roman"/>
          <w:color w:val="000000"/>
          <w:sz w:val="14"/>
          <w:szCs w:val="18"/>
          <w:lang w:eastAsia="en-GB"/>
        </w:rPr>
        <w:tab/>
      </w:r>
      <w:r>
        <w:rPr>
          <w:rFonts w:cs="Times New Roman"/>
          <w:color w:val="000000"/>
          <w:sz w:val="14"/>
          <w:szCs w:val="18"/>
          <w:lang w:eastAsia="en-GB"/>
        </w:rPr>
        <w:tab/>
      </w:r>
      <w:r>
        <w:rPr>
          <w:rFonts w:cs="Times New Roman"/>
          <w:color w:val="000000"/>
          <w:sz w:val="14"/>
          <w:szCs w:val="18"/>
          <w:lang w:eastAsia="en-GB"/>
        </w:rPr>
        <w:tab/>
      </w:r>
      <w:r>
        <w:rPr>
          <w:rFonts w:cs="Times New Roman"/>
          <w:color w:val="000000"/>
          <w:sz w:val="14"/>
          <w:szCs w:val="18"/>
          <w:lang w:eastAsia="en-GB"/>
        </w:rPr>
        <w:tab/>
      </w:r>
      <w:r>
        <w:rPr>
          <w:rFonts w:cs="Times New Roman"/>
          <w:color w:val="000000"/>
          <w:sz w:val="14"/>
          <w:szCs w:val="18"/>
          <w:lang w:eastAsia="en-GB"/>
        </w:rPr>
        <w:tab/>
      </w:r>
      <w:r>
        <w:rPr>
          <w:rFonts w:cs="Times New Roman"/>
          <w:color w:val="000000"/>
          <w:sz w:val="14"/>
          <w:szCs w:val="18"/>
          <w:lang w:eastAsia="en-GB"/>
        </w:rPr>
        <w:tab/>
        <w:t xml:space="preserve">     </w:t>
      </w:r>
      <w:r w:rsidRPr="005A50DE">
        <w:rPr>
          <w:rFonts w:cs="Times New Roman"/>
          <w:color w:val="000000"/>
          <w:sz w:val="14"/>
          <w:szCs w:val="18"/>
          <w:lang w:eastAsia="en-GB"/>
        </w:rPr>
        <w:t xml:space="preserve"> Zdroj: MF SR</w:t>
      </w:r>
    </w:p>
    <w:p w14:paraId="2AF505B2" w14:textId="77777777" w:rsidR="00EA459E" w:rsidRDefault="00EA459E" w:rsidP="00EA459E">
      <w:pPr>
        <w:pStyle w:val="NormalList"/>
        <w:spacing w:line="276" w:lineRule="auto"/>
        <w:jc w:val="left"/>
        <w:rPr>
          <w:rFonts w:cs="Times New Roman"/>
          <w:color w:val="000000"/>
          <w:sz w:val="14"/>
          <w:szCs w:val="18"/>
          <w:highlight w:val="yellow"/>
          <w:lang w:eastAsia="en-GB"/>
        </w:rPr>
      </w:pPr>
    </w:p>
    <w:p w14:paraId="14E84B84" w14:textId="52978C5D" w:rsidR="00EA459E" w:rsidRPr="004D5A67" w:rsidRDefault="00EA459E" w:rsidP="006210BA">
      <w:pPr>
        <w:spacing w:after="120" w:line="240" w:lineRule="auto"/>
        <w:jc w:val="both"/>
        <w:rPr>
          <w:b/>
          <w:szCs w:val="22"/>
          <w:highlight w:val="yellow"/>
        </w:rPr>
      </w:pPr>
      <w:r w:rsidRPr="00785005">
        <w:rPr>
          <w:b/>
          <w:szCs w:val="22"/>
        </w:rPr>
        <w:t xml:space="preserve">Výpočet štrukturálneho salda predpokladá očistenie nominálneho salda o dva základné komponenty – cyklickú zložku a jednorazové vplyvy. </w:t>
      </w:r>
      <w:r w:rsidRPr="00785005">
        <w:rPr>
          <w:szCs w:val="22"/>
        </w:rPr>
        <w:t>Cyklická zložka predstavuje vplyv ekonomického cyklu na</w:t>
      </w:r>
      <w:r w:rsidR="009F374C">
        <w:rPr>
          <w:szCs w:val="22"/>
        </w:rPr>
        <w:t> </w:t>
      </w:r>
      <w:r w:rsidRPr="00785005">
        <w:rPr>
          <w:szCs w:val="22"/>
        </w:rPr>
        <w:t>štrukturálne saldo. Cieľom úpravy nominálneho salda je vyjadriť reakciu príjmov a výdavkov verejných financií na zmeny v produkčnej medzere. Veľkosť cyklickej zložky závisí od veľkosti produkčnej medzery a od elasticít vybraných príjmových a výdavkových kategórií, ktoré reagujú na výkyvy v ekonomickej aktivite.</w:t>
      </w:r>
      <w:r w:rsidRPr="00785005">
        <w:rPr>
          <w:b/>
          <w:szCs w:val="22"/>
        </w:rPr>
        <w:t xml:space="preserve"> </w:t>
      </w:r>
      <w:r w:rsidRPr="00785005">
        <w:rPr>
          <w:szCs w:val="22"/>
        </w:rPr>
        <w:t>Prípadné prehrievanie alebo podchladenie ekonomiky tak môže zásadne vplývať na</w:t>
      </w:r>
      <w:r w:rsidR="00B60D0E">
        <w:rPr>
          <w:szCs w:val="22"/>
        </w:rPr>
        <w:t> </w:t>
      </w:r>
      <w:r w:rsidRPr="00785005">
        <w:rPr>
          <w:szCs w:val="22"/>
        </w:rPr>
        <w:t>výsledné štrukturálne saldo verejnej správy</w:t>
      </w:r>
      <w:r w:rsidRPr="00481FA7">
        <w:rPr>
          <w:szCs w:val="22"/>
        </w:rPr>
        <w:t>.</w:t>
      </w:r>
      <w:r w:rsidRPr="00481FA7">
        <w:rPr>
          <w:b/>
          <w:szCs w:val="22"/>
        </w:rPr>
        <w:t xml:space="preserve"> </w:t>
      </w:r>
      <w:r w:rsidRPr="00481FA7">
        <w:rPr>
          <w:szCs w:val="22"/>
        </w:rPr>
        <w:t>V roku 202</w:t>
      </w:r>
      <w:r>
        <w:rPr>
          <w:szCs w:val="22"/>
        </w:rPr>
        <w:t>4</w:t>
      </w:r>
      <w:r w:rsidRPr="00481FA7">
        <w:rPr>
          <w:szCs w:val="22"/>
        </w:rPr>
        <w:t xml:space="preserve"> </w:t>
      </w:r>
      <w:r w:rsidRPr="00D758B6">
        <w:rPr>
          <w:szCs w:val="22"/>
        </w:rPr>
        <w:t>ekonomika oproti predošlému roku sa držala na</w:t>
      </w:r>
      <w:r w:rsidR="00B60D0E">
        <w:rPr>
          <w:szCs w:val="22"/>
        </w:rPr>
        <w:t> </w:t>
      </w:r>
      <w:r w:rsidRPr="00D758B6">
        <w:rPr>
          <w:szCs w:val="22"/>
        </w:rPr>
        <w:t>rovnakej úrovni, mierne nad svoj potenciál. Cyklický vývoj tak v roku 2024 mal mierne pozitívny vplyv na</w:t>
      </w:r>
      <w:r w:rsidR="002F07DF">
        <w:rPr>
          <w:szCs w:val="22"/>
        </w:rPr>
        <w:t> </w:t>
      </w:r>
      <w:r w:rsidRPr="00D758B6">
        <w:rPr>
          <w:szCs w:val="22"/>
        </w:rPr>
        <w:t>štrukturálne saldo verejnej správy vo výške 0,2</w:t>
      </w:r>
      <w:r w:rsidR="00B60D0E">
        <w:rPr>
          <w:szCs w:val="22"/>
        </w:rPr>
        <w:t> </w:t>
      </w:r>
      <w:r w:rsidRPr="00D758B6">
        <w:rPr>
          <w:szCs w:val="22"/>
        </w:rPr>
        <w:t>%</w:t>
      </w:r>
      <w:r w:rsidR="00B60D0E">
        <w:rPr>
          <w:szCs w:val="22"/>
        </w:rPr>
        <w:t> </w:t>
      </w:r>
      <w:r w:rsidRPr="00D758B6">
        <w:rPr>
          <w:szCs w:val="22"/>
        </w:rPr>
        <w:t>HDP.</w:t>
      </w:r>
    </w:p>
    <w:p w14:paraId="2EA5D63B" w14:textId="647F85F6" w:rsidR="00BF17A8" w:rsidRDefault="00EA459E" w:rsidP="006210BA">
      <w:pPr>
        <w:pStyle w:val="NormalList"/>
        <w:spacing w:after="120"/>
        <w:rPr>
          <w:rFonts w:cs="Times New Roman"/>
        </w:rPr>
      </w:pPr>
      <w:r w:rsidRPr="00753B4E">
        <w:rPr>
          <w:rFonts w:cs="Times New Roman"/>
          <w:b/>
        </w:rPr>
        <w:t>Druhý komponent, o ktorý sa očisťuje nominálne saldo, sú jednorazové</w:t>
      </w:r>
      <w:r>
        <w:rPr>
          <w:rFonts w:cs="Times New Roman"/>
          <w:b/>
        </w:rPr>
        <w:t xml:space="preserve"> a dočasné</w:t>
      </w:r>
      <w:r w:rsidRPr="00753B4E">
        <w:rPr>
          <w:rFonts w:cs="Times New Roman"/>
          <w:b/>
        </w:rPr>
        <w:t xml:space="preserve"> vplyvy. </w:t>
      </w:r>
      <w:r w:rsidRPr="00753B4E">
        <w:rPr>
          <w:rFonts w:cs="Times New Roman"/>
        </w:rPr>
        <w:t>Táto položka predstavuje príjmy alebo výdavky verejnej správy bez trvalého alebo opakujúceho sa charakteru.</w:t>
      </w:r>
      <w:r w:rsidRPr="00753B4E">
        <w:rPr>
          <w:rFonts w:cs="Times New Roman"/>
          <w:b/>
        </w:rPr>
        <w:t xml:space="preserve"> </w:t>
      </w:r>
      <w:r w:rsidRPr="00753B4E">
        <w:rPr>
          <w:rFonts w:cs="Times New Roman"/>
        </w:rPr>
        <w:t xml:space="preserve">Sledujú sa vzniknuté okolnosti s časovo obmedzeným vplyvom na saldo verejnej správy. </w:t>
      </w:r>
      <w:r>
        <w:rPr>
          <w:rFonts w:cs="Times New Roman"/>
        </w:rPr>
        <w:t>P</w:t>
      </w:r>
      <w:r w:rsidRPr="00753B4E">
        <w:rPr>
          <w:rFonts w:cs="Times New Roman"/>
        </w:rPr>
        <w:t>re účely s</w:t>
      </w:r>
      <w:r>
        <w:rPr>
          <w:rFonts w:cs="Times New Roman"/>
        </w:rPr>
        <w:t>úhrnnej výročnej správy používa</w:t>
      </w:r>
      <w:r w:rsidRPr="00753B4E">
        <w:rPr>
          <w:rFonts w:cs="Times New Roman"/>
        </w:rPr>
        <w:t xml:space="preserve"> Min</w:t>
      </w:r>
      <w:r>
        <w:rPr>
          <w:rFonts w:cs="Times New Roman"/>
        </w:rPr>
        <w:t>isterstvo financií SR princípy vychádzajúce predovšetkým z národnej metodiky MF</w:t>
      </w:r>
      <w:r w:rsidR="002F07DF">
        <w:rPr>
          <w:rFonts w:cs="Times New Roman"/>
        </w:rPr>
        <w:t> </w:t>
      </w:r>
      <w:r>
        <w:rPr>
          <w:rFonts w:cs="Times New Roman"/>
        </w:rPr>
        <w:t>SR</w:t>
      </w:r>
      <w:r w:rsidRPr="00753B4E">
        <w:rPr>
          <w:rFonts w:cs="Times New Roman"/>
        </w:rPr>
        <w:t>.</w:t>
      </w:r>
      <w:r w:rsidRPr="00753B4E">
        <w:rPr>
          <w:rStyle w:val="Odkaznapoznmkupodiarou"/>
          <w:rFonts w:eastAsiaTheme="majorEastAsia"/>
        </w:rPr>
        <w:footnoteReference w:id="20"/>
      </w:r>
      <w:r w:rsidRPr="00753B4E">
        <w:rPr>
          <w:rFonts w:cs="Times New Roman"/>
        </w:rPr>
        <w:t xml:space="preserve"> Jednorazové opatrenia boli zaznamená za rok 202</w:t>
      </w:r>
      <w:r>
        <w:rPr>
          <w:rFonts w:cs="Times New Roman"/>
        </w:rPr>
        <w:t>2</w:t>
      </w:r>
      <w:r w:rsidRPr="00753B4E">
        <w:rPr>
          <w:rFonts w:cs="Times New Roman"/>
        </w:rPr>
        <w:t xml:space="preserve"> a</w:t>
      </w:r>
      <w:r>
        <w:rPr>
          <w:rFonts w:cs="Times New Roman"/>
        </w:rPr>
        <w:t>ž 2024</w:t>
      </w:r>
      <w:r w:rsidRPr="00753B4E">
        <w:rPr>
          <w:rFonts w:cs="Times New Roman"/>
        </w:rPr>
        <w:t xml:space="preserve">. </w:t>
      </w:r>
      <w:r w:rsidRPr="00047BF5">
        <w:rPr>
          <w:rFonts w:cs="Times New Roman"/>
        </w:rPr>
        <w:t>Najväčšia časť bola vyvolaná vysokými cenami energií, v menšej miere to boli výdavky spojené s doznievajúcou pandémiou COVID-19 a  s vojnou na Ukrajine.</w:t>
      </w:r>
    </w:p>
    <w:p w14:paraId="0B4315D9" w14:textId="77777777" w:rsidR="00BF17A8" w:rsidRDefault="00BF17A8">
      <w:pPr>
        <w:rPr>
          <w:szCs w:val="22"/>
        </w:rPr>
      </w:pPr>
      <w:r>
        <w:br w:type="page"/>
      </w:r>
    </w:p>
    <w:p w14:paraId="09C4CC3B" w14:textId="1A897D7F" w:rsidR="000D0D92" w:rsidRDefault="000D0D92" w:rsidP="00D162A9">
      <w:pPr>
        <w:pStyle w:val="Popis"/>
      </w:pPr>
      <w:bookmarkStart w:id="48" w:name="_Toc212124634"/>
      <w:r>
        <w:lastRenderedPageBreak/>
        <w:t xml:space="preserve">Tabuľka </w:t>
      </w:r>
      <w:r w:rsidR="00CA4B84">
        <w:fldChar w:fldCharType="begin"/>
      </w:r>
      <w:r w:rsidR="00CA4B84">
        <w:instrText xml:space="preserve"> SEQ Tabuľka \* ARABIC </w:instrText>
      </w:r>
      <w:r w:rsidR="00CA4B84">
        <w:fldChar w:fldCharType="separate"/>
      </w:r>
      <w:r w:rsidR="00076866">
        <w:rPr>
          <w:noProof/>
        </w:rPr>
        <w:t>13</w:t>
      </w:r>
      <w:r w:rsidR="00CA4B84">
        <w:rPr>
          <w:noProof/>
        </w:rPr>
        <w:fldChar w:fldCharType="end"/>
      </w:r>
      <w:r>
        <w:t xml:space="preserve"> - </w:t>
      </w:r>
      <w:r w:rsidRPr="005B278C">
        <w:t xml:space="preserve">Jednorazové opatrenia ESA 2010 </w:t>
      </w:r>
      <w:r>
        <w:t>(</w:t>
      </w:r>
      <w:r w:rsidRPr="005B278C">
        <w:t>v mil. eur)</w:t>
      </w:r>
      <w:bookmarkEnd w:id="48"/>
    </w:p>
    <w:tbl>
      <w:tblPr>
        <w:tblW w:w="9072" w:type="dxa"/>
        <w:tblCellMar>
          <w:left w:w="70" w:type="dxa"/>
          <w:right w:w="70" w:type="dxa"/>
        </w:tblCellMar>
        <w:tblLook w:val="04A0" w:firstRow="1" w:lastRow="0" w:firstColumn="1" w:lastColumn="0" w:noHBand="0" w:noVBand="1"/>
      </w:tblPr>
      <w:tblGrid>
        <w:gridCol w:w="6014"/>
        <w:gridCol w:w="932"/>
        <w:gridCol w:w="720"/>
        <w:gridCol w:w="1406"/>
      </w:tblGrid>
      <w:tr w:rsidR="00EA459E" w:rsidRPr="007A3DFE" w14:paraId="7152E8F9" w14:textId="77777777" w:rsidTr="001068B4">
        <w:trPr>
          <w:trHeight w:val="152"/>
        </w:trPr>
        <w:tc>
          <w:tcPr>
            <w:tcW w:w="6014" w:type="dxa"/>
            <w:tcBorders>
              <w:top w:val="single" w:sz="4" w:space="0" w:color="auto"/>
              <w:left w:val="nil"/>
              <w:bottom w:val="single" w:sz="4" w:space="0" w:color="auto"/>
              <w:right w:val="nil"/>
            </w:tcBorders>
            <w:noWrap/>
            <w:vAlign w:val="bottom"/>
            <w:hideMark/>
          </w:tcPr>
          <w:p w14:paraId="43B4164B" w14:textId="77777777" w:rsidR="00EA459E" w:rsidRPr="001F5E80" w:rsidRDefault="00EA459E" w:rsidP="00DD7159">
            <w:pPr>
              <w:spacing w:after="0" w:line="240" w:lineRule="auto"/>
              <w:rPr>
                <w:b/>
                <w:bCs/>
                <w:color w:val="000000"/>
                <w:sz w:val="18"/>
                <w:szCs w:val="18"/>
                <w:lang w:eastAsia="sk-SK"/>
              </w:rPr>
            </w:pPr>
            <w:r w:rsidRPr="001F5E80">
              <w:rPr>
                <w:b/>
                <w:bCs/>
                <w:color w:val="000000"/>
                <w:sz w:val="18"/>
                <w:szCs w:val="18"/>
                <w:lang w:eastAsia="sk-SK"/>
              </w:rPr>
              <w:t> </w:t>
            </w:r>
          </w:p>
        </w:tc>
        <w:tc>
          <w:tcPr>
            <w:tcW w:w="932" w:type="dxa"/>
            <w:tcBorders>
              <w:top w:val="single" w:sz="4" w:space="0" w:color="auto"/>
              <w:left w:val="nil"/>
              <w:bottom w:val="single" w:sz="4" w:space="0" w:color="auto"/>
              <w:right w:val="nil"/>
            </w:tcBorders>
            <w:vAlign w:val="center"/>
          </w:tcPr>
          <w:p w14:paraId="6EC804E6" w14:textId="77777777" w:rsidR="00EA459E" w:rsidRPr="001F5E80" w:rsidRDefault="00EA459E" w:rsidP="00DD7159">
            <w:pPr>
              <w:spacing w:after="0" w:line="240" w:lineRule="auto"/>
              <w:jc w:val="center"/>
              <w:rPr>
                <w:b/>
                <w:bCs/>
                <w:sz w:val="18"/>
                <w:szCs w:val="18"/>
                <w:lang w:eastAsia="sk-SK"/>
              </w:rPr>
            </w:pPr>
            <w:r w:rsidRPr="001F5E80">
              <w:rPr>
                <w:b/>
                <w:bCs/>
                <w:sz w:val="18"/>
                <w:szCs w:val="18"/>
                <w:lang w:eastAsia="sk-SK"/>
              </w:rPr>
              <w:t>2022</w:t>
            </w:r>
          </w:p>
        </w:tc>
        <w:tc>
          <w:tcPr>
            <w:tcW w:w="720" w:type="dxa"/>
            <w:tcBorders>
              <w:top w:val="single" w:sz="4" w:space="0" w:color="auto"/>
              <w:left w:val="nil"/>
              <w:bottom w:val="single" w:sz="4" w:space="0" w:color="auto"/>
              <w:right w:val="nil"/>
            </w:tcBorders>
            <w:vAlign w:val="center"/>
          </w:tcPr>
          <w:p w14:paraId="0A70DA9A" w14:textId="77777777" w:rsidR="00EA459E" w:rsidRPr="001F5E80" w:rsidRDefault="00EA459E" w:rsidP="00DD7159">
            <w:pPr>
              <w:spacing w:after="0" w:line="240" w:lineRule="auto"/>
              <w:jc w:val="center"/>
              <w:rPr>
                <w:b/>
                <w:bCs/>
                <w:sz w:val="18"/>
                <w:szCs w:val="18"/>
                <w:lang w:eastAsia="sk-SK"/>
              </w:rPr>
            </w:pPr>
            <w:r w:rsidRPr="001F5E80">
              <w:rPr>
                <w:b/>
                <w:bCs/>
                <w:sz w:val="18"/>
                <w:szCs w:val="18"/>
                <w:lang w:eastAsia="sk-SK"/>
              </w:rPr>
              <w:t>2023</w:t>
            </w:r>
          </w:p>
        </w:tc>
        <w:tc>
          <w:tcPr>
            <w:tcW w:w="1406" w:type="dxa"/>
            <w:tcBorders>
              <w:top w:val="single" w:sz="4" w:space="0" w:color="auto"/>
              <w:left w:val="nil"/>
              <w:bottom w:val="single" w:sz="4" w:space="0" w:color="auto"/>
              <w:right w:val="nil"/>
            </w:tcBorders>
            <w:noWrap/>
            <w:vAlign w:val="center"/>
            <w:hideMark/>
          </w:tcPr>
          <w:p w14:paraId="267F00EA" w14:textId="77777777" w:rsidR="00EA459E" w:rsidRPr="005A5F12" w:rsidRDefault="00EA459E" w:rsidP="00DD7159">
            <w:pPr>
              <w:spacing w:after="0" w:line="240" w:lineRule="auto"/>
              <w:jc w:val="center"/>
              <w:rPr>
                <w:b/>
                <w:bCs/>
                <w:sz w:val="18"/>
                <w:szCs w:val="18"/>
                <w:lang w:eastAsia="sk-SK"/>
              </w:rPr>
            </w:pPr>
            <w:r w:rsidRPr="005A5F12">
              <w:rPr>
                <w:b/>
                <w:bCs/>
                <w:sz w:val="18"/>
                <w:szCs w:val="18"/>
                <w:lang w:eastAsia="sk-SK"/>
              </w:rPr>
              <w:t>202</w:t>
            </w:r>
            <w:r>
              <w:rPr>
                <w:b/>
                <w:bCs/>
                <w:sz w:val="18"/>
                <w:szCs w:val="18"/>
                <w:lang w:eastAsia="sk-SK"/>
              </w:rPr>
              <w:t>4</w:t>
            </w:r>
          </w:p>
        </w:tc>
      </w:tr>
      <w:tr w:rsidR="00EA459E" w:rsidRPr="007A3DFE" w14:paraId="55648371" w14:textId="77777777" w:rsidTr="001068B4">
        <w:trPr>
          <w:trHeight w:val="300"/>
        </w:trPr>
        <w:tc>
          <w:tcPr>
            <w:tcW w:w="6014" w:type="dxa"/>
            <w:tcBorders>
              <w:top w:val="single" w:sz="4" w:space="0" w:color="auto"/>
              <w:left w:val="nil"/>
              <w:bottom w:val="nil"/>
              <w:right w:val="nil"/>
            </w:tcBorders>
            <w:noWrap/>
            <w:vAlign w:val="center"/>
            <w:hideMark/>
          </w:tcPr>
          <w:p w14:paraId="14C07BBD" w14:textId="77777777" w:rsidR="00EA459E" w:rsidRPr="001F5E80" w:rsidRDefault="00EA459E" w:rsidP="006E019B">
            <w:pPr>
              <w:spacing w:after="0" w:line="240" w:lineRule="auto"/>
              <w:rPr>
                <w:color w:val="000000"/>
                <w:sz w:val="18"/>
                <w:szCs w:val="18"/>
                <w:lang w:eastAsia="sk-SK"/>
              </w:rPr>
            </w:pPr>
            <w:r w:rsidRPr="001F5E80">
              <w:rPr>
                <w:color w:val="000000"/>
                <w:sz w:val="18"/>
                <w:szCs w:val="18"/>
                <w:lang w:eastAsia="sk-SK"/>
              </w:rPr>
              <w:t>Čistý vplyv opatrení spojené s pandémiou COVID 19 (očistené o EU fondy)</w:t>
            </w:r>
          </w:p>
        </w:tc>
        <w:tc>
          <w:tcPr>
            <w:tcW w:w="932" w:type="dxa"/>
            <w:tcBorders>
              <w:top w:val="single" w:sz="4" w:space="0" w:color="auto"/>
              <w:left w:val="nil"/>
              <w:bottom w:val="nil"/>
              <w:right w:val="nil"/>
            </w:tcBorders>
            <w:vAlign w:val="center"/>
          </w:tcPr>
          <w:p w14:paraId="3757CF10" w14:textId="77777777" w:rsidR="00EA459E" w:rsidRPr="00B41E9A" w:rsidRDefault="00EA459E" w:rsidP="00DD7159">
            <w:pPr>
              <w:spacing w:after="0" w:line="240" w:lineRule="auto"/>
              <w:jc w:val="center"/>
              <w:rPr>
                <w:sz w:val="18"/>
                <w:szCs w:val="18"/>
                <w:lang w:eastAsia="sk-SK"/>
              </w:rPr>
            </w:pPr>
            <w:r w:rsidRPr="00B41E9A">
              <w:rPr>
                <w:sz w:val="18"/>
                <w:szCs w:val="18"/>
                <w:lang w:eastAsia="sk-SK"/>
              </w:rPr>
              <w:t>-696</w:t>
            </w:r>
          </w:p>
        </w:tc>
        <w:tc>
          <w:tcPr>
            <w:tcW w:w="720" w:type="dxa"/>
            <w:tcBorders>
              <w:top w:val="single" w:sz="4" w:space="0" w:color="auto"/>
              <w:left w:val="nil"/>
              <w:bottom w:val="nil"/>
              <w:right w:val="nil"/>
            </w:tcBorders>
            <w:vAlign w:val="center"/>
          </w:tcPr>
          <w:p w14:paraId="3EAF64A4" w14:textId="77777777" w:rsidR="00EA459E" w:rsidRPr="00B41E9A" w:rsidRDefault="00EA459E" w:rsidP="00DD7159">
            <w:pPr>
              <w:spacing w:after="0" w:line="240" w:lineRule="auto"/>
              <w:jc w:val="center"/>
              <w:rPr>
                <w:sz w:val="18"/>
                <w:szCs w:val="18"/>
                <w:lang w:eastAsia="sk-SK"/>
              </w:rPr>
            </w:pPr>
            <w:r w:rsidRPr="00B41E9A">
              <w:rPr>
                <w:color w:val="000000"/>
                <w:sz w:val="18"/>
                <w:szCs w:val="18"/>
              </w:rPr>
              <w:t>-91</w:t>
            </w:r>
          </w:p>
        </w:tc>
        <w:tc>
          <w:tcPr>
            <w:tcW w:w="1406" w:type="dxa"/>
            <w:tcBorders>
              <w:top w:val="single" w:sz="4" w:space="0" w:color="auto"/>
              <w:left w:val="nil"/>
              <w:bottom w:val="nil"/>
              <w:right w:val="nil"/>
            </w:tcBorders>
            <w:noWrap/>
            <w:vAlign w:val="center"/>
          </w:tcPr>
          <w:p w14:paraId="69B4BA86" w14:textId="77777777" w:rsidR="00EA459E" w:rsidRPr="005A5F12" w:rsidRDefault="00EA459E" w:rsidP="00DD7159">
            <w:pPr>
              <w:spacing w:after="0" w:line="240" w:lineRule="auto"/>
              <w:jc w:val="center"/>
              <w:rPr>
                <w:sz w:val="18"/>
                <w:szCs w:val="18"/>
                <w:lang w:eastAsia="sk-SK"/>
              </w:rPr>
            </w:pPr>
            <w:r>
              <w:rPr>
                <w:sz w:val="18"/>
                <w:szCs w:val="18"/>
                <w:lang w:eastAsia="sk-SK"/>
              </w:rPr>
              <w:t>-</w:t>
            </w:r>
          </w:p>
        </w:tc>
      </w:tr>
      <w:tr w:rsidR="00EA459E" w:rsidRPr="007A3DFE" w14:paraId="60C2CD7C" w14:textId="77777777" w:rsidTr="00DD7159">
        <w:trPr>
          <w:trHeight w:val="300"/>
        </w:trPr>
        <w:tc>
          <w:tcPr>
            <w:tcW w:w="6014" w:type="dxa"/>
            <w:tcBorders>
              <w:top w:val="nil"/>
              <w:left w:val="nil"/>
              <w:bottom w:val="nil"/>
              <w:right w:val="nil"/>
            </w:tcBorders>
            <w:noWrap/>
            <w:vAlign w:val="bottom"/>
          </w:tcPr>
          <w:p w14:paraId="0C135AF3" w14:textId="77777777" w:rsidR="00EA459E" w:rsidRPr="001F5E80" w:rsidRDefault="00EA459E" w:rsidP="006E019B">
            <w:pPr>
              <w:spacing w:after="0" w:line="240" w:lineRule="auto"/>
              <w:rPr>
                <w:color w:val="000000"/>
                <w:sz w:val="18"/>
                <w:szCs w:val="18"/>
                <w:lang w:eastAsia="sk-SK"/>
              </w:rPr>
            </w:pPr>
            <w:r w:rsidRPr="001F5E80">
              <w:rPr>
                <w:color w:val="000000"/>
                <w:sz w:val="18"/>
                <w:szCs w:val="18"/>
              </w:rPr>
              <w:t>Čistý vplyv výdavkov vyvolaných vojnou na Ukrajine (ponížený o preplatenie z EU fondov)</w:t>
            </w:r>
          </w:p>
        </w:tc>
        <w:tc>
          <w:tcPr>
            <w:tcW w:w="932" w:type="dxa"/>
            <w:tcBorders>
              <w:top w:val="nil"/>
              <w:left w:val="nil"/>
              <w:bottom w:val="nil"/>
              <w:right w:val="nil"/>
            </w:tcBorders>
            <w:vAlign w:val="center"/>
          </w:tcPr>
          <w:p w14:paraId="5D94C809" w14:textId="77777777" w:rsidR="00EA459E" w:rsidRPr="00047BF5" w:rsidRDefault="00EA459E" w:rsidP="00DD7159">
            <w:pPr>
              <w:spacing w:after="0" w:line="240" w:lineRule="auto"/>
              <w:jc w:val="center"/>
              <w:rPr>
                <w:sz w:val="18"/>
                <w:szCs w:val="18"/>
                <w:lang w:eastAsia="sk-SK"/>
              </w:rPr>
            </w:pPr>
            <w:r w:rsidRPr="00047BF5">
              <w:rPr>
                <w:sz w:val="18"/>
                <w:szCs w:val="18"/>
                <w:lang w:eastAsia="sk-SK"/>
              </w:rPr>
              <w:t>-139</w:t>
            </w:r>
          </w:p>
        </w:tc>
        <w:tc>
          <w:tcPr>
            <w:tcW w:w="720" w:type="dxa"/>
            <w:tcBorders>
              <w:top w:val="nil"/>
              <w:left w:val="nil"/>
              <w:bottom w:val="nil"/>
              <w:right w:val="nil"/>
            </w:tcBorders>
            <w:vAlign w:val="center"/>
          </w:tcPr>
          <w:p w14:paraId="2FCADE1B" w14:textId="77777777" w:rsidR="00EA459E" w:rsidRPr="00047BF5" w:rsidRDefault="00EA459E" w:rsidP="00DD7159">
            <w:pPr>
              <w:spacing w:after="0" w:line="240" w:lineRule="auto"/>
              <w:jc w:val="center"/>
              <w:rPr>
                <w:sz w:val="18"/>
                <w:szCs w:val="18"/>
                <w:lang w:eastAsia="sk-SK"/>
              </w:rPr>
            </w:pPr>
            <w:r w:rsidRPr="00047BF5">
              <w:rPr>
                <w:color w:val="000000"/>
                <w:sz w:val="18"/>
                <w:szCs w:val="18"/>
              </w:rPr>
              <w:t>-87</w:t>
            </w:r>
          </w:p>
        </w:tc>
        <w:tc>
          <w:tcPr>
            <w:tcW w:w="1406" w:type="dxa"/>
            <w:tcBorders>
              <w:top w:val="nil"/>
              <w:left w:val="nil"/>
              <w:bottom w:val="nil"/>
              <w:right w:val="nil"/>
            </w:tcBorders>
            <w:noWrap/>
            <w:vAlign w:val="center"/>
          </w:tcPr>
          <w:p w14:paraId="14B78DAC" w14:textId="77777777" w:rsidR="00EA459E" w:rsidRPr="005A5F12" w:rsidRDefault="00EA459E" w:rsidP="00DD7159">
            <w:pPr>
              <w:spacing w:after="0" w:line="240" w:lineRule="auto"/>
              <w:jc w:val="center"/>
              <w:rPr>
                <w:sz w:val="18"/>
                <w:szCs w:val="18"/>
                <w:lang w:eastAsia="sk-SK"/>
              </w:rPr>
            </w:pPr>
            <w:r w:rsidRPr="0034576F">
              <w:rPr>
                <w:color w:val="000000"/>
                <w:sz w:val="18"/>
                <w:szCs w:val="18"/>
              </w:rPr>
              <w:t>-33</w:t>
            </w:r>
          </w:p>
        </w:tc>
      </w:tr>
      <w:tr w:rsidR="00EA459E" w:rsidRPr="007A3DFE" w14:paraId="23A4CFB4" w14:textId="77777777" w:rsidTr="00DD7159">
        <w:trPr>
          <w:trHeight w:val="300"/>
        </w:trPr>
        <w:tc>
          <w:tcPr>
            <w:tcW w:w="6014" w:type="dxa"/>
            <w:tcBorders>
              <w:top w:val="nil"/>
              <w:left w:val="nil"/>
              <w:bottom w:val="nil"/>
              <w:right w:val="nil"/>
            </w:tcBorders>
            <w:noWrap/>
            <w:vAlign w:val="center"/>
          </w:tcPr>
          <w:p w14:paraId="2C51EB42" w14:textId="77777777" w:rsidR="00EA459E" w:rsidRPr="001F5E80" w:rsidRDefault="00EA459E" w:rsidP="006E019B">
            <w:pPr>
              <w:spacing w:after="0" w:line="240" w:lineRule="auto"/>
              <w:rPr>
                <w:color w:val="000000"/>
                <w:sz w:val="18"/>
                <w:szCs w:val="18"/>
                <w:lang w:eastAsia="sk-SK"/>
              </w:rPr>
            </w:pPr>
            <w:r w:rsidRPr="001F5E80">
              <w:rPr>
                <w:color w:val="000000"/>
                <w:sz w:val="18"/>
                <w:szCs w:val="18"/>
              </w:rPr>
              <w:t>Čistý vplyv schém podpory súvisiacich z vysokými cenami energií (ponížený o preplatenie z EU fondov)</w:t>
            </w:r>
          </w:p>
        </w:tc>
        <w:tc>
          <w:tcPr>
            <w:tcW w:w="932" w:type="dxa"/>
            <w:tcBorders>
              <w:top w:val="nil"/>
              <w:left w:val="nil"/>
              <w:bottom w:val="nil"/>
              <w:right w:val="nil"/>
            </w:tcBorders>
            <w:vAlign w:val="center"/>
          </w:tcPr>
          <w:p w14:paraId="5DBB1B51" w14:textId="77777777" w:rsidR="00EA459E" w:rsidRPr="00914598" w:rsidRDefault="00EA459E" w:rsidP="00DD7159">
            <w:pPr>
              <w:spacing w:after="0" w:line="240" w:lineRule="auto"/>
              <w:jc w:val="center"/>
              <w:rPr>
                <w:sz w:val="18"/>
                <w:szCs w:val="18"/>
                <w:highlight w:val="yellow"/>
                <w:lang w:eastAsia="sk-SK"/>
              </w:rPr>
            </w:pPr>
            <w:r w:rsidRPr="00B41E9A">
              <w:rPr>
                <w:sz w:val="18"/>
                <w:szCs w:val="18"/>
                <w:lang w:eastAsia="sk-SK"/>
              </w:rPr>
              <w:t>-477</w:t>
            </w:r>
          </w:p>
        </w:tc>
        <w:tc>
          <w:tcPr>
            <w:tcW w:w="720" w:type="dxa"/>
            <w:tcBorders>
              <w:top w:val="nil"/>
              <w:left w:val="nil"/>
              <w:bottom w:val="nil"/>
              <w:right w:val="nil"/>
            </w:tcBorders>
            <w:vAlign w:val="center"/>
          </w:tcPr>
          <w:p w14:paraId="6E13D22F" w14:textId="2407715E" w:rsidR="00EA459E" w:rsidRPr="00914598" w:rsidRDefault="00EA459E" w:rsidP="00DD7159">
            <w:pPr>
              <w:spacing w:after="0" w:line="240" w:lineRule="auto"/>
              <w:jc w:val="center"/>
              <w:rPr>
                <w:sz w:val="18"/>
                <w:szCs w:val="18"/>
                <w:highlight w:val="yellow"/>
                <w:lang w:eastAsia="sk-SK"/>
              </w:rPr>
            </w:pPr>
            <w:r w:rsidRPr="00B41E9A">
              <w:rPr>
                <w:color w:val="000000"/>
                <w:sz w:val="18"/>
                <w:szCs w:val="18"/>
              </w:rPr>
              <w:t>-2</w:t>
            </w:r>
            <w:r w:rsidR="000D0D92">
              <w:rPr>
                <w:color w:val="000000"/>
                <w:sz w:val="18"/>
                <w:szCs w:val="18"/>
              </w:rPr>
              <w:t xml:space="preserve"> </w:t>
            </w:r>
            <w:r w:rsidRPr="00B41E9A">
              <w:rPr>
                <w:color w:val="000000"/>
                <w:sz w:val="18"/>
                <w:szCs w:val="18"/>
              </w:rPr>
              <w:t>175</w:t>
            </w:r>
          </w:p>
        </w:tc>
        <w:tc>
          <w:tcPr>
            <w:tcW w:w="1406" w:type="dxa"/>
            <w:tcBorders>
              <w:top w:val="nil"/>
              <w:left w:val="nil"/>
              <w:bottom w:val="nil"/>
              <w:right w:val="nil"/>
            </w:tcBorders>
            <w:vAlign w:val="center"/>
          </w:tcPr>
          <w:p w14:paraId="09733429" w14:textId="4C94E48F" w:rsidR="00EA459E" w:rsidRPr="005A5F12" w:rsidRDefault="00EA459E" w:rsidP="00DD7159">
            <w:pPr>
              <w:spacing w:after="0" w:line="240" w:lineRule="auto"/>
              <w:jc w:val="center"/>
              <w:rPr>
                <w:sz w:val="18"/>
                <w:szCs w:val="18"/>
                <w:lang w:eastAsia="sk-SK"/>
              </w:rPr>
            </w:pPr>
            <w:r w:rsidRPr="0034576F">
              <w:rPr>
                <w:color w:val="000000"/>
                <w:sz w:val="18"/>
                <w:szCs w:val="18"/>
              </w:rPr>
              <w:t>-1</w:t>
            </w:r>
            <w:r w:rsidR="000D0D92">
              <w:rPr>
                <w:color w:val="000000"/>
                <w:sz w:val="18"/>
                <w:szCs w:val="18"/>
              </w:rPr>
              <w:t xml:space="preserve"> </w:t>
            </w:r>
            <w:r w:rsidRPr="0034576F">
              <w:rPr>
                <w:color w:val="000000"/>
                <w:sz w:val="18"/>
                <w:szCs w:val="18"/>
              </w:rPr>
              <w:t>126</w:t>
            </w:r>
          </w:p>
        </w:tc>
      </w:tr>
      <w:tr w:rsidR="00EA459E" w:rsidRPr="007A3DFE" w14:paraId="75DB4A8E" w14:textId="77777777" w:rsidTr="006E019B">
        <w:trPr>
          <w:trHeight w:val="195"/>
        </w:trPr>
        <w:tc>
          <w:tcPr>
            <w:tcW w:w="6014" w:type="dxa"/>
            <w:tcBorders>
              <w:top w:val="nil"/>
              <w:left w:val="nil"/>
              <w:bottom w:val="nil"/>
              <w:right w:val="nil"/>
            </w:tcBorders>
            <w:noWrap/>
            <w:vAlign w:val="bottom"/>
          </w:tcPr>
          <w:p w14:paraId="04C0F8D2" w14:textId="77777777" w:rsidR="00EA459E" w:rsidRPr="001F5E80" w:rsidRDefault="00EA459E" w:rsidP="006E019B">
            <w:pPr>
              <w:spacing w:after="0" w:line="240" w:lineRule="auto"/>
              <w:rPr>
                <w:color w:val="000000"/>
                <w:sz w:val="18"/>
                <w:szCs w:val="18"/>
              </w:rPr>
            </w:pPr>
            <w:r w:rsidRPr="001F5E80">
              <w:rPr>
                <w:color w:val="000000"/>
                <w:sz w:val="18"/>
                <w:szCs w:val="18"/>
              </w:rPr>
              <w:t>Dočasné príjmy z nariadenia EÚ ohľadom nadmerných ziskov</w:t>
            </w:r>
          </w:p>
        </w:tc>
        <w:tc>
          <w:tcPr>
            <w:tcW w:w="932" w:type="dxa"/>
            <w:tcBorders>
              <w:top w:val="nil"/>
              <w:left w:val="nil"/>
              <w:bottom w:val="nil"/>
              <w:right w:val="nil"/>
            </w:tcBorders>
            <w:vAlign w:val="center"/>
          </w:tcPr>
          <w:p w14:paraId="7A164E40" w14:textId="77777777" w:rsidR="00EA459E" w:rsidRPr="00B41E9A" w:rsidRDefault="00EA459E" w:rsidP="00DD7159">
            <w:pPr>
              <w:spacing w:after="0" w:line="240" w:lineRule="auto"/>
              <w:jc w:val="center"/>
              <w:rPr>
                <w:sz w:val="18"/>
                <w:szCs w:val="18"/>
                <w:lang w:eastAsia="sk-SK"/>
              </w:rPr>
            </w:pPr>
            <w:r w:rsidRPr="00B41E9A">
              <w:rPr>
                <w:sz w:val="18"/>
                <w:szCs w:val="18"/>
                <w:lang w:eastAsia="sk-SK"/>
              </w:rPr>
              <w:t>410</w:t>
            </w:r>
          </w:p>
        </w:tc>
        <w:tc>
          <w:tcPr>
            <w:tcW w:w="720" w:type="dxa"/>
            <w:tcBorders>
              <w:top w:val="nil"/>
              <w:left w:val="nil"/>
              <w:bottom w:val="nil"/>
              <w:right w:val="nil"/>
            </w:tcBorders>
            <w:vAlign w:val="center"/>
          </w:tcPr>
          <w:p w14:paraId="44C4F5C5" w14:textId="77777777" w:rsidR="00EA459E" w:rsidRPr="00B41E9A" w:rsidRDefault="00EA459E" w:rsidP="00DD7159">
            <w:pPr>
              <w:spacing w:after="0" w:line="240" w:lineRule="auto"/>
              <w:jc w:val="center"/>
              <w:rPr>
                <w:sz w:val="18"/>
                <w:szCs w:val="18"/>
                <w:lang w:eastAsia="sk-SK"/>
              </w:rPr>
            </w:pPr>
            <w:r w:rsidRPr="00B41E9A">
              <w:rPr>
                <w:color w:val="000000"/>
                <w:sz w:val="18"/>
                <w:szCs w:val="18"/>
                <w:lang w:eastAsia="sk-SK"/>
              </w:rPr>
              <w:t>-</w:t>
            </w:r>
          </w:p>
        </w:tc>
        <w:tc>
          <w:tcPr>
            <w:tcW w:w="1406" w:type="dxa"/>
            <w:tcBorders>
              <w:top w:val="nil"/>
              <w:left w:val="nil"/>
              <w:bottom w:val="nil"/>
              <w:right w:val="nil"/>
            </w:tcBorders>
            <w:vAlign w:val="center"/>
          </w:tcPr>
          <w:p w14:paraId="53155E9B" w14:textId="77777777" w:rsidR="00EA459E" w:rsidRPr="005A5F12" w:rsidRDefault="00EA459E" w:rsidP="00DD7159">
            <w:pPr>
              <w:spacing w:after="0" w:line="240" w:lineRule="auto"/>
              <w:jc w:val="center"/>
              <w:rPr>
                <w:sz w:val="18"/>
                <w:szCs w:val="18"/>
                <w:lang w:eastAsia="sk-SK"/>
              </w:rPr>
            </w:pPr>
            <w:r w:rsidRPr="0034576F">
              <w:rPr>
                <w:color w:val="000000"/>
                <w:sz w:val="18"/>
                <w:szCs w:val="18"/>
                <w:lang w:eastAsia="sk-SK"/>
              </w:rPr>
              <w:t>44</w:t>
            </w:r>
          </w:p>
        </w:tc>
      </w:tr>
      <w:tr w:rsidR="00EA459E" w:rsidRPr="007A3DFE" w14:paraId="04E6A8CB" w14:textId="77777777" w:rsidTr="00350AD9">
        <w:trPr>
          <w:trHeight w:val="300"/>
        </w:trPr>
        <w:tc>
          <w:tcPr>
            <w:tcW w:w="6014" w:type="dxa"/>
            <w:tcBorders>
              <w:top w:val="nil"/>
              <w:left w:val="nil"/>
              <w:bottom w:val="single" w:sz="4" w:space="0" w:color="auto"/>
              <w:right w:val="nil"/>
            </w:tcBorders>
            <w:noWrap/>
            <w:vAlign w:val="bottom"/>
          </w:tcPr>
          <w:p w14:paraId="78C81927" w14:textId="77777777" w:rsidR="00EA459E" w:rsidRPr="001F5E80" w:rsidRDefault="00EA459E" w:rsidP="006E019B">
            <w:pPr>
              <w:spacing w:after="0" w:line="240" w:lineRule="auto"/>
              <w:rPr>
                <w:color w:val="000000"/>
                <w:sz w:val="18"/>
                <w:szCs w:val="18"/>
              </w:rPr>
            </w:pPr>
            <w:r w:rsidRPr="001F5E80">
              <w:rPr>
                <w:color w:val="000000"/>
                <w:sz w:val="18"/>
                <w:szCs w:val="18"/>
              </w:rPr>
              <w:t>Cenové stropy pre výrobcov elektrickej energie</w:t>
            </w:r>
          </w:p>
        </w:tc>
        <w:tc>
          <w:tcPr>
            <w:tcW w:w="932" w:type="dxa"/>
            <w:tcBorders>
              <w:top w:val="nil"/>
              <w:left w:val="nil"/>
              <w:bottom w:val="single" w:sz="4" w:space="0" w:color="auto"/>
              <w:right w:val="nil"/>
            </w:tcBorders>
            <w:vAlign w:val="center"/>
          </w:tcPr>
          <w:p w14:paraId="2F79D8D7" w14:textId="77777777" w:rsidR="00EA459E" w:rsidRPr="00B41E9A" w:rsidRDefault="00EA459E" w:rsidP="00DD7159">
            <w:pPr>
              <w:spacing w:after="0" w:line="240" w:lineRule="auto"/>
              <w:jc w:val="center"/>
              <w:rPr>
                <w:sz w:val="18"/>
                <w:szCs w:val="18"/>
                <w:lang w:eastAsia="sk-SK"/>
              </w:rPr>
            </w:pPr>
            <w:r>
              <w:rPr>
                <w:sz w:val="18"/>
                <w:szCs w:val="18"/>
                <w:lang w:eastAsia="sk-SK"/>
              </w:rPr>
              <w:t>-</w:t>
            </w:r>
          </w:p>
        </w:tc>
        <w:tc>
          <w:tcPr>
            <w:tcW w:w="720" w:type="dxa"/>
            <w:tcBorders>
              <w:top w:val="nil"/>
              <w:left w:val="nil"/>
              <w:bottom w:val="single" w:sz="4" w:space="0" w:color="auto"/>
              <w:right w:val="nil"/>
            </w:tcBorders>
            <w:vAlign w:val="center"/>
          </w:tcPr>
          <w:p w14:paraId="70808AB1" w14:textId="77777777" w:rsidR="00EA459E" w:rsidRPr="00B41E9A" w:rsidRDefault="00EA459E" w:rsidP="00DD7159">
            <w:pPr>
              <w:spacing w:after="0" w:line="240" w:lineRule="auto"/>
              <w:jc w:val="center"/>
              <w:rPr>
                <w:sz w:val="18"/>
                <w:szCs w:val="18"/>
                <w:lang w:eastAsia="sk-SK"/>
              </w:rPr>
            </w:pPr>
            <w:r w:rsidRPr="00B41E9A">
              <w:rPr>
                <w:color w:val="000000"/>
                <w:sz w:val="18"/>
                <w:szCs w:val="18"/>
              </w:rPr>
              <w:t>30</w:t>
            </w:r>
          </w:p>
        </w:tc>
        <w:tc>
          <w:tcPr>
            <w:tcW w:w="1406" w:type="dxa"/>
            <w:tcBorders>
              <w:top w:val="nil"/>
              <w:left w:val="nil"/>
              <w:bottom w:val="single" w:sz="4" w:space="0" w:color="auto"/>
              <w:right w:val="nil"/>
            </w:tcBorders>
            <w:vAlign w:val="center"/>
          </w:tcPr>
          <w:p w14:paraId="0E55994C" w14:textId="77777777" w:rsidR="00EA459E" w:rsidRPr="005A5F12" w:rsidRDefault="00EA459E" w:rsidP="00DD7159">
            <w:pPr>
              <w:spacing w:after="0" w:line="240" w:lineRule="auto"/>
              <w:jc w:val="center"/>
              <w:rPr>
                <w:sz w:val="18"/>
                <w:szCs w:val="18"/>
                <w:lang w:eastAsia="sk-SK"/>
              </w:rPr>
            </w:pPr>
            <w:r w:rsidRPr="0034576F">
              <w:rPr>
                <w:color w:val="000000"/>
                <w:sz w:val="18"/>
                <w:szCs w:val="18"/>
                <w:lang w:eastAsia="sk-SK"/>
              </w:rPr>
              <w:t>6</w:t>
            </w:r>
          </w:p>
        </w:tc>
      </w:tr>
      <w:tr w:rsidR="00EA459E" w:rsidRPr="003E281C" w14:paraId="68A9ED90" w14:textId="77777777" w:rsidTr="00350AD9">
        <w:trPr>
          <w:trHeight w:val="132"/>
        </w:trPr>
        <w:tc>
          <w:tcPr>
            <w:tcW w:w="6014" w:type="dxa"/>
            <w:tcBorders>
              <w:top w:val="single" w:sz="4" w:space="0" w:color="auto"/>
              <w:left w:val="nil"/>
              <w:bottom w:val="single" w:sz="4" w:space="0" w:color="auto"/>
              <w:right w:val="nil"/>
            </w:tcBorders>
            <w:noWrap/>
            <w:vAlign w:val="bottom"/>
            <w:hideMark/>
          </w:tcPr>
          <w:p w14:paraId="1FE61F5B" w14:textId="77777777" w:rsidR="00EA459E" w:rsidRPr="001F5E80" w:rsidRDefault="00EA459E" w:rsidP="00DD7159">
            <w:pPr>
              <w:spacing w:after="0" w:line="240" w:lineRule="auto"/>
              <w:rPr>
                <w:b/>
                <w:bCs/>
                <w:color w:val="000000"/>
                <w:sz w:val="18"/>
                <w:szCs w:val="18"/>
                <w:lang w:eastAsia="sk-SK"/>
              </w:rPr>
            </w:pPr>
            <w:r w:rsidRPr="001F5E80">
              <w:rPr>
                <w:b/>
                <w:bCs/>
                <w:color w:val="000000"/>
                <w:sz w:val="18"/>
                <w:szCs w:val="18"/>
                <w:lang w:eastAsia="sk-SK"/>
              </w:rPr>
              <w:t xml:space="preserve">Spolu  </w:t>
            </w:r>
          </w:p>
        </w:tc>
        <w:tc>
          <w:tcPr>
            <w:tcW w:w="932" w:type="dxa"/>
            <w:tcBorders>
              <w:top w:val="single" w:sz="4" w:space="0" w:color="auto"/>
              <w:left w:val="nil"/>
              <w:bottom w:val="single" w:sz="4" w:space="0" w:color="auto"/>
              <w:right w:val="nil"/>
            </w:tcBorders>
            <w:vAlign w:val="center"/>
          </w:tcPr>
          <w:p w14:paraId="5A4DB4F5" w14:textId="77777777" w:rsidR="00EA459E" w:rsidRPr="00047BF5" w:rsidRDefault="00EA459E" w:rsidP="00DD7159">
            <w:pPr>
              <w:spacing w:after="0" w:line="240" w:lineRule="auto"/>
              <w:jc w:val="center"/>
              <w:rPr>
                <w:b/>
                <w:bCs/>
                <w:sz w:val="18"/>
                <w:szCs w:val="18"/>
                <w:lang w:eastAsia="sk-SK"/>
              </w:rPr>
            </w:pPr>
            <w:r w:rsidRPr="00047BF5">
              <w:rPr>
                <w:b/>
                <w:bCs/>
                <w:sz w:val="18"/>
                <w:szCs w:val="18"/>
                <w:lang w:eastAsia="sk-SK"/>
              </w:rPr>
              <w:t>-902</w:t>
            </w:r>
          </w:p>
        </w:tc>
        <w:tc>
          <w:tcPr>
            <w:tcW w:w="720" w:type="dxa"/>
            <w:tcBorders>
              <w:top w:val="single" w:sz="4" w:space="0" w:color="auto"/>
              <w:left w:val="nil"/>
              <w:bottom w:val="single" w:sz="4" w:space="0" w:color="auto"/>
              <w:right w:val="nil"/>
            </w:tcBorders>
            <w:vAlign w:val="center"/>
          </w:tcPr>
          <w:p w14:paraId="7223FF1B" w14:textId="10BC54A1" w:rsidR="00EA459E" w:rsidRPr="00047BF5" w:rsidRDefault="00EA459E" w:rsidP="00DD7159">
            <w:pPr>
              <w:spacing w:after="0" w:line="240" w:lineRule="auto"/>
              <w:jc w:val="center"/>
              <w:rPr>
                <w:b/>
                <w:bCs/>
                <w:sz w:val="18"/>
                <w:szCs w:val="18"/>
                <w:lang w:eastAsia="sk-SK"/>
              </w:rPr>
            </w:pPr>
            <w:r w:rsidRPr="00047BF5">
              <w:rPr>
                <w:b/>
                <w:bCs/>
                <w:color w:val="000000"/>
                <w:sz w:val="18"/>
                <w:szCs w:val="18"/>
              </w:rPr>
              <w:t>-2</w:t>
            </w:r>
            <w:r w:rsidR="000D0D92">
              <w:rPr>
                <w:b/>
                <w:bCs/>
                <w:color w:val="000000"/>
                <w:sz w:val="18"/>
                <w:szCs w:val="18"/>
              </w:rPr>
              <w:t xml:space="preserve"> </w:t>
            </w:r>
            <w:r w:rsidRPr="00047BF5">
              <w:rPr>
                <w:b/>
                <w:bCs/>
                <w:color w:val="000000"/>
                <w:sz w:val="18"/>
                <w:szCs w:val="18"/>
              </w:rPr>
              <w:t>323</w:t>
            </w:r>
          </w:p>
        </w:tc>
        <w:tc>
          <w:tcPr>
            <w:tcW w:w="1406" w:type="dxa"/>
            <w:tcBorders>
              <w:top w:val="single" w:sz="4" w:space="0" w:color="auto"/>
              <w:left w:val="nil"/>
              <w:bottom w:val="single" w:sz="4" w:space="0" w:color="auto"/>
              <w:right w:val="nil"/>
            </w:tcBorders>
            <w:noWrap/>
            <w:vAlign w:val="center"/>
          </w:tcPr>
          <w:p w14:paraId="69FEA26C" w14:textId="071131BF" w:rsidR="00EA459E" w:rsidRPr="005A5F12" w:rsidRDefault="00EA459E" w:rsidP="00DD7159">
            <w:pPr>
              <w:spacing w:after="0" w:line="240" w:lineRule="auto"/>
              <w:jc w:val="center"/>
              <w:rPr>
                <w:b/>
                <w:bCs/>
                <w:sz w:val="18"/>
                <w:szCs w:val="18"/>
                <w:lang w:eastAsia="sk-SK"/>
              </w:rPr>
            </w:pPr>
            <w:r>
              <w:rPr>
                <w:b/>
                <w:bCs/>
                <w:sz w:val="18"/>
                <w:szCs w:val="18"/>
                <w:lang w:eastAsia="sk-SK"/>
              </w:rPr>
              <w:t>-1</w:t>
            </w:r>
            <w:r w:rsidR="000D0D92">
              <w:rPr>
                <w:b/>
                <w:bCs/>
                <w:sz w:val="18"/>
                <w:szCs w:val="18"/>
                <w:lang w:eastAsia="sk-SK"/>
              </w:rPr>
              <w:t xml:space="preserve"> </w:t>
            </w:r>
            <w:r>
              <w:rPr>
                <w:b/>
                <w:bCs/>
                <w:sz w:val="18"/>
                <w:szCs w:val="18"/>
                <w:lang w:eastAsia="sk-SK"/>
              </w:rPr>
              <w:t>109</w:t>
            </w:r>
          </w:p>
        </w:tc>
      </w:tr>
    </w:tbl>
    <w:p w14:paraId="4E10CBB3" w14:textId="1036E138" w:rsidR="000B34C4" w:rsidRPr="00EA33BE" w:rsidRDefault="000B34C4" w:rsidP="000B34C4">
      <w:pPr>
        <w:spacing w:after="120" w:line="240" w:lineRule="auto"/>
        <w:ind w:left="7090" w:firstLine="709"/>
        <w:jc w:val="both"/>
        <w:rPr>
          <w:sz w:val="18"/>
          <w:szCs w:val="18"/>
        </w:rPr>
      </w:pPr>
      <w:bookmarkStart w:id="49" w:name="_Toc401920023"/>
      <w:bookmarkStart w:id="50" w:name="_Toc465255024"/>
      <w:bookmarkStart w:id="51" w:name="_Toc495990492"/>
      <w:r w:rsidRPr="00EA33BE">
        <w:rPr>
          <w:sz w:val="18"/>
          <w:szCs w:val="18"/>
        </w:rPr>
        <w:t xml:space="preserve">Zdroj: </w:t>
      </w:r>
      <w:r>
        <w:rPr>
          <w:sz w:val="18"/>
          <w:szCs w:val="18"/>
        </w:rPr>
        <w:t>IFP</w:t>
      </w:r>
    </w:p>
    <w:p w14:paraId="7F7D284F" w14:textId="038142D2" w:rsidR="00023A22" w:rsidRPr="00B15B11" w:rsidRDefault="00023A22" w:rsidP="00023A22">
      <w:pPr>
        <w:pStyle w:val="Nadpis2"/>
        <w:numPr>
          <w:ilvl w:val="0"/>
          <w:numId w:val="0"/>
        </w:numPr>
        <w:spacing w:before="120" w:after="0"/>
        <w:ind w:left="360"/>
      </w:pPr>
      <w:bookmarkStart w:id="52" w:name="_Toc212461603"/>
      <w:r w:rsidRPr="00BC5184">
        <w:t xml:space="preserve">2.3 </w:t>
      </w:r>
      <w:bookmarkStart w:id="53" w:name="_Toc19696053"/>
      <w:r w:rsidRPr="00BC5184">
        <w:t>Vyhodnotenie plnenia cieľov stratégie riadenia štátneho dlhu</w:t>
      </w:r>
      <w:bookmarkEnd w:id="53"/>
      <w:bookmarkEnd w:id="52"/>
    </w:p>
    <w:p w14:paraId="7F8048DE" w14:textId="5EC50C5E" w:rsidR="00023A22" w:rsidRPr="00C136C8" w:rsidRDefault="00023A22" w:rsidP="00CC72FA">
      <w:pPr>
        <w:spacing w:after="120" w:line="240" w:lineRule="auto"/>
        <w:jc w:val="both"/>
        <w:rPr>
          <w:szCs w:val="22"/>
        </w:rPr>
      </w:pPr>
      <w:r w:rsidRPr="00C136C8">
        <w:rPr>
          <w:b/>
          <w:bCs/>
          <w:szCs w:val="22"/>
        </w:rPr>
        <w:t>Svetová ekonomika a finančné trhy v roku 2024</w:t>
      </w:r>
      <w:r w:rsidRPr="00C136C8">
        <w:rPr>
          <w:szCs w:val="22"/>
        </w:rPr>
        <w:t xml:space="preserve"> pokračovali v adaptácii na turbulentné prostredie posledných rokov. Po sérii šokov v predchádzajúcom období sa globálna ekonomika postupne vyrovnávala s dosahmi vysokej inflácie, rastúcich úrokových sadzieb a pretrvávajúcej geopolitickej neistoty spojenej s</w:t>
      </w:r>
      <w:r w:rsidR="00041EA0">
        <w:rPr>
          <w:szCs w:val="22"/>
        </w:rPr>
        <w:t> </w:t>
      </w:r>
      <w:r w:rsidRPr="00C136C8">
        <w:rPr>
          <w:szCs w:val="22"/>
        </w:rPr>
        <w:t xml:space="preserve">vojnou na Ukrajine a napätím na Blízkom východe. </w:t>
      </w:r>
      <w:r>
        <w:rPr>
          <w:szCs w:val="22"/>
        </w:rPr>
        <w:t>Problémy spojené s prudkým rastom cien energií v predchádzajúcom období sa zmiernili</w:t>
      </w:r>
      <w:r w:rsidRPr="00C136C8">
        <w:rPr>
          <w:szCs w:val="22"/>
        </w:rPr>
        <w:t>. Trhové ceny plynu a ropy sa v roku 2024 pohybovali na</w:t>
      </w:r>
      <w:r w:rsidR="00B60D0E">
        <w:rPr>
          <w:szCs w:val="22"/>
        </w:rPr>
        <w:t> </w:t>
      </w:r>
      <w:r w:rsidRPr="00C136C8">
        <w:rPr>
          <w:szCs w:val="22"/>
        </w:rPr>
        <w:t>nižších úrovniach, čo prispelo k citeľnému spomaleniu inflácie.</w:t>
      </w:r>
    </w:p>
    <w:p w14:paraId="77787BAF" w14:textId="35B5EACB" w:rsidR="00023A22" w:rsidRPr="00C136C8" w:rsidRDefault="00023A22" w:rsidP="00CC72FA">
      <w:pPr>
        <w:spacing w:after="120" w:line="240" w:lineRule="auto"/>
        <w:jc w:val="both"/>
        <w:rPr>
          <w:szCs w:val="22"/>
        </w:rPr>
      </w:pPr>
      <w:r w:rsidRPr="00C136C8">
        <w:rPr>
          <w:szCs w:val="22"/>
        </w:rPr>
        <w:t xml:space="preserve">Centrálne banky tak mohli po historicky najrýchlejšom sprísňovaní menovej politiky pristúpiť k prerušeniu cyklu zvyšovania sadzieb. </w:t>
      </w:r>
      <w:r w:rsidRPr="00C136C8">
        <w:rPr>
          <w:b/>
          <w:bCs/>
          <w:szCs w:val="22"/>
        </w:rPr>
        <w:t>ECB udržala svoju depozitnú sadzbu na úrovni 4</w:t>
      </w:r>
      <w:r w:rsidR="00B60D0E">
        <w:rPr>
          <w:b/>
          <w:bCs/>
          <w:szCs w:val="22"/>
        </w:rPr>
        <w:t> </w:t>
      </w:r>
      <w:r w:rsidRPr="00C136C8">
        <w:rPr>
          <w:b/>
          <w:bCs/>
          <w:szCs w:val="22"/>
        </w:rPr>
        <w:t>%</w:t>
      </w:r>
      <w:r w:rsidRPr="00C136C8">
        <w:rPr>
          <w:szCs w:val="22"/>
        </w:rPr>
        <w:t xml:space="preserve">, pričom </w:t>
      </w:r>
      <w:r>
        <w:rPr>
          <w:szCs w:val="22"/>
        </w:rPr>
        <w:t>k začiatku</w:t>
      </w:r>
      <w:r w:rsidRPr="00C136C8">
        <w:rPr>
          <w:szCs w:val="22"/>
        </w:rPr>
        <w:t xml:space="preserve"> jej postupn</w:t>
      </w:r>
      <w:r>
        <w:rPr>
          <w:szCs w:val="22"/>
        </w:rPr>
        <w:t>ého</w:t>
      </w:r>
      <w:r w:rsidRPr="00C136C8">
        <w:rPr>
          <w:szCs w:val="22"/>
        </w:rPr>
        <w:t xml:space="preserve"> zn</w:t>
      </w:r>
      <w:r>
        <w:rPr>
          <w:szCs w:val="22"/>
        </w:rPr>
        <w:t>ižovania</w:t>
      </w:r>
      <w:r w:rsidRPr="00C136C8">
        <w:rPr>
          <w:szCs w:val="22"/>
        </w:rPr>
        <w:t xml:space="preserve"> </w:t>
      </w:r>
      <w:r>
        <w:rPr>
          <w:szCs w:val="22"/>
        </w:rPr>
        <w:t>pristúpila</w:t>
      </w:r>
      <w:r w:rsidRPr="00C136C8">
        <w:rPr>
          <w:szCs w:val="22"/>
        </w:rPr>
        <w:t xml:space="preserve"> v polovici roka. </w:t>
      </w:r>
      <w:r w:rsidRPr="00C136C8">
        <w:rPr>
          <w:b/>
          <w:bCs/>
          <w:szCs w:val="22"/>
        </w:rPr>
        <w:t>FED</w:t>
      </w:r>
      <w:r w:rsidRPr="00C136C8">
        <w:rPr>
          <w:szCs w:val="22"/>
        </w:rPr>
        <w:t xml:space="preserve"> </w:t>
      </w:r>
      <w:r>
        <w:rPr>
          <w:szCs w:val="22"/>
        </w:rPr>
        <w:t>so </w:t>
      </w:r>
      <w:r w:rsidRPr="00C136C8">
        <w:rPr>
          <w:szCs w:val="22"/>
        </w:rPr>
        <w:t>zníž</w:t>
      </w:r>
      <w:r>
        <w:rPr>
          <w:szCs w:val="22"/>
        </w:rPr>
        <w:t>ovaním sadzieb začal o niekoľko mesiacov neskôr</w:t>
      </w:r>
      <w:r w:rsidRPr="00C136C8">
        <w:rPr>
          <w:szCs w:val="22"/>
        </w:rPr>
        <w:t>. Po uvoľnení napätia v dodávateľských reťazcoch a znížení cien energií sa globálna inflácia v</w:t>
      </w:r>
      <w:r w:rsidR="00B60D0E">
        <w:rPr>
          <w:szCs w:val="22"/>
        </w:rPr>
        <w:t> </w:t>
      </w:r>
      <w:r w:rsidRPr="00C136C8">
        <w:rPr>
          <w:szCs w:val="22"/>
        </w:rPr>
        <w:t xml:space="preserve">roku 2024 priblížila k inflačným cieľom centrálnych bánk, aj keď v Európe </w:t>
      </w:r>
      <w:r>
        <w:rPr>
          <w:szCs w:val="22"/>
        </w:rPr>
        <w:t xml:space="preserve">aj naďalej </w:t>
      </w:r>
      <w:r w:rsidRPr="00C136C8">
        <w:rPr>
          <w:szCs w:val="22"/>
        </w:rPr>
        <w:t>zostávala v priemere mierne nad 2</w:t>
      </w:r>
      <w:r w:rsidR="00B60D0E">
        <w:rPr>
          <w:szCs w:val="22"/>
        </w:rPr>
        <w:t> </w:t>
      </w:r>
      <w:r w:rsidRPr="00C136C8">
        <w:rPr>
          <w:szCs w:val="22"/>
        </w:rPr>
        <w:t>%.</w:t>
      </w:r>
    </w:p>
    <w:p w14:paraId="622EC88A" w14:textId="0C93030B" w:rsidR="00041EA0" w:rsidRDefault="00023A22" w:rsidP="00076170">
      <w:pPr>
        <w:spacing w:after="0" w:line="240" w:lineRule="auto"/>
        <w:jc w:val="both"/>
        <w:rPr>
          <w:szCs w:val="22"/>
        </w:rPr>
      </w:pPr>
      <w:r w:rsidRPr="00C136C8">
        <w:rPr>
          <w:szCs w:val="22"/>
        </w:rPr>
        <w:t>Vývoj na akciových trhoch bol priaznivý. Po slabšej výkonnosti v roku 2022 a postupnom zotavení v</w:t>
      </w:r>
      <w:r w:rsidR="00B60D0E">
        <w:rPr>
          <w:szCs w:val="22"/>
        </w:rPr>
        <w:t> </w:t>
      </w:r>
      <w:r w:rsidRPr="00C136C8">
        <w:rPr>
          <w:szCs w:val="22"/>
        </w:rPr>
        <w:t>roku 2023 sa v roku 2024 rozvinul stabilnejší rast, podporený klesajúcimi inflačnými tlakmi a očakávaniami postupného uvoľňovania menovej politiky. Technologický sektor, ťažiaci z rozmachu umelej inteligencie a</w:t>
      </w:r>
      <w:r w:rsidR="00B60D0E">
        <w:rPr>
          <w:szCs w:val="22"/>
        </w:rPr>
        <w:t> </w:t>
      </w:r>
      <w:r w:rsidRPr="00C136C8">
        <w:rPr>
          <w:szCs w:val="22"/>
        </w:rPr>
        <w:t>digitalizácie, patril medzi hlavných ťahúňov.</w:t>
      </w:r>
      <w:r>
        <w:rPr>
          <w:szCs w:val="22"/>
        </w:rPr>
        <w:t xml:space="preserve"> </w:t>
      </w:r>
      <w:r w:rsidRPr="00C136C8">
        <w:rPr>
          <w:szCs w:val="22"/>
        </w:rPr>
        <w:t xml:space="preserve">Na dlhopisových trhoch sa prejavila stabilizácia. Výnos </w:t>
      </w:r>
      <w:r w:rsidRPr="00C136C8">
        <w:rPr>
          <w:b/>
          <w:bCs/>
          <w:szCs w:val="22"/>
        </w:rPr>
        <w:t>10</w:t>
      </w:r>
      <w:r w:rsidR="00B60D0E">
        <w:rPr>
          <w:b/>
          <w:bCs/>
          <w:szCs w:val="22"/>
        </w:rPr>
        <w:t> </w:t>
      </w:r>
      <w:r w:rsidRPr="00C136C8">
        <w:rPr>
          <w:b/>
          <w:bCs/>
          <w:szCs w:val="22"/>
        </w:rPr>
        <w:t>-</w:t>
      </w:r>
      <w:r w:rsidR="00B60D0E">
        <w:rPr>
          <w:b/>
          <w:bCs/>
          <w:szCs w:val="22"/>
        </w:rPr>
        <w:t> </w:t>
      </w:r>
      <w:r w:rsidRPr="00C136C8">
        <w:rPr>
          <w:b/>
          <w:bCs/>
          <w:szCs w:val="22"/>
        </w:rPr>
        <w:t>ročného slovenského štátneho dlhopisu</w:t>
      </w:r>
      <w:r>
        <w:rPr>
          <w:szCs w:val="22"/>
        </w:rPr>
        <w:t xml:space="preserve"> v priemere dosiahol</w:t>
      </w:r>
      <w:r w:rsidRPr="00C136C8">
        <w:rPr>
          <w:szCs w:val="22"/>
        </w:rPr>
        <w:t xml:space="preserve"> </w:t>
      </w:r>
      <w:r>
        <w:rPr>
          <w:szCs w:val="22"/>
        </w:rPr>
        <w:t>približne</w:t>
      </w:r>
      <w:r w:rsidRPr="00C136C8">
        <w:rPr>
          <w:szCs w:val="22"/>
        </w:rPr>
        <w:t xml:space="preserve"> </w:t>
      </w:r>
      <w:r w:rsidRPr="00C136C8">
        <w:rPr>
          <w:b/>
          <w:bCs/>
          <w:szCs w:val="22"/>
        </w:rPr>
        <w:t>3,</w:t>
      </w:r>
      <w:r>
        <w:rPr>
          <w:b/>
          <w:bCs/>
          <w:szCs w:val="22"/>
        </w:rPr>
        <w:t>5</w:t>
      </w:r>
      <w:r w:rsidR="00B60D0E">
        <w:rPr>
          <w:b/>
          <w:bCs/>
          <w:szCs w:val="22"/>
        </w:rPr>
        <w:t> </w:t>
      </w:r>
      <w:r w:rsidRPr="00C136C8">
        <w:rPr>
          <w:b/>
          <w:bCs/>
          <w:szCs w:val="22"/>
        </w:rPr>
        <w:t>%</w:t>
      </w:r>
      <w:r w:rsidR="00B60D0E">
        <w:rPr>
          <w:b/>
          <w:bCs/>
          <w:szCs w:val="22"/>
        </w:rPr>
        <w:t> </w:t>
      </w:r>
      <w:r w:rsidRPr="00C136C8">
        <w:rPr>
          <w:b/>
          <w:bCs/>
          <w:szCs w:val="22"/>
        </w:rPr>
        <w:t>p.</w:t>
      </w:r>
      <w:r w:rsidR="00B60D0E">
        <w:rPr>
          <w:b/>
          <w:bCs/>
          <w:szCs w:val="22"/>
        </w:rPr>
        <w:t> </w:t>
      </w:r>
      <w:r w:rsidRPr="00C136C8">
        <w:rPr>
          <w:b/>
          <w:bCs/>
          <w:szCs w:val="22"/>
        </w:rPr>
        <w:t>a.</w:t>
      </w:r>
      <w:r w:rsidRPr="00C136C8">
        <w:rPr>
          <w:szCs w:val="22"/>
        </w:rPr>
        <w:t>, pričom riziková prirážka voči Nemecku</w:t>
      </w:r>
      <w:r>
        <w:rPr>
          <w:szCs w:val="22"/>
        </w:rPr>
        <w:t xml:space="preserve"> zotrvala blízko úrovní predchádzajúceho roka na približne 1,1</w:t>
      </w:r>
      <w:r w:rsidR="00B60D0E">
        <w:rPr>
          <w:szCs w:val="22"/>
        </w:rPr>
        <w:t> </w:t>
      </w:r>
      <w:r>
        <w:rPr>
          <w:szCs w:val="22"/>
        </w:rPr>
        <w:t>p.</w:t>
      </w:r>
      <w:r w:rsidR="00B60D0E">
        <w:rPr>
          <w:szCs w:val="22"/>
        </w:rPr>
        <w:t> </w:t>
      </w:r>
      <w:r>
        <w:rPr>
          <w:szCs w:val="22"/>
        </w:rPr>
        <w:t>b.</w:t>
      </w:r>
      <w:r w:rsidRPr="00C136C8">
        <w:rPr>
          <w:szCs w:val="22"/>
        </w:rPr>
        <w:t xml:space="preserve"> Napriek miernej stabilizácii výnosov zostali podmienky financovania dlhu pre Slovensko aj naďalej prísnejšie než v</w:t>
      </w:r>
      <w:r w:rsidR="00B60D0E">
        <w:rPr>
          <w:szCs w:val="22"/>
        </w:rPr>
        <w:t> </w:t>
      </w:r>
      <w:r w:rsidRPr="00C136C8">
        <w:rPr>
          <w:szCs w:val="22"/>
        </w:rPr>
        <w:t>období nízkych sadzieb pred pandémiou. Agentúra pre riadenie dlhu a likvidity v mene MF SR aj v</w:t>
      </w:r>
      <w:r w:rsidR="00B60D0E">
        <w:rPr>
          <w:szCs w:val="22"/>
        </w:rPr>
        <w:t> </w:t>
      </w:r>
      <w:r w:rsidRPr="00C136C8">
        <w:rPr>
          <w:szCs w:val="22"/>
        </w:rPr>
        <w:t>roku</w:t>
      </w:r>
      <w:r w:rsidR="00B60D0E">
        <w:rPr>
          <w:szCs w:val="22"/>
        </w:rPr>
        <w:t> </w:t>
      </w:r>
      <w:r w:rsidRPr="00C136C8">
        <w:rPr>
          <w:szCs w:val="22"/>
        </w:rPr>
        <w:t>2024 financovala potreby štátu štandardnými nástrojmi, no pri vyšších nákladoch, keďže priemerné výnosy nových emisií zostávali citeľne nad predpandemickými hodnotami.</w:t>
      </w:r>
    </w:p>
    <w:p w14:paraId="1201B30B" w14:textId="529587E2" w:rsidR="00B772D2" w:rsidRDefault="00866047" w:rsidP="00D162A9">
      <w:pPr>
        <w:pStyle w:val="Popis"/>
        <w:rPr>
          <w:highlight w:val="yellow"/>
        </w:rPr>
      </w:pPr>
      <w:r>
        <w:rPr>
          <w:noProof/>
        </w:rPr>
        <mc:AlternateContent>
          <mc:Choice Requires="wps">
            <w:drawing>
              <wp:anchor distT="0" distB="0" distL="114300" distR="114300" simplePos="0" relativeHeight="251659264" behindDoc="0" locked="0" layoutInCell="1" allowOverlap="1" wp14:anchorId="7CC62A1B" wp14:editId="45436142">
                <wp:simplePos x="0" y="0"/>
                <wp:positionH relativeFrom="margin">
                  <wp:posOffset>-44395</wp:posOffset>
                </wp:positionH>
                <wp:positionV relativeFrom="paragraph">
                  <wp:posOffset>55217</wp:posOffset>
                </wp:positionV>
                <wp:extent cx="6082527" cy="437322"/>
                <wp:effectExtent l="0" t="0" r="13970" b="20320"/>
                <wp:wrapNone/>
                <wp:docPr id="103832595" name="Obdĺžnik 1"/>
                <wp:cNvGraphicFramePr/>
                <a:graphic xmlns:a="http://schemas.openxmlformats.org/drawingml/2006/main">
                  <a:graphicData uri="http://schemas.microsoft.com/office/word/2010/wordprocessingShape">
                    <wps:wsp>
                      <wps:cNvSpPr/>
                      <wps:spPr>
                        <a:xfrm>
                          <a:off x="0" y="0"/>
                          <a:ext cx="6082527" cy="437322"/>
                        </a:xfrm>
                        <a:prstGeom prst="rect">
                          <a:avLst/>
                        </a:prstGeom>
                        <a:noFill/>
                        <a:ln>
                          <a:solidFill>
                            <a:schemeClr val="bg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E399B08" w14:textId="4D190372" w:rsidR="00B772D2" w:rsidRDefault="00B772D2" w:rsidP="00B772D2">
                            <w:r w:rsidRPr="00B772D2">
                              <w:rPr>
                                <w:b/>
                                <w:iCs/>
                                <w:color w:val="548DD4" w:themeColor="text2" w:themeTint="99"/>
                                <w:sz w:val="20"/>
                                <w:szCs w:val="20"/>
                              </w:rPr>
                              <w:t>Graf 4 - Výnosy vybraných slovenských vládnych dlhopisov a riziková prirážka voči nemeckým 10</w:t>
                            </w:r>
                            <w:r w:rsidR="00B60D0E">
                              <w:rPr>
                                <w:b/>
                                <w:iCs/>
                                <w:color w:val="548DD4" w:themeColor="text2" w:themeTint="99"/>
                                <w:sz w:val="20"/>
                                <w:szCs w:val="20"/>
                              </w:rPr>
                              <w:t> </w:t>
                            </w:r>
                            <w:r w:rsidRPr="008E17CB">
                              <w:rPr>
                                <w:b/>
                                <w:sz w:val="20"/>
                                <w:szCs w:val="20"/>
                              </w:rPr>
                              <w:t>-</w:t>
                            </w:r>
                            <w:r w:rsidR="00B60D0E">
                              <w:rPr>
                                <w:b/>
                                <w:sz w:val="20"/>
                                <w:szCs w:val="20"/>
                              </w:rPr>
                              <w:t> </w:t>
                            </w:r>
                            <w:r w:rsidRPr="00B772D2">
                              <w:rPr>
                                <w:b/>
                                <w:iCs/>
                                <w:color w:val="548DD4" w:themeColor="text2" w:themeTint="99"/>
                                <w:sz w:val="20"/>
                                <w:szCs w:val="20"/>
                              </w:rPr>
                              <w:t>ročným štátnym dlhopisom (v % a p.</w:t>
                            </w:r>
                            <w:r w:rsidR="00B60D0E">
                              <w:rPr>
                                <w:b/>
                                <w:iCs/>
                                <w:color w:val="548DD4" w:themeColor="text2" w:themeTint="99"/>
                                <w:sz w:val="20"/>
                                <w:szCs w:val="20"/>
                              </w:rPr>
                              <w:t> </w:t>
                            </w:r>
                            <w:r w:rsidRPr="00B772D2">
                              <w:rPr>
                                <w:b/>
                                <w:iCs/>
                                <w:color w:val="548DD4" w:themeColor="text2" w:themeTint="99"/>
                                <w:sz w:val="20"/>
                                <w:szCs w:val="20"/>
                              </w:rPr>
                              <w:t>b.)</w:t>
                            </w:r>
                            <w:r>
                              <w:rPr>
                                <w:b/>
                                <w:sz w:val="20"/>
                                <w:szCs w:val="20"/>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62A1B" id="Obdĺžnik 1" o:spid="_x0000_s1026" style="position:absolute;margin-left:-3.5pt;margin-top:4.35pt;width:478.95pt;height:3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" filled="f" strokecolor="#bfbfbf [2412]" strokeweight="2pt">
                <v:textbox>
                  <w:txbxContent>
                    <w:p w14:paraId="3E399B08" w14:textId="4D190372" w:rsidR="00B772D2" w:rsidRDefault="00B772D2" w:rsidP="00B772D2">
                      <w:r w:rsidRPr="00B772D2">
                        <w:rPr>
                          <w:b/>
                          <w:iCs/>
                          <w:color w:val="548DD4" w:themeColor="text2" w:themeTint="99"/>
                          <w:sz w:val="20"/>
                          <w:szCs w:val="20"/>
                        </w:rPr>
                        <w:t>Graf 4 - Výnosy vybraných slovenských vládnych dlhopisov a riziková prirážka voči nemeckým 10</w:t>
                      </w:r>
                      <w:r w:rsidR="00B60D0E">
                        <w:rPr>
                          <w:b/>
                          <w:iCs/>
                          <w:color w:val="548DD4" w:themeColor="text2" w:themeTint="99"/>
                          <w:sz w:val="20"/>
                          <w:szCs w:val="20"/>
                        </w:rPr>
                        <w:t> </w:t>
                      </w:r>
                      <w:r w:rsidRPr="008E17CB">
                        <w:rPr>
                          <w:b/>
                          <w:sz w:val="20"/>
                          <w:szCs w:val="20"/>
                        </w:rPr>
                        <w:t>-</w:t>
                      </w:r>
                      <w:r w:rsidR="00B60D0E">
                        <w:rPr>
                          <w:b/>
                          <w:sz w:val="20"/>
                          <w:szCs w:val="20"/>
                        </w:rPr>
                        <w:t> </w:t>
                      </w:r>
                      <w:r w:rsidRPr="00B772D2">
                        <w:rPr>
                          <w:b/>
                          <w:iCs/>
                          <w:color w:val="548DD4" w:themeColor="text2" w:themeTint="99"/>
                          <w:sz w:val="20"/>
                          <w:szCs w:val="20"/>
                        </w:rPr>
                        <w:t>ročným štátnym dlhopisom (v % a p.</w:t>
                      </w:r>
                      <w:r w:rsidR="00B60D0E">
                        <w:rPr>
                          <w:b/>
                          <w:iCs/>
                          <w:color w:val="548DD4" w:themeColor="text2" w:themeTint="99"/>
                          <w:sz w:val="20"/>
                          <w:szCs w:val="20"/>
                        </w:rPr>
                        <w:t> </w:t>
                      </w:r>
                      <w:r w:rsidRPr="00B772D2">
                        <w:rPr>
                          <w:b/>
                          <w:iCs/>
                          <w:color w:val="548DD4" w:themeColor="text2" w:themeTint="99"/>
                          <w:sz w:val="20"/>
                          <w:szCs w:val="20"/>
                        </w:rPr>
                        <w:t>b.)</w:t>
                      </w:r>
                      <w:r>
                        <w:rPr>
                          <w:b/>
                          <w:sz w:val="20"/>
                          <w:szCs w:val="20"/>
                        </w:rPr>
                        <w:t> </w:t>
                      </w:r>
                    </w:p>
                  </w:txbxContent>
                </v:textbox>
                <w10:wrap anchorx="margin"/>
              </v:rect>
            </w:pict>
          </mc:Fallback>
        </mc:AlternateContent>
      </w:r>
    </w:p>
    <w:p w14:paraId="36C2FCDE" w14:textId="5B186989" w:rsidR="00B772D2" w:rsidRPr="00174C84" w:rsidRDefault="00B772D2" w:rsidP="00D162A9">
      <w:pPr>
        <w:pStyle w:val="Popis"/>
        <w:rPr>
          <w:highlight w:val="yellow"/>
        </w:rPr>
      </w:pPr>
    </w:p>
    <w:tbl>
      <w:tblPr>
        <w:tblpPr w:leftFromText="141" w:rightFromText="141" w:vertAnchor="text" w:horzAnchor="margin" w:tblpY="113"/>
        <w:tblW w:w="9295" w:type="dxa"/>
        <w:tblCellMar>
          <w:left w:w="70" w:type="dxa"/>
          <w:right w:w="70" w:type="dxa"/>
        </w:tblCellMar>
        <w:tblLook w:val="04A0" w:firstRow="1" w:lastRow="0" w:firstColumn="1" w:lastColumn="0" w:noHBand="0" w:noVBand="1"/>
      </w:tblPr>
      <w:tblGrid>
        <w:gridCol w:w="9295"/>
      </w:tblGrid>
      <w:tr w:rsidR="00023A22" w:rsidRPr="00457823" w14:paraId="2B491EAD" w14:textId="77777777" w:rsidTr="00B772D2">
        <w:trPr>
          <w:trHeight w:val="226"/>
        </w:trPr>
        <w:tc>
          <w:tcPr>
            <w:tcW w:w="9295" w:type="dxa"/>
            <w:tcBorders>
              <w:top w:val="nil"/>
              <w:left w:val="nil"/>
              <w:right w:val="nil"/>
            </w:tcBorders>
            <w:noWrap/>
            <w:vAlign w:val="center"/>
            <w:hideMark/>
          </w:tcPr>
          <w:p w14:paraId="1DADB017" w14:textId="1C9EB1D2" w:rsidR="00023A22" w:rsidRPr="008E17CB" w:rsidRDefault="00076170" w:rsidP="00076170">
            <w:pPr>
              <w:spacing w:after="0" w:line="240" w:lineRule="auto"/>
              <w:rPr>
                <w:b/>
                <w:sz w:val="20"/>
                <w:szCs w:val="20"/>
              </w:rPr>
            </w:pPr>
            <w:r>
              <w:rPr>
                <w:noProof/>
              </w:rPr>
              <w:drawing>
                <wp:inline distT="0" distB="0" distL="0" distR="0" wp14:anchorId="243F2B44" wp14:editId="1F9E7296">
                  <wp:extent cx="5764695" cy="2401294"/>
                  <wp:effectExtent l="0" t="0" r="7620" b="0"/>
                  <wp:docPr id="1680822518" name="Graf 1">
                    <a:extLst xmlns:a="http://schemas.openxmlformats.org/drawingml/2006/main">
                      <a:ext uri="{FF2B5EF4-FFF2-40B4-BE49-F238E27FC236}">
                        <a16:creationId xmlns:a16="http://schemas.microsoft.com/office/drawing/2014/main" id="{DC19EA60-C462-4214-9549-548C0797C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2AD521DF" w14:textId="77777777" w:rsidR="00023A22" w:rsidRPr="00034FA3" w:rsidRDefault="00023A22" w:rsidP="00023A22">
      <w:pPr>
        <w:autoSpaceDE w:val="0"/>
        <w:autoSpaceDN w:val="0"/>
        <w:adjustRightInd w:val="0"/>
        <w:spacing w:after="0" w:line="240" w:lineRule="auto"/>
        <w:ind w:left="5664"/>
        <w:jc w:val="right"/>
        <w:rPr>
          <w:sz w:val="18"/>
          <w:szCs w:val="18"/>
        </w:rPr>
      </w:pPr>
      <w:r w:rsidRPr="00034FA3">
        <w:rPr>
          <w:sz w:val="18"/>
          <w:szCs w:val="18"/>
        </w:rPr>
        <w:t>Zdroj: Bloomberg</w:t>
      </w:r>
    </w:p>
    <w:p w14:paraId="39D1649C" w14:textId="77777777" w:rsidR="00866047" w:rsidRDefault="00866047" w:rsidP="00041EA0">
      <w:pPr>
        <w:autoSpaceDE w:val="0"/>
        <w:autoSpaceDN w:val="0"/>
        <w:adjustRightInd w:val="0"/>
        <w:spacing w:after="0" w:line="240" w:lineRule="auto"/>
        <w:rPr>
          <w:sz w:val="18"/>
          <w:szCs w:val="18"/>
          <w:highlight w:val="yellow"/>
        </w:rPr>
      </w:pPr>
    </w:p>
    <w:p w14:paraId="733E0B91" w14:textId="77777777" w:rsidR="00023A22" w:rsidRDefault="00023A22" w:rsidP="00EC0753">
      <w:pPr>
        <w:pStyle w:val="Nadpis3"/>
        <w:numPr>
          <w:ilvl w:val="2"/>
          <w:numId w:val="20"/>
        </w:numPr>
        <w:tabs>
          <w:tab w:val="num" w:pos="643"/>
          <w:tab w:val="left" w:pos="708"/>
        </w:tabs>
        <w:ind w:left="643" w:hanging="360"/>
      </w:pPr>
      <w:bookmarkStart w:id="54" w:name="_Toc19696054"/>
      <w:bookmarkStart w:id="55" w:name="_Toc212461604"/>
      <w:r>
        <w:lastRenderedPageBreak/>
        <w:t>Vyhodnotenie plnenia cieľov stratégie riadenia štátneho dlhu</w:t>
      </w:r>
      <w:bookmarkEnd w:id="54"/>
      <w:bookmarkEnd w:id="55"/>
    </w:p>
    <w:p w14:paraId="2E4EA0DA" w14:textId="590812A6" w:rsidR="00023A22" w:rsidRDefault="00023A22" w:rsidP="00CC72FA">
      <w:pPr>
        <w:spacing w:after="120" w:line="240" w:lineRule="auto"/>
        <w:jc w:val="both"/>
      </w:pPr>
      <w:bookmarkStart w:id="56" w:name="_Toc19696055"/>
      <w:r>
        <w:t>Stratégia riadenia štátneho dlhu stanovuje kvantitatívne ciele a limity pre hlavné riziká spojené so</w:t>
      </w:r>
      <w:r w:rsidR="00B60D0E">
        <w:t> </w:t>
      </w:r>
      <w:r>
        <w:t>správou dlhu. Ide najmä o refinančné riziko (riziko, že veľká časť dlhu bude splatná v krátkom období) a</w:t>
      </w:r>
      <w:r w:rsidR="00B60D0E">
        <w:t> </w:t>
      </w:r>
      <w:r>
        <w:t>úrokové riziko (riziko zmeny úrokových nákladov pri vydávaní nového dlhu). Tieto ciele sa sledujú a vyhodnocujú preto, aby sa dlh financoval čo najlacnejšie a zároveň stabilne, predišlo sa nadmerným výkyvom v</w:t>
      </w:r>
      <w:r w:rsidR="009F374C">
        <w:t> </w:t>
      </w:r>
      <w:r>
        <w:t>rozpočtových nákladoch a aby si Slovenská republika udržala dôveru investorov a prístup na finančné trhy.</w:t>
      </w:r>
    </w:p>
    <w:p w14:paraId="197DA9AF" w14:textId="53C11461" w:rsidR="00023A22" w:rsidRPr="007844D6" w:rsidRDefault="00023A22" w:rsidP="00627D64">
      <w:pPr>
        <w:spacing w:after="0" w:line="240" w:lineRule="auto"/>
        <w:jc w:val="both"/>
        <w:rPr>
          <w:b/>
        </w:rPr>
      </w:pPr>
      <w:r w:rsidRPr="007844D6">
        <w:rPr>
          <w:b/>
        </w:rPr>
        <w:t>Vyhodnotenie plnenia rizikových ukazovateľov sumarizuje, ako sa tieto ciele podarilo naplniť v</w:t>
      </w:r>
      <w:r w:rsidR="00B60D0E">
        <w:rPr>
          <w:b/>
        </w:rPr>
        <w:t> </w:t>
      </w:r>
      <w:r w:rsidRPr="007844D6">
        <w:rPr>
          <w:b/>
        </w:rPr>
        <w:t>roku</w:t>
      </w:r>
      <w:r w:rsidR="00B60D0E">
        <w:rPr>
          <w:b/>
        </w:rPr>
        <w:t> </w:t>
      </w:r>
      <w:r w:rsidRPr="007844D6">
        <w:rPr>
          <w:b/>
        </w:rPr>
        <w:t>2024 (k 31.12.) a porovnáva dosiahnuté výsledky s predchádzajúcim obdobím.</w:t>
      </w:r>
    </w:p>
    <w:p w14:paraId="04E353ED" w14:textId="14C0C307" w:rsidR="00023A22" w:rsidRDefault="00023A22" w:rsidP="00EC0753">
      <w:pPr>
        <w:pStyle w:val="Odsekzoznamu"/>
        <w:numPr>
          <w:ilvl w:val="0"/>
          <w:numId w:val="21"/>
        </w:numPr>
        <w:jc w:val="both"/>
      </w:pPr>
      <w:r>
        <w:t>Hodnota refinančného rizika do jedného roka (limit 20</w:t>
      </w:r>
      <w:r w:rsidR="00B60D0E">
        <w:t> </w:t>
      </w:r>
      <w:r>
        <w:t>%) bola ku koncu roka 2024 na</w:t>
      </w:r>
      <w:r w:rsidR="00B60D0E">
        <w:t> </w:t>
      </w:r>
      <w:r>
        <w:t>úrovni 17,31</w:t>
      </w:r>
      <w:r w:rsidR="009F374C">
        <w:t> </w:t>
      </w:r>
      <w:r>
        <w:t>%, čo je pokles oproti 19,04</w:t>
      </w:r>
      <w:r w:rsidR="00B60D0E">
        <w:t> </w:t>
      </w:r>
      <w:r>
        <w:t>% na konci roka 2023. Do piatich rokov (limit 55</w:t>
      </w:r>
      <w:r w:rsidR="009F374C">
        <w:t> </w:t>
      </w:r>
      <w:r>
        <w:t>%) dosiahlo refinančné riziko 40,10</w:t>
      </w:r>
      <w:r w:rsidR="00B60D0E">
        <w:t> </w:t>
      </w:r>
      <w:r>
        <w:t>%, oproti 43,37</w:t>
      </w:r>
      <w:r w:rsidR="00B60D0E">
        <w:t> </w:t>
      </w:r>
      <w:r>
        <w:t>% v roku 2023.</w:t>
      </w:r>
    </w:p>
    <w:p w14:paraId="20176B2A" w14:textId="7A726D76" w:rsidR="00023A22" w:rsidRDefault="00023A22" w:rsidP="00CC72FA">
      <w:pPr>
        <w:pStyle w:val="Odsekzoznamu"/>
        <w:numPr>
          <w:ilvl w:val="0"/>
          <w:numId w:val="21"/>
        </w:numPr>
        <w:spacing w:after="120"/>
        <w:ind w:left="714" w:hanging="357"/>
        <w:jc w:val="both"/>
      </w:pPr>
      <w:r>
        <w:t>Hodnota úrokového rizika do jedného roka (limit 25 %) bola ku koncu roka 2024 na úrovni 17,31</w:t>
      </w:r>
      <w:r w:rsidR="009F374C">
        <w:t> </w:t>
      </w:r>
      <w:r>
        <w:t>%, oproti 19,05</w:t>
      </w:r>
      <w:r w:rsidR="00B60D0E">
        <w:t> </w:t>
      </w:r>
      <w:r>
        <w:t>% ku koncu roka 2023. Do piatich rokov (limit 55</w:t>
      </w:r>
      <w:r w:rsidR="00B60D0E">
        <w:t> </w:t>
      </w:r>
      <w:r>
        <w:t>%) dosiahlo úrokové riziko 40,10</w:t>
      </w:r>
      <w:r w:rsidR="009F374C">
        <w:t> </w:t>
      </w:r>
      <w:r>
        <w:t>%, oproti 43,37</w:t>
      </w:r>
      <w:r w:rsidR="009F374C">
        <w:t> </w:t>
      </w:r>
      <w:r>
        <w:t>% v roku 2023.</w:t>
      </w:r>
    </w:p>
    <w:p w14:paraId="3D76E959" w14:textId="77777777" w:rsidR="00023A22" w:rsidRPr="003642C2" w:rsidRDefault="00023A22" w:rsidP="00023A22">
      <w:pPr>
        <w:spacing w:after="120" w:line="336" w:lineRule="auto"/>
        <w:jc w:val="both"/>
        <w:rPr>
          <w:b/>
        </w:rPr>
      </w:pPr>
      <w:r w:rsidRPr="003642C2">
        <w:rPr>
          <w:b/>
        </w:rPr>
        <w:t>V roku 2024 bolo otvorených šesť nových línií štátnych dlhopisov:</w:t>
      </w:r>
    </w:p>
    <w:p w14:paraId="15E2D2ED" w14:textId="77777777" w:rsidR="00023A22" w:rsidRDefault="00023A22" w:rsidP="00EC0753">
      <w:pPr>
        <w:pStyle w:val="Odsekzoznamu"/>
        <w:numPr>
          <w:ilvl w:val="0"/>
          <w:numId w:val="22"/>
        </w:numPr>
        <w:jc w:val="both"/>
      </w:pPr>
      <w:r>
        <w:t>ŠD 248 (splatnosť 2028, kupón 3,000 %, objem 3,0 mld. €)</w:t>
      </w:r>
    </w:p>
    <w:p w14:paraId="39C28E89" w14:textId="77777777" w:rsidR="00023A22" w:rsidRDefault="00023A22" w:rsidP="00EC0753">
      <w:pPr>
        <w:pStyle w:val="Odsekzoznamu"/>
        <w:numPr>
          <w:ilvl w:val="0"/>
          <w:numId w:val="22"/>
        </w:numPr>
        <w:jc w:val="both"/>
      </w:pPr>
      <w:r>
        <w:t>ŠD 249 (splatnosť 2026, kupón 3,000 %, objem 1,5 mld. €)</w:t>
      </w:r>
    </w:p>
    <w:p w14:paraId="77E2FFB3" w14:textId="77777777" w:rsidR="00023A22" w:rsidRDefault="00023A22" w:rsidP="00EC0753">
      <w:pPr>
        <w:pStyle w:val="Odsekzoznamu"/>
        <w:numPr>
          <w:ilvl w:val="0"/>
          <w:numId w:val="22"/>
        </w:numPr>
        <w:jc w:val="both"/>
      </w:pPr>
      <w:r>
        <w:t>ŠD 250 (splatnosť 2034, kupón 3,750 %, objem 5,0 mld. €)</w:t>
      </w:r>
    </w:p>
    <w:p w14:paraId="5A785F60" w14:textId="77777777" w:rsidR="00023A22" w:rsidRDefault="00023A22" w:rsidP="00EC0753">
      <w:pPr>
        <w:pStyle w:val="Odsekzoznamu"/>
        <w:numPr>
          <w:ilvl w:val="0"/>
          <w:numId w:val="22"/>
        </w:numPr>
        <w:jc w:val="both"/>
      </w:pPr>
      <w:r>
        <w:t>ŠD CHF (splatnosť 2034, kupón 1,915 %, objem 310 mil. CHF)</w:t>
      </w:r>
    </w:p>
    <w:p w14:paraId="56EFCEB3" w14:textId="77777777" w:rsidR="00023A22" w:rsidRDefault="00023A22" w:rsidP="00EC0753">
      <w:pPr>
        <w:pStyle w:val="Odsekzoznamu"/>
        <w:numPr>
          <w:ilvl w:val="0"/>
          <w:numId w:val="22"/>
        </w:numPr>
        <w:jc w:val="both"/>
      </w:pPr>
      <w:r>
        <w:t>ŠD CHF (splatnosť 2028, kupón 1,523 %, objem 325 mil. CHF)</w:t>
      </w:r>
    </w:p>
    <w:p w14:paraId="48D98749" w14:textId="77777777" w:rsidR="00023A22" w:rsidRDefault="00023A22" w:rsidP="00CC72FA">
      <w:pPr>
        <w:pStyle w:val="Odsekzoznamu"/>
        <w:numPr>
          <w:ilvl w:val="0"/>
          <w:numId w:val="22"/>
        </w:numPr>
        <w:spacing w:after="120"/>
        <w:ind w:left="714" w:hanging="357"/>
        <w:jc w:val="both"/>
      </w:pPr>
      <w:r>
        <w:t>ŠD 251 (splatnosť 2031, kupón 3,000 %, objem 3,0 mld. €)</w:t>
      </w:r>
    </w:p>
    <w:p w14:paraId="5C27E8B0" w14:textId="722A9FF7" w:rsidR="00023A22" w:rsidRDefault="00023A22" w:rsidP="00CC72FA">
      <w:pPr>
        <w:spacing w:after="120" w:line="240" w:lineRule="auto"/>
        <w:jc w:val="both"/>
        <w:rPr>
          <w:szCs w:val="22"/>
        </w:rPr>
      </w:pPr>
      <w:r>
        <w:t>Emisie boli realizované prostredníctvom syndikovaného a aukčného predaja. K 31.12.2024 malo Ministerstvo financií SR „živých“ celkovo 33</w:t>
      </w:r>
      <w:r w:rsidR="00B60D0E">
        <w:t> </w:t>
      </w:r>
      <w:r>
        <w:t>emisií (z toho 3</w:t>
      </w:r>
      <w:r w:rsidR="00B60D0E">
        <w:t> </w:t>
      </w:r>
      <w:r>
        <w:t>emisie registrované v zahraničí – jedna v</w:t>
      </w:r>
      <w:r w:rsidR="00B60D0E">
        <w:t> </w:t>
      </w:r>
      <w:r>
        <w:t>NOK a dve v CHF).</w:t>
      </w:r>
    </w:p>
    <w:p w14:paraId="02169ABB" w14:textId="77777777" w:rsidR="00023A22" w:rsidRDefault="00023A22" w:rsidP="00023A22">
      <w:pPr>
        <w:pStyle w:val="Nadpis3"/>
        <w:numPr>
          <w:ilvl w:val="0"/>
          <w:numId w:val="0"/>
        </w:numPr>
        <w:tabs>
          <w:tab w:val="left" w:pos="708"/>
        </w:tabs>
        <w:spacing w:after="0"/>
        <w:ind w:left="1800" w:hanging="666"/>
      </w:pPr>
      <w:bookmarkStart w:id="57" w:name="_Toc212461605"/>
      <w:r>
        <w:t xml:space="preserve">2.3.2. </w:t>
      </w:r>
      <w:r>
        <w:tab/>
        <w:t xml:space="preserve">Riadenie štátneho dlhu v roku </w:t>
      </w:r>
      <w:bookmarkEnd w:id="56"/>
      <w:r>
        <w:t>2024</w:t>
      </w:r>
      <w:bookmarkEnd w:id="57"/>
    </w:p>
    <w:p w14:paraId="383AB5E6" w14:textId="79345D8D" w:rsidR="00023A22" w:rsidRDefault="00023A22" w:rsidP="007D0A1E">
      <w:pPr>
        <w:spacing w:after="0" w:line="240" w:lineRule="auto"/>
        <w:jc w:val="both"/>
      </w:pPr>
      <w:r>
        <w:t>Agentúra pre riadene dlhu a likvidity emitovala v mene MF SR v roku 2024 dlhopisy v celkovej hodnote 13</w:t>
      </w:r>
      <w:r w:rsidR="001520CB">
        <w:t> </w:t>
      </w:r>
      <w:r>
        <w:t>438</w:t>
      </w:r>
      <w:r w:rsidR="001520CB">
        <w:t> </w:t>
      </w:r>
      <w:r>
        <w:t>305</w:t>
      </w:r>
      <w:r w:rsidR="001520CB">
        <w:t> </w:t>
      </w:r>
      <w:r>
        <w:t>tis.</w:t>
      </w:r>
      <w:r w:rsidR="001520CB">
        <w:t> </w:t>
      </w:r>
      <w:r>
        <w:t>eur, pričom vydala dlhopisy denominované v menách EUR a CHF s fixnou úrokovou sadzbou s priemernou splatnosťou 9,3</w:t>
      </w:r>
      <w:r w:rsidR="00B60D0E">
        <w:t> </w:t>
      </w:r>
      <w:r>
        <w:t>roka. V roku 2024 neboli vydané žiadne štátne pokladničné poukážky.</w:t>
      </w:r>
      <w:r w:rsidRPr="00F562C3">
        <w:t xml:space="preserve"> Okrem cenných papierov boli na krytie dlhu prijaté úvery v nominálnej hodnote</w:t>
      </w:r>
      <w:r w:rsidR="001520CB">
        <w:t> </w:t>
      </w:r>
      <w:r>
        <w:t>72</w:t>
      </w:r>
      <w:r w:rsidR="001520CB">
        <w:t> </w:t>
      </w:r>
      <w:r>
        <w:t>03</w:t>
      </w:r>
      <w:r w:rsidRPr="00F562C3">
        <w:t>0</w:t>
      </w:r>
      <w:r w:rsidR="001520CB">
        <w:t> </w:t>
      </w:r>
      <w:r w:rsidRPr="00F562C3">
        <w:t>tis.</w:t>
      </w:r>
      <w:r w:rsidR="001520CB">
        <w:t> </w:t>
      </w:r>
      <w:r w:rsidRPr="00F562C3">
        <w:t>eur</w:t>
      </w:r>
      <w:r w:rsidR="001520CB">
        <w:t> </w:t>
      </w:r>
      <w:r w:rsidRPr="00F562C3">
        <w:t>s priemernou váženou úrokovou sadzbou 3,</w:t>
      </w:r>
      <w:r>
        <w:t>208</w:t>
      </w:r>
      <w:r w:rsidR="00B60D0E">
        <w:t> </w:t>
      </w:r>
      <w:r w:rsidRPr="00F562C3">
        <w:t xml:space="preserve">% a s priemernou váženou splatnosťou </w:t>
      </w:r>
      <w:r>
        <w:t>14</w:t>
      </w:r>
      <w:r w:rsidRPr="00F562C3">
        <w:t>,0 rokov.</w:t>
      </w:r>
    </w:p>
    <w:p w14:paraId="3F611AB7" w14:textId="77777777" w:rsidR="00023A22" w:rsidRDefault="00023A22" w:rsidP="007D0A1E">
      <w:pPr>
        <w:spacing w:after="0" w:line="240" w:lineRule="auto"/>
        <w:jc w:val="both"/>
      </w:pPr>
      <w:r>
        <w:t xml:space="preserve">Nasledujúca tabuľka prezentuje základné kvantitatívne parametre riadenia štátneho dlhu v roku 2024. Štruktúra tabuľky obsahuje priemernú úrokovú sadzbu a splatnosť pri novom vydanom (emitovanom) dlhu. </w:t>
      </w:r>
    </w:p>
    <w:p w14:paraId="47909792" w14:textId="19D47221" w:rsidR="006D6149" w:rsidRDefault="006D6149" w:rsidP="00D162A9">
      <w:pPr>
        <w:pStyle w:val="Popis"/>
      </w:pPr>
      <w:bookmarkStart w:id="58" w:name="_Toc212124635"/>
      <w:r>
        <w:t xml:space="preserve">Tabuľka </w:t>
      </w:r>
      <w:r w:rsidR="00CA4B84">
        <w:fldChar w:fldCharType="begin"/>
      </w:r>
      <w:r w:rsidR="00CA4B84">
        <w:instrText xml:space="preserve"> SEQ Tabuľka \* ARABIC </w:instrText>
      </w:r>
      <w:r w:rsidR="00CA4B84">
        <w:fldChar w:fldCharType="separate"/>
      </w:r>
      <w:r w:rsidR="00076866">
        <w:rPr>
          <w:noProof/>
        </w:rPr>
        <w:t>14</w:t>
      </w:r>
      <w:r w:rsidR="00CA4B84">
        <w:rPr>
          <w:noProof/>
        </w:rPr>
        <w:fldChar w:fldCharType="end"/>
      </w:r>
      <w:r>
        <w:t xml:space="preserve"> - </w:t>
      </w:r>
      <w:r w:rsidRPr="00920DD5">
        <w:t>Štátny dlh realizovaný v roku 2024 (tis. eur</w:t>
      </w:r>
      <w:r>
        <w:t>)</w:t>
      </w:r>
      <w:bookmarkEnd w:id="58"/>
    </w:p>
    <w:tbl>
      <w:tblPr>
        <w:tblW w:w="5000" w:type="pct"/>
        <w:tblCellMar>
          <w:left w:w="70" w:type="dxa"/>
          <w:right w:w="70" w:type="dxa"/>
        </w:tblCellMar>
        <w:tblLook w:val="04A0" w:firstRow="1" w:lastRow="0" w:firstColumn="1" w:lastColumn="0" w:noHBand="0" w:noVBand="1"/>
      </w:tblPr>
      <w:tblGrid>
        <w:gridCol w:w="3092"/>
        <w:gridCol w:w="1326"/>
        <w:gridCol w:w="1891"/>
        <w:gridCol w:w="1650"/>
        <w:gridCol w:w="1536"/>
      </w:tblGrid>
      <w:tr w:rsidR="007D0A1E" w:rsidRPr="00A273AE" w14:paraId="4C004ECD" w14:textId="77777777" w:rsidTr="00775D08">
        <w:trPr>
          <w:trHeight w:val="481"/>
        </w:trPr>
        <w:tc>
          <w:tcPr>
            <w:tcW w:w="1628" w:type="pct"/>
            <w:tcBorders>
              <w:top w:val="single" w:sz="4" w:space="0" w:color="auto"/>
              <w:bottom w:val="single" w:sz="4" w:space="0" w:color="auto"/>
            </w:tcBorders>
            <w:vAlign w:val="center"/>
          </w:tcPr>
          <w:p w14:paraId="08ABFE7C" w14:textId="15047702" w:rsidR="007D0A1E" w:rsidRPr="00A273AE" w:rsidRDefault="007D0A1E" w:rsidP="007D0A1E">
            <w:pPr>
              <w:spacing w:after="0" w:line="240" w:lineRule="auto"/>
              <w:jc w:val="center"/>
              <w:rPr>
                <w:color w:val="000000"/>
                <w:sz w:val="20"/>
                <w:szCs w:val="20"/>
                <w:lang w:eastAsia="sk-SK"/>
              </w:rPr>
            </w:pPr>
            <w:r w:rsidRPr="00A273AE">
              <w:rPr>
                <w:color w:val="000000"/>
                <w:sz w:val="20"/>
                <w:szCs w:val="20"/>
                <w:lang w:eastAsia="sk-SK"/>
              </w:rPr>
              <w:t>Typ cenného papiera</w:t>
            </w:r>
          </w:p>
        </w:tc>
        <w:tc>
          <w:tcPr>
            <w:tcW w:w="698" w:type="pct"/>
            <w:tcBorders>
              <w:top w:val="single" w:sz="4" w:space="0" w:color="auto"/>
              <w:bottom w:val="single" w:sz="4" w:space="0" w:color="auto"/>
            </w:tcBorders>
            <w:vAlign w:val="center"/>
          </w:tcPr>
          <w:p w14:paraId="494E8A67" w14:textId="67564C95" w:rsidR="007D0A1E" w:rsidRPr="00A273AE" w:rsidRDefault="007D0A1E" w:rsidP="007D0A1E">
            <w:pPr>
              <w:spacing w:after="0" w:line="240" w:lineRule="auto"/>
              <w:jc w:val="center"/>
              <w:rPr>
                <w:color w:val="000000"/>
                <w:sz w:val="20"/>
                <w:szCs w:val="20"/>
                <w:lang w:eastAsia="sk-SK"/>
              </w:rPr>
            </w:pPr>
            <w:r w:rsidRPr="00A273AE">
              <w:rPr>
                <w:color w:val="000000"/>
                <w:sz w:val="20"/>
                <w:szCs w:val="20"/>
                <w:lang w:eastAsia="sk-SK"/>
              </w:rPr>
              <w:t>Nominálna hodnota</w:t>
            </w:r>
          </w:p>
        </w:tc>
        <w:tc>
          <w:tcPr>
            <w:tcW w:w="996" w:type="pct"/>
            <w:tcBorders>
              <w:top w:val="single" w:sz="4" w:space="0" w:color="auto"/>
              <w:bottom w:val="single" w:sz="4" w:space="0" w:color="auto"/>
            </w:tcBorders>
            <w:vAlign w:val="center"/>
          </w:tcPr>
          <w:p w14:paraId="65206376" w14:textId="74C4ED8E" w:rsidR="007D0A1E" w:rsidRPr="00A273AE" w:rsidRDefault="007D0A1E" w:rsidP="007D0A1E">
            <w:pPr>
              <w:spacing w:after="0" w:line="240" w:lineRule="auto"/>
              <w:jc w:val="center"/>
              <w:rPr>
                <w:color w:val="000000"/>
                <w:sz w:val="20"/>
                <w:szCs w:val="20"/>
                <w:lang w:eastAsia="sk-SK"/>
              </w:rPr>
            </w:pPr>
            <w:r w:rsidRPr="00A273AE">
              <w:rPr>
                <w:color w:val="000000"/>
                <w:sz w:val="20"/>
                <w:szCs w:val="20"/>
                <w:lang w:eastAsia="sk-SK"/>
              </w:rPr>
              <w:t>Priemerný úrok / prirážka (ŠD float)</w:t>
            </w:r>
          </w:p>
        </w:tc>
        <w:tc>
          <w:tcPr>
            <w:tcW w:w="869" w:type="pct"/>
            <w:tcBorders>
              <w:top w:val="single" w:sz="4" w:space="0" w:color="auto"/>
              <w:bottom w:val="single" w:sz="4" w:space="0" w:color="auto"/>
            </w:tcBorders>
            <w:vAlign w:val="center"/>
          </w:tcPr>
          <w:p w14:paraId="2694A21A" w14:textId="41DA6356" w:rsidR="007D0A1E" w:rsidRPr="00A273AE" w:rsidRDefault="007D0A1E" w:rsidP="007D0A1E">
            <w:pPr>
              <w:spacing w:after="0" w:line="240" w:lineRule="auto"/>
              <w:jc w:val="center"/>
              <w:rPr>
                <w:color w:val="000000"/>
                <w:sz w:val="20"/>
                <w:szCs w:val="20"/>
                <w:lang w:eastAsia="sk-SK"/>
              </w:rPr>
            </w:pPr>
            <w:r w:rsidRPr="00A273AE">
              <w:rPr>
                <w:color w:val="000000"/>
                <w:sz w:val="20"/>
                <w:szCs w:val="20"/>
                <w:lang w:eastAsia="sk-SK"/>
              </w:rPr>
              <w:t>Priemerná splatnosť (rok)</w:t>
            </w:r>
          </w:p>
        </w:tc>
        <w:tc>
          <w:tcPr>
            <w:tcW w:w="809" w:type="pct"/>
            <w:tcBorders>
              <w:top w:val="single" w:sz="4" w:space="0" w:color="auto"/>
              <w:bottom w:val="single" w:sz="4" w:space="0" w:color="auto"/>
            </w:tcBorders>
            <w:vAlign w:val="center"/>
          </w:tcPr>
          <w:p w14:paraId="2F1B7911" w14:textId="7221B2BB" w:rsidR="007D0A1E" w:rsidRPr="00A273AE" w:rsidRDefault="007D0A1E" w:rsidP="007D0A1E">
            <w:pPr>
              <w:spacing w:after="0" w:line="240" w:lineRule="auto"/>
              <w:jc w:val="center"/>
              <w:rPr>
                <w:color w:val="000000"/>
                <w:sz w:val="20"/>
                <w:szCs w:val="20"/>
                <w:lang w:eastAsia="sk-SK"/>
              </w:rPr>
            </w:pPr>
            <w:r w:rsidRPr="00A273AE">
              <w:rPr>
                <w:color w:val="000000"/>
                <w:sz w:val="20"/>
                <w:szCs w:val="20"/>
                <w:lang w:eastAsia="sk-SK"/>
              </w:rPr>
              <w:t>Typ kupónovej sadzby</w:t>
            </w:r>
          </w:p>
        </w:tc>
      </w:tr>
      <w:tr w:rsidR="007D0A1E" w:rsidRPr="00A273AE" w14:paraId="0A0E042F" w14:textId="77777777" w:rsidTr="007D0A1E">
        <w:trPr>
          <w:trHeight w:val="20"/>
        </w:trPr>
        <w:tc>
          <w:tcPr>
            <w:tcW w:w="1628" w:type="pct"/>
            <w:tcBorders>
              <w:top w:val="single" w:sz="4" w:space="0" w:color="auto"/>
              <w:left w:val="nil"/>
              <w:bottom w:val="nil"/>
              <w:right w:val="nil"/>
            </w:tcBorders>
            <w:noWrap/>
            <w:vAlign w:val="bottom"/>
            <w:hideMark/>
          </w:tcPr>
          <w:p w14:paraId="0740E44D" w14:textId="77777777" w:rsidR="007D0A1E" w:rsidRPr="00A273AE" w:rsidRDefault="007D0A1E" w:rsidP="007D0A1E">
            <w:pPr>
              <w:spacing w:after="0" w:line="240" w:lineRule="auto"/>
              <w:ind w:firstLineChars="100" w:firstLine="200"/>
              <w:rPr>
                <w:color w:val="000000"/>
                <w:sz w:val="20"/>
                <w:szCs w:val="20"/>
              </w:rPr>
            </w:pPr>
            <w:r w:rsidRPr="00A273AE">
              <w:rPr>
                <w:color w:val="000000"/>
                <w:sz w:val="20"/>
                <w:szCs w:val="20"/>
              </w:rPr>
              <w:t>ŠD fix</w:t>
            </w:r>
          </w:p>
        </w:tc>
        <w:tc>
          <w:tcPr>
            <w:tcW w:w="698" w:type="pct"/>
            <w:tcBorders>
              <w:top w:val="single" w:sz="4" w:space="0" w:color="auto"/>
              <w:left w:val="nil"/>
              <w:bottom w:val="nil"/>
              <w:right w:val="nil"/>
            </w:tcBorders>
            <w:noWrap/>
            <w:hideMark/>
          </w:tcPr>
          <w:p w14:paraId="5F832168" w14:textId="77777777" w:rsidR="007D0A1E" w:rsidRPr="00A273AE" w:rsidRDefault="007D0A1E" w:rsidP="007D0A1E">
            <w:pPr>
              <w:spacing w:after="0" w:line="240" w:lineRule="auto"/>
              <w:jc w:val="right"/>
              <w:rPr>
                <w:color w:val="000000"/>
                <w:sz w:val="20"/>
                <w:szCs w:val="20"/>
              </w:rPr>
            </w:pPr>
            <w:r w:rsidRPr="00A273AE">
              <w:rPr>
                <w:color w:val="000000"/>
                <w:sz w:val="20"/>
                <w:szCs w:val="20"/>
              </w:rPr>
              <w:t>13 438 305</w:t>
            </w:r>
          </w:p>
        </w:tc>
        <w:tc>
          <w:tcPr>
            <w:tcW w:w="996" w:type="pct"/>
            <w:tcBorders>
              <w:top w:val="single" w:sz="4" w:space="0" w:color="auto"/>
              <w:left w:val="nil"/>
              <w:bottom w:val="nil"/>
              <w:right w:val="nil"/>
            </w:tcBorders>
            <w:noWrap/>
            <w:vAlign w:val="center"/>
            <w:hideMark/>
          </w:tcPr>
          <w:p w14:paraId="44A57EE7" w14:textId="77777777" w:rsidR="007D0A1E" w:rsidRPr="00A273AE" w:rsidRDefault="007D0A1E" w:rsidP="007D0A1E">
            <w:pPr>
              <w:spacing w:after="0" w:line="240" w:lineRule="auto"/>
              <w:jc w:val="center"/>
              <w:rPr>
                <w:b/>
                <w:color w:val="000000"/>
                <w:sz w:val="20"/>
                <w:szCs w:val="20"/>
                <w:lang w:eastAsia="sk-SK"/>
              </w:rPr>
            </w:pPr>
            <w:r w:rsidRPr="00A273AE">
              <w:rPr>
                <w:color w:val="000000"/>
                <w:sz w:val="20"/>
                <w:szCs w:val="20"/>
              </w:rPr>
              <w:t>3,47%</w:t>
            </w:r>
          </w:p>
        </w:tc>
        <w:tc>
          <w:tcPr>
            <w:tcW w:w="869" w:type="pct"/>
            <w:tcBorders>
              <w:top w:val="single" w:sz="4" w:space="0" w:color="auto"/>
              <w:left w:val="nil"/>
              <w:bottom w:val="nil"/>
              <w:right w:val="nil"/>
            </w:tcBorders>
            <w:noWrap/>
            <w:vAlign w:val="center"/>
            <w:hideMark/>
          </w:tcPr>
          <w:p w14:paraId="1C0241E1" w14:textId="77777777" w:rsidR="007D0A1E" w:rsidRPr="00A273AE" w:rsidRDefault="007D0A1E" w:rsidP="007D0A1E">
            <w:pPr>
              <w:spacing w:after="0" w:line="240" w:lineRule="auto"/>
              <w:jc w:val="center"/>
              <w:rPr>
                <w:color w:val="000000"/>
                <w:sz w:val="20"/>
                <w:szCs w:val="20"/>
                <w:lang w:eastAsia="sk-SK"/>
              </w:rPr>
            </w:pPr>
            <w:r w:rsidRPr="00A273AE">
              <w:rPr>
                <w:color w:val="000000"/>
                <w:sz w:val="20"/>
                <w:szCs w:val="20"/>
                <w:lang w:eastAsia="sk-SK"/>
              </w:rPr>
              <w:t>9,3</w:t>
            </w:r>
          </w:p>
        </w:tc>
        <w:tc>
          <w:tcPr>
            <w:tcW w:w="809" w:type="pct"/>
            <w:tcBorders>
              <w:top w:val="single" w:sz="4" w:space="0" w:color="auto"/>
              <w:left w:val="nil"/>
              <w:bottom w:val="nil"/>
              <w:right w:val="nil"/>
            </w:tcBorders>
            <w:noWrap/>
            <w:vAlign w:val="center"/>
            <w:hideMark/>
          </w:tcPr>
          <w:p w14:paraId="1DA6260A" w14:textId="77777777" w:rsidR="007D0A1E" w:rsidRPr="00A273AE" w:rsidRDefault="007D0A1E" w:rsidP="007D0A1E">
            <w:pPr>
              <w:spacing w:after="0" w:line="240" w:lineRule="auto"/>
              <w:jc w:val="center"/>
              <w:rPr>
                <w:color w:val="000000"/>
                <w:sz w:val="20"/>
                <w:szCs w:val="20"/>
                <w:lang w:eastAsia="sk-SK"/>
              </w:rPr>
            </w:pPr>
            <w:r w:rsidRPr="00A273AE">
              <w:rPr>
                <w:color w:val="000000"/>
                <w:sz w:val="20"/>
                <w:szCs w:val="20"/>
                <w:lang w:eastAsia="sk-SK"/>
              </w:rPr>
              <w:t>fixná</w:t>
            </w:r>
          </w:p>
        </w:tc>
      </w:tr>
      <w:tr w:rsidR="007D0A1E" w:rsidRPr="00A273AE" w14:paraId="21F6AA51" w14:textId="77777777" w:rsidTr="007D0A1E">
        <w:trPr>
          <w:trHeight w:val="20"/>
        </w:trPr>
        <w:tc>
          <w:tcPr>
            <w:tcW w:w="1628" w:type="pct"/>
            <w:noWrap/>
            <w:vAlign w:val="bottom"/>
            <w:hideMark/>
          </w:tcPr>
          <w:p w14:paraId="56C33B8A" w14:textId="77777777" w:rsidR="007D0A1E" w:rsidRPr="00A273AE" w:rsidRDefault="007D0A1E" w:rsidP="007D0A1E">
            <w:pPr>
              <w:spacing w:after="0" w:line="240" w:lineRule="auto"/>
              <w:ind w:firstLineChars="100" w:firstLine="200"/>
              <w:rPr>
                <w:color w:val="000000"/>
                <w:sz w:val="20"/>
                <w:szCs w:val="20"/>
              </w:rPr>
            </w:pPr>
            <w:r w:rsidRPr="00A273AE">
              <w:rPr>
                <w:color w:val="000000"/>
                <w:sz w:val="20"/>
                <w:szCs w:val="20"/>
              </w:rPr>
              <w:t>ŠD float</w:t>
            </w:r>
          </w:p>
        </w:tc>
        <w:tc>
          <w:tcPr>
            <w:tcW w:w="698" w:type="pct"/>
            <w:noWrap/>
            <w:hideMark/>
          </w:tcPr>
          <w:p w14:paraId="1AD00D61" w14:textId="77777777" w:rsidR="007D0A1E" w:rsidRPr="00A273AE" w:rsidRDefault="007D0A1E" w:rsidP="007D0A1E">
            <w:pPr>
              <w:spacing w:after="0" w:line="240" w:lineRule="auto"/>
              <w:jc w:val="right"/>
              <w:rPr>
                <w:color w:val="000000"/>
                <w:sz w:val="20"/>
                <w:szCs w:val="20"/>
              </w:rPr>
            </w:pPr>
            <w:r w:rsidRPr="00A273AE">
              <w:rPr>
                <w:color w:val="000000"/>
                <w:sz w:val="20"/>
                <w:szCs w:val="20"/>
              </w:rPr>
              <w:t>0</w:t>
            </w:r>
          </w:p>
        </w:tc>
        <w:tc>
          <w:tcPr>
            <w:tcW w:w="996" w:type="pct"/>
            <w:noWrap/>
            <w:vAlign w:val="center"/>
            <w:hideMark/>
          </w:tcPr>
          <w:p w14:paraId="3A9DF976"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69" w:type="pct"/>
            <w:noWrap/>
            <w:vAlign w:val="center"/>
            <w:hideMark/>
          </w:tcPr>
          <w:p w14:paraId="5977F8AF"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09" w:type="pct"/>
            <w:noWrap/>
            <w:vAlign w:val="center"/>
            <w:hideMark/>
          </w:tcPr>
          <w:p w14:paraId="6A8C4317"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r>
      <w:tr w:rsidR="007D0A1E" w:rsidRPr="00A273AE" w14:paraId="2F2EE6CE" w14:textId="77777777" w:rsidTr="007D0A1E">
        <w:trPr>
          <w:trHeight w:val="20"/>
        </w:trPr>
        <w:tc>
          <w:tcPr>
            <w:tcW w:w="1628" w:type="pct"/>
            <w:noWrap/>
            <w:vAlign w:val="bottom"/>
            <w:hideMark/>
          </w:tcPr>
          <w:p w14:paraId="0EF09A8E" w14:textId="77777777" w:rsidR="007D0A1E" w:rsidRPr="00A273AE" w:rsidRDefault="007D0A1E" w:rsidP="007D0A1E">
            <w:pPr>
              <w:spacing w:after="0" w:line="240" w:lineRule="auto"/>
              <w:ind w:firstLineChars="100" w:firstLine="200"/>
              <w:rPr>
                <w:color w:val="000000"/>
                <w:sz w:val="20"/>
                <w:szCs w:val="20"/>
              </w:rPr>
            </w:pPr>
            <w:r w:rsidRPr="00A273AE">
              <w:rPr>
                <w:color w:val="000000"/>
                <w:sz w:val="20"/>
                <w:szCs w:val="20"/>
              </w:rPr>
              <w:t>ŠPP</w:t>
            </w:r>
          </w:p>
        </w:tc>
        <w:tc>
          <w:tcPr>
            <w:tcW w:w="698" w:type="pct"/>
            <w:noWrap/>
            <w:hideMark/>
          </w:tcPr>
          <w:p w14:paraId="3F65E4BF" w14:textId="77777777" w:rsidR="007D0A1E" w:rsidRPr="00A273AE" w:rsidRDefault="007D0A1E" w:rsidP="007D0A1E">
            <w:pPr>
              <w:spacing w:after="0" w:line="240" w:lineRule="auto"/>
              <w:jc w:val="right"/>
              <w:rPr>
                <w:color w:val="000000"/>
                <w:sz w:val="20"/>
                <w:szCs w:val="20"/>
              </w:rPr>
            </w:pPr>
            <w:r w:rsidRPr="00A273AE">
              <w:rPr>
                <w:color w:val="000000"/>
                <w:sz w:val="20"/>
                <w:szCs w:val="20"/>
              </w:rPr>
              <w:t>0</w:t>
            </w:r>
          </w:p>
        </w:tc>
        <w:tc>
          <w:tcPr>
            <w:tcW w:w="996" w:type="pct"/>
            <w:noWrap/>
            <w:vAlign w:val="center"/>
            <w:hideMark/>
          </w:tcPr>
          <w:p w14:paraId="43053ED7"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69" w:type="pct"/>
            <w:noWrap/>
            <w:vAlign w:val="center"/>
            <w:hideMark/>
          </w:tcPr>
          <w:p w14:paraId="3B489493"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09" w:type="pct"/>
            <w:noWrap/>
            <w:vAlign w:val="center"/>
            <w:hideMark/>
          </w:tcPr>
          <w:p w14:paraId="6A789667"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r>
      <w:tr w:rsidR="007D0A1E" w:rsidRPr="00A273AE" w14:paraId="4FB41EB7" w14:textId="77777777" w:rsidTr="007D0A1E">
        <w:trPr>
          <w:trHeight w:val="20"/>
        </w:trPr>
        <w:tc>
          <w:tcPr>
            <w:tcW w:w="1628" w:type="pct"/>
            <w:noWrap/>
            <w:vAlign w:val="bottom"/>
            <w:hideMark/>
          </w:tcPr>
          <w:p w14:paraId="35592A34" w14:textId="77777777" w:rsidR="007D0A1E" w:rsidRPr="00A273AE" w:rsidRDefault="007D0A1E" w:rsidP="007D0A1E">
            <w:pPr>
              <w:spacing w:after="0" w:line="240" w:lineRule="auto"/>
              <w:ind w:firstLineChars="100" w:firstLine="200"/>
              <w:rPr>
                <w:sz w:val="20"/>
                <w:szCs w:val="20"/>
              </w:rPr>
            </w:pPr>
            <w:r w:rsidRPr="00A273AE">
              <w:rPr>
                <w:sz w:val="20"/>
                <w:szCs w:val="20"/>
              </w:rPr>
              <w:t xml:space="preserve">Úvery </w:t>
            </w:r>
          </w:p>
        </w:tc>
        <w:tc>
          <w:tcPr>
            <w:tcW w:w="698" w:type="pct"/>
            <w:noWrap/>
            <w:hideMark/>
          </w:tcPr>
          <w:p w14:paraId="38B4DDAA" w14:textId="77777777" w:rsidR="007D0A1E" w:rsidRPr="00A273AE" w:rsidRDefault="007D0A1E" w:rsidP="007D0A1E">
            <w:pPr>
              <w:spacing w:after="0" w:line="240" w:lineRule="auto"/>
              <w:jc w:val="right"/>
              <w:rPr>
                <w:sz w:val="20"/>
                <w:szCs w:val="20"/>
              </w:rPr>
            </w:pPr>
            <w:r w:rsidRPr="00A273AE">
              <w:rPr>
                <w:sz w:val="20"/>
                <w:szCs w:val="20"/>
              </w:rPr>
              <w:t>72 030</w:t>
            </w:r>
          </w:p>
        </w:tc>
        <w:tc>
          <w:tcPr>
            <w:tcW w:w="996" w:type="pct"/>
            <w:noWrap/>
            <w:vAlign w:val="center"/>
            <w:hideMark/>
          </w:tcPr>
          <w:p w14:paraId="0DA89542" w14:textId="77777777" w:rsidR="007D0A1E" w:rsidRPr="00A273AE" w:rsidRDefault="007D0A1E" w:rsidP="007D0A1E">
            <w:pPr>
              <w:spacing w:after="0" w:line="240" w:lineRule="auto"/>
              <w:jc w:val="center"/>
              <w:rPr>
                <w:sz w:val="20"/>
                <w:szCs w:val="20"/>
              </w:rPr>
            </w:pPr>
            <w:r w:rsidRPr="00A273AE">
              <w:rPr>
                <w:sz w:val="20"/>
                <w:szCs w:val="20"/>
              </w:rPr>
              <w:t>3,21%</w:t>
            </w:r>
          </w:p>
        </w:tc>
        <w:tc>
          <w:tcPr>
            <w:tcW w:w="869" w:type="pct"/>
            <w:noWrap/>
            <w:vAlign w:val="center"/>
            <w:hideMark/>
          </w:tcPr>
          <w:p w14:paraId="1772B7EE" w14:textId="77777777" w:rsidR="007D0A1E" w:rsidRPr="00A273AE" w:rsidRDefault="007D0A1E" w:rsidP="007D0A1E">
            <w:pPr>
              <w:spacing w:after="0" w:line="240" w:lineRule="auto"/>
              <w:jc w:val="center"/>
              <w:rPr>
                <w:sz w:val="20"/>
                <w:szCs w:val="20"/>
              </w:rPr>
            </w:pPr>
            <w:r w:rsidRPr="00A273AE">
              <w:rPr>
                <w:sz w:val="20"/>
                <w:szCs w:val="20"/>
              </w:rPr>
              <w:t>14,0</w:t>
            </w:r>
          </w:p>
        </w:tc>
        <w:tc>
          <w:tcPr>
            <w:tcW w:w="809" w:type="pct"/>
            <w:noWrap/>
            <w:vAlign w:val="center"/>
            <w:hideMark/>
          </w:tcPr>
          <w:p w14:paraId="2706ECB8" w14:textId="77777777" w:rsidR="007D0A1E" w:rsidRPr="00A273AE" w:rsidRDefault="007D0A1E" w:rsidP="007D0A1E">
            <w:pPr>
              <w:spacing w:after="0" w:line="240" w:lineRule="auto"/>
              <w:jc w:val="center"/>
              <w:rPr>
                <w:sz w:val="20"/>
                <w:szCs w:val="20"/>
              </w:rPr>
            </w:pPr>
            <w:r w:rsidRPr="00A273AE">
              <w:rPr>
                <w:sz w:val="20"/>
                <w:szCs w:val="20"/>
              </w:rPr>
              <w:t>fixná</w:t>
            </w:r>
          </w:p>
        </w:tc>
      </w:tr>
      <w:tr w:rsidR="007D0A1E" w:rsidRPr="00A273AE" w14:paraId="7A9C5CCA" w14:textId="77777777" w:rsidTr="007D0A1E">
        <w:trPr>
          <w:trHeight w:val="20"/>
        </w:trPr>
        <w:tc>
          <w:tcPr>
            <w:tcW w:w="1628" w:type="pct"/>
            <w:noWrap/>
            <w:vAlign w:val="bottom"/>
            <w:hideMark/>
          </w:tcPr>
          <w:p w14:paraId="4C0B4472" w14:textId="77777777" w:rsidR="007D0A1E" w:rsidRPr="00A273AE" w:rsidRDefault="007D0A1E" w:rsidP="007D0A1E">
            <w:pPr>
              <w:spacing w:after="0" w:line="240" w:lineRule="auto"/>
              <w:ind w:firstLineChars="100" w:firstLine="201"/>
              <w:rPr>
                <w:b/>
                <w:color w:val="000000"/>
                <w:sz w:val="20"/>
                <w:szCs w:val="20"/>
              </w:rPr>
            </w:pPr>
            <w:r w:rsidRPr="00A273AE">
              <w:rPr>
                <w:b/>
                <w:color w:val="000000"/>
                <w:sz w:val="20"/>
                <w:szCs w:val="20"/>
              </w:rPr>
              <w:t>Dlh spolu</w:t>
            </w:r>
          </w:p>
        </w:tc>
        <w:tc>
          <w:tcPr>
            <w:tcW w:w="698" w:type="pct"/>
            <w:noWrap/>
            <w:hideMark/>
          </w:tcPr>
          <w:p w14:paraId="674DADD1" w14:textId="77777777" w:rsidR="007D0A1E" w:rsidRPr="00A273AE" w:rsidRDefault="007D0A1E" w:rsidP="007D0A1E">
            <w:pPr>
              <w:spacing w:after="0" w:line="240" w:lineRule="auto"/>
              <w:ind w:firstLine="220"/>
              <w:jc w:val="right"/>
              <w:rPr>
                <w:b/>
                <w:color w:val="000000"/>
                <w:sz w:val="20"/>
                <w:szCs w:val="20"/>
              </w:rPr>
            </w:pPr>
            <w:r w:rsidRPr="00A273AE">
              <w:rPr>
                <w:b/>
                <w:color w:val="000000"/>
                <w:sz w:val="20"/>
                <w:szCs w:val="20"/>
              </w:rPr>
              <w:t>13 510 335</w:t>
            </w:r>
          </w:p>
        </w:tc>
        <w:tc>
          <w:tcPr>
            <w:tcW w:w="996" w:type="pct"/>
            <w:noWrap/>
            <w:vAlign w:val="center"/>
            <w:hideMark/>
          </w:tcPr>
          <w:p w14:paraId="2A12140D" w14:textId="77777777" w:rsidR="007D0A1E" w:rsidRPr="00A273AE" w:rsidRDefault="007D0A1E" w:rsidP="007D0A1E">
            <w:pPr>
              <w:spacing w:after="0" w:line="240" w:lineRule="auto"/>
              <w:jc w:val="center"/>
              <w:rPr>
                <w:color w:val="000000"/>
                <w:sz w:val="20"/>
                <w:szCs w:val="20"/>
              </w:rPr>
            </w:pPr>
            <w:r w:rsidRPr="00A273AE">
              <w:rPr>
                <w:color w:val="000000"/>
                <w:sz w:val="20"/>
                <w:szCs w:val="20"/>
              </w:rPr>
              <w:t xml:space="preserve">- </w:t>
            </w:r>
          </w:p>
        </w:tc>
        <w:tc>
          <w:tcPr>
            <w:tcW w:w="869" w:type="pct"/>
            <w:noWrap/>
            <w:vAlign w:val="center"/>
            <w:hideMark/>
          </w:tcPr>
          <w:p w14:paraId="12980A7F" w14:textId="77777777" w:rsidR="007D0A1E" w:rsidRPr="00A273AE" w:rsidRDefault="007D0A1E" w:rsidP="007D0A1E">
            <w:pPr>
              <w:spacing w:after="0" w:line="240" w:lineRule="auto"/>
              <w:jc w:val="center"/>
              <w:rPr>
                <w:color w:val="000000"/>
                <w:sz w:val="20"/>
                <w:szCs w:val="20"/>
              </w:rPr>
            </w:pPr>
            <w:r w:rsidRPr="00A273AE">
              <w:rPr>
                <w:color w:val="000000"/>
                <w:sz w:val="20"/>
                <w:szCs w:val="20"/>
              </w:rPr>
              <w:t xml:space="preserve">-  </w:t>
            </w:r>
          </w:p>
        </w:tc>
        <w:tc>
          <w:tcPr>
            <w:tcW w:w="809" w:type="pct"/>
            <w:noWrap/>
            <w:vAlign w:val="center"/>
            <w:hideMark/>
          </w:tcPr>
          <w:p w14:paraId="6DD76075" w14:textId="77777777" w:rsidR="007D0A1E" w:rsidRPr="00A273AE" w:rsidRDefault="007D0A1E" w:rsidP="007D0A1E">
            <w:pPr>
              <w:spacing w:after="0" w:line="240" w:lineRule="auto"/>
              <w:jc w:val="center"/>
              <w:rPr>
                <w:color w:val="000000"/>
                <w:sz w:val="20"/>
                <w:szCs w:val="20"/>
              </w:rPr>
            </w:pPr>
            <w:r w:rsidRPr="00A273AE">
              <w:rPr>
                <w:color w:val="000000"/>
                <w:sz w:val="20"/>
                <w:szCs w:val="20"/>
              </w:rPr>
              <w:t xml:space="preserve"> - </w:t>
            </w:r>
          </w:p>
        </w:tc>
      </w:tr>
      <w:tr w:rsidR="007D0A1E" w:rsidRPr="00A273AE" w14:paraId="70F2D0BB" w14:textId="77777777" w:rsidTr="007D0A1E">
        <w:trPr>
          <w:trHeight w:val="20"/>
        </w:trPr>
        <w:tc>
          <w:tcPr>
            <w:tcW w:w="1628" w:type="pct"/>
            <w:noWrap/>
            <w:vAlign w:val="bottom"/>
            <w:hideMark/>
          </w:tcPr>
          <w:p w14:paraId="5BA0ADFD" w14:textId="77777777" w:rsidR="007D0A1E" w:rsidRPr="00A273AE" w:rsidRDefault="007D0A1E" w:rsidP="007D0A1E">
            <w:pPr>
              <w:spacing w:after="0" w:line="240" w:lineRule="auto"/>
              <w:ind w:firstLineChars="100" w:firstLine="200"/>
              <w:rPr>
                <w:color w:val="000000"/>
                <w:sz w:val="20"/>
                <w:szCs w:val="20"/>
              </w:rPr>
            </w:pPr>
            <w:r w:rsidRPr="00A273AE">
              <w:rPr>
                <w:color w:val="000000"/>
                <w:sz w:val="20"/>
                <w:szCs w:val="20"/>
              </w:rPr>
              <w:t>ŠD spätný odkup (2024)</w:t>
            </w:r>
          </w:p>
        </w:tc>
        <w:tc>
          <w:tcPr>
            <w:tcW w:w="698" w:type="pct"/>
            <w:noWrap/>
            <w:hideMark/>
          </w:tcPr>
          <w:p w14:paraId="3E3F9F72" w14:textId="77777777" w:rsidR="007D0A1E" w:rsidRPr="00A273AE" w:rsidRDefault="007D0A1E" w:rsidP="007D0A1E">
            <w:pPr>
              <w:tabs>
                <w:tab w:val="center" w:pos="568"/>
                <w:tab w:val="right" w:pos="1136"/>
              </w:tabs>
              <w:spacing w:after="0" w:line="240" w:lineRule="auto"/>
              <w:jc w:val="right"/>
              <w:rPr>
                <w:color w:val="000000"/>
                <w:sz w:val="20"/>
                <w:szCs w:val="20"/>
              </w:rPr>
            </w:pPr>
            <w:r w:rsidRPr="00A273AE">
              <w:rPr>
                <w:color w:val="000000"/>
                <w:sz w:val="20"/>
                <w:szCs w:val="20"/>
              </w:rPr>
              <w:tab/>
              <w:t>163 246</w:t>
            </w:r>
          </w:p>
        </w:tc>
        <w:tc>
          <w:tcPr>
            <w:tcW w:w="996" w:type="pct"/>
            <w:noWrap/>
            <w:vAlign w:val="center"/>
            <w:hideMark/>
          </w:tcPr>
          <w:p w14:paraId="29D4BEC5"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69" w:type="pct"/>
            <w:noWrap/>
            <w:vAlign w:val="center"/>
            <w:hideMark/>
          </w:tcPr>
          <w:p w14:paraId="61A743B0"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09" w:type="pct"/>
            <w:noWrap/>
            <w:vAlign w:val="center"/>
            <w:hideMark/>
          </w:tcPr>
          <w:p w14:paraId="68DC92A6" w14:textId="77777777" w:rsidR="007D0A1E" w:rsidRPr="00A273AE" w:rsidRDefault="007D0A1E" w:rsidP="007D0A1E">
            <w:pPr>
              <w:spacing w:after="0" w:line="240" w:lineRule="auto"/>
              <w:ind w:left="55"/>
              <w:jc w:val="center"/>
              <w:rPr>
                <w:color w:val="000000"/>
                <w:sz w:val="20"/>
                <w:szCs w:val="20"/>
              </w:rPr>
            </w:pPr>
            <w:r w:rsidRPr="00A273AE">
              <w:rPr>
                <w:color w:val="000000"/>
                <w:sz w:val="20"/>
                <w:szCs w:val="20"/>
              </w:rPr>
              <w:t>-</w:t>
            </w:r>
          </w:p>
        </w:tc>
      </w:tr>
      <w:tr w:rsidR="007D0A1E" w:rsidRPr="00A273AE" w14:paraId="28FF088C" w14:textId="77777777" w:rsidTr="007D0A1E">
        <w:trPr>
          <w:trHeight w:val="20"/>
        </w:trPr>
        <w:tc>
          <w:tcPr>
            <w:tcW w:w="1628" w:type="pct"/>
            <w:tcBorders>
              <w:top w:val="nil"/>
              <w:left w:val="nil"/>
              <w:bottom w:val="single" w:sz="4" w:space="0" w:color="auto"/>
              <w:right w:val="nil"/>
            </w:tcBorders>
            <w:noWrap/>
            <w:vAlign w:val="bottom"/>
            <w:hideMark/>
          </w:tcPr>
          <w:p w14:paraId="2E3E7B63" w14:textId="77777777" w:rsidR="007D0A1E" w:rsidRPr="00A273AE" w:rsidRDefault="007D0A1E" w:rsidP="007D0A1E">
            <w:pPr>
              <w:spacing w:after="0" w:line="240" w:lineRule="auto"/>
              <w:ind w:firstLineChars="100" w:firstLine="201"/>
              <w:rPr>
                <w:b/>
                <w:color w:val="000000"/>
                <w:sz w:val="20"/>
                <w:szCs w:val="20"/>
              </w:rPr>
            </w:pPr>
            <w:r w:rsidRPr="00A273AE">
              <w:rPr>
                <w:b/>
                <w:color w:val="000000"/>
                <w:sz w:val="20"/>
                <w:szCs w:val="20"/>
              </w:rPr>
              <w:t>Dlh upravený o spätný odkup</w:t>
            </w:r>
          </w:p>
        </w:tc>
        <w:tc>
          <w:tcPr>
            <w:tcW w:w="698" w:type="pct"/>
            <w:tcBorders>
              <w:top w:val="nil"/>
              <w:left w:val="nil"/>
              <w:bottom w:val="single" w:sz="4" w:space="0" w:color="auto"/>
              <w:right w:val="nil"/>
            </w:tcBorders>
            <w:noWrap/>
            <w:hideMark/>
          </w:tcPr>
          <w:p w14:paraId="2E105CB5" w14:textId="77777777" w:rsidR="007D0A1E" w:rsidRPr="00A273AE" w:rsidRDefault="007D0A1E" w:rsidP="007D0A1E">
            <w:pPr>
              <w:spacing w:after="0" w:line="240" w:lineRule="auto"/>
              <w:ind w:firstLine="220"/>
              <w:jc w:val="right"/>
              <w:rPr>
                <w:b/>
                <w:color w:val="000000"/>
                <w:sz w:val="20"/>
                <w:szCs w:val="20"/>
              </w:rPr>
            </w:pPr>
            <w:r w:rsidRPr="00A273AE">
              <w:rPr>
                <w:b/>
                <w:color w:val="000000"/>
                <w:sz w:val="20"/>
                <w:szCs w:val="20"/>
              </w:rPr>
              <w:t>13 347 089</w:t>
            </w:r>
          </w:p>
        </w:tc>
        <w:tc>
          <w:tcPr>
            <w:tcW w:w="996" w:type="pct"/>
            <w:tcBorders>
              <w:top w:val="nil"/>
              <w:left w:val="nil"/>
              <w:bottom w:val="single" w:sz="4" w:space="0" w:color="auto"/>
              <w:right w:val="nil"/>
            </w:tcBorders>
            <w:noWrap/>
            <w:vAlign w:val="center"/>
            <w:hideMark/>
          </w:tcPr>
          <w:p w14:paraId="44C15A21"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69" w:type="pct"/>
            <w:tcBorders>
              <w:top w:val="nil"/>
              <w:left w:val="nil"/>
              <w:bottom w:val="single" w:sz="4" w:space="0" w:color="auto"/>
              <w:right w:val="nil"/>
            </w:tcBorders>
            <w:noWrap/>
            <w:vAlign w:val="center"/>
            <w:hideMark/>
          </w:tcPr>
          <w:p w14:paraId="48AB7DAD" w14:textId="77777777" w:rsidR="007D0A1E" w:rsidRPr="00A273AE" w:rsidRDefault="007D0A1E" w:rsidP="007D0A1E">
            <w:pPr>
              <w:spacing w:after="0" w:line="240" w:lineRule="auto"/>
              <w:jc w:val="center"/>
              <w:rPr>
                <w:color w:val="000000"/>
                <w:sz w:val="20"/>
                <w:szCs w:val="20"/>
              </w:rPr>
            </w:pPr>
            <w:r w:rsidRPr="00A273AE">
              <w:rPr>
                <w:color w:val="000000"/>
                <w:sz w:val="20"/>
                <w:szCs w:val="20"/>
              </w:rPr>
              <w:t>-</w:t>
            </w:r>
          </w:p>
        </w:tc>
        <w:tc>
          <w:tcPr>
            <w:tcW w:w="809" w:type="pct"/>
            <w:tcBorders>
              <w:top w:val="nil"/>
              <w:left w:val="nil"/>
              <w:bottom w:val="single" w:sz="4" w:space="0" w:color="auto"/>
              <w:right w:val="nil"/>
            </w:tcBorders>
            <w:noWrap/>
            <w:vAlign w:val="center"/>
            <w:hideMark/>
          </w:tcPr>
          <w:p w14:paraId="76013FF1" w14:textId="77777777" w:rsidR="007D0A1E" w:rsidRPr="00A273AE" w:rsidRDefault="007D0A1E" w:rsidP="007D0A1E">
            <w:pPr>
              <w:spacing w:after="0" w:line="240" w:lineRule="auto"/>
              <w:ind w:firstLine="55"/>
              <w:jc w:val="center"/>
              <w:rPr>
                <w:color w:val="000000"/>
                <w:sz w:val="20"/>
                <w:szCs w:val="20"/>
              </w:rPr>
            </w:pPr>
            <w:r w:rsidRPr="00A273AE">
              <w:rPr>
                <w:color w:val="000000"/>
                <w:sz w:val="20"/>
                <w:szCs w:val="20"/>
              </w:rPr>
              <w:t>-</w:t>
            </w:r>
          </w:p>
        </w:tc>
      </w:tr>
    </w:tbl>
    <w:p w14:paraId="4D01F1CC" w14:textId="7F7AB6D6" w:rsidR="00866047" w:rsidRPr="00EA33BE" w:rsidRDefault="00EA33BE" w:rsidP="00EA33BE">
      <w:pPr>
        <w:spacing w:after="120" w:line="240" w:lineRule="auto"/>
        <w:ind w:left="7799"/>
        <w:jc w:val="both"/>
        <w:rPr>
          <w:sz w:val="18"/>
          <w:szCs w:val="18"/>
        </w:rPr>
      </w:pPr>
      <w:r w:rsidRPr="00EA33BE">
        <w:rPr>
          <w:sz w:val="18"/>
          <w:szCs w:val="18"/>
        </w:rPr>
        <w:t>Zdroj: MF SR</w:t>
      </w:r>
    </w:p>
    <w:p w14:paraId="5AF7B069" w14:textId="5A192E30" w:rsidR="00023A22" w:rsidRDefault="00866047" w:rsidP="00CC72FA">
      <w:pPr>
        <w:spacing w:after="120" w:line="240" w:lineRule="auto"/>
        <w:jc w:val="both"/>
      </w:pPr>
      <w:r>
        <w:t xml:space="preserve">Štruktúra </w:t>
      </w:r>
      <w:r w:rsidR="00023A22">
        <w:t>prezentovaných priemerných úrokov (nákladov) a splatností zodpovedá jednotlivým druhom cenných papierov, ktoré boli v rámci svojej kategórie agregované. „ŠD fix“ označuje dlhopis s pevnou úrokovou sadzbou, „ŠD float“ dlhopis s plávajúcou úrokovou sadzbou, kde náklad tvorí meniaca sa sadzba (6M EURIBOR) a prirážka. „ŠD spätný odkup“ označujú predčasné umorenie štátnych dlhopisov pôvodne splatných v neskoršom období. Tieto transakcie fakticky môžu znížiť dlh ku koncu roka 2024 resp.</w:t>
      </w:r>
      <w:r w:rsidR="00B60D0E">
        <w:t> </w:t>
      </w:r>
      <w:r w:rsidR="00023A22">
        <w:t>v priebehu roka 2024. Vážená priemerná úroková sadzba všetkých dlhopisov „živých“ ku koncu roku 2024 sa zvýšila približne o 0,34</w:t>
      </w:r>
      <w:r w:rsidR="00B60D0E">
        <w:t> </w:t>
      </w:r>
      <w:r w:rsidR="00023A22">
        <w:t>p.</w:t>
      </w:r>
      <w:r w:rsidR="00B60D0E">
        <w:t> </w:t>
      </w:r>
      <w:r w:rsidR="00023A22">
        <w:t>b. oproti roku 2023, a to na úroveň 2,32</w:t>
      </w:r>
      <w:r w:rsidR="00B60D0E">
        <w:t> </w:t>
      </w:r>
      <w:r w:rsidR="00023A22">
        <w:t>%.</w:t>
      </w:r>
    </w:p>
    <w:p w14:paraId="24FD7366" w14:textId="3637D23E" w:rsidR="00CD1211" w:rsidRPr="00BB0F9D" w:rsidRDefault="00395BC3" w:rsidP="00EC0753">
      <w:pPr>
        <w:pStyle w:val="Nadpis2"/>
        <w:numPr>
          <w:ilvl w:val="1"/>
          <w:numId w:val="20"/>
        </w:numPr>
      </w:pPr>
      <w:bookmarkStart w:id="59" w:name="_3._Čisté_bohatstvo"/>
      <w:bookmarkStart w:id="60" w:name="_Toc180504966"/>
      <w:bookmarkStart w:id="61" w:name="_Toc212461606"/>
      <w:bookmarkStart w:id="62" w:name="_Hlk211955458"/>
      <w:bookmarkEnd w:id="59"/>
      <w:r>
        <w:lastRenderedPageBreak/>
        <w:t>Rast čistých výdavkov v roku 2024 (fiškálne pravidlá EÚ)</w:t>
      </w:r>
      <w:bookmarkEnd w:id="60"/>
      <w:bookmarkEnd w:id="61"/>
    </w:p>
    <w:p w14:paraId="2707F5AA" w14:textId="19C52454" w:rsidR="00324ABB" w:rsidRDefault="00324ABB" w:rsidP="001F0C35">
      <w:pPr>
        <w:spacing w:after="0" w:line="240" w:lineRule="auto"/>
        <w:jc w:val="both"/>
        <w:rPr>
          <w:b/>
          <w:bCs/>
        </w:rPr>
      </w:pPr>
      <w:r w:rsidRPr="00424ADE">
        <w:rPr>
          <w:b/>
          <w:bCs/>
        </w:rPr>
        <w:t>Rast čistých výdavkov v zmysle metodiky EÚ</w:t>
      </w:r>
      <w:r w:rsidRPr="00424ADE">
        <w:rPr>
          <w:rStyle w:val="Odkaznapoznmkupodiarou"/>
          <w:b/>
          <w:bCs/>
        </w:rPr>
        <w:footnoteReference w:id="21"/>
      </w:r>
      <w:r w:rsidRPr="00424ADE">
        <w:rPr>
          <w:b/>
          <w:bCs/>
        </w:rPr>
        <w:t xml:space="preserve"> v roku 2024 predstavoval </w:t>
      </w:r>
      <w:r w:rsidRPr="00F5616A">
        <w:rPr>
          <w:b/>
          <w:bCs/>
        </w:rPr>
        <w:t>4,</w:t>
      </w:r>
      <w:r w:rsidRPr="00424ADE">
        <w:rPr>
          <w:b/>
          <w:bCs/>
        </w:rPr>
        <w:t>0</w:t>
      </w:r>
      <w:r w:rsidR="00B60D0E">
        <w:rPr>
          <w:b/>
          <w:bCs/>
        </w:rPr>
        <w:t> </w:t>
      </w:r>
      <w:r w:rsidRPr="00424ADE">
        <w:rPr>
          <w:b/>
          <w:bCs/>
        </w:rPr>
        <w:t xml:space="preserve">%. </w:t>
      </w:r>
      <w:r>
        <w:t>Oproti maximálnemu povolenému rastu</w:t>
      </w:r>
      <w:r w:rsidRPr="00F5616A">
        <w:t xml:space="preserve"> 6,2</w:t>
      </w:r>
      <w:r w:rsidR="00B60D0E">
        <w:t> </w:t>
      </w:r>
      <w:r w:rsidRPr="00F5616A">
        <w:t>% definované</w:t>
      </w:r>
      <w:r>
        <w:t>mu</w:t>
      </w:r>
      <w:r w:rsidRPr="00F5616A">
        <w:t xml:space="preserve"> v strednodobom fiškálno-štrukturálnom pláne SR na roky 2025 až</w:t>
      </w:r>
      <w:r w:rsidR="00B60D0E">
        <w:t> </w:t>
      </w:r>
      <w:r w:rsidRPr="00F5616A">
        <w:t>2028</w:t>
      </w:r>
      <w:r>
        <w:t xml:space="preserve"> tak bol vývoj výdavkov pomalší</w:t>
      </w:r>
      <w:r w:rsidRPr="00F5616A">
        <w:t xml:space="preserve">. </w:t>
      </w:r>
      <w:r>
        <w:t>K nižšiemu rastu pomohli aj diskrečné príjmové opatrenia prijaté vládou na rok 2024, ktoré podľa aktuálneho odhadu predstavovali 1 298</w:t>
      </w:r>
      <w:r w:rsidR="00B60D0E">
        <w:t> </w:t>
      </w:r>
      <w:r>
        <w:t>840</w:t>
      </w:r>
      <w:r w:rsidR="00B60D0E">
        <w:t> </w:t>
      </w:r>
      <w:r>
        <w:t>tis.</w:t>
      </w:r>
      <w:r w:rsidR="00B60D0E">
        <w:t> </w:t>
      </w:r>
      <w:r>
        <w:t>eur. Medzi najvýznamnejšie opatrenia patrili zníženie odvodu do II.</w:t>
      </w:r>
      <w:r w:rsidR="00B60D0E">
        <w:t> </w:t>
      </w:r>
      <w:r>
        <w:t>piliera (371</w:t>
      </w:r>
      <w:r w:rsidR="00B60D0E">
        <w:t> </w:t>
      </w:r>
      <w:r>
        <w:t>346</w:t>
      </w:r>
      <w:r w:rsidR="00B60D0E">
        <w:t> </w:t>
      </w:r>
      <w:r>
        <w:t>tis.</w:t>
      </w:r>
      <w:r w:rsidR="00B60D0E">
        <w:t> </w:t>
      </w:r>
      <w:r>
        <w:t>eur), zvýšenie zdravotných odvodov zamestnávateľov (347</w:t>
      </w:r>
      <w:r w:rsidR="00B60D0E">
        <w:t> </w:t>
      </w:r>
      <w:r>
        <w:t>983</w:t>
      </w:r>
      <w:r w:rsidR="00B60D0E">
        <w:t> </w:t>
      </w:r>
      <w:r>
        <w:t>tis.</w:t>
      </w:r>
      <w:r w:rsidR="00B60D0E">
        <w:t> </w:t>
      </w:r>
      <w:r>
        <w:t>eur) a osobitný odvod z regulovaných odvetví (316</w:t>
      </w:r>
      <w:r w:rsidR="00B60D0E">
        <w:t> </w:t>
      </w:r>
      <w:r>
        <w:t>360</w:t>
      </w:r>
      <w:r w:rsidR="00B60D0E">
        <w:t> </w:t>
      </w:r>
      <w:r>
        <w:t>tis.</w:t>
      </w:r>
      <w:r w:rsidR="00B60D0E">
        <w:t> </w:t>
      </w:r>
      <w:r>
        <w:t>eur).</w:t>
      </w:r>
    </w:p>
    <w:p w14:paraId="59821A99" w14:textId="520F0CFB" w:rsidR="00B9225C" w:rsidRDefault="00B9225C" w:rsidP="00D162A9">
      <w:pPr>
        <w:pStyle w:val="Popis"/>
      </w:pPr>
      <w:bookmarkStart w:id="63" w:name="_Toc212124636"/>
      <w:r>
        <w:t xml:space="preserve">Tabuľka </w:t>
      </w:r>
      <w:r>
        <w:fldChar w:fldCharType="begin"/>
      </w:r>
      <w:r>
        <w:instrText xml:space="preserve"> SEQ Tabuľka \* ARABIC </w:instrText>
      </w:r>
      <w:r>
        <w:fldChar w:fldCharType="separate"/>
      </w:r>
      <w:r w:rsidR="00076866">
        <w:rPr>
          <w:noProof/>
        </w:rPr>
        <w:t>15</w:t>
      </w:r>
      <w:r>
        <w:fldChar w:fldCharType="end"/>
      </w:r>
      <w:r>
        <w:t xml:space="preserve"> – Medziročný rast čistých výdavkov v roku 2024</w:t>
      </w:r>
      <w:bookmarkEnd w:id="63"/>
    </w:p>
    <w:tbl>
      <w:tblPr>
        <w:tblW w:w="5000" w:type="pct"/>
        <w:tblCellMar>
          <w:left w:w="70" w:type="dxa"/>
          <w:right w:w="70" w:type="dxa"/>
        </w:tblCellMar>
        <w:tblLook w:val="04A0" w:firstRow="1" w:lastRow="0" w:firstColumn="1" w:lastColumn="0" w:noHBand="0" w:noVBand="1"/>
      </w:tblPr>
      <w:tblGrid>
        <w:gridCol w:w="5706"/>
        <w:gridCol w:w="1263"/>
        <w:gridCol w:w="1263"/>
        <w:gridCol w:w="1263"/>
      </w:tblGrid>
      <w:tr w:rsidR="00324ABB" w:rsidRPr="00F5616A" w14:paraId="6A3EF77B" w14:textId="77777777" w:rsidTr="0075653C">
        <w:trPr>
          <w:trHeight w:val="290"/>
          <w:tblHeader/>
        </w:trPr>
        <w:tc>
          <w:tcPr>
            <w:tcW w:w="3005" w:type="pct"/>
            <w:tcBorders>
              <w:top w:val="single" w:sz="4" w:space="0" w:color="auto"/>
              <w:left w:val="nil"/>
              <w:bottom w:val="single" w:sz="4" w:space="0" w:color="auto"/>
              <w:right w:val="nil"/>
            </w:tcBorders>
            <w:vAlign w:val="center"/>
            <w:hideMark/>
          </w:tcPr>
          <w:p w14:paraId="4646BC0F"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(v tis. eur; na akruálnej a konsolidovanej báze)</w:t>
            </w:r>
          </w:p>
        </w:tc>
        <w:tc>
          <w:tcPr>
            <w:tcW w:w="665" w:type="pct"/>
            <w:tcBorders>
              <w:top w:val="single" w:sz="4" w:space="0" w:color="auto"/>
              <w:left w:val="nil"/>
              <w:bottom w:val="single" w:sz="4" w:space="0" w:color="auto"/>
              <w:right w:val="nil"/>
            </w:tcBorders>
            <w:vAlign w:val="center"/>
          </w:tcPr>
          <w:p w14:paraId="22A96BBC"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single" w:sz="4" w:space="0" w:color="auto"/>
              <w:left w:val="nil"/>
              <w:bottom w:val="single" w:sz="4" w:space="0" w:color="auto"/>
              <w:right w:val="nil"/>
            </w:tcBorders>
            <w:vAlign w:val="center"/>
          </w:tcPr>
          <w:p w14:paraId="5896CE6E" w14:textId="77777777" w:rsidR="00324ABB" w:rsidRPr="00931FA7" w:rsidRDefault="00324ABB" w:rsidP="0075653C">
            <w:pPr>
              <w:spacing w:after="0" w:line="240" w:lineRule="auto"/>
              <w:jc w:val="right"/>
              <w:rPr>
                <w:b/>
                <w:bCs/>
                <w:color w:val="000000"/>
                <w:sz w:val="18"/>
                <w:szCs w:val="18"/>
                <w:lang w:eastAsia="sk-SK"/>
              </w:rPr>
            </w:pPr>
            <w:r w:rsidRPr="00931FA7">
              <w:rPr>
                <w:b/>
                <w:bCs/>
                <w:color w:val="000000"/>
                <w:sz w:val="18"/>
                <w:szCs w:val="18"/>
                <w:lang w:eastAsia="sk-SK"/>
              </w:rPr>
              <w:t>2023</w:t>
            </w:r>
          </w:p>
        </w:tc>
        <w:tc>
          <w:tcPr>
            <w:tcW w:w="665" w:type="pct"/>
            <w:tcBorders>
              <w:top w:val="single" w:sz="4" w:space="0" w:color="auto"/>
              <w:left w:val="nil"/>
              <w:bottom w:val="single" w:sz="4" w:space="0" w:color="auto"/>
              <w:right w:val="nil"/>
            </w:tcBorders>
            <w:vAlign w:val="center"/>
          </w:tcPr>
          <w:p w14:paraId="2C7A4893" w14:textId="77777777" w:rsidR="00324ABB" w:rsidRPr="00931FA7" w:rsidRDefault="00324ABB" w:rsidP="0075653C">
            <w:pPr>
              <w:spacing w:after="0" w:line="240" w:lineRule="auto"/>
              <w:jc w:val="right"/>
              <w:rPr>
                <w:b/>
                <w:bCs/>
                <w:color w:val="000000"/>
                <w:sz w:val="18"/>
                <w:szCs w:val="18"/>
                <w:lang w:eastAsia="sk-SK"/>
              </w:rPr>
            </w:pPr>
            <w:r w:rsidRPr="00931FA7">
              <w:rPr>
                <w:b/>
                <w:bCs/>
                <w:color w:val="000000"/>
                <w:sz w:val="18"/>
                <w:szCs w:val="18"/>
                <w:lang w:eastAsia="sk-SK"/>
              </w:rPr>
              <w:t>2024</w:t>
            </w:r>
          </w:p>
        </w:tc>
      </w:tr>
      <w:tr w:rsidR="00324ABB" w:rsidRPr="00F5616A" w14:paraId="03F91A95" w14:textId="77777777" w:rsidTr="0075653C">
        <w:trPr>
          <w:trHeight w:val="300"/>
        </w:trPr>
        <w:tc>
          <w:tcPr>
            <w:tcW w:w="3005" w:type="pct"/>
            <w:tcBorders>
              <w:top w:val="nil"/>
              <w:left w:val="nil"/>
              <w:bottom w:val="nil"/>
              <w:right w:val="nil"/>
            </w:tcBorders>
            <w:noWrap/>
            <w:vAlign w:val="center"/>
            <w:hideMark/>
          </w:tcPr>
          <w:p w14:paraId="0CA91FD9"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Výdavky rozpočtu verejnej správy</w:t>
            </w:r>
          </w:p>
        </w:tc>
        <w:tc>
          <w:tcPr>
            <w:tcW w:w="665" w:type="pct"/>
            <w:tcBorders>
              <w:top w:val="nil"/>
              <w:left w:val="nil"/>
              <w:bottom w:val="nil"/>
              <w:right w:val="nil"/>
            </w:tcBorders>
            <w:noWrap/>
            <w:vAlign w:val="center"/>
          </w:tcPr>
          <w:p w14:paraId="4F378C77"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nil"/>
              <w:left w:val="nil"/>
              <w:bottom w:val="nil"/>
              <w:right w:val="nil"/>
            </w:tcBorders>
            <w:vAlign w:val="center"/>
          </w:tcPr>
          <w:p w14:paraId="211499C2"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59 595 751</w:t>
            </w:r>
          </w:p>
        </w:tc>
        <w:tc>
          <w:tcPr>
            <w:tcW w:w="665" w:type="pct"/>
            <w:tcBorders>
              <w:top w:val="nil"/>
              <w:left w:val="nil"/>
              <w:bottom w:val="nil"/>
              <w:right w:val="nil"/>
            </w:tcBorders>
            <w:vAlign w:val="center"/>
          </w:tcPr>
          <w:p w14:paraId="2E5B69DD"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61 806 3</w:t>
            </w:r>
            <w:r w:rsidRPr="00424ADE">
              <w:rPr>
                <w:color w:val="000000"/>
                <w:sz w:val="18"/>
                <w:szCs w:val="18"/>
                <w:lang w:eastAsia="sk-SK"/>
              </w:rPr>
              <w:t>58</w:t>
            </w:r>
          </w:p>
        </w:tc>
      </w:tr>
      <w:tr w:rsidR="00324ABB" w:rsidRPr="00F5616A" w14:paraId="4A8A88CF" w14:textId="77777777" w:rsidTr="0075653C">
        <w:trPr>
          <w:trHeight w:val="290"/>
        </w:trPr>
        <w:tc>
          <w:tcPr>
            <w:tcW w:w="3005" w:type="pct"/>
            <w:tcBorders>
              <w:top w:val="nil"/>
              <w:left w:val="nil"/>
              <w:bottom w:val="nil"/>
              <w:right w:val="nil"/>
            </w:tcBorders>
            <w:noWrap/>
            <w:vAlign w:val="center"/>
            <w:hideMark/>
          </w:tcPr>
          <w:p w14:paraId="067D6AB3"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Úrokové náklady</w:t>
            </w:r>
          </w:p>
        </w:tc>
        <w:tc>
          <w:tcPr>
            <w:tcW w:w="665" w:type="pct"/>
            <w:tcBorders>
              <w:top w:val="nil"/>
              <w:left w:val="nil"/>
              <w:bottom w:val="nil"/>
              <w:right w:val="nil"/>
            </w:tcBorders>
            <w:noWrap/>
            <w:vAlign w:val="center"/>
          </w:tcPr>
          <w:p w14:paraId="1472FAB8"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nil"/>
              <w:left w:val="nil"/>
              <w:bottom w:val="nil"/>
              <w:right w:val="nil"/>
            </w:tcBorders>
            <w:vAlign w:val="center"/>
          </w:tcPr>
          <w:p w14:paraId="1A092655"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-1 428 032</w:t>
            </w:r>
          </w:p>
        </w:tc>
        <w:tc>
          <w:tcPr>
            <w:tcW w:w="665" w:type="pct"/>
            <w:tcBorders>
              <w:top w:val="nil"/>
              <w:left w:val="nil"/>
              <w:bottom w:val="nil"/>
              <w:right w:val="nil"/>
            </w:tcBorders>
            <w:vAlign w:val="center"/>
          </w:tcPr>
          <w:p w14:paraId="6C105B46"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-1 850 046</w:t>
            </w:r>
          </w:p>
        </w:tc>
      </w:tr>
      <w:tr w:rsidR="00324ABB" w:rsidRPr="00F5616A" w14:paraId="6AA3CAC0" w14:textId="77777777" w:rsidTr="0075653C">
        <w:trPr>
          <w:trHeight w:val="290"/>
        </w:trPr>
        <w:tc>
          <w:tcPr>
            <w:tcW w:w="3005" w:type="pct"/>
            <w:tcBorders>
              <w:top w:val="nil"/>
              <w:left w:val="nil"/>
              <w:bottom w:val="nil"/>
              <w:right w:val="nil"/>
            </w:tcBorders>
            <w:noWrap/>
            <w:vAlign w:val="center"/>
            <w:hideMark/>
          </w:tcPr>
          <w:p w14:paraId="3FAF5B1F"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Prostriedky z rozpočtu Európskej únie</w:t>
            </w:r>
          </w:p>
        </w:tc>
        <w:tc>
          <w:tcPr>
            <w:tcW w:w="665" w:type="pct"/>
            <w:tcBorders>
              <w:top w:val="nil"/>
              <w:left w:val="nil"/>
              <w:bottom w:val="nil"/>
              <w:right w:val="nil"/>
            </w:tcBorders>
            <w:noWrap/>
            <w:vAlign w:val="center"/>
          </w:tcPr>
          <w:p w14:paraId="454779A5"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nil"/>
              <w:left w:val="nil"/>
              <w:bottom w:val="nil"/>
              <w:right w:val="nil"/>
            </w:tcBorders>
            <w:vAlign w:val="center"/>
          </w:tcPr>
          <w:p w14:paraId="6212906C"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-3</w:t>
            </w:r>
            <w:r w:rsidRPr="00424ADE">
              <w:rPr>
                <w:color w:val="000000"/>
                <w:sz w:val="18"/>
                <w:szCs w:val="18"/>
                <w:lang w:eastAsia="sk-SK"/>
              </w:rPr>
              <w:t> 468 625</w:t>
            </w:r>
          </w:p>
        </w:tc>
        <w:tc>
          <w:tcPr>
            <w:tcW w:w="665" w:type="pct"/>
            <w:tcBorders>
              <w:top w:val="nil"/>
              <w:left w:val="nil"/>
              <w:bottom w:val="nil"/>
              <w:right w:val="nil"/>
            </w:tcBorders>
            <w:vAlign w:val="center"/>
          </w:tcPr>
          <w:p w14:paraId="7D3B6522"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 xml:space="preserve">-1 </w:t>
            </w:r>
            <w:r w:rsidRPr="00424ADE">
              <w:rPr>
                <w:color w:val="000000"/>
                <w:sz w:val="18"/>
                <w:szCs w:val="18"/>
                <w:lang w:eastAsia="sk-SK"/>
              </w:rPr>
              <w:t>235</w:t>
            </w:r>
            <w:r w:rsidRPr="00F5616A">
              <w:rPr>
                <w:color w:val="000000"/>
                <w:sz w:val="18"/>
                <w:szCs w:val="18"/>
                <w:lang w:eastAsia="sk-SK"/>
              </w:rPr>
              <w:t xml:space="preserve"> </w:t>
            </w:r>
            <w:r w:rsidRPr="00424ADE">
              <w:rPr>
                <w:color w:val="000000"/>
                <w:sz w:val="18"/>
                <w:szCs w:val="18"/>
                <w:lang w:eastAsia="sk-SK"/>
              </w:rPr>
              <w:t>975</w:t>
            </w:r>
          </w:p>
        </w:tc>
      </w:tr>
      <w:tr w:rsidR="00324ABB" w:rsidRPr="00F5616A" w14:paraId="788ADB56" w14:textId="77777777" w:rsidTr="0075653C">
        <w:trPr>
          <w:trHeight w:val="290"/>
        </w:trPr>
        <w:tc>
          <w:tcPr>
            <w:tcW w:w="3005" w:type="pct"/>
            <w:tcBorders>
              <w:top w:val="nil"/>
              <w:left w:val="nil"/>
              <w:bottom w:val="nil"/>
              <w:right w:val="nil"/>
            </w:tcBorders>
            <w:noWrap/>
            <w:vAlign w:val="center"/>
            <w:hideMark/>
          </w:tcPr>
          <w:p w14:paraId="28A61C44"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Prostriedky mechanizmu na podporu obnovy a odolnosti</w:t>
            </w:r>
          </w:p>
        </w:tc>
        <w:tc>
          <w:tcPr>
            <w:tcW w:w="665" w:type="pct"/>
            <w:tcBorders>
              <w:top w:val="nil"/>
              <w:left w:val="nil"/>
              <w:bottom w:val="nil"/>
              <w:right w:val="nil"/>
            </w:tcBorders>
            <w:noWrap/>
            <w:vAlign w:val="center"/>
          </w:tcPr>
          <w:p w14:paraId="0797217E"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nil"/>
              <w:left w:val="nil"/>
              <w:bottom w:val="nil"/>
              <w:right w:val="nil"/>
            </w:tcBorders>
            <w:vAlign w:val="center"/>
          </w:tcPr>
          <w:p w14:paraId="4BEC8882"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-181 302</w:t>
            </w:r>
          </w:p>
        </w:tc>
        <w:tc>
          <w:tcPr>
            <w:tcW w:w="665" w:type="pct"/>
            <w:tcBorders>
              <w:top w:val="nil"/>
              <w:left w:val="nil"/>
              <w:bottom w:val="nil"/>
              <w:right w:val="nil"/>
            </w:tcBorders>
            <w:vAlign w:val="center"/>
          </w:tcPr>
          <w:p w14:paraId="4C3DC3BC"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-859 973</w:t>
            </w:r>
          </w:p>
        </w:tc>
      </w:tr>
      <w:tr w:rsidR="00324ABB" w:rsidRPr="00F5616A" w14:paraId="618F355A" w14:textId="77777777" w:rsidTr="0075653C">
        <w:trPr>
          <w:trHeight w:val="290"/>
        </w:trPr>
        <w:tc>
          <w:tcPr>
            <w:tcW w:w="3005" w:type="pct"/>
            <w:tcBorders>
              <w:top w:val="nil"/>
              <w:left w:val="nil"/>
              <w:right w:val="nil"/>
            </w:tcBorders>
            <w:noWrap/>
            <w:vAlign w:val="center"/>
          </w:tcPr>
          <w:p w14:paraId="020D5C7F"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Spolufinancovanie</w:t>
            </w:r>
          </w:p>
        </w:tc>
        <w:tc>
          <w:tcPr>
            <w:tcW w:w="665" w:type="pct"/>
            <w:tcBorders>
              <w:top w:val="nil"/>
              <w:left w:val="nil"/>
              <w:right w:val="nil"/>
            </w:tcBorders>
            <w:noWrap/>
            <w:vAlign w:val="center"/>
          </w:tcPr>
          <w:p w14:paraId="55A21721"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nil"/>
              <w:left w:val="nil"/>
              <w:right w:val="nil"/>
            </w:tcBorders>
            <w:vAlign w:val="center"/>
          </w:tcPr>
          <w:p w14:paraId="465E2029" w14:textId="77777777" w:rsidR="00324ABB" w:rsidRPr="00F5616A" w:rsidRDefault="00324ABB" w:rsidP="0075653C">
            <w:pPr>
              <w:spacing w:after="0" w:line="240" w:lineRule="auto"/>
              <w:jc w:val="right"/>
              <w:rPr>
                <w:color w:val="000000"/>
                <w:sz w:val="18"/>
                <w:szCs w:val="18"/>
                <w:lang w:eastAsia="sk-SK"/>
              </w:rPr>
            </w:pPr>
            <w:r w:rsidRPr="00424ADE">
              <w:rPr>
                <w:color w:val="000000"/>
                <w:sz w:val="18"/>
                <w:szCs w:val="18"/>
                <w:lang w:eastAsia="sk-SK"/>
              </w:rPr>
              <w:t>-564 580</w:t>
            </w:r>
          </w:p>
        </w:tc>
        <w:tc>
          <w:tcPr>
            <w:tcW w:w="665" w:type="pct"/>
            <w:tcBorders>
              <w:top w:val="nil"/>
              <w:left w:val="nil"/>
              <w:right w:val="nil"/>
            </w:tcBorders>
            <w:vAlign w:val="center"/>
          </w:tcPr>
          <w:p w14:paraId="2404A734" w14:textId="77777777" w:rsidR="00324ABB" w:rsidRPr="00F5616A" w:rsidRDefault="00324ABB" w:rsidP="0075653C">
            <w:pPr>
              <w:spacing w:after="0" w:line="240" w:lineRule="auto"/>
              <w:jc w:val="right"/>
              <w:rPr>
                <w:color w:val="000000"/>
                <w:sz w:val="18"/>
                <w:szCs w:val="18"/>
                <w:lang w:eastAsia="sk-SK"/>
              </w:rPr>
            </w:pPr>
            <w:r w:rsidRPr="00424ADE">
              <w:rPr>
                <w:color w:val="000000"/>
                <w:sz w:val="18"/>
                <w:szCs w:val="18"/>
                <w:lang w:eastAsia="sk-SK"/>
              </w:rPr>
              <w:t>-462 075</w:t>
            </w:r>
          </w:p>
        </w:tc>
      </w:tr>
      <w:tr w:rsidR="00324ABB" w:rsidRPr="00F5616A" w14:paraId="0D141A10" w14:textId="77777777" w:rsidTr="00D162A9">
        <w:trPr>
          <w:trHeight w:val="307"/>
        </w:trPr>
        <w:tc>
          <w:tcPr>
            <w:tcW w:w="3005" w:type="pct"/>
            <w:tcBorders>
              <w:top w:val="nil"/>
              <w:left w:val="nil"/>
              <w:right w:val="nil"/>
            </w:tcBorders>
            <w:noWrap/>
            <w:vAlign w:val="center"/>
          </w:tcPr>
          <w:p w14:paraId="4DFEB821"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 xml:space="preserve">Cyklické výdavky na dávky v nezamestnanosti </w:t>
            </w:r>
          </w:p>
        </w:tc>
        <w:tc>
          <w:tcPr>
            <w:tcW w:w="665" w:type="pct"/>
            <w:tcBorders>
              <w:top w:val="nil"/>
              <w:left w:val="nil"/>
              <w:right w:val="nil"/>
            </w:tcBorders>
            <w:noWrap/>
            <w:vAlign w:val="center"/>
          </w:tcPr>
          <w:p w14:paraId="3FEA9C2F"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nil"/>
              <w:left w:val="nil"/>
              <w:right w:val="nil"/>
            </w:tcBorders>
            <w:vAlign w:val="center"/>
          </w:tcPr>
          <w:p w14:paraId="26769AE1"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8 147</w:t>
            </w:r>
          </w:p>
        </w:tc>
        <w:tc>
          <w:tcPr>
            <w:tcW w:w="665" w:type="pct"/>
            <w:tcBorders>
              <w:top w:val="nil"/>
              <w:left w:val="nil"/>
              <w:right w:val="nil"/>
            </w:tcBorders>
            <w:vAlign w:val="center"/>
          </w:tcPr>
          <w:p w14:paraId="2F20817B"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9 633</w:t>
            </w:r>
          </w:p>
        </w:tc>
      </w:tr>
      <w:tr w:rsidR="00324ABB" w:rsidRPr="00F5616A" w14:paraId="06871D61" w14:textId="77777777" w:rsidTr="00D162A9">
        <w:trPr>
          <w:trHeight w:val="155"/>
        </w:trPr>
        <w:tc>
          <w:tcPr>
            <w:tcW w:w="3005" w:type="pct"/>
            <w:tcBorders>
              <w:left w:val="nil"/>
              <w:bottom w:val="single" w:sz="4" w:space="0" w:color="auto"/>
              <w:right w:val="nil"/>
            </w:tcBorders>
            <w:noWrap/>
            <w:vAlign w:val="center"/>
            <w:hideMark/>
          </w:tcPr>
          <w:p w14:paraId="57388B23"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Jednorazové výdavky</w:t>
            </w:r>
          </w:p>
        </w:tc>
        <w:tc>
          <w:tcPr>
            <w:tcW w:w="665" w:type="pct"/>
            <w:tcBorders>
              <w:left w:val="nil"/>
              <w:bottom w:val="single" w:sz="4" w:space="0" w:color="auto"/>
              <w:right w:val="nil"/>
            </w:tcBorders>
            <w:noWrap/>
            <w:vAlign w:val="center"/>
          </w:tcPr>
          <w:p w14:paraId="2F3EA7D1" w14:textId="77777777" w:rsidR="00324ABB" w:rsidRPr="00F5616A" w:rsidRDefault="00324ABB" w:rsidP="0075653C">
            <w:pPr>
              <w:spacing w:after="0" w:line="240" w:lineRule="auto"/>
              <w:jc w:val="center"/>
              <w:rPr>
                <w:color w:val="000000"/>
                <w:sz w:val="18"/>
                <w:szCs w:val="18"/>
                <w:lang w:eastAsia="sk-SK"/>
              </w:rPr>
            </w:pPr>
          </w:p>
        </w:tc>
        <w:tc>
          <w:tcPr>
            <w:tcW w:w="665" w:type="pct"/>
            <w:tcBorders>
              <w:left w:val="nil"/>
              <w:bottom w:val="single" w:sz="4" w:space="0" w:color="auto"/>
              <w:right w:val="nil"/>
            </w:tcBorders>
            <w:vAlign w:val="center"/>
          </w:tcPr>
          <w:p w14:paraId="11B8B832"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0</w:t>
            </w:r>
          </w:p>
        </w:tc>
        <w:tc>
          <w:tcPr>
            <w:tcW w:w="665" w:type="pct"/>
            <w:tcBorders>
              <w:left w:val="nil"/>
              <w:bottom w:val="single" w:sz="4" w:space="0" w:color="auto"/>
              <w:right w:val="nil"/>
            </w:tcBorders>
            <w:vAlign w:val="center"/>
          </w:tcPr>
          <w:p w14:paraId="767F23A3"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0</w:t>
            </w:r>
          </w:p>
        </w:tc>
      </w:tr>
      <w:tr w:rsidR="00324ABB" w:rsidRPr="00F5616A" w14:paraId="040591B2" w14:textId="77777777" w:rsidTr="0075653C">
        <w:trPr>
          <w:trHeight w:val="290"/>
        </w:trPr>
        <w:tc>
          <w:tcPr>
            <w:tcW w:w="3005" w:type="pct"/>
            <w:tcBorders>
              <w:top w:val="single" w:sz="4" w:space="0" w:color="auto"/>
              <w:left w:val="nil"/>
              <w:bottom w:val="single" w:sz="4" w:space="0" w:color="auto"/>
              <w:right w:val="nil"/>
            </w:tcBorders>
            <w:noWrap/>
            <w:vAlign w:val="center"/>
            <w:hideMark/>
          </w:tcPr>
          <w:p w14:paraId="087EBAC7" w14:textId="77777777" w:rsidR="00324ABB" w:rsidRPr="00F5616A" w:rsidRDefault="00324ABB" w:rsidP="0075653C">
            <w:pPr>
              <w:spacing w:after="0" w:line="240" w:lineRule="auto"/>
              <w:rPr>
                <w:b/>
                <w:bCs/>
                <w:color w:val="000000"/>
                <w:sz w:val="18"/>
                <w:szCs w:val="18"/>
                <w:lang w:eastAsia="sk-SK"/>
              </w:rPr>
            </w:pPr>
            <w:r w:rsidRPr="00F5616A">
              <w:rPr>
                <w:b/>
                <w:bCs/>
                <w:sz w:val="18"/>
                <w:szCs w:val="18"/>
                <w:lang w:eastAsia="sk-SK"/>
              </w:rPr>
              <w:t>Národne financované primárne výdavky</w:t>
            </w:r>
          </w:p>
        </w:tc>
        <w:tc>
          <w:tcPr>
            <w:tcW w:w="665" w:type="pct"/>
            <w:tcBorders>
              <w:top w:val="single" w:sz="4" w:space="0" w:color="auto"/>
              <w:left w:val="nil"/>
              <w:bottom w:val="single" w:sz="4" w:space="0" w:color="auto"/>
              <w:right w:val="nil"/>
            </w:tcBorders>
            <w:noWrap/>
            <w:vAlign w:val="center"/>
          </w:tcPr>
          <w:p w14:paraId="00D0220A" w14:textId="77777777" w:rsidR="00324ABB" w:rsidRPr="00F5616A" w:rsidRDefault="00324ABB" w:rsidP="0075653C">
            <w:pPr>
              <w:spacing w:after="0" w:line="240" w:lineRule="auto"/>
              <w:jc w:val="center"/>
              <w:rPr>
                <w:b/>
                <w:bCs/>
                <w:color w:val="000000"/>
                <w:sz w:val="18"/>
                <w:szCs w:val="18"/>
                <w:lang w:eastAsia="sk-SK"/>
              </w:rPr>
            </w:pPr>
          </w:p>
        </w:tc>
        <w:tc>
          <w:tcPr>
            <w:tcW w:w="665" w:type="pct"/>
            <w:tcBorders>
              <w:top w:val="single" w:sz="4" w:space="0" w:color="auto"/>
              <w:left w:val="nil"/>
              <w:bottom w:val="single" w:sz="4" w:space="0" w:color="auto"/>
              <w:right w:val="nil"/>
            </w:tcBorders>
            <w:vAlign w:val="center"/>
          </w:tcPr>
          <w:p w14:paraId="4BB68085" w14:textId="77777777" w:rsidR="00324ABB" w:rsidRPr="00F5616A" w:rsidRDefault="00324ABB" w:rsidP="0075653C">
            <w:pPr>
              <w:spacing w:after="0" w:line="240" w:lineRule="auto"/>
              <w:jc w:val="right"/>
              <w:rPr>
                <w:b/>
                <w:bCs/>
                <w:color w:val="000000"/>
                <w:sz w:val="18"/>
                <w:szCs w:val="18"/>
                <w:lang w:eastAsia="sk-SK"/>
              </w:rPr>
            </w:pPr>
            <w:r w:rsidRPr="00424ADE">
              <w:rPr>
                <w:b/>
                <w:bCs/>
                <w:color w:val="000000"/>
                <w:sz w:val="18"/>
                <w:szCs w:val="18"/>
                <w:lang w:eastAsia="sk-SK"/>
              </w:rPr>
              <w:t>53 961 359</w:t>
            </w:r>
          </w:p>
        </w:tc>
        <w:tc>
          <w:tcPr>
            <w:tcW w:w="665" w:type="pct"/>
            <w:tcBorders>
              <w:top w:val="single" w:sz="4" w:space="0" w:color="auto"/>
              <w:left w:val="nil"/>
              <w:bottom w:val="single" w:sz="4" w:space="0" w:color="auto"/>
              <w:right w:val="nil"/>
            </w:tcBorders>
            <w:vAlign w:val="center"/>
          </w:tcPr>
          <w:p w14:paraId="336D5293" w14:textId="77777777" w:rsidR="00324ABB" w:rsidRPr="00F5616A" w:rsidRDefault="00324ABB" w:rsidP="0075653C">
            <w:pPr>
              <w:spacing w:after="0" w:line="240" w:lineRule="auto"/>
              <w:jc w:val="right"/>
              <w:rPr>
                <w:b/>
                <w:bCs/>
                <w:color w:val="000000"/>
                <w:sz w:val="18"/>
                <w:szCs w:val="18"/>
                <w:lang w:eastAsia="sk-SK"/>
              </w:rPr>
            </w:pPr>
            <w:r w:rsidRPr="00F5616A">
              <w:rPr>
                <w:b/>
                <w:bCs/>
                <w:color w:val="000000"/>
                <w:sz w:val="18"/>
                <w:szCs w:val="18"/>
                <w:lang w:eastAsia="sk-SK"/>
              </w:rPr>
              <w:t>57 4</w:t>
            </w:r>
            <w:r w:rsidRPr="00424ADE">
              <w:rPr>
                <w:b/>
                <w:bCs/>
                <w:color w:val="000000"/>
                <w:sz w:val="18"/>
                <w:szCs w:val="18"/>
                <w:lang w:eastAsia="sk-SK"/>
              </w:rPr>
              <w:t>07</w:t>
            </w:r>
            <w:r w:rsidRPr="00F5616A">
              <w:rPr>
                <w:b/>
                <w:bCs/>
                <w:color w:val="000000"/>
                <w:sz w:val="18"/>
                <w:szCs w:val="18"/>
                <w:lang w:eastAsia="sk-SK"/>
              </w:rPr>
              <w:t xml:space="preserve"> </w:t>
            </w:r>
            <w:r w:rsidRPr="00424ADE">
              <w:rPr>
                <w:b/>
                <w:bCs/>
                <w:color w:val="000000"/>
                <w:sz w:val="18"/>
                <w:szCs w:val="18"/>
                <w:lang w:eastAsia="sk-SK"/>
              </w:rPr>
              <w:t>923</w:t>
            </w:r>
          </w:p>
        </w:tc>
      </w:tr>
      <w:tr w:rsidR="00324ABB" w:rsidRPr="00F5616A" w14:paraId="7249E674" w14:textId="77777777" w:rsidTr="0075653C">
        <w:trPr>
          <w:trHeight w:val="290"/>
        </w:trPr>
        <w:tc>
          <w:tcPr>
            <w:tcW w:w="3005" w:type="pct"/>
            <w:tcBorders>
              <w:top w:val="single" w:sz="4" w:space="0" w:color="auto"/>
              <w:left w:val="nil"/>
              <w:bottom w:val="single" w:sz="4" w:space="0" w:color="auto"/>
              <w:right w:val="nil"/>
            </w:tcBorders>
            <w:noWrap/>
            <w:vAlign w:val="center"/>
            <w:hideMark/>
          </w:tcPr>
          <w:p w14:paraId="64B3074B" w14:textId="77777777" w:rsidR="00324ABB" w:rsidRPr="00F5616A" w:rsidRDefault="00324ABB" w:rsidP="0075653C">
            <w:pPr>
              <w:spacing w:after="0" w:line="240" w:lineRule="auto"/>
              <w:rPr>
                <w:color w:val="000000"/>
                <w:sz w:val="18"/>
                <w:szCs w:val="18"/>
                <w:lang w:eastAsia="sk-SK"/>
              </w:rPr>
            </w:pPr>
            <w:r w:rsidRPr="00F5616A">
              <w:rPr>
                <w:color w:val="000000"/>
                <w:sz w:val="18"/>
                <w:szCs w:val="18"/>
                <w:lang w:eastAsia="sk-SK"/>
              </w:rPr>
              <w:t>Diskrečné príjmové opatrenia</w:t>
            </w:r>
          </w:p>
        </w:tc>
        <w:tc>
          <w:tcPr>
            <w:tcW w:w="665" w:type="pct"/>
            <w:tcBorders>
              <w:top w:val="single" w:sz="4" w:space="0" w:color="auto"/>
              <w:left w:val="nil"/>
              <w:bottom w:val="single" w:sz="4" w:space="0" w:color="auto"/>
              <w:right w:val="nil"/>
            </w:tcBorders>
            <w:noWrap/>
            <w:vAlign w:val="center"/>
          </w:tcPr>
          <w:p w14:paraId="432BB9D6" w14:textId="77777777" w:rsidR="00324ABB" w:rsidRPr="00F5616A" w:rsidRDefault="00324ABB" w:rsidP="0075653C">
            <w:pPr>
              <w:spacing w:after="0" w:line="240" w:lineRule="auto"/>
              <w:jc w:val="center"/>
              <w:rPr>
                <w:color w:val="000000"/>
                <w:sz w:val="18"/>
                <w:szCs w:val="18"/>
                <w:lang w:eastAsia="sk-SK"/>
              </w:rPr>
            </w:pPr>
          </w:p>
        </w:tc>
        <w:tc>
          <w:tcPr>
            <w:tcW w:w="665" w:type="pct"/>
            <w:tcBorders>
              <w:top w:val="single" w:sz="4" w:space="0" w:color="auto"/>
              <w:left w:val="nil"/>
              <w:bottom w:val="single" w:sz="4" w:space="0" w:color="auto"/>
              <w:right w:val="nil"/>
            </w:tcBorders>
            <w:vAlign w:val="center"/>
          </w:tcPr>
          <w:p w14:paraId="7F852EAA" w14:textId="77777777" w:rsidR="00324ABB" w:rsidRPr="00F5616A" w:rsidRDefault="00324ABB" w:rsidP="0075653C">
            <w:pPr>
              <w:spacing w:after="0" w:line="240" w:lineRule="auto"/>
              <w:jc w:val="right"/>
              <w:rPr>
                <w:color w:val="000000"/>
                <w:sz w:val="18"/>
                <w:szCs w:val="18"/>
                <w:lang w:eastAsia="sk-SK"/>
              </w:rPr>
            </w:pPr>
          </w:p>
        </w:tc>
        <w:tc>
          <w:tcPr>
            <w:tcW w:w="665" w:type="pct"/>
            <w:tcBorders>
              <w:top w:val="single" w:sz="4" w:space="0" w:color="auto"/>
              <w:left w:val="nil"/>
              <w:bottom w:val="single" w:sz="4" w:space="0" w:color="auto"/>
              <w:right w:val="nil"/>
            </w:tcBorders>
            <w:vAlign w:val="center"/>
          </w:tcPr>
          <w:p w14:paraId="335C2D7D" w14:textId="77777777" w:rsidR="00324ABB" w:rsidRPr="00F5616A" w:rsidRDefault="00324ABB" w:rsidP="0075653C">
            <w:pPr>
              <w:spacing w:after="0" w:line="240" w:lineRule="auto"/>
              <w:jc w:val="right"/>
              <w:rPr>
                <w:color w:val="000000"/>
                <w:sz w:val="18"/>
                <w:szCs w:val="18"/>
                <w:lang w:eastAsia="sk-SK"/>
              </w:rPr>
            </w:pPr>
            <w:r w:rsidRPr="00F5616A">
              <w:rPr>
                <w:color w:val="000000"/>
                <w:sz w:val="18"/>
                <w:szCs w:val="18"/>
                <w:lang w:eastAsia="sk-SK"/>
              </w:rPr>
              <w:t>1 29</w:t>
            </w:r>
            <w:r w:rsidRPr="00424ADE">
              <w:rPr>
                <w:color w:val="000000"/>
                <w:sz w:val="18"/>
                <w:szCs w:val="18"/>
                <w:lang w:eastAsia="sk-SK"/>
              </w:rPr>
              <w:t>8</w:t>
            </w:r>
            <w:r w:rsidRPr="00F5616A">
              <w:rPr>
                <w:color w:val="000000"/>
                <w:sz w:val="18"/>
                <w:szCs w:val="18"/>
                <w:lang w:eastAsia="sk-SK"/>
              </w:rPr>
              <w:t xml:space="preserve"> </w:t>
            </w:r>
            <w:r w:rsidRPr="00424ADE">
              <w:rPr>
                <w:color w:val="000000"/>
                <w:sz w:val="18"/>
                <w:szCs w:val="18"/>
                <w:lang w:eastAsia="sk-SK"/>
              </w:rPr>
              <w:t>840</w:t>
            </w:r>
          </w:p>
        </w:tc>
      </w:tr>
      <w:tr w:rsidR="00324ABB" w:rsidRPr="00F5616A" w14:paraId="4351F864" w14:textId="77777777" w:rsidTr="0075653C">
        <w:trPr>
          <w:trHeight w:val="290"/>
        </w:trPr>
        <w:tc>
          <w:tcPr>
            <w:tcW w:w="3005" w:type="pct"/>
            <w:tcBorders>
              <w:top w:val="nil"/>
              <w:left w:val="nil"/>
              <w:bottom w:val="single" w:sz="4" w:space="0" w:color="auto"/>
              <w:right w:val="nil"/>
            </w:tcBorders>
            <w:noWrap/>
            <w:vAlign w:val="center"/>
            <w:hideMark/>
          </w:tcPr>
          <w:p w14:paraId="181AEC60" w14:textId="77777777" w:rsidR="00324ABB" w:rsidRPr="00F5616A" w:rsidRDefault="00324ABB" w:rsidP="0075653C">
            <w:pPr>
              <w:spacing w:after="0" w:line="240" w:lineRule="auto"/>
              <w:rPr>
                <w:b/>
                <w:bCs/>
                <w:color w:val="000000"/>
                <w:sz w:val="18"/>
                <w:szCs w:val="18"/>
                <w:lang w:eastAsia="sk-SK"/>
              </w:rPr>
            </w:pPr>
            <w:r w:rsidRPr="00F5616A">
              <w:rPr>
                <w:b/>
                <w:bCs/>
                <w:color w:val="000000"/>
                <w:sz w:val="18"/>
                <w:szCs w:val="18"/>
                <w:lang w:eastAsia="sk-SK"/>
              </w:rPr>
              <w:t>Rast čistých výdavkov</w:t>
            </w:r>
          </w:p>
        </w:tc>
        <w:tc>
          <w:tcPr>
            <w:tcW w:w="665" w:type="pct"/>
            <w:tcBorders>
              <w:top w:val="nil"/>
              <w:left w:val="nil"/>
              <w:bottom w:val="single" w:sz="4" w:space="0" w:color="auto"/>
              <w:right w:val="nil"/>
            </w:tcBorders>
            <w:noWrap/>
            <w:vAlign w:val="center"/>
          </w:tcPr>
          <w:p w14:paraId="5BEAD8A5" w14:textId="77777777" w:rsidR="00324ABB" w:rsidRPr="00F5616A" w:rsidRDefault="00324ABB" w:rsidP="0075653C">
            <w:pPr>
              <w:spacing w:after="0" w:line="240" w:lineRule="auto"/>
              <w:jc w:val="center"/>
              <w:rPr>
                <w:b/>
                <w:bCs/>
                <w:color w:val="000000"/>
                <w:sz w:val="18"/>
                <w:szCs w:val="18"/>
                <w:lang w:eastAsia="sk-SK"/>
              </w:rPr>
            </w:pPr>
          </w:p>
        </w:tc>
        <w:tc>
          <w:tcPr>
            <w:tcW w:w="665" w:type="pct"/>
            <w:tcBorders>
              <w:top w:val="nil"/>
              <w:left w:val="nil"/>
              <w:bottom w:val="single" w:sz="4" w:space="0" w:color="auto"/>
              <w:right w:val="nil"/>
            </w:tcBorders>
            <w:vAlign w:val="center"/>
          </w:tcPr>
          <w:p w14:paraId="5B860D81" w14:textId="77777777" w:rsidR="00324ABB" w:rsidRPr="00F5616A" w:rsidRDefault="00324ABB" w:rsidP="0075653C">
            <w:pPr>
              <w:spacing w:after="0" w:line="240" w:lineRule="auto"/>
              <w:jc w:val="right"/>
              <w:rPr>
                <w:b/>
                <w:bCs/>
                <w:color w:val="000000"/>
                <w:sz w:val="18"/>
                <w:szCs w:val="18"/>
                <w:lang w:eastAsia="sk-SK"/>
              </w:rPr>
            </w:pPr>
          </w:p>
        </w:tc>
        <w:tc>
          <w:tcPr>
            <w:tcW w:w="665" w:type="pct"/>
            <w:tcBorders>
              <w:top w:val="nil"/>
              <w:left w:val="nil"/>
              <w:bottom w:val="single" w:sz="4" w:space="0" w:color="auto"/>
              <w:right w:val="nil"/>
            </w:tcBorders>
            <w:vAlign w:val="center"/>
          </w:tcPr>
          <w:p w14:paraId="40C0E65B" w14:textId="77777777" w:rsidR="00324ABB" w:rsidRPr="00F5616A" w:rsidRDefault="00324ABB" w:rsidP="0075653C">
            <w:pPr>
              <w:spacing w:after="0" w:line="240" w:lineRule="auto"/>
              <w:jc w:val="right"/>
              <w:rPr>
                <w:b/>
                <w:bCs/>
                <w:color w:val="000000"/>
                <w:sz w:val="18"/>
                <w:szCs w:val="18"/>
                <w:lang w:eastAsia="sk-SK"/>
              </w:rPr>
            </w:pPr>
            <w:r w:rsidRPr="00F5616A">
              <w:rPr>
                <w:b/>
                <w:bCs/>
                <w:color w:val="000000"/>
                <w:sz w:val="18"/>
                <w:szCs w:val="18"/>
                <w:lang w:eastAsia="sk-SK"/>
              </w:rPr>
              <w:t>4,</w:t>
            </w:r>
            <w:r w:rsidRPr="00424ADE">
              <w:rPr>
                <w:b/>
                <w:bCs/>
                <w:color w:val="000000"/>
                <w:sz w:val="18"/>
                <w:szCs w:val="18"/>
                <w:lang w:eastAsia="sk-SK"/>
              </w:rPr>
              <w:t>0</w:t>
            </w:r>
            <w:r w:rsidRPr="00F5616A">
              <w:rPr>
                <w:b/>
                <w:bCs/>
                <w:color w:val="000000"/>
                <w:sz w:val="18"/>
                <w:szCs w:val="18"/>
                <w:lang w:eastAsia="sk-SK"/>
              </w:rPr>
              <w:t xml:space="preserve"> %</w:t>
            </w:r>
          </w:p>
        </w:tc>
      </w:tr>
    </w:tbl>
    <w:p w14:paraId="3AB2EB2C" w14:textId="77777777" w:rsidR="00324ABB" w:rsidRDefault="00324ABB" w:rsidP="00324ABB">
      <w:pPr>
        <w:keepLines/>
        <w:spacing w:line="240" w:lineRule="auto"/>
        <w:jc w:val="right"/>
        <w:rPr>
          <w:sz w:val="18"/>
          <w:szCs w:val="18"/>
        </w:rPr>
      </w:pPr>
      <w:r w:rsidRPr="00F5616A">
        <w:rPr>
          <w:sz w:val="18"/>
          <w:szCs w:val="18"/>
        </w:rPr>
        <w:tab/>
      </w:r>
      <w:r w:rsidRPr="00F5616A">
        <w:rPr>
          <w:sz w:val="18"/>
          <w:szCs w:val="18"/>
        </w:rPr>
        <w:tab/>
      </w:r>
      <w:r w:rsidRPr="00F5616A">
        <w:rPr>
          <w:sz w:val="18"/>
          <w:szCs w:val="18"/>
        </w:rPr>
        <w:tab/>
      </w:r>
      <w:r w:rsidRPr="00F5616A">
        <w:rPr>
          <w:sz w:val="18"/>
          <w:szCs w:val="18"/>
        </w:rPr>
        <w:tab/>
        <w:t xml:space="preserve">              Zdroj: MF SR, ŠÚ SR</w:t>
      </w:r>
    </w:p>
    <w:p w14:paraId="35FAECBA" w14:textId="77777777" w:rsidR="001F0C35" w:rsidRPr="00F5616A" w:rsidRDefault="001F0C35" w:rsidP="001F0C35">
      <w:pPr>
        <w:spacing w:after="0" w:line="240" w:lineRule="auto"/>
        <w:jc w:val="both"/>
      </w:pPr>
      <w:r w:rsidRPr="00424ADE">
        <w:rPr>
          <w:b/>
          <w:bCs/>
        </w:rPr>
        <w:t>Oproti predbežnej kvantifikácii vo Výročnej správe o pokroku SR 2025 z jari 2025 je rast čistých výdavkov vyšší o</w:t>
      </w:r>
      <w:r>
        <w:rPr>
          <w:b/>
          <w:bCs/>
        </w:rPr>
        <w:t> </w:t>
      </w:r>
      <w:r w:rsidRPr="00424ADE">
        <w:rPr>
          <w:b/>
          <w:bCs/>
        </w:rPr>
        <w:t>1</w:t>
      </w:r>
      <w:r>
        <w:rPr>
          <w:b/>
          <w:bCs/>
        </w:rPr>
        <w:t> </w:t>
      </w:r>
      <w:r w:rsidRPr="00424ADE">
        <w:rPr>
          <w:b/>
          <w:bCs/>
        </w:rPr>
        <w:t>p.</w:t>
      </w:r>
      <w:r>
        <w:rPr>
          <w:b/>
          <w:bCs/>
        </w:rPr>
        <w:t> </w:t>
      </w:r>
      <w:r w:rsidRPr="00424ADE">
        <w:rPr>
          <w:b/>
          <w:bCs/>
        </w:rPr>
        <w:t>b.</w:t>
      </w:r>
      <w:r>
        <w:t xml:space="preserve"> </w:t>
      </w:r>
      <w:r w:rsidRPr="00FE12DC">
        <w:t>Dôvodom vyššieho rastu výdavkov oproti jari 2025 je predovšetkým revízia úrovne použitých zdrojov z EÚ za roky 2023 a</w:t>
      </w:r>
      <w:r>
        <w:t> </w:t>
      </w:r>
      <w:r w:rsidRPr="00FE12DC">
        <w:t>2024</w:t>
      </w:r>
      <w:r>
        <w:t xml:space="preserve">. Tie </w:t>
      </w:r>
      <w:r w:rsidRPr="00FE12DC">
        <w:t xml:space="preserve">mali vplyv na </w:t>
      </w:r>
      <w:r>
        <w:t>mierny pokles</w:t>
      </w:r>
      <w:r w:rsidRPr="00FE12DC">
        <w:t xml:space="preserve"> národne financovaných výdavkov </w:t>
      </w:r>
      <w:r>
        <w:t>v roku 2023 a nárast v roku 2024</w:t>
      </w:r>
      <w:r w:rsidRPr="00FE12DC">
        <w:t xml:space="preserve">. K vyššiemu rastu prispelo tiež </w:t>
      </w:r>
      <w:r>
        <w:t>zníženie odhadovaného vplyvu</w:t>
      </w:r>
      <w:r w:rsidRPr="00FE12DC">
        <w:t xml:space="preserve"> diskrečných príjmových opatrení v roku 2024 o</w:t>
      </w:r>
      <w:r>
        <w:t> 110 160 tis. eur</w:t>
      </w:r>
      <w:r w:rsidRPr="00FE12DC">
        <w:t xml:space="preserve">, </w:t>
      </w:r>
      <w:r>
        <w:t xml:space="preserve">a to </w:t>
      </w:r>
      <w:r w:rsidRPr="00FE12DC">
        <w:t>najmä z titulu výpadku výnosu zo</w:t>
      </w:r>
      <w:r>
        <w:t> </w:t>
      </w:r>
      <w:r w:rsidRPr="00F5616A">
        <w:t>solidárneho príspevku z činností v odvetviach ropy</w:t>
      </w:r>
      <w:r w:rsidRPr="00FE12DC">
        <w:t xml:space="preserve">. </w:t>
      </w:r>
      <w:r w:rsidRPr="00EC263E">
        <w:rPr>
          <w:b/>
          <w:bCs/>
        </w:rPr>
        <w:t>Aj po zohľadnení aktualizovaných údajov bol vývoj verejných financií v roku 2024 v súlade s trajektóriou rastu čistých výdavkov v</w:t>
      </w:r>
      <w:r>
        <w:rPr>
          <w:b/>
          <w:bCs/>
        </w:rPr>
        <w:t> </w:t>
      </w:r>
      <w:r w:rsidRPr="00EC263E">
        <w:rPr>
          <w:b/>
          <w:bCs/>
        </w:rPr>
        <w:t>zmysle fiškálnych pravidiel EÚ.</w:t>
      </w:r>
    </w:p>
    <w:p w14:paraId="4D20F7B5" w14:textId="77777777" w:rsidR="001F0C35" w:rsidRDefault="001F0C35" w:rsidP="00324ABB">
      <w:pPr>
        <w:keepLines/>
        <w:spacing w:line="240" w:lineRule="auto"/>
        <w:jc w:val="right"/>
        <w:rPr>
          <w:sz w:val="18"/>
          <w:szCs w:val="18"/>
        </w:rPr>
      </w:pPr>
    </w:p>
    <w:p w14:paraId="1871C61B" w14:textId="0712C932" w:rsidR="009E2BD4" w:rsidRPr="00177698" w:rsidRDefault="00176391" w:rsidP="002C2605">
      <w:pPr>
        <w:pStyle w:val="Nadpis2"/>
        <w:numPr>
          <w:ilvl w:val="2"/>
          <w:numId w:val="20"/>
        </w:numPr>
        <w:rPr>
          <w:sz w:val="22"/>
          <w:szCs w:val="22"/>
        </w:rPr>
      </w:pPr>
      <w:bookmarkStart w:id="64" w:name="_Toc212461607"/>
      <w:r w:rsidRPr="00177698">
        <w:rPr>
          <w:sz w:val="22"/>
          <w:szCs w:val="22"/>
        </w:rPr>
        <w:t>L</w:t>
      </w:r>
      <w:r w:rsidR="009E2BD4" w:rsidRPr="00177698">
        <w:rPr>
          <w:sz w:val="22"/>
          <w:szCs w:val="22"/>
        </w:rPr>
        <w:t>imit verejných výdavkov v roku 2024</w:t>
      </w:r>
      <w:bookmarkEnd w:id="64"/>
    </w:p>
    <w:p w14:paraId="2A40E806" w14:textId="0556B0F3" w:rsidR="00CD1211" w:rsidRPr="00F32FA9" w:rsidRDefault="00CD1211" w:rsidP="00CC72FA">
      <w:pPr>
        <w:spacing w:after="120" w:line="240" w:lineRule="auto"/>
        <w:jc w:val="both"/>
      </w:pPr>
      <w:r w:rsidRPr="00F32FA9">
        <w:t>Súčasťou súhrnnej výročnej správy podľa zákona o rozpočtových pravidlách verejnej správy majú byť aj údaje o plnení limitu verejných výdavkov. Limit verejných výdavkov je legislatívne ukotvený v zákone o rozpočtovej zodpovednosti, pričom postup pri určení limitu verejných výdavkov ustanovujú rozpočtové pravidlá pre verejnú správu.</w:t>
      </w:r>
    </w:p>
    <w:p w14:paraId="54394048" w14:textId="7E939C99" w:rsidR="008D76FE" w:rsidRPr="00AE5A7D" w:rsidRDefault="0075404C" w:rsidP="008D76FE">
      <w:pPr>
        <w:spacing w:after="120" w:line="240" w:lineRule="auto"/>
        <w:jc w:val="both"/>
      </w:pPr>
      <w:r w:rsidRPr="0075404C">
        <w:t>Zákonom č. 118/2024 Z. z., ktorým sa mení a dopĺňa zákon o rozpočtových pravidlách sa stanovil limit verejných výdavkov na rok 2024 na úrovni 57 717 011 tis. eur, ktorý zahŕňa maximálnu výšku časovo rozlíšených konsolidovaných výdavkov verejnej správy v jednotnej metodike platnej pre Európsku úniu bez úrokových výdavkov, prostriedkov z rozpočtu Európskej únie, prostriedkov mechanizmu na podporu obnovy a odolnosti, cyklických výdavkov na dávky v nezamestnanosti a jednorazových výdavkov</w:t>
      </w:r>
      <w:r w:rsidR="00B7611D">
        <w:t xml:space="preserve"> ako to definuje EÚ</w:t>
      </w:r>
      <w:r w:rsidRPr="0075404C">
        <w:t>.</w:t>
      </w:r>
      <w:r w:rsidR="008D76FE">
        <w:t xml:space="preserve"> Takto stanovený limit vychádzal z formálneho odporúčania Rady</w:t>
      </w:r>
      <w:r w:rsidR="00EB5563">
        <w:t> </w:t>
      </w:r>
      <w:r w:rsidR="008D76FE">
        <w:t>EÚ pre</w:t>
      </w:r>
      <w:r w:rsidR="00EB5563">
        <w:t> </w:t>
      </w:r>
      <w:r w:rsidR="008D76FE">
        <w:t>Slovensko na</w:t>
      </w:r>
      <w:r w:rsidR="00EB5563">
        <w:t> </w:t>
      </w:r>
      <w:r w:rsidR="008D76FE">
        <w:t>rok</w:t>
      </w:r>
      <w:r w:rsidR="00EB5563">
        <w:t> </w:t>
      </w:r>
      <w:r w:rsidR="008D76FE">
        <w:t>2024, aby čisté výdavky rástli medziročne maximálnym tempom 5,7</w:t>
      </w:r>
      <w:r w:rsidR="00EB5563">
        <w:t> </w:t>
      </w:r>
      <w:r w:rsidR="008D76FE">
        <w:t>%</w:t>
      </w:r>
      <w:r w:rsidR="008D76FE">
        <w:rPr>
          <w:rStyle w:val="Odkaznapoznmkupodiarou"/>
        </w:rPr>
        <w:footnoteReference w:id="22"/>
      </w:r>
      <w:r w:rsidR="008D76FE">
        <w:t>.</w:t>
      </w:r>
    </w:p>
    <w:p w14:paraId="0FD1DA95" w14:textId="3363D9A8" w:rsidR="0075404C" w:rsidRDefault="0075404C" w:rsidP="00CC72FA">
      <w:pPr>
        <w:spacing w:after="120" w:line="240" w:lineRule="auto"/>
        <w:jc w:val="both"/>
      </w:pPr>
    </w:p>
    <w:p w14:paraId="54957E2B" w14:textId="57A80A30" w:rsidR="008D76FE" w:rsidRDefault="00AC457B" w:rsidP="00076170">
      <w:pPr>
        <w:spacing w:after="120" w:line="240" w:lineRule="auto"/>
        <w:jc w:val="both"/>
        <w:rPr>
          <w:b/>
          <w:bCs/>
        </w:rPr>
      </w:pPr>
      <w:r w:rsidRPr="00CC72FA">
        <w:rPr>
          <w:b/>
          <w:bCs/>
        </w:rPr>
        <w:lastRenderedPageBreak/>
        <w:t xml:space="preserve">Hodnota výdavkov </w:t>
      </w:r>
      <w:r w:rsidR="00FC63F3">
        <w:rPr>
          <w:b/>
          <w:bCs/>
        </w:rPr>
        <w:t xml:space="preserve">verejnej správy </w:t>
      </w:r>
      <w:r w:rsidRPr="00CC72FA">
        <w:rPr>
          <w:b/>
          <w:bCs/>
        </w:rPr>
        <w:t xml:space="preserve">spadajúcich pod limit verejných výdavkov </w:t>
      </w:r>
      <w:r w:rsidR="00CF6492">
        <w:t>po</w:t>
      </w:r>
      <w:r w:rsidRPr="00CC72FA">
        <w:t xml:space="preserve"> spresnen</w:t>
      </w:r>
      <w:r w:rsidR="00CF6492">
        <w:t>í</w:t>
      </w:r>
      <w:r w:rsidRPr="00CC72FA">
        <w:t xml:space="preserve"> údajov v rámci jesennej notifikácie</w:t>
      </w:r>
      <w:r w:rsidR="00CF6492">
        <w:t xml:space="preserve"> </w:t>
      </w:r>
      <w:r w:rsidR="00CF6492" w:rsidRPr="00CF6492">
        <w:t>a po započítaní prostriedkov Modernizačného fondu</w:t>
      </w:r>
      <w:r w:rsidR="006B27CE">
        <w:rPr>
          <w:rStyle w:val="Odkaznapoznmkupodiarou"/>
        </w:rPr>
        <w:footnoteReference w:id="23"/>
      </w:r>
      <w:r w:rsidR="00CF6492" w:rsidRPr="00CF6492">
        <w:t xml:space="preserve"> ako EÚ zdroja (</w:t>
      </w:r>
      <w:r w:rsidR="00CF6492" w:rsidRPr="0018323A">
        <w:t xml:space="preserve">ktoré </w:t>
      </w:r>
      <w:r w:rsidR="00CF6492">
        <w:t>znižujú výdavky spadajúce pod limit</w:t>
      </w:r>
      <w:r w:rsidR="00CF6492" w:rsidRPr="0018323A">
        <w:t>)</w:t>
      </w:r>
      <w:r w:rsidR="00CF6492">
        <w:rPr>
          <w:b/>
          <w:bCs/>
        </w:rPr>
        <w:t xml:space="preserve"> </w:t>
      </w:r>
      <w:r w:rsidRPr="00CC72FA">
        <w:t xml:space="preserve">dosiahla celkovú </w:t>
      </w:r>
      <w:r w:rsidRPr="00B2363F">
        <w:t>hodnotu</w:t>
      </w:r>
      <w:r w:rsidRPr="00B2363F">
        <w:rPr>
          <w:b/>
          <w:bCs/>
        </w:rPr>
        <w:t xml:space="preserve"> 5</w:t>
      </w:r>
      <w:r w:rsidR="00B96BC9">
        <w:rPr>
          <w:b/>
          <w:bCs/>
        </w:rPr>
        <w:t>7 780 726 </w:t>
      </w:r>
      <w:r w:rsidRPr="00B2363F">
        <w:rPr>
          <w:b/>
          <w:bCs/>
        </w:rPr>
        <w:t>tis. eur</w:t>
      </w:r>
      <w:r w:rsidR="00CF6492">
        <w:rPr>
          <w:b/>
          <w:bCs/>
        </w:rPr>
        <w:t>. V porovnaní so</w:t>
      </w:r>
      <w:r w:rsidR="00BA0540">
        <w:rPr>
          <w:b/>
          <w:bCs/>
        </w:rPr>
        <w:t> </w:t>
      </w:r>
      <w:r w:rsidR="00CF6492">
        <w:rPr>
          <w:b/>
          <w:bCs/>
        </w:rPr>
        <w:t>zákonom stanoveným limitom ide o prekročenie národného limitu vo výške</w:t>
      </w:r>
      <w:r w:rsidR="00B96BC9">
        <w:rPr>
          <w:b/>
          <w:bCs/>
        </w:rPr>
        <w:t> 63 715 </w:t>
      </w:r>
      <w:r w:rsidRPr="00B2363F">
        <w:rPr>
          <w:b/>
          <w:bCs/>
        </w:rPr>
        <w:t>tis. eur.</w:t>
      </w:r>
    </w:p>
    <w:p w14:paraId="384936F1" w14:textId="12D6DB4E" w:rsidR="00123D20" w:rsidRDefault="008D76FE" w:rsidP="00076170">
      <w:pPr>
        <w:spacing w:after="120" w:line="240" w:lineRule="auto"/>
        <w:jc w:val="both"/>
        <w:rPr>
          <w:b/>
          <w:bCs/>
        </w:rPr>
      </w:pPr>
      <w:r>
        <w:rPr>
          <w:b/>
          <w:bCs/>
        </w:rPr>
        <w:t>Cielený medziročný rast čistých výdavkov bol napriek tomu splnený na úrovni 3,8</w:t>
      </w:r>
      <w:r w:rsidR="00EB5563">
        <w:rPr>
          <w:b/>
          <w:bCs/>
        </w:rPr>
        <w:t> </w:t>
      </w:r>
      <w:r>
        <w:rPr>
          <w:b/>
          <w:bCs/>
        </w:rPr>
        <w:t>%, výraznejšie pod</w:t>
      </w:r>
      <w:r w:rsidR="00EB5563">
        <w:rPr>
          <w:b/>
          <w:bCs/>
        </w:rPr>
        <w:t> </w:t>
      </w:r>
      <w:r>
        <w:rPr>
          <w:b/>
          <w:bCs/>
        </w:rPr>
        <w:t>pôvodným odporúčaním 5,7</w:t>
      </w:r>
      <w:r w:rsidR="00EB5563">
        <w:rPr>
          <w:b/>
          <w:bCs/>
        </w:rPr>
        <w:t> </w:t>
      </w:r>
      <w:r>
        <w:rPr>
          <w:b/>
          <w:bCs/>
        </w:rPr>
        <w:t>%. Splnenie medziročného rastu napriek prekročeniu nominálneho limitu vyplýva z revízie technických predpokladov, na základe ktorých sa nominálny limit v roku 2024 stanovil</w:t>
      </w:r>
      <w:r w:rsidRPr="00AE5A7D">
        <w:rPr>
          <w:b/>
          <w:bCs/>
        </w:rPr>
        <w:t>.</w:t>
      </w:r>
    </w:p>
    <w:p w14:paraId="67C17A8B" w14:textId="50C03B75" w:rsidR="00B9225C" w:rsidRDefault="00B9225C" w:rsidP="00D162A9">
      <w:pPr>
        <w:pStyle w:val="Popis"/>
      </w:pPr>
      <w:bookmarkStart w:id="65" w:name="_Toc212124637"/>
      <w:r>
        <w:t xml:space="preserve">Tabuľka </w:t>
      </w:r>
      <w:r>
        <w:fldChar w:fldCharType="begin"/>
      </w:r>
      <w:r>
        <w:instrText xml:space="preserve"> SEQ Tabuľka \* ARABIC </w:instrText>
      </w:r>
      <w:r>
        <w:fldChar w:fldCharType="separate"/>
      </w:r>
      <w:r w:rsidR="00076866">
        <w:rPr>
          <w:noProof/>
        </w:rPr>
        <w:t>16</w:t>
      </w:r>
      <w:r>
        <w:fldChar w:fldCharType="end"/>
      </w:r>
      <w:r>
        <w:t xml:space="preserve"> - </w:t>
      </w:r>
      <w:r w:rsidRPr="0080796E">
        <w:t>Výdavky verejnej správy spadajúce pod LVV – skutočnosť 2024</w:t>
      </w:r>
      <w:bookmarkEnd w:id="65"/>
    </w:p>
    <w:tbl>
      <w:tblPr>
        <w:tblW w:w="5000" w:type="pct"/>
        <w:tblCellMar>
          <w:left w:w="70" w:type="dxa"/>
          <w:right w:w="70" w:type="dxa"/>
        </w:tblCellMar>
        <w:tblLook w:val="04A0" w:firstRow="1" w:lastRow="0" w:firstColumn="1" w:lastColumn="0" w:noHBand="0" w:noVBand="1"/>
      </w:tblPr>
      <w:tblGrid>
        <w:gridCol w:w="5706"/>
        <w:gridCol w:w="1263"/>
        <w:gridCol w:w="1263"/>
        <w:gridCol w:w="1263"/>
      </w:tblGrid>
      <w:tr w:rsidR="001C7E41" w:rsidRPr="00F32FA9" w14:paraId="43F9152E" w14:textId="00ADCB50" w:rsidTr="001C7E41">
        <w:trPr>
          <w:trHeight w:val="290"/>
          <w:tblHeader/>
        </w:trPr>
        <w:tc>
          <w:tcPr>
            <w:tcW w:w="3005" w:type="pct"/>
            <w:tcBorders>
              <w:top w:val="single" w:sz="4" w:space="0" w:color="auto"/>
              <w:left w:val="nil"/>
              <w:bottom w:val="single" w:sz="4" w:space="0" w:color="auto"/>
              <w:right w:val="nil"/>
            </w:tcBorders>
            <w:vAlign w:val="center"/>
            <w:hideMark/>
          </w:tcPr>
          <w:p w14:paraId="30CA182D" w14:textId="1BC84AA5" w:rsidR="001C7E41" w:rsidRPr="00F32FA9" w:rsidRDefault="001C7E41" w:rsidP="00FF1B98">
            <w:pPr>
              <w:spacing w:after="0" w:line="240" w:lineRule="auto"/>
              <w:rPr>
                <w:color w:val="000000"/>
                <w:sz w:val="18"/>
                <w:szCs w:val="18"/>
                <w:lang w:eastAsia="sk-SK"/>
              </w:rPr>
            </w:pPr>
            <w:r w:rsidRPr="00F32FA9">
              <w:rPr>
                <w:color w:val="000000"/>
                <w:sz w:val="18"/>
                <w:szCs w:val="18"/>
                <w:lang w:eastAsia="sk-SK"/>
              </w:rPr>
              <w:t>(v tis. eur; na akruálnej a konsolidovanej báze)</w:t>
            </w:r>
          </w:p>
        </w:tc>
        <w:tc>
          <w:tcPr>
            <w:tcW w:w="665" w:type="pct"/>
            <w:tcBorders>
              <w:top w:val="single" w:sz="4" w:space="0" w:color="auto"/>
              <w:left w:val="nil"/>
              <w:bottom w:val="single" w:sz="4" w:space="0" w:color="auto"/>
              <w:right w:val="nil"/>
            </w:tcBorders>
            <w:vAlign w:val="bottom"/>
            <w:hideMark/>
          </w:tcPr>
          <w:p w14:paraId="540E4EFD" w14:textId="16A91BA1" w:rsidR="001C7E41" w:rsidRPr="00F31242" w:rsidRDefault="009D578E" w:rsidP="001C7E41">
            <w:pPr>
              <w:spacing w:after="0" w:line="240" w:lineRule="auto"/>
              <w:jc w:val="right"/>
              <w:rPr>
                <w:b/>
                <w:bCs/>
                <w:color w:val="000000"/>
                <w:sz w:val="18"/>
                <w:szCs w:val="18"/>
                <w:lang w:eastAsia="sk-SK"/>
              </w:rPr>
            </w:pPr>
            <w:r w:rsidRPr="00F31242">
              <w:rPr>
                <w:b/>
                <w:bCs/>
                <w:color w:val="000000"/>
                <w:sz w:val="18"/>
                <w:szCs w:val="18"/>
                <w:lang w:eastAsia="sk-SK"/>
              </w:rPr>
              <w:t>jarná</w:t>
            </w:r>
            <w:r w:rsidR="001C7E41" w:rsidRPr="00F31242">
              <w:rPr>
                <w:b/>
                <w:bCs/>
                <w:color w:val="000000"/>
                <w:sz w:val="18"/>
                <w:szCs w:val="18"/>
                <w:lang w:eastAsia="sk-SK"/>
              </w:rPr>
              <w:t xml:space="preserve"> NT</w:t>
            </w:r>
          </w:p>
        </w:tc>
        <w:tc>
          <w:tcPr>
            <w:tcW w:w="665" w:type="pct"/>
            <w:tcBorders>
              <w:top w:val="single" w:sz="4" w:space="0" w:color="auto"/>
              <w:left w:val="nil"/>
              <w:bottom w:val="single" w:sz="4" w:space="0" w:color="auto"/>
              <w:right w:val="nil"/>
            </w:tcBorders>
            <w:vAlign w:val="bottom"/>
          </w:tcPr>
          <w:p w14:paraId="224FA53D" w14:textId="14E58FFE" w:rsidR="001C7E41" w:rsidRPr="00F31242" w:rsidRDefault="009D578E" w:rsidP="001C7E41">
            <w:pPr>
              <w:spacing w:after="0" w:line="240" w:lineRule="auto"/>
              <w:jc w:val="right"/>
              <w:rPr>
                <w:b/>
                <w:bCs/>
                <w:color w:val="000000"/>
                <w:sz w:val="18"/>
                <w:szCs w:val="18"/>
                <w:lang w:eastAsia="sk-SK"/>
              </w:rPr>
            </w:pPr>
            <w:r w:rsidRPr="00F31242">
              <w:rPr>
                <w:b/>
                <w:bCs/>
                <w:color w:val="000000"/>
                <w:sz w:val="18"/>
                <w:szCs w:val="18"/>
                <w:lang w:eastAsia="sk-SK"/>
              </w:rPr>
              <w:t>jesenná</w:t>
            </w:r>
            <w:r w:rsidR="001C7E41" w:rsidRPr="00F31242">
              <w:rPr>
                <w:b/>
                <w:bCs/>
                <w:color w:val="000000"/>
                <w:sz w:val="18"/>
                <w:szCs w:val="18"/>
                <w:lang w:eastAsia="sk-SK"/>
              </w:rPr>
              <w:t xml:space="preserve"> NT</w:t>
            </w:r>
          </w:p>
        </w:tc>
        <w:tc>
          <w:tcPr>
            <w:tcW w:w="665" w:type="pct"/>
            <w:tcBorders>
              <w:top w:val="single" w:sz="4" w:space="0" w:color="auto"/>
              <w:left w:val="nil"/>
              <w:bottom w:val="single" w:sz="4" w:space="0" w:color="auto"/>
              <w:right w:val="nil"/>
            </w:tcBorders>
            <w:vAlign w:val="bottom"/>
          </w:tcPr>
          <w:p w14:paraId="265D6EB7" w14:textId="26B467DE" w:rsidR="001C7E41" w:rsidRPr="00F31242" w:rsidRDefault="001C7E41" w:rsidP="001C7E41">
            <w:pPr>
              <w:spacing w:after="0" w:line="240" w:lineRule="auto"/>
              <w:jc w:val="right"/>
              <w:rPr>
                <w:b/>
                <w:bCs/>
                <w:color w:val="000000"/>
                <w:sz w:val="18"/>
                <w:szCs w:val="18"/>
                <w:lang w:eastAsia="sk-SK"/>
              </w:rPr>
            </w:pPr>
            <w:r w:rsidRPr="00F31242">
              <w:rPr>
                <w:b/>
                <w:bCs/>
                <w:color w:val="000000"/>
                <w:sz w:val="18"/>
                <w:szCs w:val="18"/>
                <w:lang w:eastAsia="sk-SK"/>
              </w:rPr>
              <w:t>rozdiel</w:t>
            </w:r>
          </w:p>
        </w:tc>
      </w:tr>
      <w:tr w:rsidR="001C7E41" w:rsidRPr="00F32FA9" w14:paraId="36399FFB" w14:textId="696D343A" w:rsidTr="001C7E41">
        <w:trPr>
          <w:trHeight w:val="300"/>
        </w:trPr>
        <w:tc>
          <w:tcPr>
            <w:tcW w:w="3005" w:type="pct"/>
            <w:tcBorders>
              <w:top w:val="nil"/>
              <w:left w:val="nil"/>
              <w:bottom w:val="nil"/>
              <w:right w:val="nil"/>
            </w:tcBorders>
            <w:noWrap/>
            <w:vAlign w:val="center"/>
            <w:hideMark/>
          </w:tcPr>
          <w:p w14:paraId="45AE5450" w14:textId="77777777" w:rsidR="001C7E41" w:rsidRPr="00F32FA9" w:rsidRDefault="001C7E41" w:rsidP="001C7E41">
            <w:pPr>
              <w:spacing w:after="0" w:line="240" w:lineRule="auto"/>
              <w:rPr>
                <w:color w:val="000000"/>
                <w:sz w:val="18"/>
                <w:szCs w:val="18"/>
                <w:lang w:eastAsia="sk-SK"/>
              </w:rPr>
            </w:pPr>
            <w:r w:rsidRPr="00F32FA9">
              <w:rPr>
                <w:color w:val="000000"/>
                <w:sz w:val="18"/>
                <w:szCs w:val="18"/>
                <w:lang w:eastAsia="sk-SK"/>
              </w:rPr>
              <w:t>Výdavky rozpočtu verejnej správy</w:t>
            </w:r>
          </w:p>
        </w:tc>
        <w:tc>
          <w:tcPr>
            <w:tcW w:w="665" w:type="pct"/>
            <w:tcBorders>
              <w:top w:val="nil"/>
              <w:left w:val="nil"/>
              <w:bottom w:val="nil"/>
              <w:right w:val="nil"/>
            </w:tcBorders>
            <w:noWrap/>
            <w:vAlign w:val="bottom"/>
            <w:hideMark/>
          </w:tcPr>
          <w:p w14:paraId="4BE5494B" w14:textId="77777777"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61 713 964</w:t>
            </w:r>
          </w:p>
        </w:tc>
        <w:tc>
          <w:tcPr>
            <w:tcW w:w="665" w:type="pct"/>
            <w:tcBorders>
              <w:top w:val="nil"/>
              <w:left w:val="nil"/>
              <w:bottom w:val="nil"/>
              <w:right w:val="nil"/>
            </w:tcBorders>
            <w:vAlign w:val="bottom"/>
          </w:tcPr>
          <w:p w14:paraId="0A630F5A" w14:textId="2972F1FE"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 xml:space="preserve">61 806 </w:t>
            </w:r>
            <w:r w:rsidR="00D27EAE">
              <w:rPr>
                <w:color w:val="000000"/>
                <w:sz w:val="18"/>
                <w:szCs w:val="18"/>
                <w:lang w:eastAsia="sk-SK"/>
              </w:rPr>
              <w:t>358</w:t>
            </w:r>
          </w:p>
        </w:tc>
        <w:tc>
          <w:tcPr>
            <w:tcW w:w="665" w:type="pct"/>
            <w:tcBorders>
              <w:top w:val="nil"/>
              <w:left w:val="nil"/>
              <w:bottom w:val="nil"/>
              <w:right w:val="nil"/>
            </w:tcBorders>
            <w:vAlign w:val="bottom"/>
          </w:tcPr>
          <w:p w14:paraId="1D7980EF" w14:textId="4E99EDCD"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 xml:space="preserve">92 </w:t>
            </w:r>
            <w:r w:rsidR="00D27EAE">
              <w:rPr>
                <w:color w:val="000000"/>
                <w:sz w:val="18"/>
                <w:szCs w:val="18"/>
                <w:lang w:eastAsia="sk-SK"/>
              </w:rPr>
              <w:t>394</w:t>
            </w:r>
          </w:p>
        </w:tc>
      </w:tr>
      <w:tr w:rsidR="001C7E41" w:rsidRPr="00F32FA9" w14:paraId="40E0C293" w14:textId="5954032D" w:rsidTr="001C7E41">
        <w:trPr>
          <w:trHeight w:val="290"/>
        </w:trPr>
        <w:tc>
          <w:tcPr>
            <w:tcW w:w="3005" w:type="pct"/>
            <w:tcBorders>
              <w:top w:val="nil"/>
              <w:left w:val="nil"/>
              <w:bottom w:val="nil"/>
              <w:right w:val="nil"/>
            </w:tcBorders>
            <w:noWrap/>
            <w:vAlign w:val="center"/>
            <w:hideMark/>
          </w:tcPr>
          <w:p w14:paraId="5BBB42F0" w14:textId="77777777" w:rsidR="001C7E41" w:rsidRPr="00F32FA9" w:rsidRDefault="001C7E41" w:rsidP="001C7E41">
            <w:pPr>
              <w:spacing w:after="0" w:line="240" w:lineRule="auto"/>
              <w:rPr>
                <w:color w:val="000000"/>
                <w:sz w:val="18"/>
                <w:szCs w:val="18"/>
                <w:lang w:eastAsia="sk-SK"/>
              </w:rPr>
            </w:pPr>
            <w:r w:rsidRPr="00F32FA9">
              <w:rPr>
                <w:color w:val="000000"/>
                <w:sz w:val="18"/>
                <w:szCs w:val="18"/>
                <w:lang w:eastAsia="sk-SK"/>
              </w:rPr>
              <w:t>Úrokové náklady</w:t>
            </w:r>
          </w:p>
        </w:tc>
        <w:tc>
          <w:tcPr>
            <w:tcW w:w="665" w:type="pct"/>
            <w:tcBorders>
              <w:top w:val="nil"/>
              <w:left w:val="nil"/>
              <w:bottom w:val="nil"/>
              <w:right w:val="nil"/>
            </w:tcBorders>
            <w:noWrap/>
            <w:vAlign w:val="bottom"/>
            <w:hideMark/>
          </w:tcPr>
          <w:p w14:paraId="3A03DA76" w14:textId="77777777"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-1 848 880</w:t>
            </w:r>
          </w:p>
        </w:tc>
        <w:tc>
          <w:tcPr>
            <w:tcW w:w="665" w:type="pct"/>
            <w:tcBorders>
              <w:top w:val="nil"/>
              <w:left w:val="nil"/>
              <w:bottom w:val="nil"/>
              <w:right w:val="nil"/>
            </w:tcBorders>
            <w:vAlign w:val="bottom"/>
          </w:tcPr>
          <w:p w14:paraId="541483B0" w14:textId="1D10096C"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-1 850 046</w:t>
            </w:r>
          </w:p>
        </w:tc>
        <w:tc>
          <w:tcPr>
            <w:tcW w:w="665" w:type="pct"/>
            <w:tcBorders>
              <w:top w:val="nil"/>
              <w:left w:val="nil"/>
              <w:bottom w:val="nil"/>
              <w:right w:val="nil"/>
            </w:tcBorders>
            <w:vAlign w:val="bottom"/>
          </w:tcPr>
          <w:p w14:paraId="070AB197" w14:textId="6F48A035"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-1 166</w:t>
            </w:r>
          </w:p>
        </w:tc>
      </w:tr>
      <w:tr w:rsidR="001C7E41" w:rsidRPr="00F32FA9" w14:paraId="65EA2E6C" w14:textId="404B91F9" w:rsidTr="001C7E41">
        <w:trPr>
          <w:trHeight w:val="290"/>
        </w:trPr>
        <w:tc>
          <w:tcPr>
            <w:tcW w:w="3005" w:type="pct"/>
            <w:tcBorders>
              <w:top w:val="nil"/>
              <w:left w:val="nil"/>
              <w:bottom w:val="nil"/>
              <w:right w:val="nil"/>
            </w:tcBorders>
            <w:noWrap/>
            <w:vAlign w:val="center"/>
            <w:hideMark/>
          </w:tcPr>
          <w:p w14:paraId="099555DA" w14:textId="77777777" w:rsidR="001C7E41" w:rsidRPr="00F32FA9" w:rsidRDefault="001C7E41" w:rsidP="001C7E41">
            <w:pPr>
              <w:spacing w:after="0" w:line="240" w:lineRule="auto"/>
              <w:rPr>
                <w:color w:val="000000"/>
                <w:sz w:val="18"/>
                <w:szCs w:val="18"/>
                <w:lang w:eastAsia="sk-SK"/>
              </w:rPr>
            </w:pPr>
            <w:r w:rsidRPr="00F32FA9">
              <w:rPr>
                <w:color w:val="000000"/>
                <w:sz w:val="18"/>
                <w:szCs w:val="18"/>
                <w:lang w:eastAsia="sk-SK"/>
              </w:rPr>
              <w:t>Prostriedky z rozpočtu Európskej únie</w:t>
            </w:r>
          </w:p>
        </w:tc>
        <w:tc>
          <w:tcPr>
            <w:tcW w:w="665" w:type="pct"/>
            <w:tcBorders>
              <w:top w:val="nil"/>
              <w:left w:val="nil"/>
              <w:bottom w:val="nil"/>
              <w:right w:val="nil"/>
            </w:tcBorders>
            <w:noWrap/>
            <w:vAlign w:val="bottom"/>
            <w:hideMark/>
          </w:tcPr>
          <w:p w14:paraId="410B3482" w14:textId="77777777"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-1 395 069</w:t>
            </w:r>
          </w:p>
        </w:tc>
        <w:tc>
          <w:tcPr>
            <w:tcW w:w="665" w:type="pct"/>
            <w:tcBorders>
              <w:top w:val="nil"/>
              <w:left w:val="nil"/>
              <w:bottom w:val="nil"/>
              <w:right w:val="nil"/>
            </w:tcBorders>
            <w:vAlign w:val="bottom"/>
          </w:tcPr>
          <w:p w14:paraId="3044F8E1" w14:textId="742CD68A"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 xml:space="preserve">-1 </w:t>
            </w:r>
            <w:r w:rsidR="007604FC">
              <w:rPr>
                <w:color w:val="000000"/>
                <w:sz w:val="18"/>
                <w:szCs w:val="18"/>
                <w:lang w:eastAsia="sk-SK"/>
              </w:rPr>
              <w:t>102</w:t>
            </w:r>
            <w:r w:rsidRPr="00F32FA9">
              <w:rPr>
                <w:color w:val="000000"/>
                <w:sz w:val="18"/>
                <w:szCs w:val="18"/>
                <w:lang w:eastAsia="sk-SK"/>
              </w:rPr>
              <w:t xml:space="preserve"> </w:t>
            </w:r>
            <w:r w:rsidR="007604FC">
              <w:rPr>
                <w:color w:val="000000"/>
                <w:sz w:val="18"/>
                <w:szCs w:val="18"/>
                <w:lang w:eastAsia="sk-SK"/>
              </w:rPr>
              <w:t>045</w:t>
            </w:r>
          </w:p>
        </w:tc>
        <w:tc>
          <w:tcPr>
            <w:tcW w:w="665" w:type="pct"/>
            <w:tcBorders>
              <w:top w:val="nil"/>
              <w:left w:val="nil"/>
              <w:bottom w:val="nil"/>
              <w:right w:val="nil"/>
            </w:tcBorders>
            <w:vAlign w:val="bottom"/>
          </w:tcPr>
          <w:p w14:paraId="2E2BC610" w14:textId="61C68043" w:rsidR="001C7E41" w:rsidRPr="00F32FA9" w:rsidRDefault="00902DE7" w:rsidP="001C7E41">
            <w:pPr>
              <w:spacing w:after="0" w:line="240" w:lineRule="auto"/>
              <w:jc w:val="right"/>
              <w:rPr>
                <w:color w:val="000000"/>
                <w:sz w:val="18"/>
                <w:szCs w:val="18"/>
                <w:lang w:eastAsia="sk-SK"/>
              </w:rPr>
            </w:pPr>
            <w:r>
              <w:rPr>
                <w:color w:val="000000"/>
                <w:sz w:val="18"/>
                <w:szCs w:val="18"/>
                <w:lang w:eastAsia="sk-SK"/>
              </w:rPr>
              <w:t>293</w:t>
            </w:r>
            <w:r w:rsidR="001C7E41" w:rsidRPr="00F32FA9">
              <w:rPr>
                <w:color w:val="000000"/>
                <w:sz w:val="18"/>
                <w:szCs w:val="18"/>
                <w:lang w:eastAsia="sk-SK"/>
              </w:rPr>
              <w:t xml:space="preserve"> </w:t>
            </w:r>
            <w:r w:rsidR="007604FC">
              <w:rPr>
                <w:color w:val="000000"/>
                <w:sz w:val="18"/>
                <w:szCs w:val="18"/>
                <w:lang w:eastAsia="sk-SK"/>
              </w:rPr>
              <w:t>024</w:t>
            </w:r>
          </w:p>
        </w:tc>
      </w:tr>
      <w:tr w:rsidR="001C7E41" w:rsidRPr="00F32FA9" w14:paraId="51042423" w14:textId="605A2E06" w:rsidTr="001C7E41">
        <w:trPr>
          <w:trHeight w:val="290"/>
        </w:trPr>
        <w:tc>
          <w:tcPr>
            <w:tcW w:w="3005" w:type="pct"/>
            <w:tcBorders>
              <w:top w:val="nil"/>
              <w:left w:val="nil"/>
              <w:bottom w:val="nil"/>
              <w:right w:val="nil"/>
            </w:tcBorders>
            <w:noWrap/>
            <w:vAlign w:val="center"/>
            <w:hideMark/>
          </w:tcPr>
          <w:p w14:paraId="6403E536" w14:textId="77777777" w:rsidR="001C7E41" w:rsidRPr="00F32FA9" w:rsidRDefault="001C7E41" w:rsidP="001C7E41">
            <w:pPr>
              <w:spacing w:after="0" w:line="240" w:lineRule="auto"/>
              <w:rPr>
                <w:color w:val="000000"/>
                <w:sz w:val="18"/>
                <w:szCs w:val="18"/>
                <w:lang w:eastAsia="sk-SK"/>
              </w:rPr>
            </w:pPr>
            <w:r w:rsidRPr="00F32FA9">
              <w:rPr>
                <w:color w:val="000000"/>
                <w:sz w:val="18"/>
                <w:szCs w:val="18"/>
                <w:lang w:eastAsia="sk-SK"/>
              </w:rPr>
              <w:t>Prostriedky mechanizmu na podporu obnovy a odolnosti</w:t>
            </w:r>
          </w:p>
        </w:tc>
        <w:tc>
          <w:tcPr>
            <w:tcW w:w="665" w:type="pct"/>
            <w:tcBorders>
              <w:top w:val="nil"/>
              <w:left w:val="nil"/>
              <w:bottom w:val="nil"/>
              <w:right w:val="nil"/>
            </w:tcBorders>
            <w:noWrap/>
            <w:vAlign w:val="bottom"/>
            <w:hideMark/>
          </w:tcPr>
          <w:p w14:paraId="047D2BC0" w14:textId="77777777"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-859 655</w:t>
            </w:r>
          </w:p>
        </w:tc>
        <w:tc>
          <w:tcPr>
            <w:tcW w:w="665" w:type="pct"/>
            <w:tcBorders>
              <w:top w:val="nil"/>
              <w:left w:val="nil"/>
              <w:bottom w:val="nil"/>
              <w:right w:val="nil"/>
            </w:tcBorders>
            <w:vAlign w:val="bottom"/>
          </w:tcPr>
          <w:p w14:paraId="3E39DFC8" w14:textId="1DA7C034"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-859 973</w:t>
            </w:r>
          </w:p>
        </w:tc>
        <w:tc>
          <w:tcPr>
            <w:tcW w:w="665" w:type="pct"/>
            <w:tcBorders>
              <w:top w:val="nil"/>
              <w:left w:val="nil"/>
              <w:bottom w:val="nil"/>
              <w:right w:val="nil"/>
            </w:tcBorders>
            <w:vAlign w:val="bottom"/>
          </w:tcPr>
          <w:p w14:paraId="7EA490B1" w14:textId="681C0FE9"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-318</w:t>
            </w:r>
          </w:p>
        </w:tc>
      </w:tr>
      <w:tr w:rsidR="001C7E41" w:rsidRPr="00F32FA9" w14:paraId="5A62D4F9" w14:textId="0A4FC174" w:rsidTr="001C7E41">
        <w:trPr>
          <w:trHeight w:val="290"/>
        </w:trPr>
        <w:tc>
          <w:tcPr>
            <w:tcW w:w="3005" w:type="pct"/>
            <w:tcBorders>
              <w:top w:val="nil"/>
              <w:left w:val="nil"/>
              <w:bottom w:val="nil"/>
              <w:right w:val="nil"/>
            </w:tcBorders>
            <w:noWrap/>
            <w:vAlign w:val="center"/>
            <w:hideMark/>
          </w:tcPr>
          <w:p w14:paraId="26EB462E" w14:textId="77777777" w:rsidR="001C7E41" w:rsidRPr="00F32FA9" w:rsidRDefault="001C7E41" w:rsidP="001C7E41">
            <w:pPr>
              <w:spacing w:after="0" w:line="240" w:lineRule="auto"/>
              <w:rPr>
                <w:color w:val="000000"/>
                <w:sz w:val="18"/>
                <w:szCs w:val="18"/>
                <w:lang w:eastAsia="sk-SK"/>
              </w:rPr>
            </w:pPr>
            <w:r w:rsidRPr="00F32FA9">
              <w:rPr>
                <w:color w:val="000000"/>
                <w:sz w:val="18"/>
                <w:szCs w:val="18"/>
                <w:lang w:eastAsia="sk-SK"/>
              </w:rPr>
              <w:t xml:space="preserve">Cyklické výdavky na dávky v nezamestnanosti </w:t>
            </w:r>
          </w:p>
        </w:tc>
        <w:tc>
          <w:tcPr>
            <w:tcW w:w="665" w:type="pct"/>
            <w:tcBorders>
              <w:top w:val="nil"/>
              <w:left w:val="nil"/>
              <w:bottom w:val="nil"/>
              <w:right w:val="nil"/>
            </w:tcBorders>
            <w:noWrap/>
            <w:vAlign w:val="bottom"/>
            <w:hideMark/>
          </w:tcPr>
          <w:p w14:paraId="2AF02908" w14:textId="77777777"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-5 252</w:t>
            </w:r>
          </w:p>
        </w:tc>
        <w:tc>
          <w:tcPr>
            <w:tcW w:w="665" w:type="pct"/>
            <w:tcBorders>
              <w:top w:val="nil"/>
              <w:left w:val="nil"/>
              <w:bottom w:val="nil"/>
              <w:right w:val="nil"/>
            </w:tcBorders>
            <w:vAlign w:val="bottom"/>
          </w:tcPr>
          <w:p w14:paraId="4B9F72CA" w14:textId="04BA673F" w:rsidR="001C7E41" w:rsidRPr="00F32FA9" w:rsidRDefault="00D27EAE" w:rsidP="001C7E41">
            <w:pPr>
              <w:spacing w:after="0" w:line="240" w:lineRule="auto"/>
              <w:jc w:val="right"/>
              <w:rPr>
                <w:color w:val="000000"/>
                <w:sz w:val="18"/>
                <w:szCs w:val="18"/>
                <w:lang w:eastAsia="sk-SK"/>
              </w:rPr>
            </w:pPr>
            <w:r w:rsidRPr="00D27EAE">
              <w:rPr>
                <w:color w:val="000000"/>
                <w:sz w:val="18"/>
                <w:szCs w:val="18"/>
                <w:lang w:eastAsia="sk-SK"/>
              </w:rPr>
              <w:t>9 633</w:t>
            </w:r>
          </w:p>
        </w:tc>
        <w:tc>
          <w:tcPr>
            <w:tcW w:w="665" w:type="pct"/>
            <w:tcBorders>
              <w:top w:val="nil"/>
              <w:left w:val="nil"/>
              <w:bottom w:val="nil"/>
              <w:right w:val="nil"/>
            </w:tcBorders>
            <w:vAlign w:val="bottom"/>
          </w:tcPr>
          <w:p w14:paraId="30BD2907" w14:textId="135F4C9C" w:rsidR="001C7E41" w:rsidRPr="00F32FA9" w:rsidRDefault="00B868E8" w:rsidP="001C7E41">
            <w:pPr>
              <w:spacing w:after="0" w:line="240" w:lineRule="auto"/>
              <w:jc w:val="right"/>
              <w:rPr>
                <w:color w:val="000000"/>
                <w:sz w:val="18"/>
                <w:szCs w:val="18"/>
                <w:lang w:eastAsia="sk-SK"/>
              </w:rPr>
            </w:pPr>
            <w:r>
              <w:rPr>
                <w:color w:val="000000"/>
                <w:sz w:val="18"/>
                <w:szCs w:val="18"/>
                <w:lang w:eastAsia="sk-SK"/>
              </w:rPr>
              <w:t>14</w:t>
            </w:r>
            <w:r w:rsidR="00D27EAE">
              <w:rPr>
                <w:color w:val="000000"/>
                <w:sz w:val="18"/>
                <w:szCs w:val="18"/>
                <w:lang w:eastAsia="sk-SK"/>
              </w:rPr>
              <w:t xml:space="preserve"> </w:t>
            </w:r>
            <w:r>
              <w:rPr>
                <w:color w:val="000000"/>
                <w:sz w:val="18"/>
                <w:szCs w:val="18"/>
                <w:lang w:eastAsia="sk-SK"/>
              </w:rPr>
              <w:t>885</w:t>
            </w:r>
          </w:p>
        </w:tc>
      </w:tr>
      <w:tr w:rsidR="001C7E41" w:rsidRPr="00F32FA9" w14:paraId="28EDDE78" w14:textId="63DBB99F" w:rsidTr="001C7E41">
        <w:trPr>
          <w:trHeight w:val="290"/>
        </w:trPr>
        <w:tc>
          <w:tcPr>
            <w:tcW w:w="3005" w:type="pct"/>
            <w:tcBorders>
              <w:top w:val="nil"/>
              <w:left w:val="nil"/>
              <w:bottom w:val="single" w:sz="4" w:space="0" w:color="auto"/>
              <w:right w:val="nil"/>
            </w:tcBorders>
            <w:noWrap/>
            <w:vAlign w:val="center"/>
            <w:hideMark/>
          </w:tcPr>
          <w:p w14:paraId="1C912FB9" w14:textId="77777777" w:rsidR="001C7E41" w:rsidRPr="00F32FA9" w:rsidRDefault="001C7E41" w:rsidP="001C7E41">
            <w:pPr>
              <w:spacing w:after="0" w:line="240" w:lineRule="auto"/>
              <w:rPr>
                <w:color w:val="000000"/>
                <w:sz w:val="18"/>
                <w:szCs w:val="18"/>
                <w:lang w:eastAsia="sk-SK"/>
              </w:rPr>
            </w:pPr>
            <w:r w:rsidRPr="00F32FA9">
              <w:rPr>
                <w:color w:val="000000"/>
                <w:sz w:val="18"/>
                <w:szCs w:val="18"/>
                <w:lang w:eastAsia="sk-SK"/>
              </w:rPr>
              <w:t>Jednorazové výdavky</w:t>
            </w:r>
          </w:p>
        </w:tc>
        <w:tc>
          <w:tcPr>
            <w:tcW w:w="665" w:type="pct"/>
            <w:tcBorders>
              <w:top w:val="nil"/>
              <w:left w:val="nil"/>
              <w:bottom w:val="single" w:sz="4" w:space="0" w:color="auto"/>
              <w:right w:val="nil"/>
            </w:tcBorders>
            <w:noWrap/>
            <w:vAlign w:val="bottom"/>
            <w:hideMark/>
          </w:tcPr>
          <w:p w14:paraId="08E088D4" w14:textId="77777777"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0</w:t>
            </w:r>
          </w:p>
        </w:tc>
        <w:tc>
          <w:tcPr>
            <w:tcW w:w="665" w:type="pct"/>
            <w:tcBorders>
              <w:top w:val="nil"/>
              <w:left w:val="nil"/>
              <w:bottom w:val="single" w:sz="4" w:space="0" w:color="auto"/>
              <w:right w:val="nil"/>
            </w:tcBorders>
            <w:vAlign w:val="bottom"/>
          </w:tcPr>
          <w:p w14:paraId="07970BA8" w14:textId="628A7635"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0</w:t>
            </w:r>
          </w:p>
        </w:tc>
        <w:tc>
          <w:tcPr>
            <w:tcW w:w="665" w:type="pct"/>
            <w:tcBorders>
              <w:top w:val="nil"/>
              <w:left w:val="nil"/>
              <w:bottom w:val="single" w:sz="4" w:space="0" w:color="auto"/>
              <w:right w:val="nil"/>
            </w:tcBorders>
            <w:vAlign w:val="bottom"/>
          </w:tcPr>
          <w:p w14:paraId="7F6CFEEC" w14:textId="3D6C4B04"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0</w:t>
            </w:r>
          </w:p>
        </w:tc>
      </w:tr>
      <w:tr w:rsidR="001C7E41" w:rsidRPr="00F32FA9" w14:paraId="11029897" w14:textId="137C8EBC" w:rsidTr="001C7E41">
        <w:trPr>
          <w:trHeight w:val="290"/>
        </w:trPr>
        <w:tc>
          <w:tcPr>
            <w:tcW w:w="3005" w:type="pct"/>
            <w:tcBorders>
              <w:top w:val="single" w:sz="4" w:space="0" w:color="auto"/>
              <w:left w:val="nil"/>
              <w:bottom w:val="single" w:sz="4" w:space="0" w:color="auto"/>
              <w:right w:val="nil"/>
            </w:tcBorders>
            <w:noWrap/>
            <w:vAlign w:val="center"/>
            <w:hideMark/>
          </w:tcPr>
          <w:p w14:paraId="487C76F0" w14:textId="77777777" w:rsidR="001C7E41" w:rsidRPr="00F32FA9" w:rsidRDefault="001C7E41" w:rsidP="001C7E41">
            <w:pPr>
              <w:spacing w:after="0" w:line="240" w:lineRule="auto"/>
              <w:rPr>
                <w:b/>
                <w:bCs/>
                <w:color w:val="000000"/>
                <w:sz w:val="18"/>
                <w:szCs w:val="18"/>
                <w:lang w:eastAsia="sk-SK"/>
              </w:rPr>
            </w:pPr>
            <w:r w:rsidRPr="00F32FA9">
              <w:rPr>
                <w:b/>
                <w:bCs/>
                <w:sz w:val="18"/>
                <w:szCs w:val="18"/>
                <w:lang w:eastAsia="sk-SK"/>
              </w:rPr>
              <w:t>Výdavky verejnej správy spadajúce pod LVV</w:t>
            </w:r>
          </w:p>
        </w:tc>
        <w:tc>
          <w:tcPr>
            <w:tcW w:w="665" w:type="pct"/>
            <w:tcBorders>
              <w:top w:val="single" w:sz="4" w:space="0" w:color="auto"/>
              <w:left w:val="nil"/>
              <w:bottom w:val="single" w:sz="4" w:space="0" w:color="auto"/>
              <w:right w:val="nil"/>
            </w:tcBorders>
            <w:noWrap/>
            <w:vAlign w:val="bottom"/>
            <w:hideMark/>
          </w:tcPr>
          <w:p w14:paraId="69EBAAC1" w14:textId="77777777" w:rsidR="001C7E41" w:rsidRPr="00F32FA9" w:rsidRDefault="001C7E41" w:rsidP="001C7E41">
            <w:pPr>
              <w:spacing w:after="0" w:line="240" w:lineRule="auto"/>
              <w:jc w:val="right"/>
              <w:rPr>
                <w:b/>
                <w:bCs/>
                <w:color w:val="000000"/>
                <w:sz w:val="18"/>
                <w:szCs w:val="18"/>
                <w:lang w:eastAsia="sk-SK"/>
              </w:rPr>
            </w:pPr>
            <w:r w:rsidRPr="00F32FA9">
              <w:rPr>
                <w:b/>
                <w:bCs/>
                <w:color w:val="000000"/>
                <w:sz w:val="18"/>
                <w:szCs w:val="18"/>
                <w:lang w:eastAsia="sk-SK"/>
              </w:rPr>
              <w:t>57 605 108</w:t>
            </w:r>
          </w:p>
        </w:tc>
        <w:tc>
          <w:tcPr>
            <w:tcW w:w="665" w:type="pct"/>
            <w:tcBorders>
              <w:top w:val="single" w:sz="4" w:space="0" w:color="auto"/>
              <w:left w:val="nil"/>
              <w:bottom w:val="single" w:sz="4" w:space="0" w:color="auto"/>
              <w:right w:val="nil"/>
            </w:tcBorders>
            <w:vAlign w:val="bottom"/>
          </w:tcPr>
          <w:p w14:paraId="448313C7" w14:textId="1729DCBB" w:rsidR="001C7E41" w:rsidRPr="00F32FA9" w:rsidRDefault="001C7E41" w:rsidP="001C7E41">
            <w:pPr>
              <w:spacing w:after="0" w:line="240" w:lineRule="auto"/>
              <w:jc w:val="right"/>
              <w:rPr>
                <w:b/>
                <w:bCs/>
                <w:color w:val="000000"/>
                <w:sz w:val="18"/>
                <w:szCs w:val="18"/>
                <w:lang w:eastAsia="sk-SK"/>
              </w:rPr>
            </w:pPr>
            <w:r w:rsidRPr="00F32FA9">
              <w:rPr>
                <w:b/>
                <w:bCs/>
                <w:color w:val="000000"/>
                <w:sz w:val="18"/>
                <w:szCs w:val="18"/>
                <w:lang w:eastAsia="sk-SK"/>
              </w:rPr>
              <w:t>5</w:t>
            </w:r>
            <w:r w:rsidR="00B868E8">
              <w:rPr>
                <w:b/>
                <w:bCs/>
                <w:color w:val="000000"/>
                <w:sz w:val="18"/>
                <w:szCs w:val="18"/>
                <w:lang w:eastAsia="sk-SK"/>
              </w:rPr>
              <w:t>8</w:t>
            </w:r>
            <w:r w:rsidRPr="00F32FA9">
              <w:rPr>
                <w:b/>
                <w:bCs/>
                <w:color w:val="000000"/>
                <w:sz w:val="18"/>
                <w:szCs w:val="18"/>
                <w:lang w:eastAsia="sk-SK"/>
              </w:rPr>
              <w:t xml:space="preserve"> </w:t>
            </w:r>
            <w:r w:rsidR="00B868E8">
              <w:rPr>
                <w:b/>
                <w:bCs/>
                <w:color w:val="000000"/>
                <w:sz w:val="18"/>
                <w:szCs w:val="18"/>
                <w:lang w:eastAsia="sk-SK"/>
              </w:rPr>
              <w:t>00</w:t>
            </w:r>
            <w:r w:rsidR="007604FC">
              <w:rPr>
                <w:b/>
                <w:bCs/>
                <w:color w:val="000000"/>
                <w:sz w:val="18"/>
                <w:szCs w:val="18"/>
                <w:lang w:eastAsia="sk-SK"/>
              </w:rPr>
              <w:t>3</w:t>
            </w:r>
            <w:r w:rsidRPr="00F32FA9">
              <w:rPr>
                <w:b/>
                <w:bCs/>
                <w:color w:val="000000"/>
                <w:sz w:val="18"/>
                <w:szCs w:val="18"/>
                <w:lang w:eastAsia="sk-SK"/>
              </w:rPr>
              <w:t xml:space="preserve"> </w:t>
            </w:r>
            <w:r w:rsidR="007604FC">
              <w:rPr>
                <w:b/>
                <w:bCs/>
                <w:color w:val="000000"/>
                <w:sz w:val="18"/>
                <w:szCs w:val="18"/>
                <w:lang w:eastAsia="sk-SK"/>
              </w:rPr>
              <w:t>927</w:t>
            </w:r>
          </w:p>
        </w:tc>
        <w:tc>
          <w:tcPr>
            <w:tcW w:w="665" w:type="pct"/>
            <w:tcBorders>
              <w:top w:val="single" w:sz="4" w:space="0" w:color="auto"/>
              <w:left w:val="nil"/>
              <w:bottom w:val="single" w:sz="4" w:space="0" w:color="auto"/>
              <w:right w:val="nil"/>
            </w:tcBorders>
            <w:vAlign w:val="bottom"/>
          </w:tcPr>
          <w:p w14:paraId="2C7C8476" w14:textId="649239F1" w:rsidR="001C7E41" w:rsidRPr="00F32FA9" w:rsidRDefault="00B868E8" w:rsidP="001C7E41">
            <w:pPr>
              <w:spacing w:after="0" w:line="240" w:lineRule="auto"/>
              <w:jc w:val="right"/>
              <w:rPr>
                <w:b/>
                <w:bCs/>
                <w:color w:val="000000"/>
                <w:sz w:val="18"/>
                <w:szCs w:val="18"/>
                <w:lang w:eastAsia="sk-SK"/>
              </w:rPr>
            </w:pPr>
            <w:r>
              <w:rPr>
                <w:b/>
                <w:bCs/>
                <w:color w:val="000000"/>
                <w:sz w:val="18"/>
                <w:szCs w:val="18"/>
                <w:lang w:eastAsia="sk-SK"/>
              </w:rPr>
              <w:t>398</w:t>
            </w:r>
            <w:r w:rsidR="001C7E41" w:rsidRPr="00F32FA9">
              <w:rPr>
                <w:b/>
                <w:bCs/>
                <w:color w:val="000000"/>
                <w:sz w:val="18"/>
                <w:szCs w:val="18"/>
                <w:lang w:eastAsia="sk-SK"/>
              </w:rPr>
              <w:t xml:space="preserve"> </w:t>
            </w:r>
            <w:r w:rsidR="007604FC">
              <w:rPr>
                <w:b/>
                <w:bCs/>
                <w:color w:val="000000"/>
                <w:sz w:val="18"/>
                <w:szCs w:val="18"/>
                <w:lang w:eastAsia="sk-SK"/>
              </w:rPr>
              <w:t>819</w:t>
            </w:r>
          </w:p>
        </w:tc>
      </w:tr>
      <w:tr w:rsidR="001C7E41" w:rsidRPr="00F32FA9" w14:paraId="7FBA1060" w14:textId="3FF26541" w:rsidTr="001C7E41">
        <w:trPr>
          <w:trHeight w:val="290"/>
        </w:trPr>
        <w:tc>
          <w:tcPr>
            <w:tcW w:w="3005" w:type="pct"/>
            <w:tcBorders>
              <w:top w:val="single" w:sz="4" w:space="0" w:color="auto"/>
              <w:left w:val="nil"/>
              <w:bottom w:val="single" w:sz="4" w:space="0" w:color="auto"/>
              <w:right w:val="nil"/>
            </w:tcBorders>
            <w:noWrap/>
            <w:vAlign w:val="center"/>
            <w:hideMark/>
          </w:tcPr>
          <w:p w14:paraId="2BA4909B" w14:textId="77777777" w:rsidR="001C7E41" w:rsidRPr="00F32FA9" w:rsidRDefault="001C7E41" w:rsidP="001C7E41">
            <w:pPr>
              <w:spacing w:after="0" w:line="240" w:lineRule="auto"/>
              <w:rPr>
                <w:color w:val="000000"/>
                <w:sz w:val="18"/>
                <w:szCs w:val="18"/>
                <w:lang w:eastAsia="sk-SK"/>
              </w:rPr>
            </w:pPr>
            <w:r w:rsidRPr="00F32FA9">
              <w:rPr>
                <w:color w:val="000000"/>
                <w:sz w:val="18"/>
                <w:szCs w:val="18"/>
                <w:lang w:eastAsia="sk-SK"/>
              </w:rPr>
              <w:t>Zákonom stanovený limit verejných výdavkov na rok 2024</w:t>
            </w:r>
          </w:p>
        </w:tc>
        <w:tc>
          <w:tcPr>
            <w:tcW w:w="665" w:type="pct"/>
            <w:tcBorders>
              <w:top w:val="single" w:sz="4" w:space="0" w:color="auto"/>
              <w:left w:val="nil"/>
              <w:bottom w:val="single" w:sz="4" w:space="0" w:color="auto"/>
              <w:right w:val="nil"/>
            </w:tcBorders>
            <w:noWrap/>
            <w:vAlign w:val="bottom"/>
            <w:hideMark/>
          </w:tcPr>
          <w:p w14:paraId="634C432D" w14:textId="77777777"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57 717 011</w:t>
            </w:r>
          </w:p>
        </w:tc>
        <w:tc>
          <w:tcPr>
            <w:tcW w:w="665" w:type="pct"/>
            <w:tcBorders>
              <w:top w:val="single" w:sz="4" w:space="0" w:color="auto"/>
              <w:left w:val="nil"/>
              <w:bottom w:val="single" w:sz="4" w:space="0" w:color="auto"/>
              <w:right w:val="nil"/>
            </w:tcBorders>
            <w:vAlign w:val="bottom"/>
          </w:tcPr>
          <w:p w14:paraId="0D41C30F" w14:textId="2E299AA1"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57 717 011</w:t>
            </w:r>
          </w:p>
        </w:tc>
        <w:tc>
          <w:tcPr>
            <w:tcW w:w="665" w:type="pct"/>
            <w:tcBorders>
              <w:top w:val="single" w:sz="4" w:space="0" w:color="auto"/>
              <w:left w:val="nil"/>
              <w:bottom w:val="single" w:sz="4" w:space="0" w:color="auto"/>
              <w:right w:val="nil"/>
            </w:tcBorders>
            <w:vAlign w:val="bottom"/>
          </w:tcPr>
          <w:p w14:paraId="512345E7" w14:textId="0DDAB6CC" w:rsidR="001C7E41" w:rsidRPr="00F32FA9" w:rsidRDefault="001C7E41" w:rsidP="001C7E41">
            <w:pPr>
              <w:spacing w:after="0" w:line="240" w:lineRule="auto"/>
              <w:jc w:val="right"/>
              <w:rPr>
                <w:color w:val="000000"/>
                <w:sz w:val="18"/>
                <w:szCs w:val="18"/>
                <w:lang w:eastAsia="sk-SK"/>
              </w:rPr>
            </w:pPr>
            <w:r w:rsidRPr="00F32FA9">
              <w:rPr>
                <w:color w:val="000000"/>
                <w:sz w:val="18"/>
                <w:szCs w:val="18"/>
                <w:lang w:eastAsia="sk-SK"/>
              </w:rPr>
              <w:t>0</w:t>
            </w:r>
          </w:p>
        </w:tc>
      </w:tr>
      <w:tr w:rsidR="001C7E41" w:rsidRPr="00F32FA9" w14:paraId="314E113C" w14:textId="513DA035" w:rsidTr="004973DF">
        <w:trPr>
          <w:trHeight w:val="290"/>
        </w:trPr>
        <w:tc>
          <w:tcPr>
            <w:tcW w:w="3005" w:type="pct"/>
            <w:tcBorders>
              <w:top w:val="nil"/>
              <w:left w:val="nil"/>
              <w:bottom w:val="nil"/>
              <w:right w:val="nil"/>
            </w:tcBorders>
            <w:noWrap/>
            <w:vAlign w:val="center"/>
            <w:hideMark/>
          </w:tcPr>
          <w:p w14:paraId="20133CD2" w14:textId="77777777" w:rsidR="001C7E41" w:rsidRPr="00F32FA9" w:rsidRDefault="001C7E41" w:rsidP="001C7E41">
            <w:pPr>
              <w:spacing w:after="0" w:line="240" w:lineRule="auto"/>
              <w:rPr>
                <w:b/>
                <w:bCs/>
                <w:color w:val="000000"/>
                <w:sz w:val="18"/>
                <w:szCs w:val="18"/>
                <w:lang w:eastAsia="sk-SK"/>
              </w:rPr>
            </w:pPr>
            <w:r w:rsidRPr="00F32FA9">
              <w:rPr>
                <w:b/>
                <w:bCs/>
                <w:color w:val="000000"/>
                <w:sz w:val="18"/>
                <w:szCs w:val="18"/>
                <w:lang w:eastAsia="sk-SK"/>
              </w:rPr>
              <w:t>Rozdiel (+/-)</w:t>
            </w:r>
          </w:p>
        </w:tc>
        <w:tc>
          <w:tcPr>
            <w:tcW w:w="665" w:type="pct"/>
            <w:tcBorders>
              <w:top w:val="nil"/>
              <w:left w:val="nil"/>
              <w:bottom w:val="nil"/>
              <w:right w:val="nil"/>
            </w:tcBorders>
            <w:noWrap/>
            <w:vAlign w:val="bottom"/>
            <w:hideMark/>
          </w:tcPr>
          <w:p w14:paraId="1D110734" w14:textId="77777777" w:rsidR="001C7E41" w:rsidRPr="00F32FA9" w:rsidRDefault="001C7E41" w:rsidP="001C7E41">
            <w:pPr>
              <w:spacing w:after="0" w:line="240" w:lineRule="auto"/>
              <w:jc w:val="right"/>
              <w:rPr>
                <w:b/>
                <w:bCs/>
                <w:color w:val="000000"/>
                <w:sz w:val="18"/>
                <w:szCs w:val="18"/>
                <w:lang w:eastAsia="sk-SK"/>
              </w:rPr>
            </w:pPr>
            <w:r w:rsidRPr="00F32FA9">
              <w:rPr>
                <w:b/>
                <w:bCs/>
                <w:color w:val="000000"/>
                <w:sz w:val="18"/>
                <w:szCs w:val="18"/>
                <w:lang w:eastAsia="sk-SK"/>
              </w:rPr>
              <w:t>-111 903</w:t>
            </w:r>
          </w:p>
        </w:tc>
        <w:tc>
          <w:tcPr>
            <w:tcW w:w="665" w:type="pct"/>
            <w:tcBorders>
              <w:top w:val="nil"/>
              <w:left w:val="nil"/>
              <w:bottom w:val="nil"/>
              <w:right w:val="nil"/>
            </w:tcBorders>
            <w:vAlign w:val="bottom"/>
          </w:tcPr>
          <w:p w14:paraId="1C6240E8" w14:textId="48F8211B" w:rsidR="001C7E41" w:rsidRPr="00F32FA9" w:rsidRDefault="00902DE7" w:rsidP="001C7E41">
            <w:pPr>
              <w:spacing w:after="0" w:line="240" w:lineRule="auto"/>
              <w:jc w:val="right"/>
              <w:rPr>
                <w:b/>
                <w:bCs/>
                <w:color w:val="000000"/>
                <w:sz w:val="18"/>
                <w:szCs w:val="18"/>
                <w:lang w:eastAsia="sk-SK"/>
              </w:rPr>
            </w:pPr>
            <w:r>
              <w:rPr>
                <w:b/>
                <w:bCs/>
                <w:color w:val="000000"/>
                <w:sz w:val="18"/>
                <w:szCs w:val="18"/>
                <w:lang w:eastAsia="sk-SK"/>
              </w:rPr>
              <w:t>2</w:t>
            </w:r>
            <w:r w:rsidR="00B868E8">
              <w:rPr>
                <w:b/>
                <w:bCs/>
                <w:color w:val="000000"/>
                <w:sz w:val="18"/>
                <w:szCs w:val="18"/>
                <w:lang w:eastAsia="sk-SK"/>
              </w:rPr>
              <w:t>8</w:t>
            </w:r>
            <w:r w:rsidR="007604FC">
              <w:rPr>
                <w:b/>
                <w:bCs/>
                <w:color w:val="000000"/>
                <w:sz w:val="18"/>
                <w:szCs w:val="18"/>
                <w:lang w:eastAsia="sk-SK"/>
              </w:rPr>
              <w:t>6</w:t>
            </w:r>
            <w:r w:rsidR="001C7E41" w:rsidRPr="00F32FA9">
              <w:rPr>
                <w:b/>
                <w:bCs/>
                <w:color w:val="000000"/>
                <w:sz w:val="18"/>
                <w:szCs w:val="18"/>
                <w:lang w:eastAsia="sk-SK"/>
              </w:rPr>
              <w:t xml:space="preserve"> </w:t>
            </w:r>
            <w:r w:rsidR="007604FC">
              <w:rPr>
                <w:b/>
                <w:bCs/>
                <w:color w:val="000000"/>
                <w:sz w:val="18"/>
                <w:szCs w:val="18"/>
                <w:lang w:eastAsia="sk-SK"/>
              </w:rPr>
              <w:t>916</w:t>
            </w:r>
          </w:p>
        </w:tc>
        <w:tc>
          <w:tcPr>
            <w:tcW w:w="665" w:type="pct"/>
            <w:tcBorders>
              <w:top w:val="nil"/>
              <w:left w:val="nil"/>
              <w:bottom w:val="nil"/>
              <w:right w:val="nil"/>
            </w:tcBorders>
            <w:vAlign w:val="bottom"/>
          </w:tcPr>
          <w:p w14:paraId="443803AB" w14:textId="0821FE72" w:rsidR="001C7E41" w:rsidRPr="00F32FA9" w:rsidRDefault="00902DE7" w:rsidP="001C7E41">
            <w:pPr>
              <w:spacing w:after="0" w:line="240" w:lineRule="auto"/>
              <w:jc w:val="right"/>
              <w:rPr>
                <w:b/>
                <w:bCs/>
                <w:color w:val="000000"/>
                <w:sz w:val="18"/>
                <w:szCs w:val="18"/>
                <w:lang w:eastAsia="sk-SK"/>
              </w:rPr>
            </w:pPr>
            <w:r>
              <w:rPr>
                <w:b/>
                <w:bCs/>
                <w:color w:val="000000"/>
                <w:sz w:val="18"/>
                <w:szCs w:val="18"/>
                <w:lang w:eastAsia="sk-SK"/>
              </w:rPr>
              <w:t>39</w:t>
            </w:r>
            <w:r w:rsidR="00B868E8">
              <w:rPr>
                <w:b/>
                <w:bCs/>
                <w:color w:val="000000"/>
                <w:sz w:val="18"/>
                <w:szCs w:val="18"/>
                <w:lang w:eastAsia="sk-SK"/>
              </w:rPr>
              <w:t>8</w:t>
            </w:r>
            <w:r w:rsidR="001C7E41" w:rsidRPr="00F32FA9">
              <w:rPr>
                <w:b/>
                <w:bCs/>
                <w:color w:val="000000"/>
                <w:sz w:val="18"/>
                <w:szCs w:val="18"/>
                <w:lang w:eastAsia="sk-SK"/>
              </w:rPr>
              <w:t xml:space="preserve"> </w:t>
            </w:r>
            <w:r w:rsidR="007604FC">
              <w:rPr>
                <w:b/>
                <w:bCs/>
                <w:color w:val="000000"/>
                <w:sz w:val="18"/>
                <w:szCs w:val="18"/>
                <w:lang w:eastAsia="sk-SK"/>
              </w:rPr>
              <w:t>819</w:t>
            </w:r>
          </w:p>
        </w:tc>
      </w:tr>
      <w:tr w:rsidR="00F7144F" w:rsidRPr="00F32FA9" w14:paraId="58A697BD" w14:textId="77777777" w:rsidTr="001C7E41">
        <w:trPr>
          <w:trHeight w:val="290"/>
        </w:trPr>
        <w:tc>
          <w:tcPr>
            <w:tcW w:w="3005" w:type="pct"/>
            <w:tcBorders>
              <w:top w:val="nil"/>
              <w:left w:val="nil"/>
              <w:bottom w:val="single" w:sz="4" w:space="0" w:color="auto"/>
              <w:right w:val="nil"/>
            </w:tcBorders>
            <w:noWrap/>
            <w:vAlign w:val="center"/>
          </w:tcPr>
          <w:p w14:paraId="16847F5E" w14:textId="1A977A7E" w:rsidR="00F7144F" w:rsidRPr="004973DF" w:rsidRDefault="00F7144F" w:rsidP="001C7E41">
            <w:pPr>
              <w:spacing w:after="0" w:line="240" w:lineRule="auto"/>
              <w:rPr>
                <w:color w:val="000000"/>
                <w:sz w:val="18"/>
                <w:szCs w:val="18"/>
                <w:lang w:eastAsia="sk-SK"/>
              </w:rPr>
            </w:pPr>
            <w:r w:rsidRPr="004973DF">
              <w:rPr>
                <w:color w:val="000000"/>
                <w:sz w:val="18"/>
                <w:szCs w:val="18"/>
                <w:lang w:eastAsia="sk-SK"/>
              </w:rPr>
              <w:t>Imputácia výdavku za Modernizačný fond - klasifikácia ako EÚ zdroj</w:t>
            </w:r>
          </w:p>
        </w:tc>
        <w:tc>
          <w:tcPr>
            <w:tcW w:w="665" w:type="pct"/>
            <w:tcBorders>
              <w:top w:val="nil"/>
              <w:left w:val="nil"/>
              <w:bottom w:val="single" w:sz="4" w:space="0" w:color="auto"/>
              <w:right w:val="nil"/>
            </w:tcBorders>
            <w:noWrap/>
            <w:vAlign w:val="bottom"/>
          </w:tcPr>
          <w:p w14:paraId="7416E5A7" w14:textId="276B6A99" w:rsidR="00F7144F" w:rsidRPr="004973DF" w:rsidRDefault="00F7144F" w:rsidP="001C7E41">
            <w:pPr>
              <w:spacing w:after="0" w:line="240" w:lineRule="auto"/>
              <w:jc w:val="right"/>
              <w:rPr>
                <w:color w:val="000000"/>
                <w:sz w:val="18"/>
                <w:szCs w:val="18"/>
                <w:lang w:eastAsia="sk-SK"/>
              </w:rPr>
            </w:pPr>
            <w:r w:rsidRPr="004973DF">
              <w:rPr>
                <w:color w:val="000000"/>
                <w:sz w:val="18"/>
                <w:szCs w:val="18"/>
                <w:lang w:eastAsia="sk-SK"/>
              </w:rPr>
              <w:t>0</w:t>
            </w:r>
          </w:p>
        </w:tc>
        <w:tc>
          <w:tcPr>
            <w:tcW w:w="665" w:type="pct"/>
            <w:tcBorders>
              <w:top w:val="nil"/>
              <w:left w:val="nil"/>
              <w:bottom w:val="single" w:sz="4" w:space="0" w:color="auto"/>
              <w:right w:val="nil"/>
            </w:tcBorders>
            <w:vAlign w:val="bottom"/>
          </w:tcPr>
          <w:p w14:paraId="2D7533D3" w14:textId="5CC1D4F7" w:rsidR="00F7144F" w:rsidRPr="004973DF" w:rsidRDefault="00F7144F" w:rsidP="001C7E41">
            <w:pPr>
              <w:spacing w:after="0" w:line="240" w:lineRule="auto"/>
              <w:jc w:val="right"/>
              <w:rPr>
                <w:color w:val="000000"/>
                <w:sz w:val="18"/>
                <w:szCs w:val="18"/>
                <w:lang w:eastAsia="sk-SK"/>
              </w:rPr>
            </w:pPr>
            <w:r w:rsidRPr="004973DF">
              <w:rPr>
                <w:color w:val="000000"/>
                <w:sz w:val="18"/>
                <w:szCs w:val="18"/>
                <w:lang w:eastAsia="sk-SK"/>
              </w:rPr>
              <w:t>-223 201</w:t>
            </w:r>
          </w:p>
        </w:tc>
        <w:tc>
          <w:tcPr>
            <w:tcW w:w="665" w:type="pct"/>
            <w:tcBorders>
              <w:top w:val="nil"/>
              <w:left w:val="nil"/>
              <w:bottom w:val="single" w:sz="4" w:space="0" w:color="auto"/>
              <w:right w:val="nil"/>
            </w:tcBorders>
            <w:vAlign w:val="bottom"/>
          </w:tcPr>
          <w:p w14:paraId="0451FEBF" w14:textId="0C2494D7" w:rsidR="00F7144F" w:rsidRPr="004973DF" w:rsidRDefault="00F7144F" w:rsidP="001C7E41">
            <w:pPr>
              <w:spacing w:after="0" w:line="240" w:lineRule="auto"/>
              <w:jc w:val="right"/>
              <w:rPr>
                <w:color w:val="000000"/>
                <w:sz w:val="18"/>
                <w:szCs w:val="18"/>
                <w:lang w:eastAsia="sk-SK"/>
              </w:rPr>
            </w:pPr>
            <w:r w:rsidRPr="004973DF">
              <w:rPr>
                <w:color w:val="000000"/>
                <w:sz w:val="18"/>
                <w:szCs w:val="18"/>
                <w:lang w:eastAsia="sk-SK"/>
              </w:rPr>
              <w:t>-223 201</w:t>
            </w:r>
          </w:p>
        </w:tc>
      </w:tr>
      <w:tr w:rsidR="00F7144F" w:rsidRPr="00F32FA9" w14:paraId="19AF8016" w14:textId="77777777" w:rsidTr="001C7E41">
        <w:trPr>
          <w:trHeight w:val="290"/>
        </w:trPr>
        <w:tc>
          <w:tcPr>
            <w:tcW w:w="3005" w:type="pct"/>
            <w:tcBorders>
              <w:top w:val="nil"/>
              <w:left w:val="nil"/>
              <w:bottom w:val="single" w:sz="4" w:space="0" w:color="auto"/>
              <w:right w:val="nil"/>
            </w:tcBorders>
            <w:noWrap/>
            <w:vAlign w:val="center"/>
          </w:tcPr>
          <w:p w14:paraId="22693D9C" w14:textId="77777777" w:rsidR="00F7144F" w:rsidRDefault="00F7144F" w:rsidP="001C7E41">
            <w:pPr>
              <w:spacing w:after="0" w:line="240" w:lineRule="auto"/>
              <w:rPr>
                <w:b/>
                <w:bCs/>
                <w:sz w:val="18"/>
                <w:szCs w:val="18"/>
                <w:lang w:eastAsia="sk-SK"/>
              </w:rPr>
            </w:pPr>
            <w:r w:rsidRPr="00F32FA9">
              <w:rPr>
                <w:b/>
                <w:bCs/>
                <w:sz w:val="18"/>
                <w:szCs w:val="18"/>
                <w:lang w:eastAsia="sk-SK"/>
              </w:rPr>
              <w:t>Výdavky verejnej správy spadajúce pod LVV</w:t>
            </w:r>
            <w:r>
              <w:rPr>
                <w:b/>
                <w:bCs/>
                <w:sz w:val="18"/>
                <w:szCs w:val="18"/>
                <w:lang w:eastAsia="sk-SK"/>
              </w:rPr>
              <w:t xml:space="preserve"> – po odpočítaní výdavkov </w:t>
            </w:r>
          </w:p>
          <w:p w14:paraId="2EE4C6A9" w14:textId="2385710A" w:rsidR="00F7144F" w:rsidRPr="00F32FA9" w:rsidRDefault="00F7144F" w:rsidP="001C7E41">
            <w:pPr>
              <w:spacing w:after="0" w:line="240" w:lineRule="auto"/>
              <w:rPr>
                <w:b/>
                <w:bCs/>
                <w:color w:val="000000"/>
                <w:sz w:val="18"/>
                <w:szCs w:val="18"/>
                <w:lang w:eastAsia="sk-SK"/>
              </w:rPr>
            </w:pPr>
            <w:r>
              <w:rPr>
                <w:b/>
                <w:bCs/>
                <w:sz w:val="18"/>
                <w:szCs w:val="18"/>
                <w:lang w:eastAsia="sk-SK"/>
              </w:rPr>
              <w:t xml:space="preserve">za Modernizačný </w:t>
            </w:r>
            <w:r w:rsidR="00B2363F">
              <w:rPr>
                <w:b/>
                <w:bCs/>
                <w:sz w:val="18"/>
                <w:szCs w:val="18"/>
                <w:lang w:eastAsia="sk-SK"/>
              </w:rPr>
              <w:t>f</w:t>
            </w:r>
            <w:r>
              <w:rPr>
                <w:b/>
                <w:bCs/>
                <w:sz w:val="18"/>
                <w:szCs w:val="18"/>
                <w:lang w:eastAsia="sk-SK"/>
              </w:rPr>
              <w:t>on</w:t>
            </w:r>
            <w:r w:rsidR="00B2363F">
              <w:rPr>
                <w:b/>
                <w:bCs/>
                <w:sz w:val="18"/>
                <w:szCs w:val="18"/>
                <w:lang w:eastAsia="sk-SK"/>
              </w:rPr>
              <w:t>d</w:t>
            </w:r>
          </w:p>
        </w:tc>
        <w:tc>
          <w:tcPr>
            <w:tcW w:w="665" w:type="pct"/>
            <w:tcBorders>
              <w:top w:val="nil"/>
              <w:left w:val="nil"/>
              <w:bottom w:val="single" w:sz="4" w:space="0" w:color="auto"/>
              <w:right w:val="nil"/>
            </w:tcBorders>
            <w:noWrap/>
            <w:vAlign w:val="bottom"/>
          </w:tcPr>
          <w:p w14:paraId="19A60E0D" w14:textId="654D8976" w:rsidR="00F7144F" w:rsidRPr="00F32FA9" w:rsidRDefault="00F7144F" w:rsidP="001C7E41">
            <w:pPr>
              <w:spacing w:after="0" w:line="240" w:lineRule="auto"/>
              <w:jc w:val="right"/>
              <w:rPr>
                <w:b/>
                <w:bCs/>
                <w:color w:val="000000"/>
                <w:sz w:val="18"/>
                <w:szCs w:val="18"/>
                <w:lang w:eastAsia="sk-SK"/>
              </w:rPr>
            </w:pPr>
            <w:r>
              <w:rPr>
                <w:b/>
                <w:bCs/>
                <w:color w:val="000000"/>
                <w:sz w:val="18"/>
                <w:szCs w:val="18"/>
                <w:lang w:eastAsia="sk-SK"/>
              </w:rPr>
              <w:t>57 605 108</w:t>
            </w:r>
          </w:p>
        </w:tc>
        <w:tc>
          <w:tcPr>
            <w:tcW w:w="665" w:type="pct"/>
            <w:tcBorders>
              <w:top w:val="nil"/>
              <w:left w:val="nil"/>
              <w:bottom w:val="single" w:sz="4" w:space="0" w:color="auto"/>
              <w:right w:val="nil"/>
            </w:tcBorders>
            <w:vAlign w:val="bottom"/>
          </w:tcPr>
          <w:p w14:paraId="1275B53C" w14:textId="273CFF68" w:rsidR="00F7144F" w:rsidRDefault="00F7144F" w:rsidP="001C7E41">
            <w:pPr>
              <w:spacing w:after="0" w:line="240" w:lineRule="auto"/>
              <w:jc w:val="right"/>
              <w:rPr>
                <w:b/>
                <w:bCs/>
                <w:color w:val="000000"/>
                <w:sz w:val="18"/>
                <w:szCs w:val="18"/>
                <w:lang w:eastAsia="sk-SK"/>
              </w:rPr>
            </w:pPr>
            <w:r>
              <w:rPr>
                <w:b/>
                <w:bCs/>
                <w:color w:val="000000"/>
                <w:sz w:val="18"/>
                <w:szCs w:val="18"/>
                <w:lang w:eastAsia="sk-SK"/>
              </w:rPr>
              <w:t>57 780 726</w:t>
            </w:r>
          </w:p>
        </w:tc>
        <w:tc>
          <w:tcPr>
            <w:tcW w:w="665" w:type="pct"/>
            <w:tcBorders>
              <w:top w:val="nil"/>
              <w:left w:val="nil"/>
              <w:bottom w:val="single" w:sz="4" w:space="0" w:color="auto"/>
              <w:right w:val="nil"/>
            </w:tcBorders>
            <w:vAlign w:val="bottom"/>
          </w:tcPr>
          <w:p w14:paraId="48B66E3A" w14:textId="2914C2A2" w:rsidR="00F7144F" w:rsidRDefault="00F7144F" w:rsidP="001C7E41">
            <w:pPr>
              <w:spacing w:after="0" w:line="240" w:lineRule="auto"/>
              <w:jc w:val="right"/>
              <w:rPr>
                <w:b/>
                <w:bCs/>
                <w:color w:val="000000"/>
                <w:sz w:val="18"/>
                <w:szCs w:val="18"/>
                <w:lang w:eastAsia="sk-SK"/>
              </w:rPr>
            </w:pPr>
            <w:r>
              <w:rPr>
                <w:b/>
                <w:bCs/>
                <w:color w:val="000000"/>
                <w:sz w:val="18"/>
                <w:szCs w:val="18"/>
                <w:lang w:eastAsia="sk-SK"/>
              </w:rPr>
              <w:t>175 618</w:t>
            </w:r>
          </w:p>
        </w:tc>
      </w:tr>
      <w:tr w:rsidR="00F7144F" w:rsidRPr="00F32FA9" w14:paraId="742EA431" w14:textId="77777777" w:rsidTr="001C7E41">
        <w:trPr>
          <w:trHeight w:val="290"/>
        </w:trPr>
        <w:tc>
          <w:tcPr>
            <w:tcW w:w="3005" w:type="pct"/>
            <w:tcBorders>
              <w:top w:val="nil"/>
              <w:left w:val="nil"/>
              <w:bottom w:val="single" w:sz="4" w:space="0" w:color="auto"/>
              <w:right w:val="nil"/>
            </w:tcBorders>
            <w:noWrap/>
            <w:vAlign w:val="center"/>
          </w:tcPr>
          <w:p w14:paraId="1397673E" w14:textId="580EAFB9" w:rsidR="00F7144F" w:rsidRPr="00F32FA9" w:rsidRDefault="00F7144F" w:rsidP="001C7E41">
            <w:pPr>
              <w:spacing w:after="0" w:line="240" w:lineRule="auto"/>
              <w:rPr>
                <w:b/>
                <w:bCs/>
                <w:color w:val="000000"/>
                <w:sz w:val="18"/>
                <w:szCs w:val="18"/>
                <w:lang w:eastAsia="sk-SK"/>
              </w:rPr>
            </w:pPr>
            <w:r w:rsidRPr="00F32FA9">
              <w:rPr>
                <w:b/>
                <w:bCs/>
                <w:color w:val="000000"/>
                <w:sz w:val="18"/>
                <w:szCs w:val="18"/>
                <w:lang w:eastAsia="sk-SK"/>
              </w:rPr>
              <w:t>Rozdiel (+/-)</w:t>
            </w:r>
          </w:p>
        </w:tc>
        <w:tc>
          <w:tcPr>
            <w:tcW w:w="665" w:type="pct"/>
            <w:tcBorders>
              <w:top w:val="nil"/>
              <w:left w:val="nil"/>
              <w:bottom w:val="single" w:sz="4" w:space="0" w:color="auto"/>
              <w:right w:val="nil"/>
            </w:tcBorders>
            <w:noWrap/>
            <w:vAlign w:val="bottom"/>
          </w:tcPr>
          <w:p w14:paraId="3260791C" w14:textId="08CD87D6" w:rsidR="00F7144F" w:rsidRPr="00F32FA9" w:rsidRDefault="00F7144F" w:rsidP="001C7E41">
            <w:pPr>
              <w:spacing w:after="0" w:line="240" w:lineRule="auto"/>
              <w:jc w:val="right"/>
              <w:rPr>
                <w:b/>
                <w:bCs/>
                <w:color w:val="000000"/>
                <w:sz w:val="18"/>
                <w:szCs w:val="18"/>
                <w:lang w:eastAsia="sk-SK"/>
              </w:rPr>
            </w:pPr>
            <w:r>
              <w:rPr>
                <w:b/>
                <w:bCs/>
                <w:color w:val="000000"/>
                <w:sz w:val="18"/>
                <w:szCs w:val="18"/>
                <w:lang w:eastAsia="sk-SK"/>
              </w:rPr>
              <w:t>-111 903</w:t>
            </w:r>
          </w:p>
        </w:tc>
        <w:tc>
          <w:tcPr>
            <w:tcW w:w="665" w:type="pct"/>
            <w:tcBorders>
              <w:top w:val="nil"/>
              <w:left w:val="nil"/>
              <w:bottom w:val="single" w:sz="4" w:space="0" w:color="auto"/>
              <w:right w:val="nil"/>
            </w:tcBorders>
            <w:vAlign w:val="bottom"/>
          </w:tcPr>
          <w:p w14:paraId="3A12FADE" w14:textId="48C898AA" w:rsidR="00F7144F" w:rsidRDefault="00F7144F" w:rsidP="001C7E41">
            <w:pPr>
              <w:spacing w:after="0" w:line="240" w:lineRule="auto"/>
              <w:jc w:val="right"/>
              <w:rPr>
                <w:b/>
                <w:bCs/>
                <w:color w:val="000000"/>
                <w:sz w:val="18"/>
                <w:szCs w:val="18"/>
                <w:lang w:eastAsia="sk-SK"/>
              </w:rPr>
            </w:pPr>
            <w:r>
              <w:rPr>
                <w:b/>
                <w:bCs/>
                <w:color w:val="000000"/>
                <w:sz w:val="18"/>
                <w:szCs w:val="18"/>
                <w:lang w:eastAsia="sk-SK"/>
              </w:rPr>
              <w:t>63 715</w:t>
            </w:r>
          </w:p>
        </w:tc>
        <w:tc>
          <w:tcPr>
            <w:tcW w:w="665" w:type="pct"/>
            <w:tcBorders>
              <w:top w:val="nil"/>
              <w:left w:val="nil"/>
              <w:bottom w:val="single" w:sz="4" w:space="0" w:color="auto"/>
              <w:right w:val="nil"/>
            </w:tcBorders>
            <w:vAlign w:val="bottom"/>
          </w:tcPr>
          <w:p w14:paraId="052EEC5F" w14:textId="40DBA75A" w:rsidR="00F7144F" w:rsidRDefault="00F7144F" w:rsidP="001C7E41">
            <w:pPr>
              <w:spacing w:after="0" w:line="240" w:lineRule="auto"/>
              <w:jc w:val="right"/>
              <w:rPr>
                <w:b/>
                <w:bCs/>
                <w:color w:val="000000"/>
                <w:sz w:val="18"/>
                <w:szCs w:val="18"/>
                <w:lang w:eastAsia="sk-SK"/>
              </w:rPr>
            </w:pPr>
            <w:r>
              <w:rPr>
                <w:b/>
                <w:bCs/>
                <w:color w:val="000000"/>
                <w:sz w:val="18"/>
                <w:szCs w:val="18"/>
                <w:lang w:eastAsia="sk-SK"/>
              </w:rPr>
              <w:t>175 618</w:t>
            </w:r>
          </w:p>
        </w:tc>
      </w:tr>
    </w:tbl>
    <w:p w14:paraId="1AF7FF3E" w14:textId="6C2F8410" w:rsidR="00123D20" w:rsidRDefault="00123D20" w:rsidP="00123D20">
      <w:pPr>
        <w:keepLines/>
        <w:spacing w:line="240" w:lineRule="auto"/>
        <w:rPr>
          <w:sz w:val="18"/>
          <w:szCs w:val="18"/>
        </w:rPr>
      </w:pPr>
      <w:r w:rsidRPr="00F32FA9">
        <w:rPr>
          <w:sz w:val="18"/>
          <w:szCs w:val="18"/>
        </w:rPr>
        <w:t xml:space="preserve">(+) znamená </w:t>
      </w:r>
      <w:r w:rsidR="00EA3B84">
        <w:rPr>
          <w:sz w:val="18"/>
          <w:szCs w:val="18"/>
        </w:rPr>
        <w:t>prekročenie</w:t>
      </w:r>
      <w:r w:rsidRPr="00F32FA9">
        <w:rPr>
          <w:sz w:val="18"/>
          <w:szCs w:val="18"/>
        </w:rPr>
        <w:t xml:space="preserve"> LVV a (-) znamená </w:t>
      </w:r>
      <w:r w:rsidR="00EA3B84">
        <w:rPr>
          <w:sz w:val="18"/>
          <w:szCs w:val="18"/>
        </w:rPr>
        <w:t>splnenie</w:t>
      </w:r>
      <w:r w:rsidRPr="00F32FA9">
        <w:rPr>
          <w:sz w:val="18"/>
          <w:szCs w:val="18"/>
        </w:rPr>
        <w:t xml:space="preserve"> LVV</w:t>
      </w:r>
      <w:r w:rsidRPr="00F32FA9">
        <w:rPr>
          <w:sz w:val="18"/>
          <w:szCs w:val="18"/>
        </w:rPr>
        <w:tab/>
      </w:r>
      <w:r w:rsidRPr="00F32FA9">
        <w:rPr>
          <w:sz w:val="18"/>
          <w:szCs w:val="18"/>
        </w:rPr>
        <w:tab/>
      </w:r>
      <w:r w:rsidRPr="00F32FA9">
        <w:rPr>
          <w:sz w:val="18"/>
          <w:szCs w:val="18"/>
        </w:rPr>
        <w:tab/>
      </w:r>
      <w:r w:rsidRPr="00F32FA9">
        <w:rPr>
          <w:sz w:val="18"/>
          <w:szCs w:val="18"/>
        </w:rPr>
        <w:tab/>
        <w:t xml:space="preserve">              Zdroj: MF SR, ŠÚ SR</w:t>
      </w:r>
    </w:p>
    <w:p w14:paraId="4CCA8796" w14:textId="649B30FC" w:rsidR="00AC457B" w:rsidRPr="005120E8" w:rsidRDefault="00AC457B" w:rsidP="00CC72FA">
      <w:pPr>
        <w:spacing w:after="120" w:line="240" w:lineRule="auto"/>
        <w:jc w:val="both"/>
      </w:pPr>
      <w:r w:rsidRPr="00AC457B">
        <w:t>Oproti jarnej notifikácií došlo k</w:t>
      </w:r>
      <w:r>
        <w:t> </w:t>
      </w:r>
      <w:r w:rsidRPr="00AC457B">
        <w:t>re</w:t>
      </w:r>
      <w:r>
        <w:t xml:space="preserve">vízii </w:t>
      </w:r>
      <w:r w:rsidR="005120E8">
        <w:t xml:space="preserve">celkových ESA </w:t>
      </w:r>
      <w:r>
        <w:t xml:space="preserve">výdavkov verejnej správy </w:t>
      </w:r>
      <w:r w:rsidR="009C7631">
        <w:t xml:space="preserve">smerom nahor </w:t>
      </w:r>
      <w:r w:rsidRPr="005120E8">
        <w:t>o 92</w:t>
      </w:r>
      <w:r w:rsidR="00576AE9">
        <w:t> </w:t>
      </w:r>
      <w:r w:rsidR="004C58AC">
        <w:t>394</w:t>
      </w:r>
      <w:r w:rsidR="00576AE9">
        <w:t> </w:t>
      </w:r>
      <w:r w:rsidRPr="005120E8">
        <w:t>tis.</w:t>
      </w:r>
      <w:r w:rsidR="005120E8" w:rsidRPr="005120E8">
        <w:t> </w:t>
      </w:r>
      <w:r w:rsidRPr="005120E8">
        <w:t xml:space="preserve">eur, išlo predovšetkým </w:t>
      </w:r>
      <w:r w:rsidR="00BE4C0B">
        <w:t>o</w:t>
      </w:r>
      <w:r w:rsidR="001F6523">
        <w:t xml:space="preserve"> revíziu </w:t>
      </w:r>
      <w:r w:rsidR="005120E8" w:rsidRPr="005120E8">
        <w:t>týchto výdavkov</w:t>
      </w:r>
      <w:r w:rsidRPr="005120E8">
        <w:t>:</w:t>
      </w:r>
    </w:p>
    <w:p w14:paraId="1FEBA1FE" w14:textId="645C8F5D" w:rsidR="00AC457B" w:rsidRPr="005120E8" w:rsidRDefault="00C70870" w:rsidP="00EC0753">
      <w:pPr>
        <w:pStyle w:val="Odsekzoznamu"/>
        <w:numPr>
          <w:ilvl w:val="0"/>
          <w:numId w:val="13"/>
        </w:numPr>
        <w:jc w:val="both"/>
      </w:pPr>
      <w:r>
        <w:t>z</w:t>
      </w:r>
      <w:r w:rsidR="001F6523">
        <w:t>výšenie výdavkov o i</w:t>
      </w:r>
      <w:r w:rsidR="00E70CD8" w:rsidRPr="005120E8">
        <w:t>mputáci</w:t>
      </w:r>
      <w:r w:rsidR="001F6523">
        <w:t>u</w:t>
      </w:r>
      <w:r w:rsidR="00E70CD8" w:rsidRPr="005120E8">
        <w:t xml:space="preserve"> výdavku za Modernizačný fond v sume 223</w:t>
      </w:r>
      <w:r w:rsidR="00576AE9">
        <w:t> </w:t>
      </w:r>
      <w:r w:rsidR="00E70CD8" w:rsidRPr="005120E8">
        <w:t>201</w:t>
      </w:r>
      <w:r w:rsidR="00576AE9">
        <w:t> </w:t>
      </w:r>
      <w:r w:rsidR="00E70CD8" w:rsidRPr="005120E8">
        <w:t>tis.</w:t>
      </w:r>
      <w:r w:rsidR="00576AE9">
        <w:t> </w:t>
      </w:r>
      <w:r w:rsidR="00E70CD8" w:rsidRPr="005120E8">
        <w:t>eur,</w:t>
      </w:r>
      <w:r w:rsidR="005120E8" w:rsidRPr="005120E8">
        <w:t xml:space="preserve"> </w:t>
      </w:r>
    </w:p>
    <w:p w14:paraId="58214E1D" w14:textId="414E33CA" w:rsidR="00E70CD8" w:rsidRPr="005120E8" w:rsidRDefault="00C70870" w:rsidP="00EC0753">
      <w:pPr>
        <w:pStyle w:val="Odsekzoznamu"/>
        <w:numPr>
          <w:ilvl w:val="0"/>
          <w:numId w:val="13"/>
        </w:numPr>
        <w:jc w:val="both"/>
      </w:pPr>
      <w:r>
        <w:t>z</w:t>
      </w:r>
      <w:r w:rsidR="001F6523">
        <w:t xml:space="preserve">výšenie výdavkov </w:t>
      </w:r>
      <w:r w:rsidR="005120E8" w:rsidRPr="005120E8">
        <w:t>na z</w:t>
      </w:r>
      <w:r w:rsidR="00E70CD8" w:rsidRPr="005120E8">
        <w:t>elen</w:t>
      </w:r>
      <w:r w:rsidR="005120E8" w:rsidRPr="005120E8">
        <w:t>ú</w:t>
      </w:r>
      <w:r w:rsidR="00E70CD8" w:rsidRPr="005120E8">
        <w:t xml:space="preserve"> </w:t>
      </w:r>
      <w:r w:rsidR="00E70CD8" w:rsidRPr="004C58AC">
        <w:t>energi</w:t>
      </w:r>
      <w:r w:rsidR="004C58AC" w:rsidRPr="004C58AC">
        <w:t>u</w:t>
      </w:r>
      <w:r w:rsidR="00E70CD8" w:rsidRPr="005120E8">
        <w:t xml:space="preserve"> ŠR v sume 28</w:t>
      </w:r>
      <w:r w:rsidR="00576AE9">
        <w:t> </w:t>
      </w:r>
      <w:r w:rsidR="00E70CD8" w:rsidRPr="005120E8">
        <w:t>482</w:t>
      </w:r>
      <w:r w:rsidR="00576AE9">
        <w:t> </w:t>
      </w:r>
      <w:r w:rsidR="00E70CD8" w:rsidRPr="005120E8">
        <w:t>tis.</w:t>
      </w:r>
      <w:r w:rsidR="00576AE9">
        <w:t> </w:t>
      </w:r>
      <w:r w:rsidR="00E70CD8" w:rsidRPr="005120E8">
        <w:t>eur</w:t>
      </w:r>
      <w:r w:rsidR="00E33581">
        <w:t>,</w:t>
      </w:r>
    </w:p>
    <w:p w14:paraId="2E4C7F75" w14:textId="6D6FA102" w:rsidR="00E70CD8" w:rsidRPr="00E20E70" w:rsidRDefault="00C70870" w:rsidP="00F239AB">
      <w:pPr>
        <w:pStyle w:val="Odsekzoznamu"/>
        <w:numPr>
          <w:ilvl w:val="0"/>
          <w:numId w:val="13"/>
        </w:numPr>
        <w:jc w:val="both"/>
      </w:pPr>
      <w:r>
        <w:t>z</w:t>
      </w:r>
      <w:r w:rsidR="001F6523">
        <w:t xml:space="preserve">výšenie výdavkov o aktualizáciu </w:t>
      </w:r>
      <w:r w:rsidR="00E70CD8" w:rsidRPr="00E20E70">
        <w:t xml:space="preserve"> záväzkov zdravotných poisťovní o 40</w:t>
      </w:r>
      <w:r w:rsidR="00F00BED">
        <w:t> </w:t>
      </w:r>
      <w:r w:rsidR="00E70CD8" w:rsidRPr="00E20E70">
        <w:t>467</w:t>
      </w:r>
      <w:r w:rsidR="00F00BED">
        <w:t> </w:t>
      </w:r>
      <w:r w:rsidR="00E70CD8" w:rsidRPr="00E20E70">
        <w:t>tis.</w:t>
      </w:r>
      <w:r w:rsidR="00F00BED">
        <w:t> </w:t>
      </w:r>
      <w:r w:rsidR="00E70CD8" w:rsidRPr="00E20E70">
        <w:t>eur</w:t>
      </w:r>
      <w:r w:rsidR="00E33581">
        <w:t>,</w:t>
      </w:r>
    </w:p>
    <w:p w14:paraId="6BB9AECE" w14:textId="3DB4911D" w:rsidR="00E33581" w:rsidRPr="002E5212" w:rsidRDefault="00C70870" w:rsidP="004973DF">
      <w:pPr>
        <w:pStyle w:val="Odsekzoznamu"/>
        <w:numPr>
          <w:ilvl w:val="0"/>
          <w:numId w:val="13"/>
        </w:numPr>
        <w:ind w:left="777" w:hanging="357"/>
        <w:contextualSpacing w:val="0"/>
        <w:jc w:val="both"/>
      </w:pPr>
      <w:r w:rsidRPr="002E5212">
        <w:t>z</w:t>
      </w:r>
      <w:r w:rsidR="00F7368C" w:rsidRPr="002E5212">
        <w:t xml:space="preserve">aznamenanie </w:t>
      </w:r>
      <w:r w:rsidR="001F6523" w:rsidRPr="002E5212">
        <w:t xml:space="preserve">výdavkov za zlyhané úvery </w:t>
      </w:r>
      <w:r w:rsidR="00E20E70" w:rsidRPr="002E5212">
        <w:t>a zár</w:t>
      </w:r>
      <w:r w:rsidR="00E33581" w:rsidRPr="002E5212">
        <w:t>u</w:t>
      </w:r>
      <w:r w:rsidR="001F6523" w:rsidRPr="002E5212">
        <w:t>ky</w:t>
      </w:r>
      <w:r w:rsidR="00E20E70" w:rsidRPr="002E5212">
        <w:t xml:space="preserve"> spolu vo výške 24</w:t>
      </w:r>
      <w:r w:rsidR="00F00BED" w:rsidRPr="002E5212">
        <w:t> </w:t>
      </w:r>
      <w:r w:rsidR="00E20E70" w:rsidRPr="002E5212">
        <w:t>016</w:t>
      </w:r>
      <w:r w:rsidR="00F00BED" w:rsidRPr="002E5212">
        <w:t> </w:t>
      </w:r>
      <w:r w:rsidR="00E20E70" w:rsidRPr="002E5212">
        <w:t>tis.</w:t>
      </w:r>
      <w:r w:rsidR="00F00BED" w:rsidRPr="002E5212">
        <w:t> </w:t>
      </w:r>
      <w:r w:rsidR="00E20E70" w:rsidRPr="002E5212">
        <w:t>eur</w:t>
      </w:r>
      <w:r w:rsidR="00E33581" w:rsidRPr="002E5212">
        <w:t>,</w:t>
      </w:r>
    </w:p>
    <w:p w14:paraId="369F040C" w14:textId="3A94964E" w:rsidR="00E33581" w:rsidRDefault="00C70870" w:rsidP="004973DF">
      <w:pPr>
        <w:pStyle w:val="Odsekzoznamu"/>
        <w:numPr>
          <w:ilvl w:val="0"/>
          <w:numId w:val="13"/>
        </w:numPr>
        <w:ind w:left="777" w:hanging="357"/>
        <w:contextualSpacing w:val="0"/>
        <w:jc w:val="both"/>
      </w:pPr>
      <w:r>
        <w:t>z</w:t>
      </w:r>
      <w:r w:rsidR="00E33581">
        <w:t>níženie výdavkov za aktualizáciu záväzkov na základe schválených IUZ o 137 094 tis. eur,</w:t>
      </w:r>
    </w:p>
    <w:p w14:paraId="553C6818" w14:textId="2F6ED1DE" w:rsidR="00E33581" w:rsidRDefault="00C70870" w:rsidP="004973DF">
      <w:pPr>
        <w:pStyle w:val="Odsekzoznamu"/>
        <w:numPr>
          <w:ilvl w:val="0"/>
          <w:numId w:val="13"/>
        </w:numPr>
        <w:ind w:left="777" w:hanging="357"/>
        <w:contextualSpacing w:val="0"/>
        <w:jc w:val="both"/>
      </w:pPr>
      <w:r>
        <w:t>z</w:t>
      </w:r>
      <w:r w:rsidR="00E33581">
        <w:t xml:space="preserve">níženie imputácie za </w:t>
      </w:r>
      <w:r w:rsidR="00067A5E">
        <w:t>v</w:t>
      </w:r>
      <w:r w:rsidR="00E33581">
        <w:t>edu a výskum o 89 409 tis. eur</w:t>
      </w:r>
      <w:r w:rsidR="002C2605">
        <w:t>,</w:t>
      </w:r>
    </w:p>
    <w:p w14:paraId="70F47D2F" w14:textId="38171A28" w:rsidR="00F239AB" w:rsidRDefault="00C70870" w:rsidP="00F239AB">
      <w:pPr>
        <w:pStyle w:val="Odsekzoznamu"/>
        <w:numPr>
          <w:ilvl w:val="0"/>
          <w:numId w:val="13"/>
        </w:numPr>
        <w:ind w:left="777" w:hanging="357"/>
        <w:contextualSpacing w:val="0"/>
        <w:jc w:val="both"/>
      </w:pPr>
      <w:r>
        <w:t>v</w:t>
      </w:r>
      <w:r w:rsidR="00E33581">
        <w:t xml:space="preserve">plyv ostatných úprav (napr. </w:t>
      </w:r>
      <w:r w:rsidR="003B5318">
        <w:t xml:space="preserve">daňové kredity, </w:t>
      </w:r>
      <w:r w:rsidR="00E33581">
        <w:t>FISIM, decommission</w:t>
      </w:r>
      <w:r w:rsidR="004C7D5F">
        <w:t>ing costs</w:t>
      </w:r>
      <w:r w:rsidR="00E33581">
        <w:t>, preradenie</w:t>
      </w:r>
      <w:r>
        <w:t>/zaradenie</w:t>
      </w:r>
      <w:r w:rsidR="00E33581">
        <w:t xml:space="preserve"> jednotiek do</w:t>
      </w:r>
      <w:r w:rsidR="00BF17A8">
        <w:t> </w:t>
      </w:r>
      <w:r w:rsidR="00E33581">
        <w:t xml:space="preserve">sektora </w:t>
      </w:r>
      <w:r w:rsidR="00960DC7">
        <w:t>verejnej správy</w:t>
      </w:r>
      <w:r w:rsidR="00E33581">
        <w:t>, úprava konsolidácie a pod.) z</w:t>
      </w:r>
      <w:r w:rsidR="009D61B8">
        <w:t>výšil</w:t>
      </w:r>
      <w:r w:rsidR="00E33581">
        <w:t xml:space="preserve"> </w:t>
      </w:r>
      <w:r>
        <w:t xml:space="preserve">ESA </w:t>
      </w:r>
      <w:r w:rsidR="00E33581">
        <w:t>výdavky o </w:t>
      </w:r>
      <w:r w:rsidR="003B5318">
        <w:t>2</w:t>
      </w:r>
      <w:r w:rsidR="00E33581">
        <w:t> </w:t>
      </w:r>
      <w:r w:rsidR="003B5318">
        <w:t>731</w:t>
      </w:r>
      <w:r w:rsidR="00E33581">
        <w:t> tis. eur</w:t>
      </w:r>
      <w:r w:rsidR="004973DF">
        <w:t>.</w:t>
      </w:r>
    </w:p>
    <w:p w14:paraId="1D3A770D" w14:textId="77777777" w:rsidR="00F239AB" w:rsidRPr="00E20E70" w:rsidRDefault="00F239AB" w:rsidP="004973DF">
      <w:pPr>
        <w:pStyle w:val="Odsekzoznamu"/>
        <w:ind w:left="777"/>
        <w:contextualSpacing w:val="0"/>
        <w:jc w:val="both"/>
      </w:pPr>
    </w:p>
    <w:p w14:paraId="2CB9323C" w14:textId="0491E557" w:rsidR="00BA0540" w:rsidRDefault="00B7611D" w:rsidP="003B5318">
      <w:pPr>
        <w:spacing w:after="0" w:line="240" w:lineRule="auto"/>
        <w:jc w:val="both"/>
      </w:pPr>
      <w:r w:rsidRPr="00B7611D">
        <w:t>Zároveň došlo k úprave hodnôt za</w:t>
      </w:r>
      <w:r w:rsidRPr="00B7611D">
        <w:rPr>
          <w:b/>
          <w:bCs/>
        </w:rPr>
        <w:t xml:space="preserve"> </w:t>
      </w:r>
      <w:r w:rsidRPr="00F7613F">
        <w:rPr>
          <w:b/>
          <w:bCs/>
        </w:rPr>
        <w:t>E</w:t>
      </w:r>
      <w:r w:rsidR="00EC4C97" w:rsidRPr="00F7613F">
        <w:rPr>
          <w:b/>
          <w:bCs/>
        </w:rPr>
        <w:t>Ú</w:t>
      </w:r>
      <w:r w:rsidRPr="00F7613F">
        <w:rPr>
          <w:b/>
          <w:bCs/>
        </w:rPr>
        <w:t xml:space="preserve"> fondy</w:t>
      </w:r>
      <w:r w:rsidRPr="00B7611D">
        <w:t>. Pri jarnej notifikácií sa vychádzalo pri vyčíslení výdavkov z EÚ zdroja z úrovne konečných prijímateľov a v jesennej notifikácií boli vykázané EÚ výdavky z úrovne platobných jednotiek, táto úprava spôsobila pokles odpočítateľných výdavkov zo zdroja EÚ. Dôvodom bolo zjednotenie použitej metodiky pre účely EDP notifikácie a pre účely vyčíslenia limitov verejnej správy. Okrem tejto revízie sa zaznamenali aj ďalšie úpravy (imputované poistné, navýšenie výdavkov o EÚ výdavky z nadkontrahovania, vylúčenie nezrovnalosti a kurzových rozdielov z výdavkov EÚ).</w:t>
      </w:r>
      <w:r w:rsidR="007604FC">
        <w:t xml:space="preserve"> </w:t>
      </w:r>
      <w:r w:rsidRPr="00B7611D">
        <w:t>To znamená, že</w:t>
      </w:r>
      <w:r w:rsidR="00BA0540">
        <w:t> </w:t>
      </w:r>
      <w:r w:rsidRPr="00B7611D">
        <w:t xml:space="preserve">odpočítateľná položka prostriedkov z rozpočtu EÚ sa </w:t>
      </w:r>
      <w:r w:rsidR="009104EB">
        <w:t>zníži</w:t>
      </w:r>
      <w:r w:rsidRPr="00B7611D">
        <w:t>la.</w:t>
      </w:r>
    </w:p>
    <w:p w14:paraId="2EFE19BB" w14:textId="77777777" w:rsidR="00BA0540" w:rsidRDefault="00BA0540">
      <w:r>
        <w:br w:type="page"/>
      </w:r>
    </w:p>
    <w:p w14:paraId="14045210" w14:textId="26ECC236" w:rsidR="005C53B5" w:rsidRPr="00EA4E9B" w:rsidRDefault="005C53B5" w:rsidP="00BB1667">
      <w:pPr>
        <w:pStyle w:val="Nadpis1"/>
        <w:numPr>
          <w:ilvl w:val="0"/>
          <w:numId w:val="7"/>
        </w:numPr>
        <w:spacing w:before="240" w:after="240"/>
        <w:rPr>
          <w:rFonts w:eastAsia="Times New Roman"/>
        </w:rPr>
      </w:pPr>
      <w:bookmarkStart w:id="66" w:name="_Toc211982315"/>
      <w:bookmarkStart w:id="67" w:name="_Toc211245480"/>
      <w:bookmarkStart w:id="68" w:name="_Toc212461608"/>
      <w:bookmarkEnd w:id="46"/>
      <w:bookmarkEnd w:id="49"/>
      <w:bookmarkEnd w:id="50"/>
      <w:bookmarkEnd w:id="51"/>
      <w:bookmarkEnd w:id="62"/>
      <w:bookmarkEnd w:id="66"/>
      <w:r w:rsidRPr="00EA4E9B">
        <w:rPr>
          <w:rFonts w:eastAsia="Times New Roman"/>
        </w:rPr>
        <w:lastRenderedPageBreak/>
        <w:t>Čisté bohatstvo</w:t>
      </w:r>
      <w:bookmarkEnd w:id="67"/>
      <w:bookmarkEnd w:id="68"/>
    </w:p>
    <w:p w14:paraId="04CCFA38" w14:textId="35FD19C7" w:rsidR="005C53B5" w:rsidRPr="00931088" w:rsidRDefault="005C53B5" w:rsidP="00BB1667">
      <w:pPr>
        <w:spacing w:after="120" w:line="240" w:lineRule="auto"/>
        <w:jc w:val="both"/>
      </w:pPr>
      <w:r w:rsidRPr="003303AD">
        <w:rPr>
          <w:rFonts w:eastAsia="Cambria"/>
        </w:rPr>
        <w:t>Prvé dve kapitoly súhrnnej výročnej správy hodnotia hospodárenie verejných financií z pohľadu sektora verejnej správy tak, ako ho definuje metodika ESA 2010. Tento pohľad je v podmienkach krajín EÚ najviac zaužívaný kvôli tomu, že európske fiškálne pravidlá</w:t>
      </w:r>
      <w:r w:rsidRPr="003303AD">
        <w:rPr>
          <w:rStyle w:val="Odkaznapoznmkupodiarou"/>
        </w:rPr>
        <w:footnoteReference w:id="24"/>
      </w:r>
      <w:r w:rsidRPr="003303AD">
        <w:rPr>
          <w:rFonts w:eastAsia="Cambria"/>
        </w:rPr>
        <w:t xml:space="preserve"> sú formulované pre verejnú správu a národné rozpočty väčšiny krajín sú zostavované tiež za okruh verejnej správy a v tejto metodike. </w:t>
      </w:r>
      <w:r w:rsidRPr="003303AD">
        <w:rPr>
          <w:rFonts w:eastAsia="Cambria"/>
          <w:b/>
        </w:rPr>
        <w:t>Koncept čistého bohatstva rozširuje pohľad na verejné financie z verejnej správy na verejný sektor</w:t>
      </w:r>
      <w:r w:rsidRPr="003303AD">
        <w:rPr>
          <w:rStyle w:val="Odkaznapoznmkupodiarou"/>
          <w:rFonts w:eastAsia="Cambria"/>
        </w:rPr>
        <w:footnoteReference w:id="25"/>
      </w:r>
      <w:r w:rsidRPr="003303AD">
        <w:rPr>
          <w:rFonts w:eastAsia="Cambria"/>
          <w:b/>
        </w:rPr>
        <w:t xml:space="preserve"> </w:t>
      </w:r>
      <w:r w:rsidRPr="003303AD">
        <w:rPr>
          <w:rFonts w:eastAsia="Cambria"/>
        </w:rPr>
        <w:t>(napr. o subjekty štátu</w:t>
      </w:r>
      <w:r w:rsidR="00BF17A8">
        <w:rPr>
          <w:rFonts w:eastAsia="Cambria"/>
        </w:rPr>
        <w:t> </w:t>
      </w:r>
      <w:r w:rsidRPr="003303AD">
        <w:rPr>
          <w:rFonts w:eastAsia="Cambria"/>
        </w:rPr>
        <w:t>–</w:t>
      </w:r>
      <w:r w:rsidR="00BF17A8">
        <w:rPr>
          <w:rFonts w:eastAsia="Cambria"/>
        </w:rPr>
        <w:t> </w:t>
      </w:r>
      <w:r w:rsidRPr="003303AD">
        <w:rPr>
          <w:rFonts w:eastAsia="Cambria"/>
        </w:rPr>
        <w:t>obchodné spoločnosti, ktoré štatisticky nie sú zahrnuté do verejnej správy)</w:t>
      </w:r>
      <w:r w:rsidRPr="003303AD">
        <w:rPr>
          <w:rFonts w:eastAsia="Cambria"/>
          <w:b/>
        </w:rPr>
        <w:t>.</w:t>
      </w:r>
      <w:r w:rsidRPr="003303AD">
        <w:rPr>
          <w:rFonts w:eastAsia="Cambria"/>
        </w:rPr>
        <w:t xml:space="preserve"> Povinnosť prezentovať v súhrnnej výročnej správe čisté bohatstvo a tiež informácie o hospodárení podnikov štátnej správy vyplýva z ústavného zákona o rozpočtovej zodpovednosti, pričom </w:t>
      </w:r>
      <w:r w:rsidRPr="003303AD">
        <w:rPr>
          <w:rFonts w:eastAsia="Cambria"/>
          <w:b/>
        </w:rPr>
        <w:t>dôraz je kladený na vysvetlenie medziročných zmien položiek čistého bohatstva.</w:t>
      </w:r>
    </w:p>
    <w:p w14:paraId="34E13685" w14:textId="17634EC2" w:rsidR="005C53B5" w:rsidRPr="00EA4E9B" w:rsidRDefault="00715495" w:rsidP="00BB1667">
      <w:pPr>
        <w:pStyle w:val="Nadpis2"/>
      </w:pPr>
      <w:bookmarkStart w:id="69" w:name="_Toc117251114"/>
      <w:bookmarkStart w:id="70" w:name="_Toc211245481"/>
      <w:r>
        <w:t xml:space="preserve"> </w:t>
      </w:r>
      <w:bookmarkStart w:id="71" w:name="_Toc212461609"/>
      <w:r w:rsidR="005C53B5" w:rsidRPr="00EA4E9B">
        <w:t>Odhad čistého bohatstva za rok 202</w:t>
      </w:r>
      <w:bookmarkEnd w:id="69"/>
      <w:bookmarkEnd w:id="70"/>
      <w:r w:rsidR="005C53B5" w:rsidRPr="00EA4E9B">
        <w:t>4</w:t>
      </w:r>
      <w:bookmarkEnd w:id="71"/>
    </w:p>
    <w:p w14:paraId="3EF55A18" w14:textId="77777777" w:rsidR="005C53B5" w:rsidRPr="003303AD" w:rsidRDefault="005C53B5" w:rsidP="00BB1667">
      <w:pPr>
        <w:spacing w:after="120" w:line="240" w:lineRule="auto"/>
        <w:jc w:val="both"/>
        <w:rPr>
          <w:rFonts w:eastAsia="Cambria"/>
          <w:i/>
        </w:rPr>
      </w:pPr>
      <w:r w:rsidRPr="003303AD">
        <w:rPr>
          <w:rFonts w:eastAsia="Cambria"/>
          <w:b/>
        </w:rPr>
        <w:t>Čisté bohatstvo</w:t>
      </w:r>
      <w:r w:rsidRPr="003303AD">
        <w:rPr>
          <w:rFonts w:eastAsia="Cambria"/>
        </w:rPr>
        <w:t xml:space="preserve"> popisuje stav hospodárenia verejného sektora ku koncu roka. </w:t>
      </w:r>
      <w:r w:rsidRPr="003303AD">
        <w:t>P</w:t>
      </w:r>
      <w:r w:rsidRPr="003303AD">
        <w:rPr>
          <w:rFonts w:eastAsia="Cambria"/>
        </w:rPr>
        <w:t xml:space="preserve">odľa ústavného zákona o rozpočtovej zodpovednosti sa pod čistým bohatstvom rozumie: </w:t>
      </w:r>
      <w:r w:rsidRPr="003303AD">
        <w:rPr>
          <w:rFonts w:eastAsia="Cambria"/>
          <w:i/>
        </w:rPr>
        <w:t>súčet vlastného imania subjektov verejnej správy, vlastného imania Národnej banky Slovenska, vlastného imania podnikov štátnej správy a podnikov územnej samosprávy, upravený o implicitné záväzky, iné aktíva a iné pasíva vrátane podmienených záväzkov.</w:t>
      </w:r>
    </w:p>
    <w:p w14:paraId="7969DC4E" w14:textId="34B56D9F" w:rsidR="006553D9" w:rsidRDefault="005C53B5" w:rsidP="00D13D85">
      <w:pPr>
        <w:spacing w:after="120" w:line="240" w:lineRule="auto"/>
        <w:jc w:val="both"/>
      </w:pPr>
      <w:r w:rsidRPr="003303AD">
        <w:rPr>
          <w:szCs w:val="22"/>
        </w:rPr>
        <w:t>Čisté bohatstvo má špecifickú štruktúru, a preto je veľmi dôležitá jeho správna interpretácia. Pri</w:t>
      </w:r>
      <w:r w:rsidR="00BF17A8">
        <w:rPr>
          <w:szCs w:val="22"/>
        </w:rPr>
        <w:t> </w:t>
      </w:r>
      <w:r w:rsidRPr="003303AD">
        <w:rPr>
          <w:szCs w:val="22"/>
        </w:rPr>
        <w:t>veľkosti čistého bohatstva má význam analyzovať len jednotlivé zložky jeho štruktúry, ako napríklad vlastné imanie podnikov, podmienené záväzky či implicitné záväzky, pretože tie majú z ekonomického hľadiska samostatnú vypovedaciu schopnosť. Čisté bohatstvo treba vnímať ako komplex všetkých typov ukazovateľov, ktoré je podstatné sledovať z hľadiska finančnej stability a bohatstva štátu.</w:t>
      </w:r>
    </w:p>
    <w:p w14:paraId="167CB1E3" w14:textId="5690506A" w:rsidR="005C53B5" w:rsidRPr="00A07005" w:rsidRDefault="005C53B5" w:rsidP="00BB1667">
      <w:pPr>
        <w:spacing w:after="120" w:line="240" w:lineRule="auto"/>
        <w:jc w:val="both"/>
      </w:pPr>
      <w:r w:rsidRPr="003303AD">
        <w:t xml:space="preserve">Analýza a vysvetlenie medziročných zmien zložiek čistého bohatstva poskytujú dôležité informácie o hospodárení štátu, ktoré nemusí zachytiť tradičný pohľad na saldo a dlh verejnej správy. Existujú totiž politiky a transakcie, ktoré sa z metodických dôvodov nemusia prejaviť na salde a dlhu verejnej správy, ale majú negatívny alebo naopak pozitívny vplyv </w:t>
      </w:r>
      <w:r w:rsidRPr="00A07005">
        <w:t>na čisté bohatstvo štátu.</w:t>
      </w:r>
    </w:p>
    <w:p w14:paraId="309F5AF2" w14:textId="0CFF96ED" w:rsidR="005C53B5" w:rsidRDefault="005C53B5" w:rsidP="00EA33BE">
      <w:pPr>
        <w:spacing w:after="0" w:line="240" w:lineRule="auto"/>
        <w:jc w:val="both"/>
      </w:pPr>
      <w:r w:rsidRPr="00A07005">
        <w:rPr>
          <w:b/>
        </w:rPr>
        <w:t>Odhadnutá výška čistého bohatstva Slovenskej republiky dosiahla k 31. 12. 2024 zápornú hodnotu</w:t>
      </w:r>
      <w:r w:rsidRPr="00A07005">
        <w:rPr>
          <w:b/>
          <w:bCs/>
        </w:rPr>
        <w:br/>
        <w:t>-228 241 866 tis. eur</w:t>
      </w:r>
      <w:r w:rsidRPr="00A07005">
        <w:rPr>
          <w:b/>
        </w:rPr>
        <w:t xml:space="preserve"> (-175,29 %</w:t>
      </w:r>
      <w:r w:rsidR="00BF17A8">
        <w:rPr>
          <w:b/>
        </w:rPr>
        <w:t> </w:t>
      </w:r>
      <w:r w:rsidRPr="00A07005">
        <w:rPr>
          <w:b/>
        </w:rPr>
        <w:t>HDP).</w:t>
      </w:r>
      <w:r w:rsidRPr="00A07005">
        <w:t xml:space="preserve"> Oproti predchádzajúcemu roku sa hodnota čistého bohatstva nevýznamne zhoršila, a to o </w:t>
      </w:r>
      <w:r w:rsidR="00C811B1">
        <w:t>3</w:t>
      </w:r>
      <w:r w:rsidR="00C163E9">
        <w:t> </w:t>
      </w:r>
      <w:r w:rsidR="00C811B1">
        <w:t>570</w:t>
      </w:r>
      <w:r w:rsidR="00C163E9">
        <w:t> </w:t>
      </w:r>
      <w:r w:rsidR="00C811B1">
        <w:t>4</w:t>
      </w:r>
      <w:r w:rsidRPr="00C163E9">
        <w:t>38</w:t>
      </w:r>
      <w:r w:rsidRPr="00A07005">
        <w:t xml:space="preserve"> tis. eur, najmä vyššou hodnotou </w:t>
      </w:r>
      <w:r>
        <w:t xml:space="preserve">záporného </w:t>
      </w:r>
      <w:r w:rsidRPr="00A07005">
        <w:t xml:space="preserve">vlastného imania </w:t>
      </w:r>
      <w:r w:rsidRPr="00EA4E9B">
        <w:t>súhrnného celku verejnej správy.</w:t>
      </w:r>
    </w:p>
    <w:p w14:paraId="692B2A9E" w14:textId="77777777" w:rsidR="00D13D85" w:rsidRDefault="00D13D85" w:rsidP="00D162A9">
      <w:pPr>
        <w:pStyle w:val="Popis"/>
      </w:pPr>
      <w:r>
        <w:t xml:space="preserve">Tabuľka 17 - </w:t>
      </w:r>
      <w:r w:rsidRPr="004E5D2E">
        <w:t>Odhad čistého bohatstva Slovenskej republiky ( v % resp. v tis. eur)</w:t>
      </w:r>
    </w:p>
    <w:tbl>
      <w:tblPr>
        <w:tblW w:w="5000" w:type="pct"/>
        <w:tblCellMar>
          <w:left w:w="70" w:type="dxa"/>
          <w:right w:w="70" w:type="dxa"/>
        </w:tblCellMar>
        <w:tblLook w:val="04A0" w:firstRow="1" w:lastRow="0" w:firstColumn="1" w:lastColumn="0" w:noHBand="0" w:noVBand="1"/>
      </w:tblPr>
      <w:tblGrid>
        <w:gridCol w:w="4506"/>
        <w:gridCol w:w="1194"/>
        <w:gridCol w:w="1265"/>
        <w:gridCol w:w="1212"/>
        <w:gridCol w:w="1318"/>
      </w:tblGrid>
      <w:tr w:rsidR="004C5D69" w:rsidRPr="00EA4E9B" w14:paraId="28018D8D" w14:textId="77777777" w:rsidTr="00FF497A">
        <w:trPr>
          <w:trHeight w:val="300"/>
          <w:tblHeader/>
        </w:trPr>
        <w:tc>
          <w:tcPr>
            <w:tcW w:w="2373" w:type="pct"/>
            <w:tcBorders>
              <w:top w:val="single" w:sz="4" w:space="0" w:color="auto"/>
              <w:left w:val="nil"/>
              <w:bottom w:val="single" w:sz="4" w:space="0" w:color="auto"/>
              <w:right w:val="nil"/>
            </w:tcBorders>
            <w:vAlign w:val="bottom"/>
            <w:hideMark/>
          </w:tcPr>
          <w:p w14:paraId="4E598C0A" w14:textId="77777777" w:rsidR="004C5D69" w:rsidRPr="00EA4E9B" w:rsidRDefault="004C5D69" w:rsidP="004C5D69">
            <w:pPr>
              <w:spacing w:after="0" w:line="240" w:lineRule="auto"/>
              <w:rPr>
                <w:b/>
                <w:bCs/>
                <w:sz w:val="18"/>
                <w:szCs w:val="18"/>
                <w:lang w:eastAsia="sk-SK"/>
              </w:rPr>
            </w:pPr>
            <w:bookmarkStart w:id="72" w:name="OLE_LINK1"/>
            <w:r w:rsidRPr="00EA4E9B">
              <w:rPr>
                <w:b/>
                <w:bCs/>
                <w:sz w:val="18"/>
                <w:szCs w:val="18"/>
                <w:lang w:eastAsia="sk-SK"/>
              </w:rPr>
              <w:t> </w:t>
            </w:r>
          </w:p>
        </w:tc>
        <w:tc>
          <w:tcPr>
            <w:tcW w:w="629" w:type="pct"/>
            <w:tcBorders>
              <w:top w:val="single" w:sz="4" w:space="0" w:color="auto"/>
              <w:left w:val="nil"/>
              <w:bottom w:val="single" w:sz="4" w:space="0" w:color="auto"/>
              <w:right w:val="nil"/>
            </w:tcBorders>
            <w:vAlign w:val="bottom"/>
            <w:hideMark/>
          </w:tcPr>
          <w:p w14:paraId="5C5E3E03" w14:textId="526CD8C4" w:rsidR="004C5D69" w:rsidRPr="00EA4E9B" w:rsidRDefault="004C5D69" w:rsidP="004C5D69">
            <w:pPr>
              <w:spacing w:after="0" w:line="240" w:lineRule="auto"/>
              <w:jc w:val="right"/>
              <w:rPr>
                <w:b/>
                <w:bCs/>
                <w:sz w:val="18"/>
                <w:szCs w:val="18"/>
                <w:lang w:eastAsia="sk-SK"/>
              </w:rPr>
            </w:pPr>
            <w:r w:rsidRPr="00EA4E9B">
              <w:rPr>
                <w:b/>
                <w:bCs/>
                <w:sz w:val="18"/>
                <w:szCs w:val="18"/>
                <w:lang w:eastAsia="sk-SK"/>
              </w:rPr>
              <w:t>2022</w:t>
            </w:r>
          </w:p>
        </w:tc>
        <w:tc>
          <w:tcPr>
            <w:tcW w:w="666" w:type="pct"/>
            <w:tcBorders>
              <w:top w:val="single" w:sz="4" w:space="0" w:color="auto"/>
              <w:left w:val="nil"/>
              <w:bottom w:val="single" w:sz="4" w:space="0" w:color="auto"/>
              <w:right w:val="nil"/>
            </w:tcBorders>
            <w:vAlign w:val="bottom"/>
          </w:tcPr>
          <w:p w14:paraId="267DE5E3" w14:textId="79E837BB" w:rsidR="004C5D69" w:rsidRPr="00EA4E9B" w:rsidRDefault="004C5D69" w:rsidP="004C5D69">
            <w:pPr>
              <w:spacing w:after="0" w:line="240" w:lineRule="auto"/>
              <w:jc w:val="right"/>
              <w:rPr>
                <w:b/>
                <w:bCs/>
                <w:sz w:val="18"/>
                <w:szCs w:val="18"/>
                <w:lang w:eastAsia="sk-SK"/>
              </w:rPr>
            </w:pPr>
            <w:r w:rsidRPr="00EA4E9B">
              <w:rPr>
                <w:b/>
                <w:bCs/>
                <w:sz w:val="18"/>
                <w:szCs w:val="18"/>
                <w:lang w:eastAsia="sk-SK"/>
              </w:rPr>
              <w:t>2023</w:t>
            </w:r>
          </w:p>
        </w:tc>
        <w:tc>
          <w:tcPr>
            <w:tcW w:w="638" w:type="pct"/>
            <w:tcBorders>
              <w:top w:val="single" w:sz="4" w:space="0" w:color="auto"/>
              <w:left w:val="nil"/>
              <w:bottom w:val="single" w:sz="4" w:space="0" w:color="auto"/>
              <w:right w:val="nil"/>
            </w:tcBorders>
            <w:vAlign w:val="bottom"/>
          </w:tcPr>
          <w:p w14:paraId="46E9056A" w14:textId="42359D2B" w:rsidR="004C5D69" w:rsidRPr="00EA4E9B" w:rsidRDefault="004C5D69" w:rsidP="004C5D69">
            <w:pPr>
              <w:spacing w:after="0" w:line="240" w:lineRule="auto"/>
              <w:jc w:val="right"/>
              <w:rPr>
                <w:b/>
                <w:bCs/>
                <w:sz w:val="18"/>
                <w:szCs w:val="18"/>
                <w:lang w:eastAsia="sk-SK"/>
              </w:rPr>
            </w:pPr>
            <w:r w:rsidRPr="00EA4E9B">
              <w:rPr>
                <w:b/>
                <w:bCs/>
                <w:sz w:val="18"/>
                <w:szCs w:val="18"/>
                <w:lang w:eastAsia="sk-SK"/>
              </w:rPr>
              <w:t>2024</w:t>
            </w:r>
          </w:p>
        </w:tc>
        <w:tc>
          <w:tcPr>
            <w:tcW w:w="694" w:type="pct"/>
            <w:tcBorders>
              <w:top w:val="single" w:sz="4" w:space="0" w:color="auto"/>
              <w:left w:val="nil"/>
              <w:bottom w:val="single" w:sz="4" w:space="0" w:color="auto"/>
              <w:right w:val="nil"/>
            </w:tcBorders>
            <w:vAlign w:val="bottom"/>
            <w:hideMark/>
          </w:tcPr>
          <w:p w14:paraId="74818613" w14:textId="002A7CBA" w:rsidR="004C5D69" w:rsidRPr="00EA4E9B" w:rsidRDefault="004C5D69" w:rsidP="004C5D69">
            <w:pPr>
              <w:spacing w:after="0" w:line="240" w:lineRule="auto"/>
              <w:jc w:val="right"/>
              <w:rPr>
                <w:b/>
                <w:bCs/>
                <w:sz w:val="18"/>
                <w:szCs w:val="18"/>
                <w:lang w:eastAsia="sk-SK"/>
              </w:rPr>
            </w:pPr>
            <w:r w:rsidRPr="00EA4E9B">
              <w:rPr>
                <w:b/>
                <w:bCs/>
                <w:sz w:val="18"/>
                <w:szCs w:val="18"/>
                <w:lang w:eastAsia="sk-SK"/>
              </w:rPr>
              <w:t>Δ 2024-2023</w:t>
            </w:r>
          </w:p>
        </w:tc>
      </w:tr>
      <w:tr w:rsidR="004C5D69" w:rsidRPr="00174C84" w14:paraId="282AB9D1" w14:textId="77777777" w:rsidTr="00B46C79">
        <w:trPr>
          <w:trHeight w:val="300"/>
        </w:trPr>
        <w:tc>
          <w:tcPr>
            <w:tcW w:w="2373" w:type="pct"/>
            <w:tcBorders>
              <w:top w:val="single" w:sz="4" w:space="0" w:color="auto"/>
              <w:left w:val="nil"/>
              <w:bottom w:val="nil"/>
              <w:right w:val="nil"/>
            </w:tcBorders>
            <w:vAlign w:val="bottom"/>
            <w:hideMark/>
          </w:tcPr>
          <w:p w14:paraId="5EA01D6F" w14:textId="35F667D3" w:rsidR="004C5D69" w:rsidRPr="00EA4E9B" w:rsidRDefault="004C5D69" w:rsidP="004C5D69">
            <w:pPr>
              <w:spacing w:after="0" w:line="240" w:lineRule="auto"/>
              <w:rPr>
                <w:sz w:val="18"/>
                <w:szCs w:val="18"/>
                <w:lang w:eastAsia="sk-SK"/>
              </w:rPr>
            </w:pPr>
            <w:r w:rsidRPr="00EA4E9B">
              <w:rPr>
                <w:sz w:val="18"/>
                <w:szCs w:val="18"/>
                <w:lang w:eastAsia="sk-SK"/>
              </w:rPr>
              <w:t>Vlastné imanie verejného sektora                              (1)</w:t>
            </w:r>
          </w:p>
        </w:tc>
        <w:tc>
          <w:tcPr>
            <w:tcW w:w="629" w:type="pct"/>
            <w:tcBorders>
              <w:top w:val="single" w:sz="4" w:space="0" w:color="auto"/>
              <w:left w:val="nil"/>
              <w:bottom w:val="nil"/>
              <w:right w:val="nil"/>
            </w:tcBorders>
            <w:vAlign w:val="bottom"/>
          </w:tcPr>
          <w:p w14:paraId="3F96028B" w14:textId="35121086" w:rsidR="004C5D69" w:rsidRPr="00EA4E9B" w:rsidRDefault="004C5D69" w:rsidP="004C5D69">
            <w:pPr>
              <w:spacing w:after="0" w:line="240" w:lineRule="auto"/>
              <w:jc w:val="right"/>
              <w:rPr>
                <w:sz w:val="18"/>
                <w:szCs w:val="18"/>
                <w:lang w:eastAsia="sk-SK"/>
              </w:rPr>
            </w:pPr>
            <w:r w:rsidRPr="00EA4E9B">
              <w:rPr>
                <w:sz w:val="18"/>
                <w:szCs w:val="18"/>
                <w:lang w:eastAsia="sk-SK"/>
              </w:rPr>
              <w:t>-6 456 999</w:t>
            </w:r>
          </w:p>
        </w:tc>
        <w:tc>
          <w:tcPr>
            <w:tcW w:w="666" w:type="pct"/>
            <w:tcBorders>
              <w:top w:val="single" w:sz="4" w:space="0" w:color="auto"/>
              <w:left w:val="nil"/>
              <w:bottom w:val="nil"/>
              <w:right w:val="nil"/>
            </w:tcBorders>
            <w:vAlign w:val="bottom"/>
          </w:tcPr>
          <w:p w14:paraId="78EC5274" w14:textId="4AA06388" w:rsidR="004C5D69" w:rsidRPr="00EA4E9B" w:rsidRDefault="004C5D69" w:rsidP="004C5D69">
            <w:pPr>
              <w:spacing w:after="0" w:line="240" w:lineRule="auto"/>
              <w:jc w:val="right"/>
              <w:rPr>
                <w:sz w:val="18"/>
                <w:szCs w:val="18"/>
                <w:lang w:eastAsia="sk-SK"/>
              </w:rPr>
            </w:pPr>
            <w:r w:rsidRPr="00EA4E9B">
              <w:rPr>
                <w:sz w:val="18"/>
                <w:szCs w:val="18"/>
                <w:lang w:eastAsia="sk-SK"/>
              </w:rPr>
              <w:t>-9 491 031</w:t>
            </w:r>
          </w:p>
        </w:tc>
        <w:tc>
          <w:tcPr>
            <w:tcW w:w="638" w:type="pct"/>
            <w:tcBorders>
              <w:top w:val="single" w:sz="4" w:space="0" w:color="auto"/>
              <w:left w:val="nil"/>
              <w:bottom w:val="nil"/>
              <w:right w:val="nil"/>
            </w:tcBorders>
            <w:vAlign w:val="bottom"/>
          </w:tcPr>
          <w:p w14:paraId="1D2422AE" w14:textId="42A1D00D" w:rsidR="004C5D69" w:rsidRPr="00EA4E9B" w:rsidRDefault="004C5D69" w:rsidP="004C5D69">
            <w:pPr>
              <w:spacing w:after="0" w:line="240" w:lineRule="auto"/>
              <w:jc w:val="right"/>
              <w:rPr>
                <w:sz w:val="18"/>
                <w:szCs w:val="18"/>
                <w:lang w:eastAsia="sk-SK"/>
              </w:rPr>
            </w:pPr>
            <w:r w:rsidRPr="00EA4E9B">
              <w:rPr>
                <w:sz w:val="18"/>
                <w:szCs w:val="18"/>
                <w:lang w:eastAsia="sk-SK"/>
              </w:rPr>
              <w:t>-13 172 340</w:t>
            </w:r>
          </w:p>
        </w:tc>
        <w:tc>
          <w:tcPr>
            <w:tcW w:w="694" w:type="pct"/>
            <w:tcBorders>
              <w:top w:val="single" w:sz="4" w:space="0" w:color="auto"/>
              <w:left w:val="nil"/>
              <w:bottom w:val="nil"/>
              <w:right w:val="nil"/>
            </w:tcBorders>
            <w:vAlign w:val="bottom"/>
          </w:tcPr>
          <w:p w14:paraId="0E532E7A" w14:textId="18C2F95C" w:rsidR="004C5D69" w:rsidRPr="00EA4E9B" w:rsidRDefault="004C5D69" w:rsidP="004C5D69">
            <w:pPr>
              <w:spacing w:after="0" w:line="240" w:lineRule="auto"/>
              <w:jc w:val="right"/>
              <w:rPr>
                <w:sz w:val="18"/>
                <w:szCs w:val="18"/>
                <w:lang w:eastAsia="sk-SK"/>
              </w:rPr>
            </w:pPr>
            <w:r w:rsidRPr="00EA4E9B">
              <w:rPr>
                <w:sz w:val="18"/>
                <w:szCs w:val="18"/>
                <w:lang w:eastAsia="sk-SK"/>
              </w:rPr>
              <w:t>-3 681 309</w:t>
            </w:r>
          </w:p>
        </w:tc>
      </w:tr>
      <w:tr w:rsidR="004C5D69" w:rsidRPr="00174C84" w14:paraId="29223570" w14:textId="77777777" w:rsidTr="00B46C79">
        <w:trPr>
          <w:trHeight w:val="300"/>
        </w:trPr>
        <w:tc>
          <w:tcPr>
            <w:tcW w:w="2373" w:type="pct"/>
            <w:tcBorders>
              <w:top w:val="nil"/>
              <w:left w:val="nil"/>
              <w:bottom w:val="nil"/>
              <w:right w:val="nil"/>
            </w:tcBorders>
            <w:vAlign w:val="bottom"/>
            <w:hideMark/>
          </w:tcPr>
          <w:p w14:paraId="0A2742F2" w14:textId="0CC4AEDC" w:rsidR="004C5D69" w:rsidRPr="00174C84" w:rsidRDefault="004C5D69" w:rsidP="004C5D69">
            <w:pPr>
              <w:spacing w:after="0" w:line="240" w:lineRule="auto"/>
              <w:ind w:firstLineChars="300" w:firstLine="540"/>
              <w:rPr>
                <w:sz w:val="18"/>
                <w:szCs w:val="18"/>
                <w:highlight w:val="yellow"/>
                <w:lang w:eastAsia="sk-SK"/>
              </w:rPr>
            </w:pPr>
            <w:r w:rsidRPr="00642969">
              <w:rPr>
                <w:sz w:val="18"/>
                <w:szCs w:val="18"/>
                <w:lang w:eastAsia="sk-SK"/>
              </w:rPr>
              <w:t>VI súhrnného celku verejnej správy</w:t>
            </w:r>
          </w:p>
        </w:tc>
        <w:tc>
          <w:tcPr>
            <w:tcW w:w="629" w:type="pct"/>
            <w:tcBorders>
              <w:top w:val="nil"/>
              <w:left w:val="nil"/>
              <w:bottom w:val="nil"/>
              <w:right w:val="nil"/>
            </w:tcBorders>
            <w:vAlign w:val="bottom"/>
          </w:tcPr>
          <w:p w14:paraId="1F400459" w14:textId="4E3180A6"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-5 309 921</w:t>
            </w:r>
          </w:p>
        </w:tc>
        <w:tc>
          <w:tcPr>
            <w:tcW w:w="666" w:type="pct"/>
            <w:tcBorders>
              <w:top w:val="nil"/>
              <w:left w:val="nil"/>
              <w:bottom w:val="nil"/>
              <w:right w:val="nil"/>
            </w:tcBorders>
            <w:vAlign w:val="bottom"/>
          </w:tcPr>
          <w:p w14:paraId="75F39A47" w14:textId="0410947A"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w:t>
            </w:r>
            <w:r>
              <w:rPr>
                <w:sz w:val="18"/>
                <w:szCs w:val="18"/>
                <w:lang w:eastAsia="sk-SK"/>
              </w:rPr>
              <w:t>8 222 766</w:t>
            </w:r>
          </w:p>
        </w:tc>
        <w:tc>
          <w:tcPr>
            <w:tcW w:w="638" w:type="pct"/>
            <w:tcBorders>
              <w:top w:val="nil"/>
              <w:left w:val="nil"/>
              <w:bottom w:val="nil"/>
              <w:right w:val="nil"/>
            </w:tcBorders>
            <w:vAlign w:val="bottom"/>
          </w:tcPr>
          <w:p w14:paraId="1D728EBB" w14:textId="6827D017" w:rsidR="004C5D69" w:rsidRPr="00174C84" w:rsidRDefault="004C5D69" w:rsidP="004C5D69">
            <w:pPr>
              <w:spacing w:after="0" w:line="240" w:lineRule="auto"/>
              <w:jc w:val="right"/>
              <w:rPr>
                <w:sz w:val="18"/>
                <w:szCs w:val="18"/>
                <w:highlight w:val="yellow"/>
                <w:lang w:eastAsia="sk-SK"/>
              </w:rPr>
            </w:pPr>
            <w:r>
              <w:rPr>
                <w:sz w:val="18"/>
                <w:szCs w:val="18"/>
                <w:lang w:eastAsia="sk-SK"/>
              </w:rPr>
              <w:t>-12 534 281</w:t>
            </w:r>
          </w:p>
        </w:tc>
        <w:tc>
          <w:tcPr>
            <w:tcW w:w="694" w:type="pct"/>
            <w:tcBorders>
              <w:top w:val="nil"/>
              <w:left w:val="nil"/>
              <w:bottom w:val="nil"/>
              <w:right w:val="nil"/>
            </w:tcBorders>
            <w:vAlign w:val="bottom"/>
          </w:tcPr>
          <w:p w14:paraId="4EDA5601" w14:textId="3B41CBFC"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w:t>
            </w:r>
            <w:r>
              <w:rPr>
                <w:sz w:val="18"/>
                <w:szCs w:val="18"/>
                <w:lang w:eastAsia="sk-SK"/>
              </w:rPr>
              <w:t>4 311 515</w:t>
            </w:r>
          </w:p>
        </w:tc>
      </w:tr>
      <w:tr w:rsidR="004C5D69" w:rsidRPr="00174C84" w14:paraId="7183F324" w14:textId="77777777" w:rsidTr="00B46C79">
        <w:trPr>
          <w:trHeight w:val="300"/>
        </w:trPr>
        <w:tc>
          <w:tcPr>
            <w:tcW w:w="2373" w:type="pct"/>
            <w:tcBorders>
              <w:top w:val="nil"/>
              <w:left w:val="nil"/>
              <w:bottom w:val="nil"/>
              <w:right w:val="nil"/>
            </w:tcBorders>
            <w:vAlign w:val="bottom"/>
            <w:hideMark/>
          </w:tcPr>
          <w:p w14:paraId="2068D1B2" w14:textId="0FB8839B" w:rsidR="004C5D69" w:rsidRPr="00174C84" w:rsidRDefault="004C5D69" w:rsidP="004C5D69">
            <w:pPr>
              <w:spacing w:after="0" w:line="240" w:lineRule="auto"/>
              <w:ind w:firstLineChars="300" w:firstLine="540"/>
              <w:rPr>
                <w:sz w:val="18"/>
                <w:szCs w:val="18"/>
                <w:highlight w:val="yellow"/>
                <w:lang w:eastAsia="sk-SK"/>
              </w:rPr>
            </w:pPr>
            <w:r w:rsidRPr="00642969">
              <w:rPr>
                <w:sz w:val="18"/>
                <w:szCs w:val="18"/>
                <w:lang w:eastAsia="sk-SK"/>
              </w:rPr>
              <w:t xml:space="preserve">VI podnikov MH Manažment, a. s. </w:t>
            </w:r>
          </w:p>
        </w:tc>
        <w:tc>
          <w:tcPr>
            <w:tcW w:w="629" w:type="pct"/>
            <w:tcBorders>
              <w:top w:val="nil"/>
              <w:left w:val="nil"/>
              <w:bottom w:val="nil"/>
              <w:right w:val="nil"/>
            </w:tcBorders>
            <w:vAlign w:val="bottom"/>
          </w:tcPr>
          <w:p w14:paraId="7041627E" w14:textId="18133AAE"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352 878</w:t>
            </w:r>
          </w:p>
        </w:tc>
        <w:tc>
          <w:tcPr>
            <w:tcW w:w="666" w:type="pct"/>
            <w:tcBorders>
              <w:top w:val="nil"/>
              <w:left w:val="nil"/>
              <w:bottom w:val="nil"/>
              <w:right w:val="nil"/>
            </w:tcBorders>
            <w:vAlign w:val="bottom"/>
          </w:tcPr>
          <w:p w14:paraId="176C6AE5" w14:textId="19FB990F"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41</w:t>
            </w:r>
            <w:r>
              <w:rPr>
                <w:sz w:val="18"/>
                <w:szCs w:val="18"/>
                <w:lang w:eastAsia="sk-SK"/>
              </w:rPr>
              <w:t>2 336</w:t>
            </w:r>
          </w:p>
        </w:tc>
        <w:tc>
          <w:tcPr>
            <w:tcW w:w="638" w:type="pct"/>
            <w:tcBorders>
              <w:top w:val="nil"/>
              <w:left w:val="nil"/>
              <w:bottom w:val="nil"/>
              <w:right w:val="nil"/>
            </w:tcBorders>
            <w:vAlign w:val="bottom"/>
          </w:tcPr>
          <w:p w14:paraId="354D950E" w14:textId="766910FD" w:rsidR="004C5D69" w:rsidRPr="00174C84" w:rsidRDefault="004C5D69" w:rsidP="004C5D69">
            <w:pPr>
              <w:spacing w:after="0" w:line="240" w:lineRule="auto"/>
              <w:jc w:val="right"/>
              <w:rPr>
                <w:sz w:val="18"/>
                <w:szCs w:val="18"/>
                <w:highlight w:val="yellow"/>
                <w:lang w:eastAsia="sk-SK"/>
              </w:rPr>
            </w:pPr>
            <w:r>
              <w:rPr>
                <w:sz w:val="18"/>
                <w:szCs w:val="18"/>
                <w:lang w:eastAsia="sk-SK"/>
              </w:rPr>
              <w:t>421 802</w:t>
            </w:r>
          </w:p>
        </w:tc>
        <w:tc>
          <w:tcPr>
            <w:tcW w:w="694" w:type="pct"/>
            <w:tcBorders>
              <w:top w:val="nil"/>
              <w:left w:val="nil"/>
              <w:bottom w:val="nil"/>
              <w:right w:val="nil"/>
            </w:tcBorders>
            <w:vAlign w:val="bottom"/>
          </w:tcPr>
          <w:p w14:paraId="7C5C06F6" w14:textId="03ED440C" w:rsidR="004C5D69" w:rsidRPr="00174C84" w:rsidRDefault="004C5D69" w:rsidP="004C5D69">
            <w:pPr>
              <w:spacing w:after="0" w:line="240" w:lineRule="auto"/>
              <w:jc w:val="right"/>
              <w:rPr>
                <w:sz w:val="18"/>
                <w:szCs w:val="18"/>
                <w:highlight w:val="yellow"/>
                <w:lang w:eastAsia="sk-SK"/>
              </w:rPr>
            </w:pPr>
            <w:r>
              <w:rPr>
                <w:sz w:val="18"/>
                <w:szCs w:val="18"/>
                <w:lang w:eastAsia="sk-SK"/>
              </w:rPr>
              <w:t>9 466</w:t>
            </w:r>
          </w:p>
        </w:tc>
      </w:tr>
      <w:tr w:rsidR="004C5D69" w:rsidRPr="00174C84" w14:paraId="7D974DD7" w14:textId="77777777" w:rsidTr="00B46C79">
        <w:trPr>
          <w:trHeight w:val="300"/>
        </w:trPr>
        <w:tc>
          <w:tcPr>
            <w:tcW w:w="2373" w:type="pct"/>
            <w:tcBorders>
              <w:top w:val="nil"/>
              <w:left w:val="nil"/>
              <w:bottom w:val="nil"/>
              <w:right w:val="nil"/>
            </w:tcBorders>
            <w:vAlign w:val="bottom"/>
            <w:hideMark/>
          </w:tcPr>
          <w:p w14:paraId="6E139BF2" w14:textId="109323E5" w:rsidR="004C5D69" w:rsidRPr="00174C84" w:rsidRDefault="004C5D69" w:rsidP="004C5D69">
            <w:pPr>
              <w:spacing w:after="0" w:line="240" w:lineRule="auto"/>
              <w:ind w:firstLineChars="300" w:firstLine="540"/>
              <w:rPr>
                <w:sz w:val="18"/>
                <w:szCs w:val="18"/>
                <w:highlight w:val="yellow"/>
                <w:lang w:eastAsia="sk-SK"/>
              </w:rPr>
            </w:pPr>
            <w:r w:rsidRPr="00642969">
              <w:rPr>
                <w:sz w:val="18"/>
                <w:szCs w:val="18"/>
                <w:lang w:eastAsia="sk-SK"/>
              </w:rPr>
              <w:t>VI Národnej banky Slovenska</w:t>
            </w:r>
          </w:p>
        </w:tc>
        <w:tc>
          <w:tcPr>
            <w:tcW w:w="629" w:type="pct"/>
            <w:tcBorders>
              <w:top w:val="nil"/>
              <w:left w:val="nil"/>
              <w:bottom w:val="nil"/>
              <w:right w:val="nil"/>
            </w:tcBorders>
            <w:vAlign w:val="bottom"/>
          </w:tcPr>
          <w:p w14:paraId="0152741A" w14:textId="380DB6D6"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-1 499 956</w:t>
            </w:r>
          </w:p>
        </w:tc>
        <w:tc>
          <w:tcPr>
            <w:tcW w:w="666" w:type="pct"/>
            <w:tcBorders>
              <w:top w:val="nil"/>
              <w:left w:val="nil"/>
              <w:bottom w:val="nil"/>
              <w:right w:val="nil"/>
            </w:tcBorders>
            <w:vAlign w:val="bottom"/>
          </w:tcPr>
          <w:p w14:paraId="533CAD2F" w14:textId="0FDA7D6D"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 xml:space="preserve">-1 680 </w:t>
            </w:r>
            <w:r>
              <w:rPr>
                <w:sz w:val="18"/>
                <w:szCs w:val="18"/>
                <w:lang w:eastAsia="sk-SK"/>
              </w:rPr>
              <w:t>601</w:t>
            </w:r>
          </w:p>
        </w:tc>
        <w:tc>
          <w:tcPr>
            <w:tcW w:w="638" w:type="pct"/>
            <w:tcBorders>
              <w:top w:val="nil"/>
              <w:left w:val="nil"/>
              <w:bottom w:val="nil"/>
              <w:right w:val="nil"/>
            </w:tcBorders>
            <w:vAlign w:val="bottom"/>
          </w:tcPr>
          <w:p w14:paraId="59CCD691" w14:textId="4A67C1D0" w:rsidR="004C5D69" w:rsidRPr="00174C84" w:rsidRDefault="004C5D69" w:rsidP="004C5D69">
            <w:pPr>
              <w:spacing w:after="0" w:line="240" w:lineRule="auto"/>
              <w:jc w:val="right"/>
              <w:rPr>
                <w:sz w:val="18"/>
                <w:szCs w:val="18"/>
                <w:highlight w:val="yellow"/>
                <w:lang w:eastAsia="sk-SK"/>
              </w:rPr>
            </w:pPr>
            <w:r>
              <w:rPr>
                <w:sz w:val="18"/>
                <w:szCs w:val="18"/>
                <w:lang w:eastAsia="sk-SK"/>
              </w:rPr>
              <w:t>-1 059 861</w:t>
            </w:r>
          </w:p>
        </w:tc>
        <w:tc>
          <w:tcPr>
            <w:tcW w:w="694" w:type="pct"/>
            <w:tcBorders>
              <w:top w:val="nil"/>
              <w:left w:val="nil"/>
              <w:bottom w:val="nil"/>
              <w:right w:val="nil"/>
            </w:tcBorders>
            <w:vAlign w:val="bottom"/>
          </w:tcPr>
          <w:p w14:paraId="22504C99" w14:textId="0821ABB4" w:rsidR="004C5D69" w:rsidRPr="00174C84" w:rsidRDefault="004C5D69" w:rsidP="004C5D69">
            <w:pPr>
              <w:spacing w:after="0" w:line="240" w:lineRule="auto"/>
              <w:jc w:val="right"/>
              <w:rPr>
                <w:sz w:val="18"/>
                <w:szCs w:val="18"/>
                <w:highlight w:val="yellow"/>
                <w:lang w:eastAsia="sk-SK"/>
              </w:rPr>
            </w:pPr>
            <w:r>
              <w:rPr>
                <w:sz w:val="18"/>
                <w:szCs w:val="18"/>
                <w:lang w:eastAsia="sk-SK"/>
              </w:rPr>
              <w:t>620 740</w:t>
            </w:r>
          </w:p>
        </w:tc>
      </w:tr>
      <w:tr w:rsidR="004C5D69" w:rsidRPr="00174C84" w14:paraId="19F5D3D5" w14:textId="77777777" w:rsidTr="00B46C79">
        <w:trPr>
          <w:trHeight w:val="300"/>
        </w:trPr>
        <w:tc>
          <w:tcPr>
            <w:tcW w:w="2373" w:type="pct"/>
            <w:tcBorders>
              <w:top w:val="nil"/>
              <w:left w:val="nil"/>
              <w:bottom w:val="nil"/>
              <w:right w:val="nil"/>
            </w:tcBorders>
            <w:vAlign w:val="bottom"/>
            <w:hideMark/>
          </w:tcPr>
          <w:p w14:paraId="30921D27" w14:textId="2FFBA7BE" w:rsidR="004C5D69" w:rsidRPr="00174C84" w:rsidRDefault="004C5D69" w:rsidP="004C5D69">
            <w:pPr>
              <w:spacing w:after="0" w:line="240" w:lineRule="auto"/>
              <w:rPr>
                <w:sz w:val="18"/>
                <w:szCs w:val="18"/>
                <w:highlight w:val="yellow"/>
                <w:lang w:eastAsia="sk-SK"/>
              </w:rPr>
            </w:pPr>
            <w:r w:rsidRPr="00E352E1">
              <w:rPr>
                <w:sz w:val="18"/>
                <w:szCs w:val="18"/>
                <w:lang w:eastAsia="sk-SK"/>
              </w:rPr>
              <w:t>Implicitné záväzky                                                     (2)</w:t>
            </w:r>
          </w:p>
        </w:tc>
        <w:tc>
          <w:tcPr>
            <w:tcW w:w="629" w:type="pct"/>
            <w:tcBorders>
              <w:top w:val="nil"/>
              <w:left w:val="nil"/>
              <w:bottom w:val="nil"/>
              <w:right w:val="nil"/>
            </w:tcBorders>
            <w:vAlign w:val="bottom"/>
          </w:tcPr>
          <w:p w14:paraId="7075384F" w14:textId="29918C3A"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401 359 121</w:t>
            </w:r>
          </w:p>
        </w:tc>
        <w:tc>
          <w:tcPr>
            <w:tcW w:w="666" w:type="pct"/>
            <w:tcBorders>
              <w:top w:val="nil"/>
              <w:left w:val="nil"/>
              <w:bottom w:val="nil"/>
              <w:right w:val="nil"/>
            </w:tcBorders>
            <w:vAlign w:val="bottom"/>
          </w:tcPr>
          <w:p w14:paraId="5BFE120E" w14:textId="30192AB5"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198 900 935</w:t>
            </w:r>
          </w:p>
        </w:tc>
        <w:tc>
          <w:tcPr>
            <w:tcW w:w="638" w:type="pct"/>
            <w:tcBorders>
              <w:top w:val="nil"/>
              <w:left w:val="nil"/>
              <w:bottom w:val="nil"/>
              <w:right w:val="nil"/>
            </w:tcBorders>
            <w:vAlign w:val="bottom"/>
          </w:tcPr>
          <w:p w14:paraId="3D077788" w14:textId="116C558C" w:rsidR="004C5D69" w:rsidRPr="00174C84" w:rsidRDefault="004C5D69" w:rsidP="004C5D69">
            <w:pPr>
              <w:spacing w:after="0" w:line="240" w:lineRule="auto"/>
              <w:jc w:val="right"/>
              <w:rPr>
                <w:sz w:val="18"/>
                <w:szCs w:val="18"/>
                <w:highlight w:val="yellow"/>
                <w:lang w:eastAsia="sk-SK"/>
              </w:rPr>
            </w:pPr>
            <w:r>
              <w:rPr>
                <w:sz w:val="18"/>
                <w:szCs w:val="18"/>
                <w:lang w:eastAsia="sk-SK"/>
              </w:rPr>
              <w:t>200 365 296</w:t>
            </w:r>
          </w:p>
        </w:tc>
        <w:tc>
          <w:tcPr>
            <w:tcW w:w="694" w:type="pct"/>
            <w:tcBorders>
              <w:top w:val="nil"/>
              <w:left w:val="nil"/>
              <w:bottom w:val="nil"/>
              <w:right w:val="nil"/>
            </w:tcBorders>
            <w:vAlign w:val="bottom"/>
          </w:tcPr>
          <w:p w14:paraId="62816B14" w14:textId="09728DFF" w:rsidR="004C5D69" w:rsidRPr="00174C84" w:rsidRDefault="004C5D69" w:rsidP="004C5D69">
            <w:pPr>
              <w:spacing w:after="0" w:line="240" w:lineRule="auto"/>
              <w:jc w:val="right"/>
              <w:rPr>
                <w:sz w:val="18"/>
                <w:szCs w:val="18"/>
                <w:highlight w:val="yellow"/>
                <w:lang w:eastAsia="sk-SK"/>
              </w:rPr>
            </w:pPr>
            <w:r>
              <w:rPr>
                <w:sz w:val="18"/>
                <w:szCs w:val="18"/>
                <w:lang w:eastAsia="sk-SK"/>
              </w:rPr>
              <w:t>1 464 361</w:t>
            </w:r>
          </w:p>
        </w:tc>
      </w:tr>
      <w:tr w:rsidR="004C5D69" w:rsidRPr="00174C84" w14:paraId="686CAC07" w14:textId="77777777" w:rsidTr="00B46C79">
        <w:trPr>
          <w:trHeight w:val="300"/>
        </w:trPr>
        <w:tc>
          <w:tcPr>
            <w:tcW w:w="2373" w:type="pct"/>
            <w:tcBorders>
              <w:top w:val="nil"/>
              <w:left w:val="nil"/>
              <w:bottom w:val="nil"/>
              <w:right w:val="nil"/>
            </w:tcBorders>
            <w:vAlign w:val="bottom"/>
            <w:hideMark/>
          </w:tcPr>
          <w:p w14:paraId="06CC45A2" w14:textId="3B8C7EC0" w:rsidR="004C5D69" w:rsidRPr="00174C84" w:rsidRDefault="004C5D69" w:rsidP="004C5D69">
            <w:pPr>
              <w:spacing w:after="0" w:line="240" w:lineRule="auto"/>
              <w:rPr>
                <w:sz w:val="18"/>
                <w:szCs w:val="18"/>
                <w:highlight w:val="yellow"/>
                <w:lang w:eastAsia="sk-SK"/>
              </w:rPr>
            </w:pPr>
            <w:r w:rsidRPr="00642969">
              <w:rPr>
                <w:sz w:val="18"/>
                <w:szCs w:val="18"/>
                <w:lang w:eastAsia="sk-SK"/>
              </w:rPr>
              <w:t>Podmienené záväzky                                                  (3)</w:t>
            </w:r>
          </w:p>
        </w:tc>
        <w:tc>
          <w:tcPr>
            <w:tcW w:w="629" w:type="pct"/>
            <w:tcBorders>
              <w:top w:val="nil"/>
              <w:left w:val="nil"/>
              <w:bottom w:val="nil"/>
              <w:right w:val="nil"/>
            </w:tcBorders>
            <w:vAlign w:val="bottom"/>
          </w:tcPr>
          <w:p w14:paraId="6598149E" w14:textId="22E38705"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20 245 585</w:t>
            </w:r>
          </w:p>
        </w:tc>
        <w:tc>
          <w:tcPr>
            <w:tcW w:w="666" w:type="pct"/>
            <w:tcBorders>
              <w:top w:val="nil"/>
              <w:left w:val="nil"/>
              <w:bottom w:val="nil"/>
              <w:right w:val="nil"/>
            </w:tcBorders>
            <w:vAlign w:val="bottom"/>
          </w:tcPr>
          <w:p w14:paraId="165BD727" w14:textId="11224B45"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2</w:t>
            </w:r>
            <w:r w:rsidR="00C811B1">
              <w:rPr>
                <w:sz w:val="18"/>
                <w:szCs w:val="18"/>
                <w:lang w:eastAsia="sk-SK"/>
              </w:rPr>
              <w:t>2</w:t>
            </w:r>
            <w:r>
              <w:rPr>
                <w:sz w:val="18"/>
                <w:szCs w:val="18"/>
                <w:lang w:eastAsia="sk-SK"/>
              </w:rPr>
              <w:t> </w:t>
            </w:r>
            <w:r w:rsidR="00C811B1">
              <w:rPr>
                <w:sz w:val="18"/>
                <w:szCs w:val="18"/>
                <w:lang w:eastAsia="sk-SK"/>
              </w:rPr>
              <w:t>089</w:t>
            </w:r>
            <w:r>
              <w:rPr>
                <w:sz w:val="18"/>
                <w:szCs w:val="18"/>
                <w:lang w:eastAsia="sk-SK"/>
              </w:rPr>
              <w:t xml:space="preserve"> </w:t>
            </w:r>
            <w:r w:rsidR="00C811B1">
              <w:rPr>
                <w:sz w:val="18"/>
                <w:szCs w:val="18"/>
                <w:lang w:eastAsia="sk-SK"/>
              </w:rPr>
              <w:t>804</w:t>
            </w:r>
          </w:p>
        </w:tc>
        <w:tc>
          <w:tcPr>
            <w:tcW w:w="638" w:type="pct"/>
            <w:tcBorders>
              <w:top w:val="nil"/>
              <w:left w:val="nil"/>
              <w:bottom w:val="nil"/>
              <w:right w:val="nil"/>
            </w:tcBorders>
            <w:vAlign w:val="bottom"/>
          </w:tcPr>
          <w:p w14:paraId="5C59C045" w14:textId="2E08D753" w:rsidR="004C5D69" w:rsidRPr="00174C84" w:rsidRDefault="004C5D69" w:rsidP="004C5D69">
            <w:pPr>
              <w:spacing w:after="0" w:line="240" w:lineRule="auto"/>
              <w:jc w:val="right"/>
              <w:rPr>
                <w:sz w:val="18"/>
                <w:szCs w:val="18"/>
                <w:highlight w:val="yellow"/>
                <w:lang w:eastAsia="sk-SK"/>
              </w:rPr>
            </w:pPr>
            <w:r>
              <w:rPr>
                <w:sz w:val="18"/>
                <w:szCs w:val="18"/>
                <w:lang w:eastAsia="sk-SK"/>
              </w:rPr>
              <w:t>20 653 874</w:t>
            </w:r>
          </w:p>
        </w:tc>
        <w:tc>
          <w:tcPr>
            <w:tcW w:w="694" w:type="pct"/>
            <w:tcBorders>
              <w:top w:val="nil"/>
              <w:left w:val="nil"/>
              <w:bottom w:val="nil"/>
              <w:right w:val="nil"/>
            </w:tcBorders>
            <w:vAlign w:val="bottom"/>
          </w:tcPr>
          <w:p w14:paraId="7A31ED61" w14:textId="47EF72C7" w:rsidR="004C5D69" w:rsidRPr="00174C84" w:rsidRDefault="00C811B1" w:rsidP="004C5D69">
            <w:pPr>
              <w:spacing w:after="0" w:line="240" w:lineRule="auto"/>
              <w:jc w:val="right"/>
              <w:rPr>
                <w:sz w:val="18"/>
                <w:szCs w:val="18"/>
                <w:highlight w:val="yellow"/>
                <w:lang w:eastAsia="sk-SK"/>
              </w:rPr>
            </w:pPr>
            <w:r w:rsidRPr="00FC6E0E">
              <w:rPr>
                <w:sz w:val="18"/>
                <w:szCs w:val="18"/>
                <w:lang w:eastAsia="sk-SK"/>
              </w:rPr>
              <w:t>-</w:t>
            </w:r>
            <w:r>
              <w:rPr>
                <w:sz w:val="18"/>
                <w:szCs w:val="18"/>
                <w:lang w:eastAsia="sk-SK"/>
              </w:rPr>
              <w:t>1 435 930</w:t>
            </w:r>
          </w:p>
        </w:tc>
      </w:tr>
      <w:tr w:rsidR="004C5D69" w:rsidRPr="00174C84" w14:paraId="65E622F3" w14:textId="77777777" w:rsidTr="00B46C79">
        <w:trPr>
          <w:trHeight w:val="300"/>
        </w:trPr>
        <w:tc>
          <w:tcPr>
            <w:tcW w:w="2373" w:type="pct"/>
            <w:tcBorders>
              <w:top w:val="nil"/>
              <w:left w:val="nil"/>
              <w:bottom w:val="nil"/>
              <w:right w:val="nil"/>
            </w:tcBorders>
            <w:vAlign w:val="bottom"/>
            <w:hideMark/>
          </w:tcPr>
          <w:p w14:paraId="2C108A3F" w14:textId="23FB0692" w:rsidR="004C5D69" w:rsidRPr="00174C84" w:rsidRDefault="004C5D69" w:rsidP="004C5D69">
            <w:pPr>
              <w:spacing w:after="0" w:line="240" w:lineRule="auto"/>
              <w:rPr>
                <w:sz w:val="18"/>
                <w:szCs w:val="18"/>
                <w:highlight w:val="yellow"/>
                <w:lang w:eastAsia="sk-SK"/>
              </w:rPr>
            </w:pPr>
            <w:r w:rsidRPr="00642969">
              <w:rPr>
                <w:sz w:val="18"/>
                <w:szCs w:val="18"/>
                <w:lang w:eastAsia="sk-SK"/>
              </w:rPr>
              <w:t>Iné aktíva                                                                    (4)</w:t>
            </w:r>
          </w:p>
        </w:tc>
        <w:tc>
          <w:tcPr>
            <w:tcW w:w="629" w:type="pct"/>
            <w:tcBorders>
              <w:top w:val="nil"/>
              <w:left w:val="nil"/>
              <w:bottom w:val="nil"/>
              <w:right w:val="nil"/>
            </w:tcBorders>
            <w:vAlign w:val="bottom"/>
          </w:tcPr>
          <w:p w14:paraId="1194567A" w14:textId="2BBCF39C"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4 946 495</w:t>
            </w:r>
          </w:p>
        </w:tc>
        <w:tc>
          <w:tcPr>
            <w:tcW w:w="666" w:type="pct"/>
            <w:tcBorders>
              <w:top w:val="nil"/>
              <w:left w:val="nil"/>
              <w:bottom w:val="nil"/>
              <w:right w:val="nil"/>
            </w:tcBorders>
            <w:vAlign w:val="bottom"/>
          </w:tcPr>
          <w:p w14:paraId="02C633A8" w14:textId="7A991C6A" w:rsidR="004C5D69" w:rsidRPr="00174C84" w:rsidRDefault="004C5D69" w:rsidP="004C5D69">
            <w:pPr>
              <w:spacing w:after="0" w:line="240" w:lineRule="auto"/>
              <w:jc w:val="right"/>
              <w:rPr>
                <w:sz w:val="18"/>
                <w:szCs w:val="18"/>
                <w:highlight w:val="yellow"/>
                <w:lang w:eastAsia="sk-SK"/>
              </w:rPr>
            </w:pPr>
            <w:r w:rsidRPr="00FC6E0E">
              <w:rPr>
                <w:sz w:val="18"/>
                <w:szCs w:val="18"/>
                <w:lang w:eastAsia="sk-SK"/>
              </w:rPr>
              <w:t>5</w:t>
            </w:r>
            <w:r>
              <w:rPr>
                <w:sz w:val="18"/>
                <w:szCs w:val="18"/>
                <w:lang w:eastAsia="sk-SK"/>
              </w:rPr>
              <w:t> 810 333</w:t>
            </w:r>
          </w:p>
        </w:tc>
        <w:tc>
          <w:tcPr>
            <w:tcW w:w="638" w:type="pct"/>
            <w:tcBorders>
              <w:top w:val="nil"/>
              <w:left w:val="nil"/>
              <w:bottom w:val="nil"/>
              <w:right w:val="nil"/>
            </w:tcBorders>
            <w:vAlign w:val="bottom"/>
          </w:tcPr>
          <w:p w14:paraId="08B86364" w14:textId="6E93A82C" w:rsidR="004C5D69" w:rsidRPr="00174C84" w:rsidRDefault="004C5D69" w:rsidP="004C5D69">
            <w:pPr>
              <w:spacing w:after="0" w:line="240" w:lineRule="auto"/>
              <w:jc w:val="right"/>
              <w:rPr>
                <w:sz w:val="18"/>
                <w:szCs w:val="18"/>
                <w:highlight w:val="yellow"/>
                <w:lang w:eastAsia="sk-SK"/>
              </w:rPr>
            </w:pPr>
            <w:r>
              <w:rPr>
                <w:sz w:val="18"/>
                <w:szCs w:val="18"/>
                <w:lang w:eastAsia="sk-SK"/>
              </w:rPr>
              <w:t>5 949 644</w:t>
            </w:r>
          </w:p>
        </w:tc>
        <w:tc>
          <w:tcPr>
            <w:tcW w:w="694" w:type="pct"/>
            <w:tcBorders>
              <w:top w:val="nil"/>
              <w:left w:val="nil"/>
              <w:bottom w:val="nil"/>
              <w:right w:val="nil"/>
            </w:tcBorders>
            <w:vAlign w:val="bottom"/>
          </w:tcPr>
          <w:p w14:paraId="24C99F04" w14:textId="18D6FB01" w:rsidR="004C5D69" w:rsidRPr="00174C84" w:rsidRDefault="004C5D69" w:rsidP="004C5D69">
            <w:pPr>
              <w:spacing w:after="0" w:line="240" w:lineRule="auto"/>
              <w:jc w:val="right"/>
              <w:rPr>
                <w:sz w:val="18"/>
                <w:szCs w:val="18"/>
                <w:highlight w:val="yellow"/>
                <w:lang w:eastAsia="sk-SK"/>
              </w:rPr>
            </w:pPr>
            <w:r>
              <w:rPr>
                <w:sz w:val="18"/>
                <w:szCs w:val="18"/>
                <w:lang w:eastAsia="sk-SK"/>
              </w:rPr>
              <w:t>139 3</w:t>
            </w:r>
            <w:r w:rsidR="00C811B1">
              <w:rPr>
                <w:sz w:val="18"/>
                <w:szCs w:val="18"/>
                <w:lang w:eastAsia="sk-SK"/>
              </w:rPr>
              <w:t>0</w:t>
            </w:r>
            <w:r>
              <w:rPr>
                <w:sz w:val="18"/>
                <w:szCs w:val="18"/>
                <w:lang w:eastAsia="sk-SK"/>
              </w:rPr>
              <w:t>1</w:t>
            </w:r>
          </w:p>
        </w:tc>
      </w:tr>
      <w:tr w:rsidR="004C5D69" w:rsidRPr="00174C84" w14:paraId="767339BF" w14:textId="77777777" w:rsidTr="00B46C79">
        <w:trPr>
          <w:trHeight w:val="300"/>
        </w:trPr>
        <w:tc>
          <w:tcPr>
            <w:tcW w:w="2373" w:type="pct"/>
            <w:tcBorders>
              <w:top w:val="single" w:sz="4" w:space="0" w:color="auto"/>
              <w:left w:val="nil"/>
              <w:bottom w:val="nil"/>
              <w:right w:val="nil"/>
            </w:tcBorders>
            <w:vAlign w:val="bottom"/>
            <w:hideMark/>
          </w:tcPr>
          <w:p w14:paraId="48D7B24F" w14:textId="1F7C9C26" w:rsidR="004C5D69" w:rsidRPr="00174C84" w:rsidRDefault="004C5D69" w:rsidP="004C5D69">
            <w:pPr>
              <w:spacing w:after="0" w:line="240" w:lineRule="auto"/>
              <w:rPr>
                <w:b/>
                <w:bCs/>
                <w:sz w:val="18"/>
                <w:szCs w:val="18"/>
                <w:highlight w:val="yellow"/>
                <w:lang w:eastAsia="sk-SK"/>
              </w:rPr>
            </w:pPr>
            <w:r w:rsidRPr="00642969">
              <w:rPr>
                <w:b/>
                <w:bCs/>
                <w:sz w:val="18"/>
                <w:szCs w:val="18"/>
                <w:lang w:eastAsia="sk-SK"/>
              </w:rPr>
              <w:t>Čisté bohatstvo SR  (1-2-3+4)</w:t>
            </w:r>
          </w:p>
        </w:tc>
        <w:tc>
          <w:tcPr>
            <w:tcW w:w="629" w:type="pct"/>
            <w:tcBorders>
              <w:top w:val="single" w:sz="4" w:space="0" w:color="auto"/>
              <w:left w:val="nil"/>
              <w:bottom w:val="nil"/>
              <w:right w:val="nil"/>
            </w:tcBorders>
            <w:vAlign w:val="bottom"/>
          </w:tcPr>
          <w:p w14:paraId="15E063C2" w14:textId="4CCBAF05" w:rsidR="004C5D69" w:rsidRPr="00174C84" w:rsidRDefault="004C5D69" w:rsidP="004C5D69">
            <w:pPr>
              <w:spacing w:after="0" w:line="240" w:lineRule="auto"/>
              <w:jc w:val="right"/>
              <w:rPr>
                <w:b/>
                <w:bCs/>
                <w:sz w:val="18"/>
                <w:szCs w:val="18"/>
                <w:highlight w:val="yellow"/>
                <w:lang w:eastAsia="sk-SK"/>
              </w:rPr>
            </w:pPr>
            <w:r w:rsidRPr="00FC6E0E">
              <w:rPr>
                <w:b/>
                <w:bCs/>
                <w:sz w:val="18"/>
                <w:szCs w:val="18"/>
                <w:lang w:eastAsia="sk-SK"/>
              </w:rPr>
              <w:t>-423 115 210</w:t>
            </w:r>
          </w:p>
        </w:tc>
        <w:tc>
          <w:tcPr>
            <w:tcW w:w="666" w:type="pct"/>
            <w:tcBorders>
              <w:top w:val="single" w:sz="4" w:space="0" w:color="auto"/>
              <w:left w:val="nil"/>
              <w:bottom w:val="nil"/>
              <w:right w:val="nil"/>
            </w:tcBorders>
            <w:vAlign w:val="bottom"/>
          </w:tcPr>
          <w:p w14:paraId="5C5FC1E5" w14:textId="015D6DB8" w:rsidR="004C5D69" w:rsidRPr="00174C84" w:rsidRDefault="004C5D69" w:rsidP="004C5D69">
            <w:pPr>
              <w:spacing w:after="0" w:line="240" w:lineRule="auto"/>
              <w:jc w:val="right"/>
              <w:rPr>
                <w:b/>
                <w:bCs/>
                <w:sz w:val="18"/>
                <w:szCs w:val="18"/>
                <w:highlight w:val="yellow"/>
                <w:lang w:eastAsia="sk-SK"/>
              </w:rPr>
            </w:pPr>
            <w:r w:rsidRPr="00FC6E0E">
              <w:rPr>
                <w:b/>
                <w:bCs/>
                <w:sz w:val="18"/>
                <w:szCs w:val="18"/>
                <w:lang w:eastAsia="sk-SK"/>
              </w:rPr>
              <w:t>-22</w:t>
            </w:r>
            <w:r w:rsidR="00C811B1">
              <w:rPr>
                <w:b/>
                <w:bCs/>
                <w:sz w:val="18"/>
                <w:szCs w:val="18"/>
                <w:lang w:eastAsia="sk-SK"/>
              </w:rPr>
              <w:t>4</w:t>
            </w:r>
            <w:r>
              <w:rPr>
                <w:b/>
                <w:bCs/>
                <w:sz w:val="18"/>
                <w:szCs w:val="18"/>
                <w:lang w:eastAsia="sk-SK"/>
              </w:rPr>
              <w:t> </w:t>
            </w:r>
            <w:r w:rsidR="00C811B1">
              <w:rPr>
                <w:b/>
                <w:bCs/>
                <w:sz w:val="18"/>
                <w:szCs w:val="18"/>
                <w:lang w:eastAsia="sk-SK"/>
              </w:rPr>
              <w:t>671</w:t>
            </w:r>
            <w:r>
              <w:rPr>
                <w:b/>
                <w:bCs/>
                <w:sz w:val="18"/>
                <w:szCs w:val="18"/>
                <w:lang w:eastAsia="sk-SK"/>
              </w:rPr>
              <w:t xml:space="preserve"> </w:t>
            </w:r>
            <w:r w:rsidR="00C811B1">
              <w:rPr>
                <w:b/>
                <w:bCs/>
                <w:sz w:val="18"/>
                <w:szCs w:val="18"/>
                <w:lang w:eastAsia="sk-SK"/>
              </w:rPr>
              <w:t>427</w:t>
            </w:r>
          </w:p>
        </w:tc>
        <w:tc>
          <w:tcPr>
            <w:tcW w:w="638" w:type="pct"/>
            <w:tcBorders>
              <w:top w:val="single" w:sz="4" w:space="0" w:color="auto"/>
              <w:left w:val="nil"/>
              <w:bottom w:val="nil"/>
              <w:right w:val="nil"/>
            </w:tcBorders>
            <w:vAlign w:val="bottom"/>
          </w:tcPr>
          <w:p w14:paraId="609E65C6" w14:textId="572EA7D7" w:rsidR="004C5D69" w:rsidRPr="00174C84" w:rsidRDefault="004C5D69" w:rsidP="004C5D69">
            <w:pPr>
              <w:spacing w:after="0" w:line="240" w:lineRule="auto"/>
              <w:jc w:val="right"/>
              <w:rPr>
                <w:b/>
                <w:bCs/>
                <w:sz w:val="18"/>
                <w:szCs w:val="18"/>
                <w:highlight w:val="yellow"/>
                <w:lang w:eastAsia="sk-SK"/>
              </w:rPr>
            </w:pPr>
            <w:r>
              <w:rPr>
                <w:b/>
                <w:bCs/>
                <w:sz w:val="18"/>
                <w:szCs w:val="18"/>
                <w:lang w:eastAsia="sk-SK"/>
              </w:rPr>
              <w:t>-228 241 866</w:t>
            </w:r>
          </w:p>
        </w:tc>
        <w:tc>
          <w:tcPr>
            <w:tcW w:w="694" w:type="pct"/>
            <w:tcBorders>
              <w:top w:val="single" w:sz="4" w:space="0" w:color="auto"/>
              <w:left w:val="nil"/>
              <w:bottom w:val="nil"/>
              <w:right w:val="nil"/>
            </w:tcBorders>
            <w:vAlign w:val="bottom"/>
          </w:tcPr>
          <w:p w14:paraId="37B3593D" w14:textId="07C2B1EA" w:rsidR="004C5D69" w:rsidRPr="00174C84" w:rsidRDefault="004C5D69" w:rsidP="004C5D69">
            <w:pPr>
              <w:spacing w:after="0" w:line="240" w:lineRule="auto"/>
              <w:jc w:val="right"/>
              <w:rPr>
                <w:b/>
                <w:bCs/>
                <w:sz w:val="18"/>
                <w:szCs w:val="18"/>
                <w:highlight w:val="yellow"/>
                <w:lang w:eastAsia="sk-SK"/>
              </w:rPr>
            </w:pPr>
            <w:r>
              <w:rPr>
                <w:b/>
                <w:bCs/>
                <w:sz w:val="18"/>
                <w:szCs w:val="18"/>
                <w:lang w:eastAsia="sk-SK"/>
              </w:rPr>
              <w:t xml:space="preserve">- </w:t>
            </w:r>
            <w:r w:rsidR="00C811B1">
              <w:rPr>
                <w:b/>
                <w:bCs/>
                <w:sz w:val="18"/>
                <w:szCs w:val="18"/>
                <w:lang w:eastAsia="sk-SK"/>
              </w:rPr>
              <w:t>3</w:t>
            </w:r>
            <w:r>
              <w:rPr>
                <w:b/>
                <w:bCs/>
                <w:sz w:val="18"/>
                <w:szCs w:val="18"/>
                <w:lang w:eastAsia="sk-SK"/>
              </w:rPr>
              <w:t xml:space="preserve"> </w:t>
            </w:r>
            <w:r w:rsidR="00C811B1">
              <w:rPr>
                <w:b/>
                <w:bCs/>
                <w:sz w:val="18"/>
                <w:szCs w:val="18"/>
                <w:lang w:eastAsia="sk-SK"/>
              </w:rPr>
              <w:t>570</w:t>
            </w:r>
            <w:r>
              <w:rPr>
                <w:b/>
                <w:bCs/>
                <w:sz w:val="18"/>
                <w:szCs w:val="18"/>
                <w:lang w:eastAsia="sk-SK"/>
              </w:rPr>
              <w:t xml:space="preserve"> </w:t>
            </w:r>
            <w:r w:rsidR="00C811B1">
              <w:rPr>
                <w:b/>
                <w:bCs/>
                <w:sz w:val="18"/>
                <w:szCs w:val="18"/>
                <w:lang w:eastAsia="sk-SK"/>
              </w:rPr>
              <w:t>438</w:t>
            </w:r>
          </w:p>
        </w:tc>
      </w:tr>
      <w:tr w:rsidR="004C5D69" w:rsidRPr="00174C84" w14:paraId="0FD60691" w14:textId="77777777" w:rsidTr="00B46C79">
        <w:trPr>
          <w:trHeight w:val="68"/>
        </w:trPr>
        <w:tc>
          <w:tcPr>
            <w:tcW w:w="2373" w:type="pct"/>
            <w:tcBorders>
              <w:top w:val="nil"/>
              <w:left w:val="nil"/>
              <w:bottom w:val="single" w:sz="4" w:space="0" w:color="auto"/>
              <w:right w:val="nil"/>
            </w:tcBorders>
            <w:vAlign w:val="bottom"/>
            <w:hideMark/>
          </w:tcPr>
          <w:p w14:paraId="3D7B4441" w14:textId="1C9ADD8C" w:rsidR="004C5D69" w:rsidRPr="00174C84" w:rsidRDefault="004C5D69" w:rsidP="004C5D69">
            <w:pPr>
              <w:spacing w:after="0" w:line="240" w:lineRule="auto"/>
              <w:ind w:firstLineChars="300" w:firstLine="542"/>
              <w:rPr>
                <w:b/>
                <w:bCs/>
                <w:i/>
                <w:iCs/>
                <w:sz w:val="18"/>
                <w:szCs w:val="18"/>
                <w:highlight w:val="yellow"/>
                <w:lang w:eastAsia="sk-SK"/>
              </w:rPr>
            </w:pPr>
            <w:r w:rsidRPr="00642969">
              <w:rPr>
                <w:b/>
                <w:bCs/>
                <w:i/>
                <w:iCs/>
                <w:sz w:val="18"/>
                <w:szCs w:val="18"/>
                <w:lang w:eastAsia="sk-SK"/>
              </w:rPr>
              <w:t>v % HDP</w:t>
            </w:r>
          </w:p>
        </w:tc>
        <w:tc>
          <w:tcPr>
            <w:tcW w:w="629" w:type="pct"/>
            <w:tcBorders>
              <w:top w:val="nil"/>
              <w:left w:val="nil"/>
              <w:bottom w:val="single" w:sz="4" w:space="0" w:color="auto"/>
              <w:right w:val="nil"/>
            </w:tcBorders>
            <w:vAlign w:val="bottom"/>
          </w:tcPr>
          <w:p w14:paraId="3CF652CC" w14:textId="2468EA3A" w:rsidR="004C5D69" w:rsidRPr="00174C84" w:rsidRDefault="004C5D69" w:rsidP="004C5D69">
            <w:pPr>
              <w:spacing w:after="0" w:line="240" w:lineRule="auto"/>
              <w:jc w:val="right"/>
              <w:rPr>
                <w:b/>
                <w:bCs/>
                <w:i/>
                <w:iCs/>
                <w:sz w:val="18"/>
                <w:szCs w:val="18"/>
                <w:highlight w:val="yellow"/>
                <w:lang w:eastAsia="sk-SK"/>
              </w:rPr>
            </w:pPr>
            <w:r w:rsidRPr="00FC6E0E">
              <w:rPr>
                <w:b/>
                <w:bCs/>
                <w:i/>
                <w:iCs/>
                <w:sz w:val="18"/>
                <w:szCs w:val="18"/>
                <w:lang w:eastAsia="sk-SK"/>
              </w:rPr>
              <w:t>-384,</w:t>
            </w:r>
            <w:r>
              <w:rPr>
                <w:b/>
                <w:bCs/>
                <w:i/>
                <w:iCs/>
                <w:sz w:val="18"/>
                <w:szCs w:val="18"/>
                <w:lang w:eastAsia="sk-SK"/>
              </w:rPr>
              <w:t>79</w:t>
            </w:r>
          </w:p>
        </w:tc>
        <w:tc>
          <w:tcPr>
            <w:tcW w:w="666" w:type="pct"/>
            <w:tcBorders>
              <w:top w:val="nil"/>
              <w:left w:val="nil"/>
              <w:bottom w:val="single" w:sz="4" w:space="0" w:color="auto"/>
              <w:right w:val="nil"/>
            </w:tcBorders>
            <w:vAlign w:val="bottom"/>
          </w:tcPr>
          <w:p w14:paraId="50D32623" w14:textId="6C92BBF3" w:rsidR="004C5D69" w:rsidRPr="00174C84" w:rsidRDefault="004C5D69" w:rsidP="004C5D69">
            <w:pPr>
              <w:spacing w:after="0" w:line="240" w:lineRule="auto"/>
              <w:jc w:val="right"/>
              <w:rPr>
                <w:b/>
                <w:bCs/>
                <w:i/>
                <w:iCs/>
                <w:sz w:val="18"/>
                <w:szCs w:val="18"/>
                <w:highlight w:val="yellow"/>
                <w:lang w:eastAsia="sk-SK"/>
              </w:rPr>
            </w:pPr>
            <w:r w:rsidRPr="00FC6E0E">
              <w:rPr>
                <w:b/>
                <w:bCs/>
                <w:i/>
                <w:iCs/>
                <w:sz w:val="18"/>
                <w:szCs w:val="18"/>
                <w:lang w:eastAsia="sk-SK"/>
              </w:rPr>
              <w:t>-</w:t>
            </w:r>
            <w:r>
              <w:rPr>
                <w:b/>
                <w:bCs/>
                <w:i/>
                <w:iCs/>
                <w:sz w:val="18"/>
                <w:szCs w:val="18"/>
                <w:lang w:eastAsia="sk-SK"/>
              </w:rPr>
              <w:t>181,</w:t>
            </w:r>
            <w:r w:rsidR="00C811B1">
              <w:rPr>
                <w:b/>
                <w:bCs/>
                <w:i/>
                <w:iCs/>
                <w:sz w:val="18"/>
                <w:szCs w:val="18"/>
                <w:lang w:eastAsia="sk-SK"/>
              </w:rPr>
              <w:t>86</w:t>
            </w:r>
          </w:p>
        </w:tc>
        <w:tc>
          <w:tcPr>
            <w:tcW w:w="638" w:type="pct"/>
            <w:tcBorders>
              <w:top w:val="nil"/>
              <w:left w:val="nil"/>
              <w:bottom w:val="single" w:sz="4" w:space="0" w:color="auto"/>
              <w:right w:val="nil"/>
            </w:tcBorders>
            <w:vAlign w:val="bottom"/>
          </w:tcPr>
          <w:p w14:paraId="4F6AF83C" w14:textId="73E137E8" w:rsidR="004C5D69" w:rsidRPr="00174C84" w:rsidRDefault="004C5D69" w:rsidP="004C5D69">
            <w:pPr>
              <w:spacing w:after="0" w:line="240" w:lineRule="auto"/>
              <w:jc w:val="right"/>
              <w:rPr>
                <w:b/>
                <w:bCs/>
                <w:i/>
                <w:iCs/>
                <w:sz w:val="18"/>
                <w:szCs w:val="18"/>
                <w:highlight w:val="yellow"/>
                <w:lang w:eastAsia="sk-SK"/>
              </w:rPr>
            </w:pPr>
            <w:r>
              <w:rPr>
                <w:b/>
                <w:bCs/>
                <w:i/>
                <w:iCs/>
                <w:sz w:val="18"/>
                <w:szCs w:val="18"/>
                <w:lang w:eastAsia="sk-SK"/>
              </w:rPr>
              <w:t>-175,29</w:t>
            </w:r>
          </w:p>
        </w:tc>
        <w:tc>
          <w:tcPr>
            <w:tcW w:w="694" w:type="pct"/>
            <w:tcBorders>
              <w:top w:val="nil"/>
              <w:left w:val="nil"/>
              <w:bottom w:val="single" w:sz="4" w:space="0" w:color="auto"/>
              <w:right w:val="nil"/>
            </w:tcBorders>
            <w:vAlign w:val="bottom"/>
          </w:tcPr>
          <w:p w14:paraId="55C208BC" w14:textId="2BC1CF7A" w:rsidR="004C5D69" w:rsidRPr="00174C84" w:rsidRDefault="00C811B1" w:rsidP="004C5D69">
            <w:pPr>
              <w:spacing w:after="0" w:line="240" w:lineRule="auto"/>
              <w:jc w:val="right"/>
              <w:rPr>
                <w:b/>
                <w:bCs/>
                <w:i/>
                <w:sz w:val="18"/>
                <w:szCs w:val="18"/>
                <w:highlight w:val="yellow"/>
                <w:lang w:eastAsia="sk-SK"/>
              </w:rPr>
            </w:pPr>
            <w:r>
              <w:rPr>
                <w:b/>
                <w:bCs/>
                <w:i/>
                <w:sz w:val="18"/>
                <w:szCs w:val="18"/>
                <w:lang w:eastAsia="sk-SK"/>
              </w:rPr>
              <w:t>6</w:t>
            </w:r>
            <w:r w:rsidR="004C5D69">
              <w:rPr>
                <w:b/>
                <w:bCs/>
                <w:i/>
                <w:sz w:val="18"/>
                <w:szCs w:val="18"/>
                <w:lang w:eastAsia="sk-SK"/>
              </w:rPr>
              <w:t>,</w:t>
            </w:r>
            <w:r>
              <w:rPr>
                <w:b/>
                <w:bCs/>
                <w:i/>
                <w:sz w:val="18"/>
                <w:szCs w:val="18"/>
                <w:lang w:eastAsia="sk-SK"/>
              </w:rPr>
              <w:t>57</w:t>
            </w:r>
          </w:p>
        </w:tc>
      </w:tr>
    </w:tbl>
    <w:bookmarkEnd w:id="72"/>
    <w:p w14:paraId="362FEF11" w14:textId="28400EFC" w:rsidR="00642969" w:rsidRPr="00EA4E9B" w:rsidRDefault="00642969" w:rsidP="00642969">
      <w:pPr>
        <w:spacing w:after="0" w:line="240" w:lineRule="auto"/>
        <w:jc w:val="both"/>
        <w:rPr>
          <w:sz w:val="18"/>
          <w:szCs w:val="18"/>
        </w:rPr>
      </w:pPr>
      <w:r w:rsidRPr="00EA4E9B">
        <w:rPr>
          <w:sz w:val="18"/>
          <w:szCs w:val="18"/>
        </w:rPr>
        <w:t>*ČB v % voči HDP za roky 202</w:t>
      </w:r>
      <w:r w:rsidR="004C5D69" w:rsidRPr="00EA4E9B">
        <w:rPr>
          <w:sz w:val="18"/>
          <w:szCs w:val="18"/>
        </w:rPr>
        <w:t>2</w:t>
      </w:r>
      <w:r w:rsidRPr="00EA4E9B">
        <w:rPr>
          <w:sz w:val="18"/>
          <w:szCs w:val="18"/>
        </w:rPr>
        <w:t xml:space="preserve"> a 202</w:t>
      </w:r>
      <w:r w:rsidR="004C5D69" w:rsidRPr="00EA4E9B">
        <w:rPr>
          <w:sz w:val="18"/>
          <w:szCs w:val="18"/>
        </w:rPr>
        <w:t>3</w:t>
      </w:r>
      <w:r w:rsidRPr="00EA4E9B">
        <w:rPr>
          <w:sz w:val="18"/>
          <w:szCs w:val="18"/>
        </w:rPr>
        <w:t xml:space="preserve"> boli aktualizované z dôvodu aktualizácie HDP</w:t>
      </w:r>
      <w:r w:rsidR="004C5D69" w:rsidRPr="00EA4E9B">
        <w:rPr>
          <w:sz w:val="18"/>
          <w:szCs w:val="18"/>
        </w:rPr>
        <w:t xml:space="preserve"> na jeseň 2025.</w:t>
      </w:r>
      <w:r w:rsidRPr="00EA4E9B">
        <w:rPr>
          <w:sz w:val="18"/>
          <w:szCs w:val="18"/>
        </w:rPr>
        <w:tab/>
        <w:t xml:space="preserve">      </w:t>
      </w:r>
      <w:r w:rsidRPr="00EA4E9B">
        <w:rPr>
          <w:sz w:val="16"/>
          <w:szCs w:val="16"/>
        </w:rPr>
        <w:t xml:space="preserve"> Zdroj: MF SR, IFP</w:t>
      </w:r>
    </w:p>
    <w:p w14:paraId="26EE7258" w14:textId="77777777" w:rsidR="00C811B1" w:rsidRDefault="004C5D69" w:rsidP="00642969">
      <w:pPr>
        <w:spacing w:after="0" w:line="240" w:lineRule="auto"/>
        <w:jc w:val="both"/>
        <w:rPr>
          <w:sz w:val="18"/>
          <w:szCs w:val="18"/>
        </w:rPr>
      </w:pPr>
      <w:r w:rsidRPr="00EA4E9B">
        <w:rPr>
          <w:sz w:val="18"/>
          <w:szCs w:val="18"/>
        </w:rPr>
        <w:t xml:space="preserve">Za rok 2023 bola upravená hodnota VI súhrnného celku verejnej správy z dôvodu opravy duplicitnej </w:t>
      </w:r>
    </w:p>
    <w:p w14:paraId="401F6203" w14:textId="2657E0EA" w:rsidR="004C5D69" w:rsidRDefault="00C811B1" w:rsidP="00642969">
      <w:pPr>
        <w:spacing w:after="0" w:line="240" w:lineRule="auto"/>
        <w:jc w:val="both"/>
        <w:rPr>
          <w:sz w:val="18"/>
          <w:szCs w:val="18"/>
        </w:rPr>
      </w:pPr>
      <w:r>
        <w:rPr>
          <w:sz w:val="18"/>
          <w:szCs w:val="18"/>
        </w:rPr>
        <w:t>e</w:t>
      </w:r>
      <w:r w:rsidR="004C5D69" w:rsidRPr="00EA4E9B">
        <w:rPr>
          <w:sz w:val="18"/>
          <w:szCs w:val="18"/>
        </w:rPr>
        <w:t>liminácie</w:t>
      </w:r>
      <w:r>
        <w:rPr>
          <w:sz w:val="18"/>
          <w:szCs w:val="18"/>
        </w:rPr>
        <w:t xml:space="preserve"> </w:t>
      </w:r>
      <w:r w:rsidR="004C5D69" w:rsidRPr="00EA4E9B">
        <w:rPr>
          <w:sz w:val="18"/>
          <w:szCs w:val="18"/>
        </w:rPr>
        <w:t>konečného zostatku rezervy zamestnaneckých požitkov, ktoré sú súčasťou implicitných záväzkov.</w:t>
      </w:r>
    </w:p>
    <w:p w14:paraId="630ADE02" w14:textId="76B1D476" w:rsidR="004C5D69" w:rsidRDefault="004C5D69" w:rsidP="00642969">
      <w:pPr>
        <w:spacing w:after="0" w:line="240" w:lineRule="auto"/>
        <w:jc w:val="both"/>
        <w:rPr>
          <w:sz w:val="18"/>
          <w:szCs w:val="18"/>
          <w:highlight w:val="yellow"/>
        </w:rPr>
      </w:pPr>
      <w:r>
        <w:rPr>
          <w:sz w:val="18"/>
          <w:szCs w:val="18"/>
        </w:rPr>
        <w:t>Zároveň boli upravené hodnoty za podmienené záväzky a iné aktíva za rok 202</w:t>
      </w:r>
      <w:r w:rsidR="00C811B1">
        <w:rPr>
          <w:sz w:val="18"/>
          <w:szCs w:val="18"/>
        </w:rPr>
        <w:t>3</w:t>
      </w:r>
      <w:r>
        <w:rPr>
          <w:sz w:val="18"/>
          <w:szCs w:val="18"/>
        </w:rPr>
        <w:t xml:space="preserve"> z dôvodu aktualizácie vstupných dát. </w:t>
      </w:r>
      <w:r>
        <w:rPr>
          <w:sz w:val="18"/>
          <w:szCs w:val="18"/>
        </w:rPr>
        <w:tab/>
      </w:r>
    </w:p>
    <w:p w14:paraId="31A57C96" w14:textId="3CE5B286" w:rsidR="004C5D69" w:rsidRPr="00174C84" w:rsidRDefault="004C5D69" w:rsidP="00642969">
      <w:pPr>
        <w:spacing w:after="0" w:line="240" w:lineRule="auto"/>
        <w:jc w:val="both"/>
        <w:rPr>
          <w:sz w:val="18"/>
          <w:szCs w:val="18"/>
          <w:highlight w:val="yellow"/>
        </w:rPr>
      </w:pPr>
    </w:p>
    <w:p w14:paraId="165FBCDF" w14:textId="00B41045" w:rsidR="004C5D69" w:rsidRPr="00B35A9E" w:rsidRDefault="004C5D69" w:rsidP="004C5D69">
      <w:pPr>
        <w:spacing w:after="120" w:line="240" w:lineRule="auto"/>
        <w:jc w:val="both"/>
      </w:pPr>
      <w:r w:rsidRPr="00B35A9E">
        <w:lastRenderedPageBreak/>
        <w:t>V rámci aktualizácie údajov vstupujúcich do výpočtu čistého bohatstva boli použité nové hodnoty</w:t>
      </w:r>
      <w:r w:rsidR="00BF17A8">
        <w:t> </w:t>
      </w:r>
      <w:r w:rsidRPr="00B35A9E">
        <w:t>HDP, za</w:t>
      </w:r>
      <w:r>
        <w:t> </w:t>
      </w:r>
      <w:r w:rsidRPr="00B35A9E">
        <w:t>roky 202</w:t>
      </w:r>
      <w:r>
        <w:t>2</w:t>
      </w:r>
      <w:r w:rsidRPr="00B35A9E">
        <w:t xml:space="preserve"> a</w:t>
      </w:r>
      <w:r>
        <w:t> </w:t>
      </w:r>
      <w:r w:rsidRPr="00B35A9E">
        <w:t>202</w:t>
      </w:r>
      <w:r>
        <w:t>3,</w:t>
      </w:r>
      <w:r w:rsidRPr="00B35A9E">
        <w:t xml:space="preserve"> ktoré boli revidované počas jesennej notifikácie výsledkov hospodárenia verejných financií za rok 202</w:t>
      </w:r>
      <w:r>
        <w:t>4, v októbri 2025</w:t>
      </w:r>
      <w:r w:rsidRPr="00B35A9E">
        <w:t>. Aktualizované boli aj hodnoty vlastného imania podnikov MH</w:t>
      </w:r>
      <w:r w:rsidR="00BF17A8">
        <w:t> </w:t>
      </w:r>
      <w:r w:rsidRPr="00B35A9E">
        <w:t>Manažment,</w:t>
      </w:r>
      <w:r>
        <w:t> </w:t>
      </w:r>
      <w:r w:rsidRPr="00B35A9E">
        <w:t>a.</w:t>
      </w:r>
      <w:r>
        <w:t> </w:t>
      </w:r>
      <w:r w:rsidRPr="00B35A9E">
        <w:t>s. aj Národnej banky Slovenska.</w:t>
      </w:r>
    </w:p>
    <w:p w14:paraId="71DD72E0" w14:textId="4C6BE9D0" w:rsidR="004C5D69" w:rsidRPr="00593AD0" w:rsidRDefault="004C5D69" w:rsidP="004C5D69">
      <w:pPr>
        <w:spacing w:before="120" w:after="120" w:line="240" w:lineRule="auto"/>
        <w:jc w:val="both"/>
      </w:pPr>
      <w:r w:rsidRPr="00B35A9E">
        <w:t>Vlastné imanie podnikov, ktorých podiely drží MH Manažment,</w:t>
      </w:r>
      <w:r>
        <w:t> </w:t>
      </w:r>
      <w:r w:rsidRPr="00B35A9E">
        <w:t>a.</w:t>
      </w:r>
      <w:r>
        <w:t> </w:t>
      </w:r>
      <w:r w:rsidRPr="00B35A9E">
        <w:t>s. tvorí podmnožinu podnikov štátnej správy, ktorá je pre účely vyčíslenia čistého bohatstva uvedená osobitne, pretože táto skupina podnikov nie</w:t>
      </w:r>
      <w:r>
        <w:t> </w:t>
      </w:r>
      <w:r w:rsidRPr="00B35A9E">
        <w:t>je súčasťou súhrnného celku, a preto nie je predmetom účtovnej konsolidácie. Vlastné imanie podnikov MH</w:t>
      </w:r>
      <w:r w:rsidR="00BF17A8">
        <w:t> </w:t>
      </w:r>
      <w:r w:rsidRPr="00B35A9E">
        <w:t>Manažmentu,</w:t>
      </w:r>
      <w:r>
        <w:t> </w:t>
      </w:r>
      <w:r w:rsidRPr="00B35A9E">
        <w:t>a.</w:t>
      </w:r>
      <w:r>
        <w:t> </w:t>
      </w:r>
      <w:r w:rsidRPr="00B35A9E">
        <w:t>s. tvorí súčet vlastných imaní jednotlivých podnikov z individuálnych účtovných závierok, pričom veľkosť vlastného imania je prepočítaná vlastníckym podielom štátu v týchto podnikoch.</w:t>
      </w:r>
    </w:p>
    <w:p w14:paraId="0ABB3C54" w14:textId="3EF2A667" w:rsidR="005406D6" w:rsidRPr="00174C84" w:rsidRDefault="005406D6" w:rsidP="001E3035">
      <w:pPr>
        <w:spacing w:before="120" w:after="120" w:line="240" w:lineRule="auto"/>
        <w:jc w:val="both"/>
        <w:rPr>
          <w:highlight w:val="yellow"/>
        </w:rPr>
      </w:pPr>
    </w:p>
    <w:p w14:paraId="69924F0C" w14:textId="57BA09D2" w:rsidR="004C5D69" w:rsidRPr="00EA4E9B" w:rsidRDefault="004C5D69" w:rsidP="00BB0220">
      <w:pPr>
        <w:pStyle w:val="Nadpis3"/>
        <w:numPr>
          <w:ilvl w:val="2"/>
          <w:numId w:val="7"/>
        </w:numPr>
      </w:pPr>
      <w:bookmarkStart w:id="73" w:name="_Toc399324372"/>
      <w:bookmarkStart w:id="74" w:name="_Toc401920026"/>
      <w:bookmarkStart w:id="75" w:name="_Toc465255027"/>
      <w:bookmarkStart w:id="76" w:name="_Toc495990495"/>
      <w:bookmarkStart w:id="77" w:name="_Toc211245482"/>
      <w:bookmarkStart w:id="78" w:name="_Toc212461610"/>
      <w:bookmarkStart w:id="79" w:name="_Toc495990496"/>
      <w:bookmarkStart w:id="80" w:name="_Toc399324373"/>
      <w:bookmarkStart w:id="81" w:name="_Toc431985279"/>
      <w:bookmarkStart w:id="82" w:name="_Toc433099061"/>
      <w:bookmarkStart w:id="83" w:name="_Toc433099300"/>
      <w:bookmarkStart w:id="84" w:name="_Toc433099406"/>
      <w:bookmarkStart w:id="85" w:name="_Toc433099588"/>
      <w:r w:rsidRPr="00EA4E9B">
        <w:t>Vlastné imanie súhrnného celku verejnej správy</w:t>
      </w:r>
      <w:bookmarkEnd w:id="73"/>
      <w:bookmarkEnd w:id="74"/>
      <w:bookmarkEnd w:id="75"/>
      <w:bookmarkEnd w:id="76"/>
      <w:bookmarkEnd w:id="77"/>
      <w:bookmarkEnd w:id="78"/>
    </w:p>
    <w:p w14:paraId="7181C5A6" w14:textId="659316A5" w:rsidR="004C5D69" w:rsidRPr="002E4066" w:rsidRDefault="004C5D69" w:rsidP="004C5D69">
      <w:pPr>
        <w:spacing w:after="120" w:line="240" w:lineRule="auto"/>
        <w:jc w:val="both"/>
      </w:pPr>
      <w:r w:rsidRPr="002E4066">
        <w:t>Vlastné imanie súhrnného celku</w:t>
      </w:r>
      <w:r w:rsidRPr="002E4066">
        <w:rPr>
          <w:rStyle w:val="Odkaznapoznmkupodiarou"/>
        </w:rPr>
        <w:footnoteReference w:id="26"/>
      </w:r>
      <w:r w:rsidRPr="002E4066">
        <w:t xml:space="preserve"> pre účely odhadu čistého bohatstva dosiahlo k 31. 12. 2024 zápornú hodnotu -12 534 281 tis. eur, pričom je tvorené záporným výsledkom hospodárenia vo výške</w:t>
      </w:r>
      <w:r w:rsidRPr="002E4066">
        <w:br/>
        <w:t>-14</w:t>
      </w:r>
      <w:r w:rsidR="00EA4E9B">
        <w:t> </w:t>
      </w:r>
      <w:r w:rsidRPr="002E4066">
        <w:t>208</w:t>
      </w:r>
      <w:r w:rsidR="00EA4E9B">
        <w:t> </w:t>
      </w:r>
      <w:r w:rsidRPr="002E4066">
        <w:t>520 tis. eur (z toho výsledkom hospodárenia bežného obdobia vo výške -5 728 583 tis. eur), oceňovacími rozdielmi v hodnote -6 186 tis. eur a podielmi iných účtovných jednotiek v hodnote</w:t>
      </w:r>
      <w:r w:rsidRPr="002E4066">
        <w:br/>
        <w:t xml:space="preserve">173 195 tis. eur. </w:t>
      </w:r>
      <w:r w:rsidRPr="002E4066">
        <w:rPr>
          <w:b/>
        </w:rPr>
        <w:t>Medziročne sa vlastné imanie súhrnného celku úhrnom znížilo o 4 311 515 tis. eur.</w:t>
      </w:r>
    </w:p>
    <w:p w14:paraId="1A885869" w14:textId="77777777" w:rsidR="004C5D69" w:rsidRPr="002E4066" w:rsidRDefault="004C5D69" w:rsidP="004C5D69">
      <w:pPr>
        <w:spacing w:after="120" w:line="240" w:lineRule="auto"/>
        <w:jc w:val="both"/>
      </w:pPr>
      <w:r w:rsidRPr="002E4066">
        <w:t xml:space="preserve">Na vlastné imanie súhrnného celku má vplyv najmä dosiahnutý výsledok hospodárenia bežného obdobia jednotlivých subjektov (v podnikateľskom prostredí chápaný ako ,,zisk alebo ,,strata“), ako aj výsledok hospodárenia minulých období (ovplyvnený prevodom výsledku hospodárenia bežného obdobia za posledný rok alebo významnými účtovnými opravami minulých období) a iné zmeny (najmä vo vlastnom imaní obchodných spoločností). </w:t>
      </w:r>
    </w:p>
    <w:p w14:paraId="7BB46538" w14:textId="7900BE06" w:rsidR="004C5D69" w:rsidRPr="002E4066" w:rsidRDefault="004C5D69" w:rsidP="00EA4E9B">
      <w:pPr>
        <w:spacing w:after="120" w:line="240" w:lineRule="auto"/>
        <w:jc w:val="both"/>
      </w:pPr>
      <w:r w:rsidRPr="002E4066">
        <w:t>Z pohľadu veľkosti podielu na vlastnom imaní súhrnného celku je najvýznamnejšia ústredná správa a v rámci nej Ministerstvo financií SR. Špecifické postavenie Ministerstva financií SR spočíva v tom, že účtuje o</w:t>
      </w:r>
      <w:r w:rsidR="00041EA0">
        <w:t> </w:t>
      </w:r>
      <w:r w:rsidRPr="002E4066">
        <w:t>všetkých poskytnutých transferoch zo štátneho rozpočtu, ktoré sa vykazujú jednak vo výdavkoch daného roka, a akruálne aj v nákladoch. Ide o rôzne druhy transferov, ktoré nemusí reálne poskytovať len Ministerstvo financií SR, ale aj ostatné kapitoly štátneho rozpočtu a ich rozpočtové organizácie v zriaďovateľskej pôsobnosti. Na druhej strane Ministerstvo financií SR účtuje o najdôležitejších príjmoch verejnej správy, a to o daňových a značnej časti i nedaňových príjmoch štátneho rozpočtu (odvody, poplatky, dividendy).</w:t>
      </w:r>
    </w:p>
    <w:p w14:paraId="529C1492" w14:textId="77777777" w:rsidR="004C5D69" w:rsidRPr="002E4066" w:rsidRDefault="004C5D69" w:rsidP="004C5D69">
      <w:pPr>
        <w:spacing w:after="120" w:line="240" w:lineRule="auto"/>
        <w:jc w:val="both"/>
      </w:pPr>
      <w:r w:rsidRPr="002E4066">
        <w:t>Ministerstvo financií SR účtuje o výdavkoch všetkých štátnych rozpočtových organizácií prostredníctvom transferov. Vo výsledku znáša saldo štátneho rozpočtu, ktoré bolo doteraz vždy deficitné. Naakumulované záporné výsledky hospodárenia štátneho rozpočtu za predchádzajúce roky sú súčasťou výsledku hospodárenia minulých rokov a v rámci súhrnného celku ide o najvyššiu hodnotu záporného vlastného imania. Okrem hotovostného výsledku hospodárenia štátneho rozpočtu sa do nákladov premieta aj tvorba opravných položiek a tvorba rezerv (opačne, do výnosov ich zníženie resp. zrušenie) všetkých jednotiek verejnej správy, odpisy k hmotnému majetku a iné časovo rozlíšené náklady.</w:t>
      </w:r>
    </w:p>
    <w:p w14:paraId="48CE0F5D" w14:textId="07AF1AF0" w:rsidR="004C5D69" w:rsidRPr="002E4066" w:rsidRDefault="004C5D69" w:rsidP="004C5D69">
      <w:pPr>
        <w:spacing w:after="120" w:line="240" w:lineRule="auto"/>
        <w:jc w:val="both"/>
      </w:pPr>
      <w:r w:rsidRPr="002E4066">
        <w:t>Významnými jednotkami štátu, ktoré sa na celkových nákladoch a výnosoch podieľajú rádovo v miliardách, sú napríklad Slovenský plynárenský priemysel, a. s. (SPP), Slovenská elektrizačná prenosová sústava,</w:t>
      </w:r>
      <w:r w:rsidR="00BF17A8">
        <w:t> </w:t>
      </w:r>
      <w:r w:rsidRPr="002E4066">
        <w:t>a. s. (SEPS) ako aj Všeobecná zdravotná poisťovňa, a. s. Významné náklady a výnosy vykazuje aj Sociálna poisťovňa z dôvodu výberu poistných odvodov a úhrady rôznych dôchodkových a nemocenských dávok.</w:t>
      </w:r>
    </w:p>
    <w:p w14:paraId="7DDA5F7B" w14:textId="68F4407B" w:rsidR="004C5D69" w:rsidRPr="00F8062A" w:rsidRDefault="004C5D69" w:rsidP="004C5D69">
      <w:pPr>
        <w:spacing w:after="120" w:line="240" w:lineRule="auto"/>
        <w:jc w:val="both"/>
        <w:rPr>
          <w:highlight w:val="cyan"/>
        </w:rPr>
      </w:pPr>
      <w:r w:rsidRPr="004B3EC9">
        <w:rPr>
          <w:b/>
        </w:rPr>
        <w:t>Výsledok hospodárenia bežného účtovného obdobia 2024</w:t>
      </w:r>
      <w:r w:rsidRPr="004B3EC9">
        <w:t>, ktorý je výsledkom rozdielu účtovných výnosov a účtovných nákladov, dosiahol za celý súhrnný celok -5</w:t>
      </w:r>
      <w:r w:rsidR="00EA4E9B">
        <w:t> </w:t>
      </w:r>
      <w:r w:rsidRPr="004B3EC9">
        <w:t>728</w:t>
      </w:r>
      <w:r w:rsidR="00EA4E9B">
        <w:t> </w:t>
      </w:r>
      <w:r w:rsidRPr="004B3EC9">
        <w:t>583 tis. eur, pričom medziročne došlo k zhoršeniu tohto výsledku o</w:t>
      </w:r>
      <w:r w:rsidR="00EA4E9B">
        <w:t> </w:t>
      </w:r>
      <w:r w:rsidRPr="004B3EC9">
        <w:t>571</w:t>
      </w:r>
      <w:r w:rsidR="00EA4E9B">
        <w:t> </w:t>
      </w:r>
      <w:r w:rsidRPr="004B3EC9">
        <w:t>9</w:t>
      </w:r>
      <w:r>
        <w:t>80</w:t>
      </w:r>
      <w:r w:rsidRPr="004B3EC9">
        <w:t> tis. eur. Celkové výnosy medziročne vzrástli o</w:t>
      </w:r>
      <w:r w:rsidR="00EA4E9B">
        <w:t> </w:t>
      </w:r>
      <w:r w:rsidR="00C811B1">
        <w:t>194</w:t>
      </w:r>
      <w:r w:rsidR="00EA4E9B">
        <w:t> </w:t>
      </w:r>
      <w:r w:rsidR="00C811B1">
        <w:t>607</w:t>
      </w:r>
      <w:r w:rsidRPr="004B3EC9">
        <w:t> tis. eur, ktoré</w:t>
      </w:r>
      <w:r w:rsidR="00BF17A8">
        <w:t> </w:t>
      </w:r>
      <w:r w:rsidRPr="004B3EC9">
        <w:t>však bol</w:t>
      </w:r>
      <w:r>
        <w:t>i</w:t>
      </w:r>
      <w:r w:rsidRPr="004B3EC9">
        <w:t xml:space="preserve"> negované rastom celkových nákladov o</w:t>
      </w:r>
      <w:r w:rsidR="00EA4E9B">
        <w:t> </w:t>
      </w:r>
      <w:r w:rsidRPr="004B3EC9">
        <w:t>7</w:t>
      </w:r>
      <w:r w:rsidR="00C811B1">
        <w:t>67</w:t>
      </w:r>
      <w:r w:rsidR="00EA4E9B">
        <w:t> </w:t>
      </w:r>
      <w:r w:rsidR="00C811B1">
        <w:t>074</w:t>
      </w:r>
      <w:r w:rsidRPr="004B3EC9">
        <w:t xml:space="preserve"> tis. eur. Medziročná zmena v celkových </w:t>
      </w:r>
      <w:r w:rsidRPr="004B3EC9">
        <w:lastRenderedPageBreak/>
        <w:t>nákladoch, ako aj výnosoch bola sčasti ovplyvnená vyššou účtovnou konsolidáciou vnútorných nákladov a výnosov súhrnného celku oproti dvom predchádzajúcim účtovným obdobiam.</w:t>
      </w:r>
    </w:p>
    <w:p w14:paraId="6F8866FA" w14:textId="2B93CAAE" w:rsidR="004C5D69" w:rsidRPr="00F8062A" w:rsidRDefault="004C5D69" w:rsidP="004C5D69">
      <w:pPr>
        <w:spacing w:after="120" w:line="240" w:lineRule="auto"/>
        <w:jc w:val="both"/>
        <w:rPr>
          <w:highlight w:val="cyan"/>
        </w:rPr>
      </w:pPr>
      <w:r w:rsidRPr="006271DF">
        <w:t>Na medziročné celkové zvýšenie výnosov pozitívne vplývali daňové a colné výnosy štátu, ktoré vzrástli o</w:t>
      </w:r>
      <w:r w:rsidR="00EA4E9B">
        <w:t> </w:t>
      </w:r>
      <w:r w:rsidRPr="006271DF">
        <w:t>934</w:t>
      </w:r>
      <w:r w:rsidR="00EA4E9B">
        <w:t> </w:t>
      </w:r>
      <w:r w:rsidRPr="006271DF">
        <w:t xml:space="preserve">890 tis. eur. Územná samospráva </w:t>
      </w:r>
      <w:r>
        <w:t>vš</w:t>
      </w:r>
      <w:r w:rsidRPr="006271DF">
        <w:t>ak vykázala nižšie výnosy z daní o</w:t>
      </w:r>
      <w:r w:rsidR="00EA4E9B">
        <w:t> </w:t>
      </w:r>
      <w:r w:rsidRPr="006271DF">
        <w:t>41</w:t>
      </w:r>
      <w:r w:rsidR="00EA4E9B">
        <w:t> </w:t>
      </w:r>
      <w:r w:rsidRPr="006271DF">
        <w:t>762 tis. eur. Výnosy z transferov sú dôležitým zdrojom financovania, pričom významný medziročný nárast bol zaznamenaný pri</w:t>
      </w:r>
      <w:r w:rsidR="00041EA0">
        <w:t> </w:t>
      </w:r>
      <w:r w:rsidRPr="006271DF">
        <w:t xml:space="preserve">výnosoch zo zdrojov Európskej únie, ktoré boli </w:t>
      </w:r>
      <w:r w:rsidRPr="002E3852">
        <w:t>medziročne vyššie o</w:t>
      </w:r>
      <w:r w:rsidR="00EA4E9B">
        <w:t> </w:t>
      </w:r>
      <w:r w:rsidRPr="002E3852">
        <w:t>528</w:t>
      </w:r>
      <w:r w:rsidR="00EA4E9B">
        <w:t> </w:t>
      </w:r>
      <w:r w:rsidRPr="002E3852">
        <w:t>280 tis. eur</w:t>
      </w:r>
      <w:r w:rsidR="00C811B1">
        <w:t xml:space="preserve">. </w:t>
      </w:r>
      <w:r w:rsidRPr="002E3852">
        <w:t>Tržby za vlastné výkony a tovar boli úhrnnom nižšie o</w:t>
      </w:r>
      <w:r w:rsidR="00EA4E9B">
        <w:t> </w:t>
      </w:r>
      <w:r w:rsidRPr="002E3852">
        <w:t>825</w:t>
      </w:r>
      <w:r w:rsidR="00EA4E9B">
        <w:t> </w:t>
      </w:r>
      <w:r w:rsidRPr="002E3852">
        <w:t>951 tis. eur, finančné výnosy poklesli o</w:t>
      </w:r>
      <w:r w:rsidR="00BF17A8">
        <w:t> </w:t>
      </w:r>
      <w:r w:rsidRPr="002E3852">
        <w:t>951</w:t>
      </w:r>
      <w:r w:rsidR="00BF17A8">
        <w:t> </w:t>
      </w:r>
      <w:r w:rsidRPr="002E3852">
        <w:t>654 tis. eur, pričom úroky v rámci nich naopak vzrástli o</w:t>
      </w:r>
      <w:r w:rsidR="00EA4E9B">
        <w:t> </w:t>
      </w:r>
      <w:r w:rsidRPr="002E3852">
        <w:t>139</w:t>
      </w:r>
      <w:r w:rsidR="00EA4E9B">
        <w:t> </w:t>
      </w:r>
      <w:r w:rsidRPr="002E3852">
        <w:t>458 tis. eur z dôvodu rastúcej úrokovej sadzby na finančnom trhu. Podiel na výsledku hospodárenia pridružených účtovných jednotiek (ide o spoločnosti, v ktorých verejná správa vlastní menej ako 50,0 % základného imania) predstavoval 2 735 tis. eur a medziročný pokles o</w:t>
      </w:r>
      <w:r w:rsidR="00EA4E9B">
        <w:t> </w:t>
      </w:r>
      <w:r w:rsidRPr="002E3852">
        <w:t>487</w:t>
      </w:r>
      <w:r w:rsidR="00EA4E9B">
        <w:t> </w:t>
      </w:r>
      <w:r w:rsidRPr="002E3852">
        <w:t>tis. eur.</w:t>
      </w:r>
    </w:p>
    <w:p w14:paraId="5EE37A62" w14:textId="77777777" w:rsidR="004C5D69" w:rsidRPr="002E3852" w:rsidRDefault="004C5D69" w:rsidP="004C5D69">
      <w:pPr>
        <w:spacing w:after="120" w:line="240" w:lineRule="auto"/>
        <w:jc w:val="both"/>
      </w:pPr>
      <w:r w:rsidRPr="002E3852">
        <w:t>Do hodnoty podielu na výsledku hospodárenia pridružených spoločností sa premieta najmä hospodárenie spoločností pôsobiacich v energetickom sektore, ktoré bolo pozitívne ovplyvnené vyššími trhovými cenami elektrickej energie.</w:t>
      </w:r>
    </w:p>
    <w:p w14:paraId="021B8FFC" w14:textId="1836E038" w:rsidR="004C5D69" w:rsidRPr="00F8062A" w:rsidRDefault="004C5D69" w:rsidP="004C5D69">
      <w:pPr>
        <w:spacing w:after="120" w:line="240" w:lineRule="auto"/>
        <w:jc w:val="both"/>
      </w:pPr>
      <w:r w:rsidRPr="002E3852">
        <w:t>Z nákladov boli medziročne vyššie transfery ústrednej správy (vrátane obchodných spoločností)</w:t>
      </w:r>
      <w:r w:rsidR="00DE6A66">
        <w:t xml:space="preserve"> o 1 715 044 tis.</w:t>
      </w:r>
      <w:r w:rsidR="00BF17A8">
        <w:t> </w:t>
      </w:r>
      <w:r w:rsidR="00DE6A66">
        <w:t>eur, pričom</w:t>
      </w:r>
      <w:r w:rsidRPr="002E3852">
        <w:t xml:space="preserve"> smerovali subjektom mimo verejnej správy (podnikateľom, fyzickým osobám),</w:t>
      </w:r>
      <w:r w:rsidR="00DE6A66">
        <w:t xml:space="preserve"> ako aj Európskej únii vo forme odvodu do rozpočtu EÚ vo výške</w:t>
      </w:r>
      <w:r w:rsidRPr="002E3852">
        <w:t> </w:t>
      </w:r>
      <w:r w:rsidR="00DE6A66">
        <w:t>822</w:t>
      </w:r>
      <w:r w:rsidR="00EA4E9B">
        <w:t> </w:t>
      </w:r>
      <w:r w:rsidR="00DE6A66">
        <w:t>107</w:t>
      </w:r>
      <w:r w:rsidRPr="002E3852">
        <w:t> tis. eur. Z ďalších nákladov v sumáre vzrástli osobné náklady (mzdy, zákonné poistné ako aj ostatné poistné), o 1</w:t>
      </w:r>
      <w:r w:rsidR="00EA4E9B">
        <w:t> </w:t>
      </w:r>
      <w:r w:rsidRPr="002E3852">
        <w:t>169</w:t>
      </w:r>
      <w:r w:rsidR="00EA4E9B">
        <w:t> </w:t>
      </w:r>
      <w:r w:rsidRPr="002E3852">
        <w:t xml:space="preserve">764 tis. eur, </w:t>
      </w:r>
      <w:r w:rsidRPr="000930FD">
        <w:t xml:space="preserve">najmä z dôvodu viacerých valorizácií platov v štátnej správe a verejnej </w:t>
      </w:r>
      <w:r w:rsidRPr="00263186">
        <w:t xml:space="preserve">správe. </w:t>
      </w:r>
      <w:r w:rsidRPr="002E3852">
        <w:t>Úrokové náklady vzrástli o</w:t>
      </w:r>
      <w:r w:rsidR="00EA4E9B">
        <w:t> </w:t>
      </w:r>
      <w:r w:rsidRPr="002E3852">
        <w:t>411</w:t>
      </w:r>
      <w:r w:rsidR="00EA4E9B">
        <w:t> </w:t>
      </w:r>
      <w:r w:rsidRPr="002E3852">
        <w:t>501 tis. eur z dôvodu rastu úrokovej sadzby na úveroch a diskontu pri štátnych dlhopisoch, tvorba účtovných rezerv klesla o 142 602 tis. eur. Detailnejšie údaje zo súhrnnej účtovnej závierky sú uvedené v prílohe č. 3.</w:t>
      </w:r>
    </w:p>
    <w:p w14:paraId="6D0BC705" w14:textId="52FDE422" w:rsidR="008117A9" w:rsidRPr="002A5818" w:rsidRDefault="008117A9" w:rsidP="00092430">
      <w:pPr>
        <w:pStyle w:val="Nadpis3"/>
        <w:numPr>
          <w:ilvl w:val="2"/>
          <w:numId w:val="30"/>
        </w:numPr>
      </w:pPr>
      <w:bookmarkStart w:id="86" w:name="_Toc212461611"/>
      <w:r w:rsidRPr="002A5818">
        <w:t>Vlastné imanie podnikov štátnej správy</w:t>
      </w:r>
      <w:bookmarkEnd w:id="79"/>
      <w:bookmarkEnd w:id="86"/>
    </w:p>
    <w:p w14:paraId="5F0822EB" w14:textId="0BA0618B" w:rsidR="00574279" w:rsidRPr="00FA1620" w:rsidRDefault="00574279" w:rsidP="00B26C85">
      <w:pPr>
        <w:spacing w:after="120" w:line="240" w:lineRule="auto"/>
        <w:jc w:val="both"/>
        <w:rPr>
          <w:szCs w:val="24"/>
        </w:rPr>
      </w:pPr>
      <w:r w:rsidRPr="00FA1620">
        <w:rPr>
          <w:b/>
        </w:rPr>
        <w:t>Vlastné imanie podnikov štátnej správy dosiahlo k 31.12.202</w:t>
      </w:r>
      <w:r>
        <w:rPr>
          <w:b/>
        </w:rPr>
        <w:t>4</w:t>
      </w:r>
      <w:r w:rsidRPr="00FA1620">
        <w:rPr>
          <w:b/>
        </w:rPr>
        <w:t xml:space="preserve"> hodnotu </w:t>
      </w:r>
      <w:r>
        <w:rPr>
          <w:b/>
        </w:rPr>
        <w:t>20</w:t>
      </w:r>
      <w:r w:rsidR="00EA4E9B">
        <w:rPr>
          <w:b/>
        </w:rPr>
        <w:t> </w:t>
      </w:r>
      <w:r>
        <w:rPr>
          <w:b/>
        </w:rPr>
        <w:t>376</w:t>
      </w:r>
      <w:r w:rsidR="00EA4E9B">
        <w:rPr>
          <w:b/>
        </w:rPr>
        <w:t> </w:t>
      </w:r>
      <w:r>
        <w:rPr>
          <w:b/>
        </w:rPr>
        <w:t>749</w:t>
      </w:r>
      <w:r w:rsidRPr="00FA1620">
        <w:rPr>
          <w:b/>
          <w:bCs/>
        </w:rPr>
        <w:t> tis. eur (</w:t>
      </w:r>
      <w:r w:rsidR="000C71B2">
        <w:rPr>
          <w:b/>
          <w:bCs/>
        </w:rPr>
        <w:t>15,65 </w:t>
      </w:r>
      <w:r w:rsidRPr="00FA1620">
        <w:rPr>
          <w:b/>
          <w:bCs/>
        </w:rPr>
        <w:t>% HDP)</w:t>
      </w:r>
      <w:r w:rsidRPr="00FA1620">
        <w:rPr>
          <w:b/>
        </w:rPr>
        <w:t>.</w:t>
      </w:r>
      <w:r w:rsidRPr="00FA1620">
        <w:t xml:space="preserve"> Uvedený údaj je nekonsolidovaný a predstavuje súčet vlastných imaní jednotlivých podnikov z individuálnych účtovných závierok prepočítaný na veľkosť vlastníckych podielov štátu. Tento údaj nemožno dávať do súvislosti s údajom o celkovom čistom bohatstve v</w:t>
      </w:r>
      <w:r w:rsidR="00BF17A8">
        <w:t> </w:t>
      </w:r>
      <w:r w:rsidRPr="00FA1620">
        <w:t>časti</w:t>
      </w:r>
      <w:r w:rsidR="00BF17A8">
        <w:t> </w:t>
      </w:r>
      <w:r w:rsidRPr="00FA1620">
        <w:t xml:space="preserve">3.2., pretože v rámci čistého bohatstva sú </w:t>
      </w:r>
      <w:r>
        <w:t xml:space="preserve">štátne </w:t>
      </w:r>
      <w:r w:rsidRPr="00FA1620">
        <w:t>podniky</w:t>
      </w:r>
      <w:r>
        <w:t xml:space="preserve"> (</w:t>
      </w:r>
      <w:r w:rsidRPr="00FA1620">
        <w:t>okrem podnikov MH</w:t>
      </w:r>
      <w:r w:rsidR="00BF17A8">
        <w:t> </w:t>
      </w:r>
      <w:r w:rsidRPr="00FA1620">
        <w:t>Manažmentu,</w:t>
      </w:r>
      <w:r w:rsidR="00BF17A8">
        <w:t> </w:t>
      </w:r>
      <w:r w:rsidRPr="00FA1620">
        <w:t>a.</w:t>
      </w:r>
      <w:r w:rsidR="00BF17A8">
        <w:t> </w:t>
      </w:r>
      <w:r w:rsidRPr="00FA1620">
        <w:t>s.</w:t>
      </w:r>
      <w:r>
        <w:t>)</w:t>
      </w:r>
      <w:r w:rsidRPr="00FA1620">
        <w:t xml:space="preserve"> zaradené do súhrnného celku a údaje o vlastnom imaní sú konsolidované. Vlastné imanie podnikov štátnej správy oproti predchádzajúcemu roku vzrástlo</w:t>
      </w:r>
      <w:r w:rsidRPr="00FA1620">
        <w:rPr>
          <w:b/>
          <w:bCs/>
        </w:rPr>
        <w:t xml:space="preserve"> o</w:t>
      </w:r>
      <w:r>
        <w:rPr>
          <w:b/>
          <w:bCs/>
        </w:rPr>
        <w:t> 1</w:t>
      </w:r>
      <w:r w:rsidR="00EA4E9B">
        <w:rPr>
          <w:b/>
          <w:bCs/>
        </w:rPr>
        <w:t> </w:t>
      </w:r>
      <w:r>
        <w:rPr>
          <w:b/>
          <w:bCs/>
        </w:rPr>
        <w:t>014</w:t>
      </w:r>
      <w:r w:rsidR="00EA4E9B">
        <w:rPr>
          <w:b/>
          <w:bCs/>
        </w:rPr>
        <w:t> </w:t>
      </w:r>
      <w:r>
        <w:rPr>
          <w:b/>
          <w:bCs/>
        </w:rPr>
        <w:t>052 </w:t>
      </w:r>
      <w:r w:rsidRPr="00FA1620">
        <w:rPr>
          <w:b/>
          <w:bCs/>
        </w:rPr>
        <w:t>tis. eur</w:t>
      </w:r>
      <w:r w:rsidRPr="00FA1620">
        <w:t xml:space="preserve">. </w:t>
      </w:r>
    </w:p>
    <w:p w14:paraId="6A8F63D0" w14:textId="5A579A95" w:rsidR="00EC0F37" w:rsidRDefault="00933FB8" w:rsidP="00F739C1">
      <w:pPr>
        <w:spacing w:after="120" w:line="240" w:lineRule="auto"/>
        <w:jc w:val="both"/>
      </w:pPr>
      <w:bookmarkStart w:id="87" w:name="_Hlk211245582"/>
      <w:r w:rsidRPr="00090D45">
        <w:t>Nasledujúc</w:t>
      </w:r>
      <w:r>
        <w:t>i</w:t>
      </w:r>
      <w:r w:rsidRPr="00090D45">
        <w:t xml:space="preserve"> </w:t>
      </w:r>
      <w:r>
        <w:t>graf</w:t>
      </w:r>
      <w:r w:rsidRPr="00090D45">
        <w:t xml:space="preserve"> pre</w:t>
      </w:r>
      <w:r>
        <w:t>zentuje hlavné vplyvy</w:t>
      </w:r>
      <w:r w:rsidRPr="00090D45">
        <w:t xml:space="preserve"> zmien vlastného imania podnikov štátnej správy po prepočte na</w:t>
      </w:r>
      <w:r w:rsidR="009F374C">
        <w:t> </w:t>
      </w:r>
      <w:r w:rsidRPr="00090D45">
        <w:t>vlastnícky podiel štátu.</w:t>
      </w:r>
      <w:r>
        <w:t xml:space="preserve"> Modrá farba označuje začiatočný a konečný stav súčtu vlastných imaní podnikov štátnej správy po prepočte na vlastnícky podiel štátu, zelená farba prezentuje pozitívne vplyvy na konečný stav a červená farba predstavuje zmeny s negatívnym vplyvom na konečný stav. Čierny, prerušovaný obrys upozorňuje na interné vplyvy, ktoré sú výsledkom vzťahov s vlastníkom. Hlbší detail k údajom grafu, za</w:t>
      </w:r>
      <w:r w:rsidR="009F374C">
        <w:t> </w:t>
      </w:r>
      <w:r>
        <w:t>jednotlivé podniky, sú prezentované v prílohe č.</w:t>
      </w:r>
      <w:r w:rsidR="00BF17A8">
        <w:t> </w:t>
      </w:r>
      <w:r>
        <w:t>2.</w:t>
      </w:r>
      <w:bookmarkEnd w:id="87"/>
    </w:p>
    <w:p w14:paraId="36A6DDF1" w14:textId="4158BDFD" w:rsidR="00BF17A8" w:rsidRDefault="00BF17A8">
      <w:r>
        <w:br w:type="page"/>
      </w:r>
    </w:p>
    <w:p w14:paraId="1A4BAB44" w14:textId="5B83AEF1" w:rsidR="00574279" w:rsidRPr="00B26C85" w:rsidRDefault="00574279" w:rsidP="00A273AE">
      <w:pPr>
        <w:spacing w:after="0" w:line="240" w:lineRule="auto"/>
        <w:jc w:val="both"/>
        <w:rPr>
          <w:b/>
          <w:bCs/>
          <w:color w:val="4F81BD" w:themeColor="accent1"/>
          <w:sz w:val="20"/>
          <w:szCs w:val="20"/>
          <w:lang w:eastAsia="sk-SK"/>
        </w:rPr>
      </w:pPr>
      <w:r w:rsidRPr="00B26C85">
        <w:rPr>
          <w:b/>
          <w:bCs/>
          <w:color w:val="4F81BD" w:themeColor="accent1"/>
          <w:sz w:val="20"/>
          <w:szCs w:val="20"/>
          <w:lang w:eastAsia="sk-SK"/>
        </w:rPr>
        <w:lastRenderedPageBreak/>
        <w:t xml:space="preserve">Graf </w:t>
      </w:r>
      <w:r w:rsidR="00B26C85" w:rsidRPr="00B26C85">
        <w:rPr>
          <w:b/>
          <w:bCs/>
          <w:color w:val="4F81BD" w:themeColor="accent1"/>
          <w:sz w:val="20"/>
          <w:szCs w:val="20"/>
          <w:lang w:eastAsia="sk-SK"/>
        </w:rPr>
        <w:t>5</w:t>
      </w:r>
      <w:r w:rsidR="00B26C85">
        <w:t xml:space="preserve"> – </w:t>
      </w:r>
      <w:r w:rsidR="00B26C85" w:rsidRPr="00B26C85">
        <w:rPr>
          <w:b/>
          <w:bCs/>
          <w:color w:val="4F81BD" w:themeColor="accent1"/>
          <w:sz w:val="20"/>
          <w:szCs w:val="20"/>
          <w:lang w:eastAsia="sk-SK"/>
        </w:rPr>
        <w:t>Vývoj zmien vlastného imania podnikov štátnej správy v mil.</w:t>
      </w:r>
      <w:r w:rsidR="00C163E9">
        <w:rPr>
          <w:b/>
          <w:bCs/>
          <w:color w:val="4F81BD" w:themeColor="accent1"/>
          <w:sz w:val="20"/>
          <w:szCs w:val="20"/>
          <w:lang w:eastAsia="sk-SK"/>
        </w:rPr>
        <w:t> eur</w:t>
      </w:r>
    </w:p>
    <w:p w14:paraId="63F614C9" w14:textId="77777777" w:rsidR="00574279" w:rsidRDefault="00574279" w:rsidP="00574279">
      <w:pPr>
        <w:spacing w:after="0" w:line="240" w:lineRule="auto"/>
        <w:jc w:val="center"/>
      </w:pPr>
      <w:r>
        <w:rPr>
          <w:noProof/>
        </w:rPr>
        <w:drawing>
          <wp:inline distT="0" distB="0" distL="0" distR="0" wp14:anchorId="787FD641" wp14:editId="368FA64A">
            <wp:extent cx="4819650" cy="2962758"/>
            <wp:effectExtent l="0" t="0" r="6350" b="0"/>
            <wp:docPr id="1245546627" name="Obrázok 2" descr="Obrázok, na ktorom je text, snímka obrazovky, diagram, vývoj&#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46627" name="Obrázok 2" descr="Obrázok, na ktorom je text, snímka obrazovky, diagram, vývoj&#10;&#10;Obsah vygenerovaný pomocou AI môže byť nesprávn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9650" cy="2962758"/>
                    </a:xfrm>
                    <a:prstGeom prst="rect">
                      <a:avLst/>
                    </a:prstGeom>
                    <a:noFill/>
                  </pic:spPr>
                </pic:pic>
              </a:graphicData>
            </a:graphic>
          </wp:inline>
        </w:drawing>
      </w:r>
    </w:p>
    <w:p w14:paraId="72884EFD" w14:textId="689F1CE6" w:rsidR="00574279" w:rsidRDefault="00574279" w:rsidP="00574279">
      <w:pPr>
        <w:spacing w:after="120" w:line="240" w:lineRule="auto"/>
        <w:jc w:val="both"/>
        <w:rPr>
          <w:szCs w:val="22"/>
          <w:lang w:eastAsia="sk-SK"/>
        </w:rPr>
      </w:pPr>
      <w:r>
        <w:rPr>
          <w:szCs w:val="22"/>
          <w:lang w:eastAsia="sk-SK"/>
        </w:rPr>
        <w:t>Vyššie uvedený graf prezentuje hlavné kategórie zmien, ktoré nastali počas roka 2024 a mali za</w:t>
      </w:r>
      <w:r w:rsidR="00BF17A8">
        <w:rPr>
          <w:szCs w:val="22"/>
          <w:lang w:eastAsia="sk-SK"/>
        </w:rPr>
        <w:t> </w:t>
      </w:r>
      <w:r>
        <w:rPr>
          <w:szCs w:val="22"/>
          <w:lang w:eastAsia="sk-SK"/>
        </w:rPr>
        <w:t>dôsledok zmenu celkového súčtu vlastných imaní podnikov štátnej správy. Faktory vplyvov možno rozdeliť do</w:t>
      </w:r>
      <w:r w:rsidR="00BF17A8">
        <w:rPr>
          <w:szCs w:val="22"/>
          <w:lang w:eastAsia="sk-SK"/>
        </w:rPr>
        <w:t> </w:t>
      </w:r>
      <w:r>
        <w:rPr>
          <w:szCs w:val="22"/>
          <w:lang w:eastAsia="sk-SK"/>
        </w:rPr>
        <w:t>dvoch hlavných kategórii a to externé (vplyvy ako zisk, precenenie, predaje podielov a iné, ktoré vznikli vo</w:t>
      </w:r>
      <w:r w:rsidR="00BF17A8">
        <w:rPr>
          <w:szCs w:val="22"/>
          <w:lang w:eastAsia="sk-SK"/>
        </w:rPr>
        <w:t> </w:t>
      </w:r>
      <w:r>
        <w:rPr>
          <w:szCs w:val="22"/>
          <w:lang w:eastAsia="sk-SK"/>
        </w:rPr>
        <w:t>vzťahu k externému prostrediu) a interné (čierny, prerušovaný obrys sú vplyvy ako vklady a dividendy, ktoré</w:t>
      </w:r>
      <w:r w:rsidR="00BF17A8">
        <w:rPr>
          <w:szCs w:val="22"/>
          <w:lang w:eastAsia="sk-SK"/>
        </w:rPr>
        <w:t> </w:t>
      </w:r>
      <w:r>
        <w:rPr>
          <w:szCs w:val="22"/>
          <w:lang w:eastAsia="sk-SK"/>
        </w:rPr>
        <w:t>predstavujú vzájomné vzťahy s vlastníkom podniku). V nasledujúcom texte budú jednotlivé kategórie vplyvov bližšie analyzované.</w:t>
      </w:r>
    </w:p>
    <w:p w14:paraId="724B364B" w14:textId="6A928322" w:rsidR="00574279" w:rsidRDefault="00574279" w:rsidP="00574279">
      <w:pPr>
        <w:spacing w:after="120" w:line="240" w:lineRule="auto"/>
        <w:jc w:val="both"/>
        <w:rPr>
          <w:szCs w:val="22"/>
          <w:lang w:eastAsia="sk-SK"/>
        </w:rPr>
      </w:pPr>
      <w:r w:rsidRPr="00D063B9">
        <w:rPr>
          <w:szCs w:val="22"/>
          <w:u w:val="single"/>
          <w:lang w:eastAsia="sk-SK"/>
        </w:rPr>
        <w:t>Interné faktory s pozitívnym</w:t>
      </w:r>
      <w:r>
        <w:rPr>
          <w:szCs w:val="22"/>
          <w:lang w:eastAsia="sk-SK"/>
        </w:rPr>
        <w:t xml:space="preserve"> vplyvom boli realizované </w:t>
      </w:r>
      <w:r w:rsidRPr="00BB3E5A">
        <w:rPr>
          <w:b/>
          <w:bCs/>
          <w:szCs w:val="22"/>
          <w:lang w:eastAsia="sk-SK"/>
        </w:rPr>
        <w:t>vklady</w:t>
      </w:r>
      <w:r>
        <w:rPr>
          <w:szCs w:val="22"/>
          <w:lang w:eastAsia="sk-SK"/>
        </w:rPr>
        <w:t xml:space="preserve"> vlastníka  (štát prostredníctvom ministerstiev poverených výkonom akcionárskych a zakladateľských práv) počas roka 2024 vo výške 380</w:t>
      </w:r>
      <w:r w:rsidR="00EA4E9B">
        <w:rPr>
          <w:szCs w:val="22"/>
          <w:lang w:eastAsia="sk-SK"/>
        </w:rPr>
        <w:t> </w:t>
      </w:r>
      <w:r>
        <w:rPr>
          <w:szCs w:val="22"/>
          <w:lang w:eastAsia="sk-SK"/>
        </w:rPr>
        <w:t>280</w:t>
      </w:r>
      <w:r w:rsidR="00EA4E9B">
        <w:rPr>
          <w:szCs w:val="22"/>
          <w:lang w:eastAsia="sk-SK"/>
        </w:rPr>
        <w:t> </w:t>
      </w:r>
      <w:r>
        <w:rPr>
          <w:szCs w:val="22"/>
          <w:lang w:eastAsia="sk-SK"/>
        </w:rPr>
        <w:t>tis.</w:t>
      </w:r>
      <w:r w:rsidR="00EA4E9B">
        <w:rPr>
          <w:szCs w:val="22"/>
          <w:lang w:eastAsia="sk-SK"/>
        </w:rPr>
        <w:t> </w:t>
      </w:r>
      <w:r>
        <w:rPr>
          <w:szCs w:val="22"/>
          <w:lang w:eastAsia="sk-SK"/>
        </w:rPr>
        <w:t>eur. Hlavnými príjemcami boli Exportno-importná banka SR (vklad vo výške 250</w:t>
      </w:r>
      <w:r w:rsidR="00EA4E9B">
        <w:rPr>
          <w:szCs w:val="22"/>
          <w:lang w:eastAsia="sk-SK"/>
        </w:rPr>
        <w:t> </w:t>
      </w:r>
      <w:r>
        <w:rPr>
          <w:szCs w:val="22"/>
          <w:lang w:eastAsia="sk-SK"/>
        </w:rPr>
        <w:t>000</w:t>
      </w:r>
      <w:r w:rsidR="00EA4E9B">
        <w:rPr>
          <w:szCs w:val="22"/>
          <w:lang w:eastAsia="sk-SK"/>
        </w:rPr>
        <w:t> </w:t>
      </w:r>
      <w:r>
        <w:rPr>
          <w:szCs w:val="22"/>
          <w:lang w:eastAsia="sk-SK"/>
        </w:rPr>
        <w:t>tis.</w:t>
      </w:r>
      <w:r w:rsidR="00EA4E9B">
        <w:rPr>
          <w:szCs w:val="22"/>
          <w:lang w:eastAsia="sk-SK"/>
        </w:rPr>
        <w:t> </w:t>
      </w:r>
      <w:r>
        <w:rPr>
          <w:szCs w:val="22"/>
          <w:lang w:eastAsia="sk-SK"/>
        </w:rPr>
        <w:t>eur</w:t>
      </w:r>
      <w:r w:rsidR="00C163E9">
        <w:rPr>
          <w:szCs w:val="22"/>
          <w:lang w:eastAsia="sk-SK"/>
        </w:rPr>
        <w:t> </w:t>
      </w:r>
      <w:r>
        <w:rPr>
          <w:szCs w:val="22"/>
          <w:lang w:eastAsia="sk-SK"/>
        </w:rPr>
        <w:t>na účel posilnenia finančnej stability banky pre rozšírenie oblastí podnikania</w:t>
      </w:r>
      <w:r>
        <w:rPr>
          <w:rStyle w:val="Odkaznapoznmkupodiarou"/>
          <w:szCs w:val="22"/>
          <w:lang w:eastAsia="sk-SK"/>
        </w:rPr>
        <w:footnoteReference w:id="27"/>
      </w:r>
      <w:r>
        <w:rPr>
          <w:szCs w:val="22"/>
          <w:lang w:eastAsia="sk-SK"/>
        </w:rPr>
        <w:t>), Valaliky Industrial Park,</w:t>
      </w:r>
      <w:r w:rsidR="00BF17A8">
        <w:rPr>
          <w:szCs w:val="22"/>
          <w:lang w:eastAsia="sk-SK"/>
        </w:rPr>
        <w:t> </w:t>
      </w:r>
      <w:r>
        <w:rPr>
          <w:szCs w:val="22"/>
          <w:lang w:eastAsia="sk-SK"/>
        </w:rPr>
        <w:t>s r.</w:t>
      </w:r>
      <w:r w:rsidR="00BF17A8">
        <w:rPr>
          <w:szCs w:val="22"/>
          <w:lang w:eastAsia="sk-SK"/>
        </w:rPr>
        <w:t> </w:t>
      </w:r>
      <w:r>
        <w:rPr>
          <w:szCs w:val="22"/>
          <w:lang w:eastAsia="sk-SK"/>
        </w:rPr>
        <w:t>o. (vklad vo</w:t>
      </w:r>
      <w:r w:rsidR="00041EA0">
        <w:rPr>
          <w:szCs w:val="22"/>
          <w:lang w:eastAsia="sk-SK"/>
        </w:rPr>
        <w:t> </w:t>
      </w:r>
      <w:r>
        <w:rPr>
          <w:szCs w:val="22"/>
          <w:lang w:eastAsia="sk-SK"/>
        </w:rPr>
        <w:t>výške 114</w:t>
      </w:r>
      <w:r w:rsidR="00EA4E9B">
        <w:rPr>
          <w:szCs w:val="22"/>
          <w:lang w:eastAsia="sk-SK"/>
        </w:rPr>
        <w:t> </w:t>
      </w:r>
      <w:r>
        <w:rPr>
          <w:szCs w:val="22"/>
          <w:lang w:eastAsia="sk-SK"/>
        </w:rPr>
        <w:t>400</w:t>
      </w:r>
      <w:r w:rsidR="00EA4E9B">
        <w:rPr>
          <w:szCs w:val="22"/>
          <w:lang w:eastAsia="sk-SK"/>
        </w:rPr>
        <w:t> </w:t>
      </w:r>
      <w:r>
        <w:rPr>
          <w:szCs w:val="22"/>
          <w:lang w:eastAsia="sk-SK"/>
        </w:rPr>
        <w:t>tis.</w:t>
      </w:r>
      <w:r w:rsidR="00EA4E9B">
        <w:rPr>
          <w:szCs w:val="22"/>
          <w:lang w:eastAsia="sk-SK"/>
        </w:rPr>
        <w:t> </w:t>
      </w:r>
      <w:r>
        <w:rPr>
          <w:szCs w:val="22"/>
          <w:lang w:eastAsia="sk-SK"/>
        </w:rPr>
        <w:t>eur</w:t>
      </w:r>
      <w:r>
        <w:rPr>
          <w:rStyle w:val="Odkaznapoznmkupodiarou"/>
          <w:szCs w:val="22"/>
          <w:lang w:eastAsia="sk-SK"/>
        </w:rPr>
        <w:footnoteReference w:id="28"/>
      </w:r>
      <w:r>
        <w:rPr>
          <w:szCs w:val="22"/>
          <w:lang w:eastAsia="sk-SK"/>
        </w:rPr>
        <w:t>) k</w:t>
      </w:r>
      <w:r w:rsidRPr="009D6250">
        <w:rPr>
          <w:szCs w:val="22"/>
          <w:lang w:eastAsia="sk-SK"/>
        </w:rPr>
        <w:t>u dňu 26.03.2025 nadobudla účinnosť zmluva so združením dodávateľov, ktorá</w:t>
      </w:r>
      <w:r w:rsidR="00BF17A8">
        <w:rPr>
          <w:szCs w:val="22"/>
          <w:lang w:eastAsia="sk-SK"/>
        </w:rPr>
        <w:t> </w:t>
      </w:r>
      <w:r w:rsidRPr="009D6250">
        <w:rPr>
          <w:szCs w:val="22"/>
          <w:lang w:eastAsia="sk-SK"/>
        </w:rPr>
        <w:t xml:space="preserve">zaväzuje k vybudovaniu </w:t>
      </w:r>
      <w:r>
        <w:rPr>
          <w:szCs w:val="22"/>
          <w:lang w:eastAsia="sk-SK"/>
        </w:rPr>
        <w:t xml:space="preserve">v rámci investície </w:t>
      </w:r>
      <w:r w:rsidRPr="009D6250">
        <w:rPr>
          <w:szCs w:val="22"/>
          <w:lang w:eastAsia="sk-SK"/>
        </w:rPr>
        <w:t>nov</w:t>
      </w:r>
      <w:r>
        <w:rPr>
          <w:szCs w:val="22"/>
          <w:lang w:eastAsia="sk-SK"/>
        </w:rPr>
        <w:t>ých</w:t>
      </w:r>
      <w:r w:rsidRPr="009D6250">
        <w:rPr>
          <w:szCs w:val="22"/>
          <w:lang w:eastAsia="sk-SK"/>
        </w:rPr>
        <w:t xml:space="preserve"> c</w:t>
      </w:r>
      <w:r>
        <w:rPr>
          <w:szCs w:val="22"/>
          <w:lang w:eastAsia="sk-SK"/>
        </w:rPr>
        <w:t>iest</w:t>
      </w:r>
      <w:r w:rsidRPr="009D6250">
        <w:rPr>
          <w:szCs w:val="22"/>
          <w:lang w:eastAsia="sk-SK"/>
        </w:rPr>
        <w:t>, železnic</w:t>
      </w:r>
      <w:r>
        <w:rPr>
          <w:szCs w:val="22"/>
          <w:lang w:eastAsia="sk-SK"/>
        </w:rPr>
        <w:t>e</w:t>
      </w:r>
      <w:r w:rsidRPr="009D6250">
        <w:rPr>
          <w:szCs w:val="22"/>
          <w:lang w:eastAsia="sk-SK"/>
        </w:rPr>
        <w:t>, cyklochodník</w:t>
      </w:r>
      <w:r>
        <w:rPr>
          <w:szCs w:val="22"/>
          <w:lang w:eastAsia="sk-SK"/>
        </w:rPr>
        <w:t>ov</w:t>
      </w:r>
      <w:r w:rsidRPr="009D6250">
        <w:rPr>
          <w:szCs w:val="22"/>
          <w:lang w:eastAsia="sk-SK"/>
        </w:rPr>
        <w:t>, ako aj dátov</w:t>
      </w:r>
      <w:r>
        <w:rPr>
          <w:szCs w:val="22"/>
          <w:lang w:eastAsia="sk-SK"/>
        </w:rPr>
        <w:t>ých</w:t>
      </w:r>
      <w:r w:rsidRPr="009D6250">
        <w:rPr>
          <w:szCs w:val="22"/>
          <w:lang w:eastAsia="sk-SK"/>
        </w:rPr>
        <w:t xml:space="preserve"> a</w:t>
      </w:r>
      <w:r w:rsidR="00041EA0">
        <w:rPr>
          <w:szCs w:val="22"/>
          <w:lang w:eastAsia="sk-SK"/>
        </w:rPr>
        <w:t> </w:t>
      </w:r>
      <w:r w:rsidRPr="009D6250">
        <w:rPr>
          <w:szCs w:val="22"/>
          <w:lang w:eastAsia="sk-SK"/>
        </w:rPr>
        <w:t>elektrick</w:t>
      </w:r>
      <w:r>
        <w:rPr>
          <w:szCs w:val="22"/>
          <w:lang w:eastAsia="sk-SK"/>
        </w:rPr>
        <w:t>ých</w:t>
      </w:r>
      <w:r w:rsidRPr="009D6250">
        <w:rPr>
          <w:szCs w:val="22"/>
          <w:lang w:eastAsia="sk-SK"/>
        </w:rPr>
        <w:t xml:space="preserve"> rozvod</w:t>
      </w:r>
      <w:r>
        <w:rPr>
          <w:szCs w:val="22"/>
          <w:lang w:eastAsia="sk-SK"/>
        </w:rPr>
        <w:t>ov</w:t>
      </w:r>
      <w:r w:rsidRPr="009D6250">
        <w:rPr>
          <w:szCs w:val="22"/>
          <w:lang w:eastAsia="sk-SK"/>
        </w:rPr>
        <w:t xml:space="preserve"> v celkovej hodnote viac ako 142</w:t>
      </w:r>
      <w:r w:rsidR="00EA4E9B">
        <w:rPr>
          <w:szCs w:val="22"/>
          <w:lang w:eastAsia="sk-SK"/>
        </w:rPr>
        <w:t> </w:t>
      </w:r>
      <w:r w:rsidRPr="009D6250">
        <w:rPr>
          <w:szCs w:val="22"/>
          <w:lang w:eastAsia="sk-SK"/>
        </w:rPr>
        <w:t>000</w:t>
      </w:r>
      <w:r w:rsidR="00EA4E9B">
        <w:rPr>
          <w:szCs w:val="22"/>
          <w:lang w:eastAsia="sk-SK"/>
        </w:rPr>
        <w:t> </w:t>
      </w:r>
      <w:r w:rsidRPr="009D6250">
        <w:rPr>
          <w:szCs w:val="22"/>
          <w:lang w:eastAsia="sk-SK"/>
        </w:rPr>
        <w:t>tis.</w:t>
      </w:r>
      <w:r w:rsidR="00EA4E9B">
        <w:rPr>
          <w:szCs w:val="22"/>
          <w:lang w:eastAsia="sk-SK"/>
        </w:rPr>
        <w:t> </w:t>
      </w:r>
      <w:r w:rsidRPr="009D6250">
        <w:rPr>
          <w:szCs w:val="22"/>
          <w:lang w:eastAsia="sk-SK"/>
        </w:rPr>
        <w:t>eur</w:t>
      </w:r>
      <w:r>
        <w:rPr>
          <w:szCs w:val="22"/>
          <w:lang w:eastAsia="sk-SK"/>
        </w:rPr>
        <w:t>) a MH Invest,</w:t>
      </w:r>
      <w:r w:rsidR="00BF17A8">
        <w:rPr>
          <w:szCs w:val="22"/>
          <w:lang w:eastAsia="sk-SK"/>
        </w:rPr>
        <w:t> </w:t>
      </w:r>
      <w:r>
        <w:rPr>
          <w:szCs w:val="22"/>
          <w:lang w:eastAsia="sk-SK"/>
        </w:rPr>
        <w:t>s r.</w:t>
      </w:r>
      <w:r w:rsidR="00BF17A8">
        <w:rPr>
          <w:szCs w:val="22"/>
          <w:lang w:eastAsia="sk-SK"/>
        </w:rPr>
        <w:t> </w:t>
      </w:r>
      <w:r>
        <w:rPr>
          <w:szCs w:val="22"/>
          <w:lang w:eastAsia="sk-SK"/>
        </w:rPr>
        <w:t>o. (vklad vo</w:t>
      </w:r>
      <w:r w:rsidR="00041EA0">
        <w:rPr>
          <w:szCs w:val="22"/>
          <w:lang w:eastAsia="sk-SK"/>
        </w:rPr>
        <w:t> </w:t>
      </w:r>
      <w:r>
        <w:rPr>
          <w:szCs w:val="22"/>
          <w:lang w:eastAsia="sk-SK"/>
        </w:rPr>
        <w:t>výške 54</w:t>
      </w:r>
      <w:r w:rsidR="00EA4E9B">
        <w:rPr>
          <w:szCs w:val="22"/>
          <w:lang w:eastAsia="sk-SK"/>
        </w:rPr>
        <w:t> </w:t>
      </w:r>
      <w:r>
        <w:rPr>
          <w:szCs w:val="22"/>
          <w:lang w:eastAsia="sk-SK"/>
        </w:rPr>
        <w:t>531</w:t>
      </w:r>
      <w:r w:rsidR="00EA4E9B">
        <w:rPr>
          <w:szCs w:val="22"/>
          <w:lang w:eastAsia="sk-SK"/>
        </w:rPr>
        <w:t> </w:t>
      </w:r>
      <w:r>
        <w:rPr>
          <w:szCs w:val="22"/>
          <w:lang w:eastAsia="sk-SK"/>
        </w:rPr>
        <w:t>tis.</w:t>
      </w:r>
      <w:r w:rsidR="00EA4E9B">
        <w:rPr>
          <w:szCs w:val="22"/>
          <w:lang w:eastAsia="sk-SK"/>
        </w:rPr>
        <w:t> </w:t>
      </w:r>
      <w:r>
        <w:rPr>
          <w:szCs w:val="22"/>
          <w:lang w:eastAsia="sk-SK"/>
        </w:rPr>
        <w:t>eur pre prípravu realizácie projektu Priemyselný park Šurany). Počas roka 2024 nastali v rámci vlastníckych vzťahov nielen transakcie s pozitívnym vplyvom na končený stav imaní, ale aj transakcia s negatívnym vplyvom a to je prípad SPP, ktoré z kapitálových fondov tvorených z príspevkov akcionára vyplatilo 80</w:t>
      </w:r>
      <w:r w:rsidR="00EA4E9B">
        <w:rPr>
          <w:szCs w:val="22"/>
          <w:lang w:eastAsia="sk-SK"/>
        </w:rPr>
        <w:t> </w:t>
      </w:r>
      <w:r>
        <w:rPr>
          <w:szCs w:val="22"/>
          <w:lang w:eastAsia="sk-SK"/>
        </w:rPr>
        <w:t>000</w:t>
      </w:r>
      <w:r w:rsidR="00EA4E9B">
        <w:rPr>
          <w:szCs w:val="22"/>
          <w:lang w:eastAsia="sk-SK"/>
        </w:rPr>
        <w:t> </w:t>
      </w:r>
      <w:r>
        <w:rPr>
          <w:szCs w:val="22"/>
          <w:lang w:eastAsia="sk-SK"/>
        </w:rPr>
        <w:t>tis. eur späť akcionárovi.</w:t>
      </w:r>
    </w:p>
    <w:p w14:paraId="4A6EDB26" w14:textId="6078ECC5" w:rsidR="00574279" w:rsidRDefault="00574279" w:rsidP="00574279">
      <w:pPr>
        <w:spacing w:after="120" w:line="240" w:lineRule="auto"/>
        <w:jc w:val="both"/>
        <w:rPr>
          <w:szCs w:val="22"/>
          <w:lang w:eastAsia="sk-SK"/>
        </w:rPr>
      </w:pPr>
      <w:r>
        <w:rPr>
          <w:szCs w:val="22"/>
          <w:u w:val="single"/>
          <w:lang w:eastAsia="sk-SK"/>
        </w:rPr>
        <w:t>In</w:t>
      </w:r>
      <w:r w:rsidRPr="00D063B9">
        <w:rPr>
          <w:szCs w:val="22"/>
          <w:u w:val="single"/>
          <w:lang w:eastAsia="sk-SK"/>
        </w:rPr>
        <w:t>terné faktory s </w:t>
      </w:r>
      <w:r>
        <w:rPr>
          <w:szCs w:val="22"/>
          <w:u w:val="single"/>
          <w:lang w:eastAsia="sk-SK"/>
        </w:rPr>
        <w:t>negatívnym</w:t>
      </w:r>
      <w:r>
        <w:rPr>
          <w:szCs w:val="22"/>
          <w:lang w:eastAsia="sk-SK"/>
        </w:rPr>
        <w:t xml:space="preserve"> vplyvom predstavovali priznané </w:t>
      </w:r>
      <w:r w:rsidRPr="00BB3E5A">
        <w:rPr>
          <w:b/>
          <w:bCs/>
          <w:szCs w:val="22"/>
          <w:lang w:eastAsia="sk-SK"/>
        </w:rPr>
        <w:t>dividendy, podiely na zisku</w:t>
      </w:r>
      <w:r>
        <w:rPr>
          <w:szCs w:val="22"/>
          <w:lang w:eastAsia="sk-SK"/>
        </w:rPr>
        <w:t xml:space="preserve"> a iné výplaty (napr. tantiémy, podiely na zisku zamestnancov a pod.) priznané podnikmi na vyplatenie z prostriedkov vlastného imania, najmä zo zisku bežného obdobia v celkovej výške 589</w:t>
      </w:r>
      <w:r w:rsidR="00EA4E9B">
        <w:rPr>
          <w:szCs w:val="22"/>
          <w:lang w:eastAsia="sk-SK"/>
        </w:rPr>
        <w:t> </w:t>
      </w:r>
      <w:r>
        <w:rPr>
          <w:szCs w:val="22"/>
          <w:lang w:eastAsia="sk-SK"/>
        </w:rPr>
        <w:t>086</w:t>
      </w:r>
      <w:r w:rsidR="00EA4E9B">
        <w:rPr>
          <w:szCs w:val="22"/>
          <w:lang w:eastAsia="sk-SK"/>
        </w:rPr>
        <w:t> </w:t>
      </w:r>
      <w:r>
        <w:rPr>
          <w:szCs w:val="22"/>
          <w:lang w:eastAsia="sk-SK"/>
        </w:rPr>
        <w:t>tis.</w:t>
      </w:r>
      <w:r w:rsidR="00EA4E9B">
        <w:rPr>
          <w:szCs w:val="22"/>
          <w:lang w:eastAsia="sk-SK"/>
        </w:rPr>
        <w:t> </w:t>
      </w:r>
      <w:r>
        <w:rPr>
          <w:szCs w:val="22"/>
          <w:lang w:eastAsia="sk-SK"/>
        </w:rPr>
        <w:t xml:space="preserve">eur. Výška priznaných dividend a podielov zo zisku priamo akcionárom bola vo </w:t>
      </w:r>
      <w:r w:rsidRPr="00DC48F9">
        <w:rPr>
          <w:szCs w:val="22"/>
          <w:lang w:eastAsia="sk-SK"/>
        </w:rPr>
        <w:t>výške 567</w:t>
      </w:r>
      <w:r w:rsidR="00EA4E9B">
        <w:rPr>
          <w:szCs w:val="22"/>
          <w:lang w:eastAsia="sk-SK"/>
        </w:rPr>
        <w:t> </w:t>
      </w:r>
      <w:r w:rsidRPr="00DC48F9">
        <w:rPr>
          <w:szCs w:val="22"/>
          <w:lang w:eastAsia="sk-SK"/>
        </w:rPr>
        <w:t>845</w:t>
      </w:r>
      <w:r w:rsidR="00EA4E9B">
        <w:rPr>
          <w:szCs w:val="22"/>
          <w:lang w:eastAsia="sk-SK"/>
        </w:rPr>
        <w:t> </w:t>
      </w:r>
      <w:r>
        <w:rPr>
          <w:szCs w:val="22"/>
          <w:lang w:eastAsia="sk-SK"/>
        </w:rPr>
        <w:t>tis.</w:t>
      </w:r>
      <w:r w:rsidR="00EA4E9B">
        <w:rPr>
          <w:szCs w:val="22"/>
          <w:lang w:eastAsia="sk-SK"/>
        </w:rPr>
        <w:t> </w:t>
      </w:r>
      <w:r>
        <w:rPr>
          <w:szCs w:val="22"/>
          <w:lang w:eastAsia="sk-SK"/>
        </w:rPr>
        <w:t>eur. V súlade s metodikou ESA</w:t>
      </w:r>
      <w:r w:rsidR="00887911">
        <w:rPr>
          <w:szCs w:val="22"/>
          <w:lang w:eastAsia="sk-SK"/>
        </w:rPr>
        <w:t> </w:t>
      </w:r>
      <w:r>
        <w:rPr>
          <w:szCs w:val="22"/>
          <w:lang w:eastAsia="sk-SK"/>
        </w:rPr>
        <w:t>2010 boli uznané za príjmy štátneho rozpočtu v podiele 73,0</w:t>
      </w:r>
      <w:r w:rsidR="00887911">
        <w:rPr>
          <w:szCs w:val="22"/>
          <w:lang w:eastAsia="sk-SK"/>
        </w:rPr>
        <w:t> </w:t>
      </w:r>
      <w:r>
        <w:rPr>
          <w:szCs w:val="22"/>
          <w:lang w:eastAsia="sk-SK"/>
        </w:rPr>
        <w:t>%, zvyšok bol kategorizovaný ako zníženie hodnoty vlastného imania. Najvyššie priznané dividendy vykázali: SPP (vo výške 290</w:t>
      </w:r>
      <w:r w:rsidR="00EA4E9B">
        <w:rPr>
          <w:szCs w:val="22"/>
          <w:lang w:eastAsia="sk-SK"/>
        </w:rPr>
        <w:t> </w:t>
      </w:r>
      <w:r>
        <w:rPr>
          <w:szCs w:val="22"/>
          <w:lang w:eastAsia="sk-SK"/>
        </w:rPr>
        <w:t>306</w:t>
      </w:r>
      <w:r w:rsidR="00EA4E9B">
        <w:rPr>
          <w:szCs w:val="22"/>
          <w:lang w:eastAsia="sk-SK"/>
        </w:rPr>
        <w:t> </w:t>
      </w:r>
      <w:r>
        <w:rPr>
          <w:szCs w:val="22"/>
          <w:lang w:eastAsia="sk-SK"/>
        </w:rPr>
        <w:t>tis.</w:t>
      </w:r>
      <w:r w:rsidR="00EA4E9B">
        <w:rPr>
          <w:szCs w:val="22"/>
          <w:lang w:eastAsia="sk-SK"/>
        </w:rPr>
        <w:t> </w:t>
      </w:r>
      <w:r>
        <w:rPr>
          <w:szCs w:val="22"/>
          <w:lang w:eastAsia="sk-SK"/>
        </w:rPr>
        <w:t>eur, medziročný rast z dôvodu  nepriznania dividendy počas predchádzajúceho obdobia, ako aj vplyvom priznania dividendy z dcérskej spoločnosti SPP Infrastructure,</w:t>
      </w:r>
      <w:r w:rsidR="00887911">
        <w:rPr>
          <w:szCs w:val="22"/>
          <w:lang w:eastAsia="sk-SK"/>
        </w:rPr>
        <w:t> </w:t>
      </w:r>
      <w:r>
        <w:rPr>
          <w:szCs w:val="22"/>
          <w:lang w:eastAsia="sk-SK"/>
        </w:rPr>
        <w:t>a.</w:t>
      </w:r>
      <w:r w:rsidR="00887911">
        <w:rPr>
          <w:szCs w:val="22"/>
          <w:lang w:eastAsia="sk-SK"/>
        </w:rPr>
        <w:t> </w:t>
      </w:r>
      <w:r>
        <w:rPr>
          <w:szCs w:val="22"/>
          <w:lang w:eastAsia="sk-SK"/>
        </w:rPr>
        <w:t>s.</w:t>
      </w:r>
      <w:r w:rsidR="00887911">
        <w:rPr>
          <w:szCs w:val="22"/>
          <w:lang w:eastAsia="sk-SK"/>
        </w:rPr>
        <w:t xml:space="preserve"> </w:t>
      </w:r>
      <w:r>
        <w:rPr>
          <w:szCs w:val="22"/>
          <w:lang w:eastAsia="sk-SK"/>
        </w:rPr>
        <w:t>za</w:t>
      </w:r>
      <w:r w:rsidR="00887911">
        <w:rPr>
          <w:szCs w:val="22"/>
          <w:lang w:eastAsia="sk-SK"/>
        </w:rPr>
        <w:t> </w:t>
      </w:r>
      <w:r>
        <w:rPr>
          <w:szCs w:val="22"/>
          <w:lang w:eastAsia="sk-SK"/>
        </w:rPr>
        <w:t>dva hospodárske roky), Vodohospodárska výstavba,</w:t>
      </w:r>
      <w:r w:rsidR="00887911">
        <w:rPr>
          <w:szCs w:val="22"/>
          <w:lang w:eastAsia="sk-SK"/>
        </w:rPr>
        <w:t> </w:t>
      </w:r>
      <w:r>
        <w:rPr>
          <w:szCs w:val="22"/>
          <w:lang w:eastAsia="sk-SK"/>
        </w:rPr>
        <w:t>š.</w:t>
      </w:r>
      <w:r w:rsidR="00887911">
        <w:rPr>
          <w:szCs w:val="22"/>
          <w:lang w:eastAsia="sk-SK"/>
        </w:rPr>
        <w:t> </w:t>
      </w:r>
      <w:r>
        <w:rPr>
          <w:szCs w:val="22"/>
          <w:lang w:eastAsia="sk-SK"/>
        </w:rPr>
        <w:t>p. (vo výške 140</w:t>
      </w:r>
      <w:r w:rsidR="00EA4E9B">
        <w:rPr>
          <w:szCs w:val="22"/>
          <w:lang w:eastAsia="sk-SK"/>
        </w:rPr>
        <w:t> </w:t>
      </w:r>
      <w:r>
        <w:rPr>
          <w:szCs w:val="22"/>
          <w:lang w:eastAsia="sk-SK"/>
        </w:rPr>
        <w:t>000</w:t>
      </w:r>
      <w:r w:rsidR="00EA4E9B">
        <w:rPr>
          <w:szCs w:val="22"/>
          <w:lang w:eastAsia="sk-SK"/>
        </w:rPr>
        <w:t> </w:t>
      </w:r>
      <w:r>
        <w:rPr>
          <w:szCs w:val="22"/>
          <w:lang w:eastAsia="sk-SK"/>
        </w:rPr>
        <w:t>tis.</w:t>
      </w:r>
      <w:r w:rsidR="00EA4E9B">
        <w:rPr>
          <w:szCs w:val="22"/>
          <w:lang w:eastAsia="sk-SK"/>
        </w:rPr>
        <w:t> </w:t>
      </w:r>
      <w:r>
        <w:rPr>
          <w:szCs w:val="22"/>
          <w:lang w:eastAsia="sk-SK"/>
        </w:rPr>
        <w:t>eur, medziročné zvýšenie vplyvom vyššieho rastu zisku z predaja energie) a ZSE (vo výške 53</w:t>
      </w:r>
      <w:r w:rsidR="00EA4E9B">
        <w:rPr>
          <w:szCs w:val="22"/>
          <w:lang w:eastAsia="sk-SK"/>
        </w:rPr>
        <w:t> </w:t>
      </w:r>
      <w:r>
        <w:rPr>
          <w:szCs w:val="22"/>
          <w:lang w:eastAsia="sk-SK"/>
        </w:rPr>
        <w:t>836</w:t>
      </w:r>
      <w:r w:rsidR="00EA4E9B">
        <w:rPr>
          <w:szCs w:val="22"/>
          <w:lang w:eastAsia="sk-SK"/>
        </w:rPr>
        <w:t> </w:t>
      </w:r>
      <w:r>
        <w:rPr>
          <w:szCs w:val="22"/>
          <w:lang w:eastAsia="sk-SK"/>
        </w:rPr>
        <w:t>tis.</w:t>
      </w:r>
      <w:r w:rsidR="00EA4E9B">
        <w:rPr>
          <w:szCs w:val="22"/>
          <w:lang w:eastAsia="sk-SK"/>
        </w:rPr>
        <w:t> </w:t>
      </w:r>
      <w:r>
        <w:rPr>
          <w:szCs w:val="22"/>
          <w:lang w:eastAsia="sk-SK"/>
        </w:rPr>
        <w:t xml:space="preserve">eur, medziročný rast o 45,1 % vplyvom </w:t>
      </w:r>
      <w:r w:rsidRPr="005D3202">
        <w:rPr>
          <w:szCs w:val="22"/>
          <w:lang w:eastAsia="sk-SK"/>
        </w:rPr>
        <w:t>vyšš</w:t>
      </w:r>
      <w:r>
        <w:rPr>
          <w:szCs w:val="22"/>
          <w:lang w:eastAsia="sk-SK"/>
        </w:rPr>
        <w:t>ích</w:t>
      </w:r>
      <w:r w:rsidRPr="005D3202">
        <w:rPr>
          <w:szCs w:val="22"/>
          <w:lang w:eastAsia="sk-SK"/>
        </w:rPr>
        <w:t xml:space="preserve"> prijatý</w:t>
      </w:r>
      <w:r>
        <w:rPr>
          <w:szCs w:val="22"/>
          <w:lang w:eastAsia="sk-SK"/>
        </w:rPr>
        <w:t>ch</w:t>
      </w:r>
      <w:r w:rsidRPr="005D3202">
        <w:rPr>
          <w:szCs w:val="22"/>
          <w:lang w:eastAsia="sk-SK"/>
        </w:rPr>
        <w:t xml:space="preserve"> dividend od pôvodných dcérskych spoločností v skupine ZSE a zároveň vplyv</w:t>
      </w:r>
      <w:r>
        <w:rPr>
          <w:szCs w:val="22"/>
          <w:lang w:eastAsia="sk-SK"/>
        </w:rPr>
        <w:t>om</w:t>
      </w:r>
      <w:r w:rsidRPr="005D3202">
        <w:rPr>
          <w:szCs w:val="22"/>
          <w:lang w:eastAsia="sk-SK"/>
        </w:rPr>
        <w:t xml:space="preserve"> integrácie </w:t>
      </w:r>
      <w:r w:rsidRPr="005D3202">
        <w:rPr>
          <w:szCs w:val="22"/>
          <w:lang w:eastAsia="sk-SK"/>
        </w:rPr>
        <w:lastRenderedPageBreak/>
        <w:t>so</w:t>
      </w:r>
      <w:r w:rsidR="00041EA0">
        <w:rPr>
          <w:szCs w:val="22"/>
          <w:lang w:eastAsia="sk-SK"/>
        </w:rPr>
        <w:t> </w:t>
      </w:r>
      <w:r w:rsidRPr="005D3202">
        <w:rPr>
          <w:szCs w:val="22"/>
          <w:lang w:eastAsia="sk-SK"/>
        </w:rPr>
        <w:t>skupinou VSEH</w:t>
      </w:r>
      <w:r>
        <w:rPr>
          <w:szCs w:val="22"/>
          <w:lang w:eastAsia="sk-SK"/>
        </w:rPr>
        <w:t xml:space="preserve"> zrealizovanou v minulom roku). Bližšie informácie o prijatých dividendách podľa</w:t>
      </w:r>
      <w:r w:rsidR="00887911">
        <w:rPr>
          <w:szCs w:val="22"/>
          <w:lang w:eastAsia="sk-SK"/>
        </w:rPr>
        <w:t> </w:t>
      </w:r>
      <w:r>
        <w:rPr>
          <w:szCs w:val="22"/>
          <w:lang w:eastAsia="sk-SK"/>
        </w:rPr>
        <w:t xml:space="preserve">metodiky ESA 2010 sú prezentované v rámci podkapitoly </w:t>
      </w:r>
      <w:r w:rsidRPr="00C6300E">
        <w:rPr>
          <w:szCs w:val="22"/>
          <w:lang w:eastAsia="sk-SK"/>
        </w:rPr>
        <w:t>2.1.1 a tabuľky č.</w:t>
      </w:r>
      <w:r w:rsidR="00887911">
        <w:rPr>
          <w:szCs w:val="22"/>
          <w:lang w:eastAsia="sk-SK"/>
        </w:rPr>
        <w:t> </w:t>
      </w:r>
      <w:r w:rsidRPr="00C6300E">
        <w:rPr>
          <w:szCs w:val="22"/>
          <w:lang w:eastAsia="sk-SK"/>
        </w:rPr>
        <w:t>1</w:t>
      </w:r>
      <w:r w:rsidR="00C6300E" w:rsidRPr="00C6300E">
        <w:rPr>
          <w:szCs w:val="22"/>
          <w:lang w:eastAsia="sk-SK"/>
        </w:rPr>
        <w:t>1</w:t>
      </w:r>
      <w:r w:rsidRPr="00C6300E">
        <w:rPr>
          <w:szCs w:val="22"/>
          <w:lang w:eastAsia="sk-SK"/>
        </w:rPr>
        <w:t>.</w:t>
      </w:r>
    </w:p>
    <w:p w14:paraId="19DA1D0B" w14:textId="5E541018" w:rsidR="00574279" w:rsidRDefault="00574279" w:rsidP="00574279">
      <w:pPr>
        <w:spacing w:after="120" w:line="240" w:lineRule="auto"/>
        <w:jc w:val="both"/>
        <w:rPr>
          <w:szCs w:val="22"/>
          <w:lang w:eastAsia="sk-SK"/>
        </w:rPr>
      </w:pPr>
      <w:r>
        <w:rPr>
          <w:szCs w:val="22"/>
          <w:u w:val="single"/>
          <w:lang w:eastAsia="sk-SK"/>
        </w:rPr>
        <w:t>Externé</w:t>
      </w:r>
      <w:r w:rsidRPr="00D063B9">
        <w:rPr>
          <w:szCs w:val="22"/>
          <w:u w:val="single"/>
          <w:lang w:eastAsia="sk-SK"/>
        </w:rPr>
        <w:t xml:space="preserve"> faktory s pozitívnym</w:t>
      </w:r>
      <w:r>
        <w:rPr>
          <w:szCs w:val="22"/>
          <w:lang w:eastAsia="sk-SK"/>
        </w:rPr>
        <w:t xml:space="preserve"> vplyvom predstavovali výsledky hospodárenia generované podnikmi za</w:t>
      </w:r>
      <w:r w:rsidR="00887911">
        <w:rPr>
          <w:szCs w:val="22"/>
          <w:lang w:eastAsia="sk-SK"/>
        </w:rPr>
        <w:t> </w:t>
      </w:r>
      <w:r>
        <w:rPr>
          <w:szCs w:val="22"/>
          <w:lang w:eastAsia="sk-SK"/>
        </w:rPr>
        <w:t xml:space="preserve">rok 2024 a vplyvy precenenia. Vplyvy </w:t>
      </w:r>
      <w:r w:rsidRPr="00BB3E5A">
        <w:rPr>
          <w:b/>
          <w:bCs/>
          <w:szCs w:val="22"/>
          <w:lang w:eastAsia="sk-SK"/>
        </w:rPr>
        <w:t>precenenia</w:t>
      </w:r>
      <w:r>
        <w:rPr>
          <w:szCs w:val="22"/>
          <w:lang w:eastAsia="sk-SK"/>
        </w:rPr>
        <w:t xml:space="preserve"> vykázali za rok 2024 v celkovom súčte pozitívny vplyv vo výške 180</w:t>
      </w:r>
      <w:r w:rsidR="00F4098F">
        <w:rPr>
          <w:szCs w:val="22"/>
          <w:lang w:eastAsia="sk-SK"/>
        </w:rPr>
        <w:t> </w:t>
      </w:r>
      <w:r>
        <w:rPr>
          <w:szCs w:val="22"/>
          <w:lang w:eastAsia="sk-SK"/>
        </w:rPr>
        <w:t>760</w:t>
      </w:r>
      <w:r w:rsidR="00F4098F">
        <w:rPr>
          <w:szCs w:val="22"/>
          <w:lang w:eastAsia="sk-SK"/>
        </w:rPr>
        <w:t> </w:t>
      </w:r>
      <w:r>
        <w:rPr>
          <w:szCs w:val="22"/>
          <w:lang w:eastAsia="sk-SK"/>
        </w:rPr>
        <w:t>tis</w:t>
      </w:r>
      <w:r w:rsidR="00F4098F">
        <w:rPr>
          <w:szCs w:val="22"/>
          <w:lang w:eastAsia="sk-SK"/>
        </w:rPr>
        <w:t> </w:t>
      </w:r>
      <w:r>
        <w:rPr>
          <w:szCs w:val="22"/>
          <w:lang w:eastAsia="sk-SK"/>
        </w:rPr>
        <w:t>eur, boli výsledkom najmä aktualizácie hodnoty dlhodobého majetku niektorých podnikov a aktualizácie hodnoty zabezpečovaných nástrojov najmä pre oblasť peňažných tokov. SPP prostredníctvom aktualizácie hodnoty rezervy zo zabezpečovacích derivátov vykázalo pozitívny vplyv na</w:t>
      </w:r>
      <w:r w:rsidR="00041EA0">
        <w:rPr>
          <w:szCs w:val="22"/>
          <w:lang w:eastAsia="sk-SK"/>
        </w:rPr>
        <w:t> </w:t>
      </w:r>
      <w:r>
        <w:rPr>
          <w:szCs w:val="22"/>
          <w:lang w:eastAsia="sk-SK"/>
        </w:rPr>
        <w:t>vlastné imanie vo výške 124</w:t>
      </w:r>
      <w:r w:rsidR="00F4098F">
        <w:rPr>
          <w:szCs w:val="22"/>
          <w:lang w:eastAsia="sk-SK"/>
        </w:rPr>
        <w:t> </w:t>
      </w:r>
      <w:r>
        <w:rPr>
          <w:szCs w:val="22"/>
          <w:lang w:eastAsia="sk-SK"/>
        </w:rPr>
        <w:t>689</w:t>
      </w:r>
      <w:r w:rsidR="00F4098F">
        <w:rPr>
          <w:szCs w:val="22"/>
          <w:lang w:eastAsia="sk-SK"/>
        </w:rPr>
        <w:t> </w:t>
      </w:r>
      <w:r>
        <w:rPr>
          <w:szCs w:val="22"/>
          <w:lang w:eastAsia="sk-SK"/>
        </w:rPr>
        <w:t>tis.</w:t>
      </w:r>
      <w:r w:rsidR="00F4098F">
        <w:rPr>
          <w:szCs w:val="22"/>
          <w:lang w:eastAsia="sk-SK"/>
        </w:rPr>
        <w:t> </w:t>
      </w:r>
      <w:r>
        <w:rPr>
          <w:szCs w:val="22"/>
          <w:lang w:eastAsia="sk-SK"/>
        </w:rPr>
        <w:t>eur. Rezerva predstavuje účinnú časť ziskov a strát vyplývajúcu zo</w:t>
      </w:r>
      <w:r w:rsidR="00041EA0">
        <w:rPr>
          <w:szCs w:val="22"/>
          <w:lang w:eastAsia="sk-SK"/>
        </w:rPr>
        <w:t> </w:t>
      </w:r>
      <w:r>
        <w:rPr>
          <w:szCs w:val="22"/>
          <w:lang w:eastAsia="sk-SK"/>
        </w:rPr>
        <w:t>zmeny reálnej hodnoty zabezpečovacích nástrojov uzatvorených za účelom zabezpečenia peňažných tokov. SEPS vykázalo pozitívny vplyv precenenia vo výške 43 053 tis</w:t>
      </w:r>
      <w:r w:rsidR="00F4098F">
        <w:rPr>
          <w:szCs w:val="22"/>
          <w:lang w:eastAsia="sk-SK"/>
        </w:rPr>
        <w:t> </w:t>
      </w:r>
      <w:r>
        <w:rPr>
          <w:szCs w:val="22"/>
          <w:lang w:eastAsia="sk-SK"/>
        </w:rPr>
        <w:t>eur ako výsledok najmä precenenia hodnoty dlhodobého majetku vrátane vplyvu dane z precenenia v dôsledku zvýšenej inflácie. MH</w:t>
      </w:r>
      <w:r w:rsidR="00887911">
        <w:rPr>
          <w:szCs w:val="22"/>
          <w:lang w:eastAsia="sk-SK"/>
        </w:rPr>
        <w:t> </w:t>
      </w:r>
      <w:r>
        <w:rPr>
          <w:szCs w:val="22"/>
          <w:lang w:eastAsia="sk-SK"/>
        </w:rPr>
        <w:t>Manažment,</w:t>
      </w:r>
      <w:r w:rsidR="00887911">
        <w:rPr>
          <w:szCs w:val="22"/>
          <w:lang w:eastAsia="sk-SK"/>
        </w:rPr>
        <w:t> </w:t>
      </w:r>
      <w:r>
        <w:rPr>
          <w:szCs w:val="22"/>
          <w:lang w:eastAsia="sk-SK"/>
        </w:rPr>
        <w:t>a.</w:t>
      </w:r>
      <w:r w:rsidR="00887911">
        <w:rPr>
          <w:szCs w:val="22"/>
          <w:lang w:eastAsia="sk-SK"/>
        </w:rPr>
        <w:t> </w:t>
      </w:r>
      <w:r>
        <w:rPr>
          <w:szCs w:val="22"/>
          <w:lang w:eastAsia="sk-SK"/>
        </w:rPr>
        <w:t>s. počas roka 2024 aktualizoval ocenenie dlhodobého a krátkodobého finančného majetku s celkovým pozitívnym vplyvom vo výške 32</w:t>
      </w:r>
      <w:r w:rsidR="00F4098F">
        <w:rPr>
          <w:szCs w:val="22"/>
          <w:lang w:eastAsia="sk-SK"/>
        </w:rPr>
        <w:t> </w:t>
      </w:r>
      <w:r>
        <w:rPr>
          <w:szCs w:val="22"/>
          <w:lang w:eastAsia="sk-SK"/>
        </w:rPr>
        <w:t>919</w:t>
      </w:r>
      <w:r w:rsidR="00F4098F">
        <w:rPr>
          <w:szCs w:val="22"/>
          <w:lang w:eastAsia="sk-SK"/>
        </w:rPr>
        <w:t> </w:t>
      </w:r>
      <w:r>
        <w:rPr>
          <w:szCs w:val="22"/>
          <w:lang w:eastAsia="sk-SK"/>
        </w:rPr>
        <w:t>tis.</w:t>
      </w:r>
      <w:r w:rsidR="00F4098F">
        <w:rPr>
          <w:szCs w:val="22"/>
          <w:lang w:eastAsia="sk-SK"/>
        </w:rPr>
        <w:t> </w:t>
      </w:r>
      <w:r>
        <w:rPr>
          <w:szCs w:val="22"/>
          <w:lang w:eastAsia="sk-SK"/>
        </w:rPr>
        <w:t>eur. V rámci vplyvov precenenia sa vyskytol aj negatívny vplyv na konečný stav imania, najvyšší negatívny vplyv precenenia za rok 2024 vykázali SE vo</w:t>
      </w:r>
      <w:r w:rsidR="00041EA0">
        <w:rPr>
          <w:szCs w:val="22"/>
          <w:lang w:eastAsia="sk-SK"/>
        </w:rPr>
        <w:t> </w:t>
      </w:r>
      <w:r>
        <w:rPr>
          <w:szCs w:val="22"/>
          <w:lang w:eastAsia="sk-SK"/>
        </w:rPr>
        <w:t>výške 26</w:t>
      </w:r>
      <w:r w:rsidR="00F4098F">
        <w:rPr>
          <w:szCs w:val="22"/>
          <w:lang w:eastAsia="sk-SK"/>
        </w:rPr>
        <w:t> </w:t>
      </w:r>
      <w:r>
        <w:rPr>
          <w:szCs w:val="22"/>
          <w:lang w:eastAsia="sk-SK"/>
        </w:rPr>
        <w:t>224</w:t>
      </w:r>
      <w:r w:rsidR="00F4098F">
        <w:rPr>
          <w:szCs w:val="22"/>
          <w:lang w:eastAsia="sk-SK"/>
        </w:rPr>
        <w:t> </w:t>
      </w:r>
      <w:r>
        <w:rPr>
          <w:szCs w:val="22"/>
          <w:lang w:eastAsia="sk-SK"/>
        </w:rPr>
        <w:t>tis</w:t>
      </w:r>
      <w:r w:rsidR="00F4098F">
        <w:rPr>
          <w:szCs w:val="22"/>
          <w:lang w:eastAsia="sk-SK"/>
        </w:rPr>
        <w:t>. </w:t>
      </w:r>
      <w:r>
        <w:rPr>
          <w:szCs w:val="22"/>
          <w:lang w:eastAsia="sk-SK"/>
        </w:rPr>
        <w:t>eur. V podmienkach SE bol súhrnný vplyv výsledkom dvoch protichodných ocenení. Aktualizácie hodnoty dlhodobého majetku s pozitívnym vplyvom a zároveň čistej zmeny zabezpečovacích nástrojov pre peňažné toky s negatívnym vplyvom.</w:t>
      </w:r>
    </w:p>
    <w:p w14:paraId="5F98F979" w14:textId="74E30B10" w:rsidR="00574279" w:rsidRDefault="00574279" w:rsidP="00574279">
      <w:pPr>
        <w:spacing w:after="120" w:line="240" w:lineRule="auto"/>
        <w:jc w:val="both"/>
        <w:rPr>
          <w:szCs w:val="22"/>
          <w:lang w:eastAsia="sk-SK"/>
        </w:rPr>
      </w:pPr>
      <w:r w:rsidRPr="00CC128F">
        <w:rPr>
          <w:b/>
          <w:bCs/>
          <w:szCs w:val="22"/>
          <w:lang w:eastAsia="sk-SK"/>
        </w:rPr>
        <w:t>Výsledky hospodárenia</w:t>
      </w:r>
      <w:r>
        <w:rPr>
          <w:szCs w:val="22"/>
          <w:lang w:eastAsia="sk-SK"/>
        </w:rPr>
        <w:t xml:space="preserve"> generované podnikmi za rok 2024 súhrnne vykázali pozitívny vplyv na</w:t>
      </w:r>
      <w:r w:rsidR="00887911">
        <w:rPr>
          <w:szCs w:val="22"/>
          <w:lang w:eastAsia="sk-SK"/>
        </w:rPr>
        <w:t> </w:t>
      </w:r>
      <w:r>
        <w:rPr>
          <w:szCs w:val="22"/>
          <w:lang w:eastAsia="sk-SK"/>
        </w:rPr>
        <w:t>konečný stav imania vo výške 1 072</w:t>
      </w:r>
      <w:r w:rsidR="00F4098F">
        <w:rPr>
          <w:szCs w:val="22"/>
          <w:lang w:eastAsia="sk-SK"/>
        </w:rPr>
        <w:t> </w:t>
      </w:r>
      <w:r>
        <w:rPr>
          <w:szCs w:val="22"/>
          <w:lang w:eastAsia="sk-SK"/>
        </w:rPr>
        <w:t>837</w:t>
      </w:r>
      <w:r w:rsidR="00F4098F">
        <w:rPr>
          <w:szCs w:val="22"/>
          <w:lang w:eastAsia="sk-SK"/>
        </w:rPr>
        <w:t> </w:t>
      </w:r>
      <w:r>
        <w:rPr>
          <w:szCs w:val="22"/>
          <w:lang w:eastAsia="sk-SK"/>
        </w:rPr>
        <w:t>tis.</w:t>
      </w:r>
      <w:r w:rsidR="00F4098F">
        <w:rPr>
          <w:szCs w:val="22"/>
          <w:lang w:eastAsia="sk-SK"/>
        </w:rPr>
        <w:t> </w:t>
      </w:r>
      <w:r>
        <w:rPr>
          <w:szCs w:val="22"/>
          <w:lang w:eastAsia="sk-SK"/>
        </w:rPr>
        <w:t xml:space="preserve">eur. </w:t>
      </w:r>
    </w:p>
    <w:p w14:paraId="0AA785EE" w14:textId="157644DD" w:rsidR="00574279" w:rsidRDefault="00574279" w:rsidP="00574279">
      <w:pPr>
        <w:spacing w:after="120" w:line="240" w:lineRule="auto"/>
        <w:jc w:val="both"/>
        <w:rPr>
          <w:szCs w:val="22"/>
          <w:lang w:eastAsia="sk-SK"/>
        </w:rPr>
      </w:pPr>
      <w:r>
        <w:rPr>
          <w:szCs w:val="22"/>
          <w:lang w:eastAsia="sk-SK"/>
        </w:rPr>
        <w:t>Najvyšší čistý zisk generovaný za rok 2024 vykázalo SPP vo výške</w:t>
      </w:r>
      <w:r w:rsidR="00F4098F">
        <w:rPr>
          <w:szCs w:val="22"/>
          <w:lang w:eastAsia="sk-SK"/>
        </w:rPr>
        <w:t> </w:t>
      </w:r>
      <w:r>
        <w:rPr>
          <w:szCs w:val="22"/>
          <w:lang w:eastAsia="sk-SK"/>
        </w:rPr>
        <w:t>279</w:t>
      </w:r>
      <w:r w:rsidR="00F4098F">
        <w:rPr>
          <w:szCs w:val="22"/>
          <w:lang w:eastAsia="sk-SK"/>
        </w:rPr>
        <w:t> </w:t>
      </w:r>
      <w:r>
        <w:rPr>
          <w:szCs w:val="22"/>
          <w:lang w:eastAsia="sk-SK"/>
        </w:rPr>
        <w:t>388</w:t>
      </w:r>
      <w:r w:rsidR="00F4098F">
        <w:rPr>
          <w:szCs w:val="22"/>
          <w:lang w:eastAsia="sk-SK"/>
        </w:rPr>
        <w:t> </w:t>
      </w:r>
      <w:r>
        <w:rPr>
          <w:szCs w:val="22"/>
          <w:lang w:eastAsia="sk-SK"/>
        </w:rPr>
        <w:t>tis.</w:t>
      </w:r>
      <w:r w:rsidR="00F4098F">
        <w:rPr>
          <w:szCs w:val="22"/>
          <w:lang w:eastAsia="sk-SK"/>
        </w:rPr>
        <w:t> </w:t>
      </w:r>
      <w:r>
        <w:rPr>
          <w:szCs w:val="22"/>
          <w:lang w:eastAsia="sk-SK"/>
        </w:rPr>
        <w:t>eur. Napriek medziročnému poklesu výnosov z prijatých dividend od SPP Infrastructure,</w:t>
      </w:r>
      <w:r w:rsidR="00887911">
        <w:rPr>
          <w:szCs w:val="22"/>
          <w:lang w:eastAsia="sk-SK"/>
        </w:rPr>
        <w:t> </w:t>
      </w:r>
      <w:r>
        <w:rPr>
          <w:szCs w:val="22"/>
          <w:lang w:eastAsia="sk-SK"/>
        </w:rPr>
        <w:t>a.</w:t>
      </w:r>
      <w:r w:rsidR="00887911">
        <w:rPr>
          <w:szCs w:val="22"/>
          <w:lang w:eastAsia="sk-SK"/>
        </w:rPr>
        <w:t> </w:t>
      </w:r>
      <w:r>
        <w:rPr>
          <w:szCs w:val="22"/>
          <w:lang w:eastAsia="sk-SK"/>
        </w:rPr>
        <w:t>s. o 40,1</w:t>
      </w:r>
      <w:r w:rsidR="00887911">
        <w:rPr>
          <w:szCs w:val="22"/>
          <w:lang w:eastAsia="sk-SK"/>
        </w:rPr>
        <w:t> </w:t>
      </w:r>
      <w:r>
        <w:rPr>
          <w:szCs w:val="22"/>
          <w:lang w:eastAsia="sk-SK"/>
        </w:rPr>
        <w:t>% (z dôvodu vyplatenia dividendy za jeden hospodársky rok SPP Infrastructure,</w:t>
      </w:r>
      <w:r w:rsidR="00887911">
        <w:rPr>
          <w:szCs w:val="22"/>
          <w:lang w:eastAsia="sk-SK"/>
        </w:rPr>
        <w:t> </w:t>
      </w:r>
      <w:r>
        <w:rPr>
          <w:szCs w:val="22"/>
          <w:lang w:eastAsia="sk-SK"/>
        </w:rPr>
        <w:t>a.</w:t>
      </w:r>
      <w:r w:rsidR="00887911">
        <w:rPr>
          <w:szCs w:val="22"/>
          <w:lang w:eastAsia="sk-SK"/>
        </w:rPr>
        <w:t> </w:t>
      </w:r>
      <w:r>
        <w:rPr>
          <w:szCs w:val="22"/>
          <w:lang w:eastAsia="sk-SK"/>
        </w:rPr>
        <w:t>s.) samotný čistý zisk zaznamenal pokles o 3,8</w:t>
      </w:r>
      <w:r w:rsidR="00887911">
        <w:rPr>
          <w:szCs w:val="22"/>
          <w:lang w:eastAsia="sk-SK"/>
        </w:rPr>
        <w:t> </w:t>
      </w:r>
      <w:r>
        <w:rPr>
          <w:szCs w:val="22"/>
          <w:lang w:eastAsia="sk-SK"/>
        </w:rPr>
        <w:t>%. Zmiernenie vplyvu medziročného poklesu dividendového výnosu zaistil rast zisku z prevádzkovej činnosti, viac ako 4,0</w:t>
      </w:r>
      <w:r w:rsidR="00887911">
        <w:rPr>
          <w:szCs w:val="22"/>
          <w:lang w:eastAsia="sk-SK"/>
        </w:rPr>
        <w:t> </w:t>
      </w:r>
      <w:r>
        <w:rPr>
          <w:szCs w:val="22"/>
          <w:lang w:eastAsia="sk-SK"/>
        </w:rPr>
        <w:t>násobne vplyvom vyššieho zisku z predaja energií (vrátane kompenzácie rozdielov vzniknutých zo zastropovania ceny energií pre vybrané skupiny odberateľov zo strany štátu) zaistený aj zvýšeným objemom predaného plynu vďaka zvýšenej spotrebe priemyslu. Výšku čistého zisku znížili zvýšené náklady na daň z príjmu zvýšené vplyvom zmeny sadzby pre odloženú daň (z 21,0</w:t>
      </w:r>
      <w:r w:rsidR="00887911">
        <w:rPr>
          <w:szCs w:val="22"/>
          <w:lang w:eastAsia="sk-SK"/>
        </w:rPr>
        <w:t> </w:t>
      </w:r>
      <w:r>
        <w:rPr>
          <w:szCs w:val="22"/>
          <w:lang w:eastAsia="sk-SK"/>
        </w:rPr>
        <w:t>% v roku 2023 na</w:t>
      </w:r>
      <w:r w:rsidR="00887911">
        <w:rPr>
          <w:szCs w:val="22"/>
          <w:lang w:eastAsia="sk-SK"/>
        </w:rPr>
        <w:t> </w:t>
      </w:r>
      <w:r>
        <w:rPr>
          <w:szCs w:val="22"/>
          <w:lang w:eastAsia="sk-SK"/>
        </w:rPr>
        <w:t>24,0 % v roku 2024).</w:t>
      </w:r>
    </w:p>
    <w:p w14:paraId="57C9AF4F" w14:textId="5FDCE8F2" w:rsidR="00574279" w:rsidRDefault="00574279" w:rsidP="00574279">
      <w:pPr>
        <w:spacing w:after="120" w:line="240" w:lineRule="auto"/>
        <w:jc w:val="both"/>
        <w:rPr>
          <w:szCs w:val="22"/>
          <w:lang w:eastAsia="sk-SK"/>
        </w:rPr>
      </w:pPr>
      <w:r>
        <w:rPr>
          <w:szCs w:val="22"/>
          <w:lang w:eastAsia="sk-SK"/>
        </w:rPr>
        <w:t>Čistý zisk SE pripadajúci na majetkový podiel štátu bol vykázaný za rok 2024 vo výške 277</w:t>
      </w:r>
      <w:r w:rsidR="00F4098F">
        <w:rPr>
          <w:szCs w:val="22"/>
          <w:lang w:eastAsia="sk-SK"/>
        </w:rPr>
        <w:t> </w:t>
      </w:r>
      <w:r>
        <w:rPr>
          <w:szCs w:val="22"/>
          <w:lang w:eastAsia="sk-SK"/>
        </w:rPr>
        <w:t>111</w:t>
      </w:r>
      <w:r w:rsidR="00F4098F">
        <w:rPr>
          <w:szCs w:val="22"/>
          <w:lang w:eastAsia="sk-SK"/>
        </w:rPr>
        <w:t> </w:t>
      </w:r>
      <w:r>
        <w:rPr>
          <w:szCs w:val="22"/>
          <w:lang w:eastAsia="sk-SK"/>
        </w:rPr>
        <w:t>tis.</w:t>
      </w:r>
      <w:r w:rsidR="00F4098F">
        <w:rPr>
          <w:szCs w:val="22"/>
          <w:lang w:eastAsia="sk-SK"/>
        </w:rPr>
        <w:t> </w:t>
      </w:r>
      <w:r>
        <w:rPr>
          <w:szCs w:val="22"/>
          <w:lang w:eastAsia="sk-SK"/>
        </w:rPr>
        <w:t>eur, ktorý medziročne vzrástol takmer 1,5</w:t>
      </w:r>
      <w:r w:rsidR="00887911">
        <w:rPr>
          <w:szCs w:val="22"/>
          <w:lang w:eastAsia="sk-SK"/>
        </w:rPr>
        <w:t> </w:t>
      </w:r>
      <w:r>
        <w:rPr>
          <w:szCs w:val="22"/>
          <w:lang w:eastAsia="sk-SK"/>
        </w:rPr>
        <w:t>násobne. Zvýšenie zaistila najmä celoročná prevádzka 3.</w:t>
      </w:r>
      <w:r w:rsidR="00887911">
        <w:rPr>
          <w:szCs w:val="22"/>
          <w:lang w:eastAsia="sk-SK"/>
        </w:rPr>
        <w:t> </w:t>
      </w:r>
      <w:r>
        <w:rPr>
          <w:szCs w:val="22"/>
          <w:lang w:eastAsia="sk-SK"/>
        </w:rPr>
        <w:t>bloku jadrovej elektrárne Mochovce, čo sa prejavilo vyššou medziročnou výrobou a dodávkou energie o 893 GWh. Medziročný rast bol čiastočne eliminovaný vplyvom ukončenia prevádzky elektrárne Nováky (december</w:t>
      </w:r>
      <w:r w:rsidR="00887911">
        <w:rPr>
          <w:szCs w:val="22"/>
          <w:lang w:eastAsia="sk-SK"/>
        </w:rPr>
        <w:t> </w:t>
      </w:r>
      <w:r>
        <w:rPr>
          <w:szCs w:val="22"/>
          <w:lang w:eastAsia="sk-SK"/>
        </w:rPr>
        <w:t>2023) a Vojany (marec 2024). SE naďalej napredujú v dokončení 4.</w:t>
      </w:r>
      <w:r w:rsidR="00887911">
        <w:rPr>
          <w:szCs w:val="22"/>
          <w:lang w:eastAsia="sk-SK"/>
        </w:rPr>
        <w:t> </w:t>
      </w:r>
      <w:r>
        <w:rPr>
          <w:szCs w:val="22"/>
          <w:lang w:eastAsia="sk-SK"/>
        </w:rPr>
        <w:t>bloku elektrárne Mochovce, pričom zrealizované práce na konci roka dosiahli úroveň 93,1</w:t>
      </w:r>
      <w:r w:rsidR="00887911">
        <w:rPr>
          <w:szCs w:val="22"/>
          <w:lang w:eastAsia="sk-SK"/>
        </w:rPr>
        <w:t> </w:t>
      </w:r>
      <w:r>
        <w:rPr>
          <w:szCs w:val="22"/>
          <w:lang w:eastAsia="sk-SK"/>
        </w:rPr>
        <w:t>%, s navýšením investičných výdavkov o</w:t>
      </w:r>
      <w:r w:rsidR="00887911">
        <w:rPr>
          <w:szCs w:val="22"/>
          <w:lang w:eastAsia="sk-SK"/>
        </w:rPr>
        <w:t> </w:t>
      </w:r>
      <w:r>
        <w:rPr>
          <w:szCs w:val="22"/>
          <w:lang w:eastAsia="sk-SK"/>
        </w:rPr>
        <w:t>64</w:t>
      </w:r>
      <w:r w:rsidR="00887911">
        <w:rPr>
          <w:szCs w:val="22"/>
          <w:lang w:eastAsia="sk-SK"/>
        </w:rPr>
        <w:t> </w:t>
      </w:r>
      <w:r>
        <w:rPr>
          <w:szCs w:val="22"/>
          <w:lang w:eastAsia="sk-SK"/>
        </w:rPr>
        <w:t>mil.</w:t>
      </w:r>
      <w:r w:rsidR="00887911">
        <w:rPr>
          <w:szCs w:val="22"/>
          <w:lang w:eastAsia="sk-SK"/>
        </w:rPr>
        <w:t> </w:t>
      </w:r>
      <w:r>
        <w:rPr>
          <w:szCs w:val="22"/>
          <w:lang w:eastAsia="sk-SK"/>
        </w:rPr>
        <w:t>eur a plánom postupného navážania paliva v priebehu roku 2025.</w:t>
      </w:r>
    </w:p>
    <w:p w14:paraId="6F575E36" w14:textId="654085D9" w:rsidR="00574279" w:rsidRDefault="00574279" w:rsidP="00574279">
      <w:pPr>
        <w:spacing w:after="120" w:line="240" w:lineRule="auto"/>
        <w:jc w:val="both"/>
        <w:rPr>
          <w:szCs w:val="22"/>
          <w:lang w:eastAsia="sk-SK"/>
        </w:rPr>
      </w:pPr>
      <w:r>
        <w:rPr>
          <w:szCs w:val="22"/>
          <w:lang w:eastAsia="sk-SK"/>
        </w:rPr>
        <w:t>Vodohospodárska výstavba,</w:t>
      </w:r>
      <w:r w:rsidR="00887911">
        <w:rPr>
          <w:szCs w:val="22"/>
          <w:lang w:eastAsia="sk-SK"/>
        </w:rPr>
        <w:t> </w:t>
      </w:r>
      <w:r>
        <w:rPr>
          <w:szCs w:val="22"/>
          <w:lang w:eastAsia="sk-SK"/>
        </w:rPr>
        <w:t>š.</w:t>
      </w:r>
      <w:r w:rsidR="00887911">
        <w:rPr>
          <w:szCs w:val="22"/>
          <w:lang w:eastAsia="sk-SK"/>
        </w:rPr>
        <w:t> </w:t>
      </w:r>
      <w:r>
        <w:rPr>
          <w:szCs w:val="22"/>
          <w:lang w:eastAsia="sk-SK"/>
        </w:rPr>
        <w:t>p. vykázala čistý zisk za rok 2024 vo výške 162</w:t>
      </w:r>
      <w:r w:rsidR="00F4098F">
        <w:rPr>
          <w:szCs w:val="22"/>
          <w:lang w:eastAsia="sk-SK"/>
        </w:rPr>
        <w:t> </w:t>
      </w:r>
      <w:r>
        <w:rPr>
          <w:szCs w:val="22"/>
          <w:lang w:eastAsia="sk-SK"/>
        </w:rPr>
        <w:t>857</w:t>
      </w:r>
      <w:r w:rsidR="00F4098F">
        <w:rPr>
          <w:szCs w:val="22"/>
          <w:lang w:eastAsia="sk-SK"/>
        </w:rPr>
        <w:t> </w:t>
      </w:r>
      <w:r w:rsidR="006E18B5">
        <w:rPr>
          <w:szCs w:val="22"/>
          <w:lang w:eastAsia="sk-SK"/>
        </w:rPr>
        <w:t>tis.</w:t>
      </w:r>
      <w:r w:rsidR="00F4098F">
        <w:rPr>
          <w:szCs w:val="22"/>
          <w:lang w:eastAsia="sk-SK"/>
        </w:rPr>
        <w:t> </w:t>
      </w:r>
      <w:r>
        <w:rPr>
          <w:szCs w:val="22"/>
          <w:lang w:eastAsia="sk-SK"/>
        </w:rPr>
        <w:t>eur. Medziročne zisk klesol o 32,3</w:t>
      </w:r>
      <w:r w:rsidR="00887911">
        <w:rPr>
          <w:szCs w:val="22"/>
          <w:lang w:eastAsia="sk-SK"/>
        </w:rPr>
        <w:t> </w:t>
      </w:r>
      <w:r>
        <w:rPr>
          <w:szCs w:val="22"/>
          <w:lang w:eastAsia="sk-SK"/>
        </w:rPr>
        <w:t>% najmä z dôvodu poklesu tržieb z výroby a dodávky elektrickej energie z vodných elektrární Vodného diela Gabčíkovo (pokles o 22,0</w:t>
      </w:r>
      <w:r w:rsidR="00887911">
        <w:rPr>
          <w:szCs w:val="22"/>
          <w:lang w:eastAsia="sk-SK"/>
        </w:rPr>
        <w:t> </w:t>
      </w:r>
      <w:r>
        <w:rPr>
          <w:szCs w:val="22"/>
          <w:lang w:eastAsia="sk-SK"/>
        </w:rPr>
        <w:t>%) Vodného diela Žilina ( pokles o 43,9</w:t>
      </w:r>
      <w:r w:rsidR="00887911">
        <w:rPr>
          <w:szCs w:val="22"/>
          <w:lang w:eastAsia="sk-SK"/>
        </w:rPr>
        <w:t> </w:t>
      </w:r>
      <w:r>
        <w:rPr>
          <w:szCs w:val="22"/>
          <w:lang w:eastAsia="sk-SK"/>
        </w:rPr>
        <w:t>%). Napriek hydrologicky nadpriemernému roku (zvýšenie objemu celkovej výroby a dodávky elektriny o 15,1</w:t>
      </w:r>
      <w:r w:rsidR="00887911">
        <w:rPr>
          <w:szCs w:val="22"/>
          <w:lang w:eastAsia="sk-SK"/>
        </w:rPr>
        <w:t> </w:t>
      </w:r>
      <w:r>
        <w:rPr>
          <w:szCs w:val="22"/>
          <w:lang w:eastAsia="sk-SK"/>
        </w:rPr>
        <w:t>%), príčinou poklesu tržieb bol pokles priemernej ceny silovej elektriny.</w:t>
      </w:r>
    </w:p>
    <w:p w14:paraId="05C628C5" w14:textId="7A1CDADC" w:rsidR="00574279" w:rsidRDefault="00574279" w:rsidP="00574279">
      <w:pPr>
        <w:spacing w:after="120" w:line="240" w:lineRule="auto"/>
        <w:jc w:val="both"/>
        <w:rPr>
          <w:szCs w:val="22"/>
          <w:lang w:eastAsia="sk-SK"/>
        </w:rPr>
      </w:pPr>
      <w:r>
        <w:rPr>
          <w:szCs w:val="22"/>
          <w:lang w:eastAsia="sk-SK"/>
        </w:rPr>
        <w:t>Čistý zisk ZSE pripadajúci na majetkový podiel štátu bol vykázaný za rok 2024 vo výške 161</w:t>
      </w:r>
      <w:r w:rsidR="00C163E9">
        <w:rPr>
          <w:szCs w:val="22"/>
          <w:lang w:eastAsia="sk-SK"/>
        </w:rPr>
        <w:t> </w:t>
      </w:r>
      <w:r>
        <w:rPr>
          <w:szCs w:val="22"/>
          <w:lang w:eastAsia="sk-SK"/>
        </w:rPr>
        <w:t>904</w:t>
      </w:r>
      <w:r w:rsidR="00C163E9">
        <w:rPr>
          <w:szCs w:val="22"/>
          <w:lang w:eastAsia="sk-SK"/>
        </w:rPr>
        <w:t> </w:t>
      </w:r>
      <w:r>
        <w:rPr>
          <w:szCs w:val="22"/>
          <w:lang w:eastAsia="sk-SK"/>
        </w:rPr>
        <w:t>tis.</w:t>
      </w:r>
      <w:r w:rsidR="00C163E9">
        <w:rPr>
          <w:szCs w:val="22"/>
          <w:lang w:eastAsia="sk-SK"/>
        </w:rPr>
        <w:t> </w:t>
      </w:r>
      <w:r>
        <w:rPr>
          <w:szCs w:val="22"/>
          <w:lang w:eastAsia="sk-SK"/>
        </w:rPr>
        <w:t>eur. Rok 2024 bol prvý rok, kedy skupina ZSE fungovala celý rok ako zintegrovaná skupina so skupinou VSEH, čo sa prejavilo aj na výsledkoch. Medziročne sa zisk zvýšil viac ako 2,8</w:t>
      </w:r>
      <w:r w:rsidR="00887911">
        <w:rPr>
          <w:szCs w:val="22"/>
          <w:lang w:eastAsia="sk-SK"/>
        </w:rPr>
        <w:t> </w:t>
      </w:r>
      <w:r>
        <w:rPr>
          <w:szCs w:val="22"/>
          <w:lang w:eastAsia="sk-SK"/>
        </w:rPr>
        <w:t>násobne vplyvom vyšších výnosov z prijatých dividend, pričom 48,6</w:t>
      </w:r>
      <w:r w:rsidR="00887911">
        <w:rPr>
          <w:szCs w:val="22"/>
          <w:lang w:eastAsia="sk-SK"/>
        </w:rPr>
        <w:t> </w:t>
      </w:r>
      <w:r>
        <w:rPr>
          <w:szCs w:val="22"/>
          <w:lang w:eastAsia="sk-SK"/>
        </w:rPr>
        <w:t>% z rastu dividendových výnosov tvorili dividendy z dcér zintegrovaných zo skupiny VSEH a zvýšenie o 51,4</w:t>
      </w:r>
      <w:r w:rsidR="00887911">
        <w:rPr>
          <w:szCs w:val="22"/>
          <w:lang w:eastAsia="sk-SK"/>
        </w:rPr>
        <w:t> </w:t>
      </w:r>
      <w:r>
        <w:rPr>
          <w:szCs w:val="22"/>
          <w:lang w:eastAsia="sk-SK"/>
        </w:rPr>
        <w:t>% zaistil medziročný rast dividend od dcérskych spoločností pôvodnej skupiny ZSE. Zdrojom zvýšenia bola najmä pôvodná dcérska spoločnosť Západoslovenská distribučná,</w:t>
      </w:r>
      <w:r w:rsidR="00887911">
        <w:rPr>
          <w:szCs w:val="22"/>
          <w:lang w:eastAsia="sk-SK"/>
        </w:rPr>
        <w:t> </w:t>
      </w:r>
      <w:r>
        <w:rPr>
          <w:szCs w:val="22"/>
          <w:lang w:eastAsia="sk-SK"/>
        </w:rPr>
        <w:t>a.</w:t>
      </w:r>
      <w:r w:rsidR="00887911">
        <w:rPr>
          <w:szCs w:val="22"/>
          <w:lang w:eastAsia="sk-SK"/>
        </w:rPr>
        <w:t> </w:t>
      </w:r>
      <w:r>
        <w:rPr>
          <w:szCs w:val="22"/>
          <w:lang w:eastAsia="sk-SK"/>
        </w:rPr>
        <w:t>s., ktorá vygenerovala vyšší zisk zo svojej prevádzkovej činnosti, vrátane kompenzácií strát za</w:t>
      </w:r>
      <w:r w:rsidR="00887911">
        <w:rPr>
          <w:szCs w:val="22"/>
          <w:lang w:eastAsia="sk-SK"/>
        </w:rPr>
        <w:t> </w:t>
      </w:r>
      <w:r>
        <w:rPr>
          <w:szCs w:val="22"/>
          <w:lang w:eastAsia="sk-SK"/>
        </w:rPr>
        <w:t>zastropované ceny energií pre vybrané skupiny odberateľov zo strany štátu.</w:t>
      </w:r>
    </w:p>
    <w:p w14:paraId="67E96B36" w14:textId="4C1EDF5B" w:rsidR="00574279" w:rsidRPr="00574279" w:rsidRDefault="00574279" w:rsidP="008334C0">
      <w:pPr>
        <w:spacing w:after="120" w:line="240" w:lineRule="auto"/>
        <w:jc w:val="both"/>
        <w:rPr>
          <w:highlight w:val="yellow"/>
        </w:rPr>
      </w:pPr>
      <w:r>
        <w:rPr>
          <w:szCs w:val="22"/>
          <w:u w:val="single"/>
          <w:lang w:eastAsia="sk-SK"/>
        </w:rPr>
        <w:t>Externé</w:t>
      </w:r>
      <w:r w:rsidRPr="00D063B9">
        <w:rPr>
          <w:szCs w:val="22"/>
          <w:u w:val="single"/>
          <w:lang w:eastAsia="sk-SK"/>
        </w:rPr>
        <w:t xml:space="preserve"> faktory</w:t>
      </w:r>
      <w:r>
        <w:rPr>
          <w:szCs w:val="22"/>
          <w:u w:val="single"/>
          <w:lang w:eastAsia="sk-SK"/>
        </w:rPr>
        <w:t xml:space="preserve"> </w:t>
      </w:r>
      <w:r w:rsidRPr="00D063B9">
        <w:rPr>
          <w:szCs w:val="22"/>
          <w:u w:val="single"/>
          <w:lang w:eastAsia="sk-SK"/>
        </w:rPr>
        <w:t>s</w:t>
      </w:r>
      <w:r>
        <w:rPr>
          <w:szCs w:val="22"/>
          <w:u w:val="single"/>
          <w:lang w:eastAsia="sk-SK"/>
        </w:rPr>
        <w:t> negatívnym</w:t>
      </w:r>
      <w:r w:rsidRPr="00E2123B">
        <w:rPr>
          <w:szCs w:val="22"/>
          <w:lang w:eastAsia="sk-SK"/>
        </w:rPr>
        <w:t xml:space="preserve"> </w:t>
      </w:r>
      <w:r>
        <w:rPr>
          <w:szCs w:val="22"/>
          <w:lang w:eastAsia="sk-SK"/>
        </w:rPr>
        <w:t>vplyvom</w:t>
      </w:r>
      <w:r w:rsidRPr="00D915DB">
        <w:rPr>
          <w:szCs w:val="22"/>
          <w:lang w:eastAsia="sk-SK"/>
        </w:rPr>
        <w:t xml:space="preserve"> </w:t>
      </w:r>
      <w:r>
        <w:rPr>
          <w:szCs w:val="22"/>
          <w:lang w:eastAsia="sk-SK"/>
        </w:rPr>
        <w:t xml:space="preserve">predstavujú </w:t>
      </w:r>
      <w:r w:rsidRPr="009552AE">
        <w:rPr>
          <w:b/>
          <w:bCs/>
          <w:szCs w:val="22"/>
          <w:lang w:eastAsia="sk-SK"/>
        </w:rPr>
        <w:t>predaj</w:t>
      </w:r>
      <w:r>
        <w:rPr>
          <w:b/>
          <w:bCs/>
          <w:szCs w:val="22"/>
          <w:lang w:eastAsia="sk-SK"/>
        </w:rPr>
        <w:t>e</w:t>
      </w:r>
      <w:r w:rsidRPr="009552AE">
        <w:rPr>
          <w:b/>
          <w:bCs/>
          <w:szCs w:val="22"/>
          <w:lang w:eastAsia="sk-SK"/>
        </w:rPr>
        <w:t xml:space="preserve"> majetkových podiel</w:t>
      </w:r>
      <w:r>
        <w:rPr>
          <w:b/>
          <w:bCs/>
          <w:szCs w:val="22"/>
          <w:lang w:eastAsia="sk-SK"/>
        </w:rPr>
        <w:t>ov</w:t>
      </w:r>
      <w:r>
        <w:rPr>
          <w:szCs w:val="22"/>
          <w:lang w:eastAsia="sk-SK"/>
        </w:rPr>
        <w:t xml:space="preserve"> MH</w:t>
      </w:r>
      <w:r w:rsidR="00887911">
        <w:rPr>
          <w:szCs w:val="22"/>
          <w:lang w:eastAsia="sk-SK"/>
        </w:rPr>
        <w:t> </w:t>
      </w:r>
      <w:r>
        <w:rPr>
          <w:szCs w:val="22"/>
          <w:lang w:eastAsia="sk-SK"/>
        </w:rPr>
        <w:t>Manažment,</w:t>
      </w:r>
      <w:r w:rsidR="00887911">
        <w:rPr>
          <w:szCs w:val="22"/>
          <w:lang w:eastAsia="sk-SK"/>
        </w:rPr>
        <w:t> </w:t>
      </w:r>
      <w:r>
        <w:rPr>
          <w:szCs w:val="22"/>
          <w:lang w:eastAsia="sk-SK"/>
        </w:rPr>
        <w:t>a.</w:t>
      </w:r>
      <w:r w:rsidR="00887911">
        <w:rPr>
          <w:szCs w:val="22"/>
          <w:lang w:eastAsia="sk-SK"/>
        </w:rPr>
        <w:t> </w:t>
      </w:r>
      <w:r>
        <w:rPr>
          <w:szCs w:val="22"/>
          <w:lang w:eastAsia="sk-SK"/>
        </w:rPr>
        <w:t>s. vo výške</w:t>
      </w:r>
      <w:r w:rsidR="00C163E9">
        <w:rPr>
          <w:szCs w:val="22"/>
          <w:lang w:eastAsia="sk-SK"/>
        </w:rPr>
        <w:t> </w:t>
      </w:r>
      <w:r>
        <w:rPr>
          <w:szCs w:val="22"/>
          <w:lang w:eastAsia="sk-SK"/>
        </w:rPr>
        <w:t>24</w:t>
      </w:r>
      <w:r w:rsidR="00C163E9">
        <w:rPr>
          <w:szCs w:val="22"/>
          <w:lang w:eastAsia="sk-SK"/>
        </w:rPr>
        <w:t> </w:t>
      </w:r>
      <w:r>
        <w:rPr>
          <w:szCs w:val="22"/>
          <w:lang w:eastAsia="sk-SK"/>
        </w:rPr>
        <w:t>779</w:t>
      </w:r>
      <w:r w:rsidR="00C163E9">
        <w:rPr>
          <w:szCs w:val="22"/>
          <w:lang w:eastAsia="sk-SK"/>
        </w:rPr>
        <w:t> </w:t>
      </w:r>
      <w:r>
        <w:rPr>
          <w:szCs w:val="22"/>
          <w:lang w:eastAsia="sk-SK"/>
        </w:rPr>
        <w:t>tis.</w:t>
      </w:r>
      <w:r w:rsidR="00C163E9">
        <w:rPr>
          <w:szCs w:val="22"/>
          <w:lang w:eastAsia="sk-SK"/>
        </w:rPr>
        <w:t> </w:t>
      </w:r>
      <w:r>
        <w:rPr>
          <w:szCs w:val="22"/>
          <w:lang w:eastAsia="sk-SK"/>
        </w:rPr>
        <w:t>eur (údaje o konkrétnych podnikoch, ktoré boli predmetom predaja sú prezentované v prílohe č.</w:t>
      </w:r>
      <w:r w:rsidR="00887911">
        <w:rPr>
          <w:szCs w:val="22"/>
          <w:lang w:eastAsia="sk-SK"/>
        </w:rPr>
        <w:t> </w:t>
      </w:r>
      <w:r>
        <w:rPr>
          <w:szCs w:val="22"/>
          <w:lang w:eastAsia="sk-SK"/>
        </w:rPr>
        <w:t xml:space="preserve">1). </w:t>
      </w:r>
      <w:r w:rsidRPr="00CC128F">
        <w:rPr>
          <w:b/>
          <w:bCs/>
          <w:szCs w:val="22"/>
          <w:lang w:eastAsia="sk-SK"/>
        </w:rPr>
        <w:t>Ostatné</w:t>
      </w:r>
      <w:r>
        <w:rPr>
          <w:szCs w:val="22"/>
          <w:lang w:eastAsia="sk-SK"/>
        </w:rPr>
        <w:t xml:space="preserve"> položky s celkovo negatívnym vplyvom na konečný stav vo</w:t>
      </w:r>
      <w:r w:rsidR="00887911">
        <w:rPr>
          <w:szCs w:val="22"/>
          <w:lang w:eastAsia="sk-SK"/>
        </w:rPr>
        <w:t> </w:t>
      </w:r>
      <w:r>
        <w:rPr>
          <w:szCs w:val="22"/>
          <w:lang w:eastAsia="sk-SK"/>
        </w:rPr>
        <w:t>výške 5</w:t>
      </w:r>
      <w:r w:rsidR="00C163E9">
        <w:rPr>
          <w:szCs w:val="22"/>
          <w:lang w:eastAsia="sk-SK"/>
        </w:rPr>
        <w:t> </w:t>
      </w:r>
      <w:r>
        <w:rPr>
          <w:szCs w:val="22"/>
          <w:lang w:eastAsia="sk-SK"/>
        </w:rPr>
        <w:t>960</w:t>
      </w:r>
      <w:r w:rsidR="00C163E9">
        <w:rPr>
          <w:szCs w:val="22"/>
          <w:lang w:eastAsia="sk-SK"/>
        </w:rPr>
        <w:t> </w:t>
      </w:r>
      <w:r>
        <w:rPr>
          <w:szCs w:val="22"/>
          <w:lang w:eastAsia="sk-SK"/>
        </w:rPr>
        <w:t>tis.</w:t>
      </w:r>
      <w:r w:rsidR="00C163E9">
        <w:rPr>
          <w:szCs w:val="22"/>
          <w:lang w:eastAsia="sk-SK"/>
        </w:rPr>
        <w:t> </w:t>
      </w:r>
      <w:r>
        <w:rPr>
          <w:szCs w:val="22"/>
          <w:lang w:eastAsia="sk-SK"/>
        </w:rPr>
        <w:t xml:space="preserve">eur vzhľadom na výšku vplyvu sú považované za nevýznamné. </w:t>
      </w:r>
    </w:p>
    <w:p w14:paraId="5BE1009B" w14:textId="4E351E89" w:rsidR="008117A9" w:rsidRPr="00891A59" w:rsidRDefault="008117A9" w:rsidP="00A22A9D">
      <w:pPr>
        <w:pStyle w:val="Nadpis3"/>
        <w:numPr>
          <w:ilvl w:val="2"/>
          <w:numId w:val="7"/>
        </w:numPr>
        <w:ind w:left="1418"/>
      </w:pPr>
      <w:bookmarkStart w:id="88" w:name="_Toc495990498"/>
      <w:bookmarkStart w:id="89" w:name="_Toc212461612"/>
      <w:r w:rsidRPr="00891A59">
        <w:lastRenderedPageBreak/>
        <w:t>Implicitné záväzky</w:t>
      </w:r>
      <w:bookmarkEnd w:id="88"/>
      <w:bookmarkEnd w:id="89"/>
    </w:p>
    <w:p w14:paraId="67AC7C98" w14:textId="21B626CD" w:rsidR="004C5D69" w:rsidRDefault="004C5D69" w:rsidP="004C5D69">
      <w:pPr>
        <w:spacing w:after="120" w:line="240" w:lineRule="auto"/>
        <w:jc w:val="both"/>
        <w:rPr>
          <w:szCs w:val="22"/>
        </w:rPr>
      </w:pPr>
      <w:r w:rsidRPr="00046146">
        <w:rPr>
          <w:b/>
          <w:szCs w:val="22"/>
        </w:rPr>
        <w:t>Ústavný zákon o rozpočtovej zodpovednosti definuje implicitné záväzky ako rozdiel medzi</w:t>
      </w:r>
      <w:r w:rsidR="00887911">
        <w:rPr>
          <w:b/>
          <w:szCs w:val="22"/>
        </w:rPr>
        <w:t> </w:t>
      </w:r>
      <w:r w:rsidRPr="00046146">
        <w:rPr>
          <w:b/>
          <w:szCs w:val="22"/>
        </w:rPr>
        <w:t xml:space="preserve">očakávanými budúcimi výdavkami a očakávanými budúcimi príjmami subjektov verejnej správy. </w:t>
      </w:r>
      <w:r w:rsidRPr="00046146">
        <w:rPr>
          <w:szCs w:val="22"/>
        </w:rPr>
        <w:t>Implicitné záväzky vznikajú ako finančné nároky spôsobené budúcim uplatňovaním práv a</w:t>
      </w:r>
      <w:r w:rsidR="00887911">
        <w:rPr>
          <w:szCs w:val="22"/>
        </w:rPr>
        <w:t> </w:t>
      </w:r>
      <w:r w:rsidRPr="00046146">
        <w:rPr>
          <w:szCs w:val="22"/>
        </w:rPr>
        <w:t>povinností vyplývajúcim z legislatívy, ak tieto nie sú súčasťou dlhu verejnej správy. Z dôvodu ich problematického oceňovania a absencie vykazovania v súvahe subjektov verejnej správy dochádza k ich odhadu pomocou analytického postupu určenia súčasnej hodnoty budúcich záväzkov. Od roku 2020 sa medzi implicitné záväzky zaradila aj projekcia zvýšených platieb do rozpočtu EÚ súvisiacich so sp</w:t>
      </w:r>
      <w:r>
        <w:rPr>
          <w:szCs w:val="22"/>
        </w:rPr>
        <w:t>lácaním grantov získaných z Plánu obnovy, keďže o spôsobe ich splátok zatiaľ nie je v EÚ definitívne rozhodnuté.</w:t>
      </w:r>
    </w:p>
    <w:p w14:paraId="5F34D298" w14:textId="77777777" w:rsidR="004C5D69" w:rsidRPr="00202ACB" w:rsidRDefault="004C5D69" w:rsidP="004C5D69">
      <w:pPr>
        <w:spacing w:after="120" w:line="240" w:lineRule="auto"/>
        <w:jc w:val="both"/>
      </w:pPr>
      <w:r w:rsidRPr="00494029">
        <w:rPr>
          <w:b/>
        </w:rPr>
        <w:t xml:space="preserve">Implicitné záväzky v minulom roku medziročne poklesli po </w:t>
      </w:r>
      <w:r>
        <w:rPr>
          <w:b/>
        </w:rPr>
        <w:t>tretíkrát</w:t>
      </w:r>
      <w:r w:rsidRPr="00494029">
        <w:rPr>
          <w:b/>
        </w:rPr>
        <w:t xml:space="preserve"> od 2016.</w:t>
      </w:r>
      <w:r w:rsidRPr="00494029">
        <w:t xml:space="preserve"> </w:t>
      </w:r>
      <w:r>
        <w:t>Najväčšími prispievateľmi k výške implicitných záväzkov patria dlhodobo projekcie súvisiace s dôchodkovým systémom a zdravotníctvom.</w:t>
      </w:r>
    </w:p>
    <w:p w14:paraId="0B06F25F" w14:textId="3B9CA667" w:rsidR="0082592B" w:rsidRPr="00C6300E" w:rsidRDefault="0082592B" w:rsidP="00D162A9">
      <w:pPr>
        <w:pStyle w:val="Popis"/>
      </w:pPr>
      <w:r w:rsidRPr="00C6300E">
        <w:t xml:space="preserve">Graf </w:t>
      </w:r>
      <w:r w:rsidR="00C6300E" w:rsidRPr="00C6300E">
        <w:t>6</w:t>
      </w:r>
      <w:r w:rsidRPr="00C6300E">
        <w:t xml:space="preserve"> - Vývoj a štruktúra implicitných záväzkov na konečnom horizonte (%</w:t>
      </w:r>
      <w:r w:rsidR="00887911">
        <w:t> </w:t>
      </w:r>
      <w:r w:rsidRPr="00C6300E">
        <w:t>HDP)</w:t>
      </w:r>
    </w:p>
    <w:p w14:paraId="0CB50328" w14:textId="008FC65E" w:rsidR="00891A59" w:rsidRDefault="00891A59" w:rsidP="0066019A">
      <w:pPr>
        <w:spacing w:after="120" w:line="240" w:lineRule="auto"/>
        <w:jc w:val="both"/>
        <w:rPr>
          <w:rFonts w:eastAsia="Calibri"/>
          <w:b/>
          <w:szCs w:val="22"/>
          <w:highlight w:val="yellow"/>
        </w:rPr>
      </w:pPr>
      <w:r w:rsidRPr="00891A59">
        <w:rPr>
          <w:noProof/>
        </w:rPr>
        <w:drawing>
          <wp:inline distT="0" distB="0" distL="0" distR="0" wp14:anchorId="26B9AD23" wp14:editId="3C33D8E7">
            <wp:extent cx="5760720" cy="2992755"/>
            <wp:effectExtent l="0" t="0" r="0" b="0"/>
            <wp:docPr id="1603717797" name="Graf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7BD057" w14:textId="09EE2678" w:rsidR="00891A59" w:rsidRPr="00891A59" w:rsidRDefault="00891A59" w:rsidP="00891A59">
      <w:pPr>
        <w:spacing w:after="0"/>
        <w:rPr>
          <w:rFonts w:eastAsia="Calibri"/>
          <w:i/>
          <w:sz w:val="14"/>
          <w:szCs w:val="22"/>
        </w:rPr>
      </w:pPr>
      <w:r w:rsidRPr="00F4056D">
        <w:rPr>
          <w:rFonts w:eastAsia="Calibri"/>
          <w:i/>
          <w:sz w:val="16"/>
          <w:szCs w:val="24"/>
        </w:rPr>
        <w:t>Pozn.: Nárast implicitných záväzkov predovšetkým zo starnutia populácie v roku 2020 oproti 2019 je spôsobený zmenou diskontovania pod vplyvom zníženia nominálnych úrokových mier v projekcii AWG 2021. Pokles hodnoty implicitných záväzkov v roku 2023 vyplýva najmä  z návratu projekcie nominálnych úrokových mier na vyššie úrovne</w:t>
      </w:r>
      <w:r>
        <w:rPr>
          <w:rFonts w:eastAsia="Calibri"/>
          <w:i/>
          <w:sz w:val="14"/>
          <w:szCs w:val="22"/>
        </w:rPr>
        <w:t xml:space="preserve">. </w:t>
      </w:r>
      <w:r w:rsidRPr="00DE7F0A">
        <w:rPr>
          <w:rFonts w:eastAsia="Calibri"/>
          <w:i/>
          <w:sz w:val="14"/>
          <w:szCs w:val="22"/>
        </w:rPr>
        <w:t xml:space="preserve">                                                                                                         </w:t>
      </w:r>
      <w:r w:rsidRPr="00F4056D">
        <w:rPr>
          <w:rFonts w:eastAsia="Calibri"/>
          <w:i/>
          <w:sz w:val="16"/>
          <w:szCs w:val="24"/>
        </w:rPr>
        <w:t>Zdroj: MF SR</w:t>
      </w:r>
    </w:p>
    <w:p w14:paraId="116F0557" w14:textId="77777777" w:rsidR="00891A59" w:rsidRDefault="00891A59" w:rsidP="0066019A">
      <w:pPr>
        <w:spacing w:after="120" w:line="240" w:lineRule="auto"/>
        <w:jc w:val="both"/>
        <w:rPr>
          <w:rFonts w:eastAsia="Calibri"/>
          <w:b/>
          <w:szCs w:val="22"/>
          <w:highlight w:val="yellow"/>
        </w:rPr>
      </w:pPr>
    </w:p>
    <w:p w14:paraId="452F39E9" w14:textId="2243EE55" w:rsidR="0061379D" w:rsidRDefault="00891A59" w:rsidP="00F739C1">
      <w:pPr>
        <w:spacing w:before="120" w:after="0" w:line="240" w:lineRule="auto"/>
        <w:jc w:val="both"/>
        <w:rPr>
          <w:rFonts w:eastAsia="Calibri"/>
          <w:szCs w:val="22"/>
          <w:highlight w:val="yellow"/>
        </w:rPr>
      </w:pPr>
      <w:r w:rsidRPr="00733531">
        <w:rPr>
          <w:rFonts w:eastAsia="Calibri"/>
          <w:b/>
          <w:szCs w:val="22"/>
        </w:rPr>
        <w:t>Celkové implicitné záväzky verejnej správy ku koncu roka 202</w:t>
      </w:r>
      <w:r>
        <w:rPr>
          <w:rFonts w:eastAsia="Calibri"/>
          <w:b/>
          <w:szCs w:val="22"/>
        </w:rPr>
        <w:t>4</w:t>
      </w:r>
      <w:r w:rsidRPr="00733531">
        <w:rPr>
          <w:rFonts w:eastAsia="Calibri"/>
          <w:b/>
          <w:szCs w:val="22"/>
          <w:vertAlign w:val="superscript"/>
        </w:rPr>
        <w:footnoteReference w:id="29"/>
      </w:r>
      <w:r w:rsidRPr="00733531">
        <w:rPr>
          <w:rFonts w:eastAsia="Calibri"/>
          <w:b/>
          <w:szCs w:val="22"/>
        </w:rPr>
        <w:t>, kvantifikované do roku 206</w:t>
      </w:r>
      <w:r>
        <w:rPr>
          <w:rFonts w:eastAsia="Calibri"/>
          <w:b/>
          <w:szCs w:val="22"/>
        </w:rPr>
        <w:t>7</w:t>
      </w:r>
      <w:r w:rsidRPr="00733531">
        <w:rPr>
          <w:rFonts w:eastAsia="Calibri"/>
          <w:b/>
          <w:szCs w:val="22"/>
        </w:rPr>
        <w:t>, klesli medziročne na 1</w:t>
      </w:r>
      <w:r>
        <w:rPr>
          <w:rFonts w:eastAsia="Calibri"/>
          <w:b/>
          <w:szCs w:val="22"/>
        </w:rPr>
        <w:t>53</w:t>
      </w:r>
      <w:r w:rsidR="00887911">
        <w:rPr>
          <w:rFonts w:eastAsia="Calibri"/>
          <w:b/>
          <w:szCs w:val="22"/>
        </w:rPr>
        <w:t> </w:t>
      </w:r>
      <w:r w:rsidRPr="00733531">
        <w:rPr>
          <w:rFonts w:eastAsia="Calibri"/>
          <w:b/>
          <w:szCs w:val="22"/>
        </w:rPr>
        <w:t>%</w:t>
      </w:r>
      <w:r w:rsidR="00887911">
        <w:rPr>
          <w:rFonts w:eastAsia="Calibri"/>
          <w:b/>
          <w:szCs w:val="22"/>
        </w:rPr>
        <w:t> </w:t>
      </w:r>
      <w:r w:rsidRPr="00733531">
        <w:rPr>
          <w:rFonts w:eastAsia="Calibri"/>
          <w:b/>
          <w:szCs w:val="22"/>
        </w:rPr>
        <w:t>HDP</w:t>
      </w:r>
      <w:r w:rsidRPr="00733531">
        <w:rPr>
          <w:rFonts w:eastAsia="Calibri"/>
          <w:b/>
          <w:szCs w:val="22"/>
          <w:vertAlign w:val="superscript"/>
        </w:rPr>
        <w:footnoteReference w:id="30"/>
      </w:r>
      <w:r w:rsidRPr="00733531">
        <w:rPr>
          <w:rFonts w:eastAsia="Calibri"/>
          <w:b/>
          <w:szCs w:val="22"/>
        </w:rPr>
        <w:t xml:space="preserve">. </w:t>
      </w:r>
      <w:r w:rsidRPr="00733531">
        <w:rPr>
          <w:rFonts w:eastAsia="Calibri"/>
          <w:szCs w:val="22"/>
        </w:rPr>
        <w:t>Oproti roku 202</w:t>
      </w:r>
      <w:r>
        <w:rPr>
          <w:rFonts w:eastAsia="Calibri"/>
          <w:szCs w:val="22"/>
        </w:rPr>
        <w:t>3</w:t>
      </w:r>
      <w:r w:rsidRPr="00733531">
        <w:rPr>
          <w:rFonts w:eastAsia="Calibri"/>
          <w:szCs w:val="22"/>
        </w:rPr>
        <w:t xml:space="preserve"> sa implicitné záväzky SR znížili o</w:t>
      </w:r>
      <w:r w:rsidR="00887911">
        <w:rPr>
          <w:rFonts w:eastAsia="Calibri"/>
          <w:szCs w:val="22"/>
        </w:rPr>
        <w:t> </w:t>
      </w:r>
      <w:r>
        <w:rPr>
          <w:rFonts w:eastAsia="Calibri"/>
          <w:szCs w:val="22"/>
        </w:rPr>
        <w:t>9</w:t>
      </w:r>
      <w:r w:rsidR="00887911">
        <w:rPr>
          <w:rFonts w:eastAsia="Calibri"/>
          <w:szCs w:val="22"/>
        </w:rPr>
        <w:t> </w:t>
      </w:r>
      <w:r w:rsidRPr="00733531">
        <w:rPr>
          <w:rFonts w:eastAsia="Calibri"/>
          <w:szCs w:val="22"/>
        </w:rPr>
        <w:t>p.</w:t>
      </w:r>
      <w:r w:rsidR="00887911">
        <w:rPr>
          <w:rFonts w:eastAsia="Calibri"/>
          <w:szCs w:val="22"/>
        </w:rPr>
        <w:t> </w:t>
      </w:r>
      <w:r w:rsidRPr="00733531">
        <w:rPr>
          <w:rFonts w:eastAsia="Calibri"/>
          <w:szCs w:val="22"/>
        </w:rPr>
        <w:t>b., takmer výlučne v rámci zmien v záväzkoch zo starnutia populácie. PPP projekty, Národný jadrový fond a záväzky z Plánu obnovy kumulatívne naopak prispeli k zvýšeniu záväzkov o</w:t>
      </w:r>
      <w:r w:rsidR="00887911">
        <w:rPr>
          <w:rFonts w:eastAsia="Calibri"/>
          <w:szCs w:val="22"/>
        </w:rPr>
        <w:t> </w:t>
      </w:r>
      <w:r>
        <w:rPr>
          <w:rFonts w:eastAsia="Calibri"/>
          <w:szCs w:val="22"/>
        </w:rPr>
        <w:t>1</w:t>
      </w:r>
      <w:r w:rsidR="00887911">
        <w:rPr>
          <w:rFonts w:eastAsia="Calibri"/>
          <w:szCs w:val="22"/>
        </w:rPr>
        <w:t> </w:t>
      </w:r>
      <w:r w:rsidRPr="00733531">
        <w:rPr>
          <w:rFonts w:eastAsia="Calibri"/>
          <w:szCs w:val="22"/>
        </w:rPr>
        <w:t>p.</w:t>
      </w:r>
      <w:r w:rsidR="00887911">
        <w:rPr>
          <w:rFonts w:eastAsia="Calibri"/>
          <w:szCs w:val="22"/>
        </w:rPr>
        <w:t> </w:t>
      </w:r>
      <w:r w:rsidRPr="00733531">
        <w:rPr>
          <w:rFonts w:eastAsia="Calibri"/>
          <w:szCs w:val="22"/>
        </w:rPr>
        <w:t>b., a to na celom horizonte do roku 206</w:t>
      </w:r>
      <w:r>
        <w:rPr>
          <w:rFonts w:eastAsia="Calibri"/>
          <w:szCs w:val="22"/>
        </w:rPr>
        <w:t>7</w:t>
      </w:r>
      <w:r w:rsidRPr="00733531">
        <w:rPr>
          <w:rFonts w:eastAsia="Calibri"/>
          <w:szCs w:val="22"/>
        </w:rPr>
        <w:t>.</w:t>
      </w:r>
    </w:p>
    <w:p w14:paraId="52D820DE" w14:textId="0FDB38E9" w:rsidR="0061379D" w:rsidRDefault="0061379D" w:rsidP="00D162A9">
      <w:pPr>
        <w:pStyle w:val="Popis"/>
      </w:pPr>
      <w:r>
        <w:t xml:space="preserve">Tabuľka </w:t>
      </w:r>
      <w:r w:rsidR="00FE1BB1">
        <w:t>1</w:t>
      </w:r>
      <w:r w:rsidR="001D0F33">
        <w:t>8</w:t>
      </w:r>
      <w:r>
        <w:t xml:space="preserve"> - </w:t>
      </w:r>
      <w:r w:rsidRPr="00E537ED">
        <w:t>Odhad implicitných záväzkov za rok 2024</w:t>
      </w:r>
    </w:p>
    <w:tbl>
      <w:tblPr>
        <w:tblW w:w="9354" w:type="dxa"/>
        <w:tblCellMar>
          <w:left w:w="70" w:type="dxa"/>
          <w:right w:w="70" w:type="dxa"/>
        </w:tblCellMar>
        <w:tblLook w:val="04A0" w:firstRow="1" w:lastRow="0" w:firstColumn="1" w:lastColumn="0" w:noHBand="0" w:noVBand="1"/>
      </w:tblPr>
      <w:tblGrid>
        <w:gridCol w:w="2779"/>
        <w:gridCol w:w="67"/>
        <w:gridCol w:w="956"/>
        <w:gridCol w:w="1218"/>
        <w:gridCol w:w="948"/>
        <w:gridCol w:w="1220"/>
        <w:gridCol w:w="999"/>
        <w:gridCol w:w="1167"/>
      </w:tblGrid>
      <w:tr w:rsidR="00891A59" w:rsidRPr="00891A59" w14:paraId="13EFCAA1" w14:textId="77777777" w:rsidTr="00891A59">
        <w:trPr>
          <w:trHeight w:val="264"/>
          <w:tblHeader/>
        </w:trPr>
        <w:tc>
          <w:tcPr>
            <w:tcW w:w="2846" w:type="dxa"/>
            <w:gridSpan w:val="2"/>
            <w:tcBorders>
              <w:top w:val="single" w:sz="4" w:space="0" w:color="auto"/>
              <w:left w:val="nil"/>
              <w:bottom w:val="single" w:sz="4" w:space="0" w:color="auto"/>
              <w:right w:val="nil"/>
            </w:tcBorders>
            <w:noWrap/>
            <w:vAlign w:val="center"/>
            <w:hideMark/>
          </w:tcPr>
          <w:p w14:paraId="29E9189B" w14:textId="77777777" w:rsidR="00891A59" w:rsidRPr="00891A59" w:rsidRDefault="00891A59" w:rsidP="00891A59">
            <w:pPr>
              <w:spacing w:after="0" w:line="240" w:lineRule="auto"/>
              <w:rPr>
                <w:color w:val="000000"/>
                <w:sz w:val="18"/>
                <w:szCs w:val="16"/>
                <w:lang w:eastAsia="sk-SK"/>
              </w:rPr>
            </w:pPr>
            <w:r w:rsidRPr="00891A59">
              <w:rPr>
                <w:color w:val="000000"/>
                <w:sz w:val="18"/>
                <w:szCs w:val="16"/>
                <w:lang w:eastAsia="sk-SK"/>
              </w:rPr>
              <w:t> </w:t>
            </w:r>
          </w:p>
        </w:tc>
        <w:tc>
          <w:tcPr>
            <w:tcW w:w="2174" w:type="dxa"/>
            <w:gridSpan w:val="2"/>
            <w:tcBorders>
              <w:top w:val="single" w:sz="4" w:space="0" w:color="auto"/>
              <w:left w:val="nil"/>
              <w:bottom w:val="single" w:sz="4" w:space="0" w:color="auto"/>
              <w:right w:val="nil"/>
            </w:tcBorders>
            <w:noWrap/>
            <w:vAlign w:val="center"/>
            <w:hideMark/>
          </w:tcPr>
          <w:p w14:paraId="6E61C720" w14:textId="6BBFC99B" w:rsidR="00891A59" w:rsidRPr="00891A59" w:rsidRDefault="00891A59" w:rsidP="00891A59">
            <w:pPr>
              <w:spacing w:after="0" w:line="240" w:lineRule="auto"/>
              <w:jc w:val="center"/>
              <w:rPr>
                <w:b/>
                <w:bCs/>
                <w:color w:val="000000"/>
                <w:sz w:val="18"/>
                <w:szCs w:val="16"/>
                <w:lang w:eastAsia="sk-SK"/>
              </w:rPr>
            </w:pPr>
            <w:r w:rsidRPr="00891A59">
              <w:rPr>
                <w:b/>
                <w:bCs/>
                <w:color w:val="000000"/>
                <w:sz w:val="18"/>
                <w:szCs w:val="16"/>
                <w:lang w:eastAsia="sk-SK"/>
              </w:rPr>
              <w:t>Hodnota k 31.12.2024 </w:t>
            </w:r>
          </w:p>
        </w:tc>
        <w:tc>
          <w:tcPr>
            <w:tcW w:w="2168" w:type="dxa"/>
            <w:gridSpan w:val="2"/>
            <w:tcBorders>
              <w:top w:val="single" w:sz="4" w:space="0" w:color="auto"/>
              <w:left w:val="nil"/>
              <w:bottom w:val="single" w:sz="4" w:space="0" w:color="auto"/>
              <w:right w:val="single" w:sz="4" w:space="0" w:color="auto"/>
            </w:tcBorders>
            <w:noWrap/>
            <w:vAlign w:val="center"/>
            <w:hideMark/>
          </w:tcPr>
          <w:p w14:paraId="38210824" w14:textId="7EB463C8" w:rsidR="00891A59" w:rsidRPr="00891A59" w:rsidRDefault="00891A59" w:rsidP="00891A59">
            <w:pPr>
              <w:spacing w:after="0" w:line="240" w:lineRule="auto"/>
              <w:jc w:val="center"/>
              <w:rPr>
                <w:b/>
                <w:bCs/>
                <w:color w:val="000000"/>
                <w:sz w:val="18"/>
                <w:szCs w:val="16"/>
                <w:lang w:eastAsia="sk-SK"/>
              </w:rPr>
            </w:pPr>
            <w:r w:rsidRPr="00891A59">
              <w:rPr>
                <w:b/>
                <w:bCs/>
                <w:color w:val="000000"/>
                <w:sz w:val="18"/>
                <w:szCs w:val="16"/>
                <w:lang w:eastAsia="sk-SK"/>
              </w:rPr>
              <w:t>Hodnota k 31.12.2023</w:t>
            </w:r>
          </w:p>
        </w:tc>
        <w:tc>
          <w:tcPr>
            <w:tcW w:w="2166" w:type="dxa"/>
            <w:gridSpan w:val="2"/>
            <w:tcBorders>
              <w:top w:val="single" w:sz="4" w:space="0" w:color="auto"/>
              <w:left w:val="single" w:sz="4" w:space="0" w:color="auto"/>
              <w:bottom w:val="single" w:sz="4" w:space="0" w:color="auto"/>
              <w:right w:val="nil"/>
            </w:tcBorders>
            <w:noWrap/>
            <w:vAlign w:val="center"/>
            <w:hideMark/>
          </w:tcPr>
          <w:p w14:paraId="66422E1C" w14:textId="6249A61C" w:rsidR="00891A59" w:rsidRPr="00891A59" w:rsidRDefault="00891A59" w:rsidP="00891A59">
            <w:pPr>
              <w:spacing w:after="0" w:line="240" w:lineRule="auto"/>
              <w:jc w:val="center"/>
              <w:rPr>
                <w:b/>
                <w:bCs/>
                <w:color w:val="000000"/>
                <w:sz w:val="18"/>
                <w:szCs w:val="16"/>
                <w:lang w:eastAsia="sk-SK"/>
              </w:rPr>
            </w:pPr>
            <w:r w:rsidRPr="00891A59">
              <w:rPr>
                <w:b/>
                <w:bCs/>
                <w:color w:val="000000"/>
                <w:sz w:val="18"/>
                <w:szCs w:val="16"/>
                <w:lang w:eastAsia="sk-SK"/>
              </w:rPr>
              <w:t>Δ 2024-2023 </w:t>
            </w:r>
          </w:p>
        </w:tc>
      </w:tr>
      <w:tr w:rsidR="00891A59" w:rsidRPr="00891A59" w14:paraId="054C8B11" w14:textId="77777777" w:rsidTr="00891A59">
        <w:trPr>
          <w:trHeight w:val="264"/>
        </w:trPr>
        <w:tc>
          <w:tcPr>
            <w:tcW w:w="2846" w:type="dxa"/>
            <w:gridSpan w:val="2"/>
            <w:tcBorders>
              <w:top w:val="single" w:sz="4" w:space="0" w:color="auto"/>
              <w:left w:val="nil"/>
              <w:bottom w:val="nil"/>
              <w:right w:val="nil"/>
            </w:tcBorders>
            <w:noWrap/>
            <w:vAlign w:val="center"/>
            <w:hideMark/>
          </w:tcPr>
          <w:p w14:paraId="713D4FE3" w14:textId="77777777" w:rsidR="00891A59" w:rsidRPr="00891A59" w:rsidRDefault="00891A59" w:rsidP="00891A59">
            <w:pPr>
              <w:spacing w:after="0" w:line="240" w:lineRule="auto"/>
              <w:jc w:val="center"/>
              <w:rPr>
                <w:color w:val="000000"/>
                <w:sz w:val="16"/>
                <w:szCs w:val="16"/>
                <w:lang w:eastAsia="sk-SK"/>
              </w:rPr>
            </w:pPr>
          </w:p>
        </w:tc>
        <w:tc>
          <w:tcPr>
            <w:tcW w:w="956" w:type="dxa"/>
            <w:tcBorders>
              <w:top w:val="single" w:sz="4" w:space="0" w:color="auto"/>
              <w:left w:val="nil"/>
              <w:bottom w:val="nil"/>
              <w:right w:val="nil"/>
            </w:tcBorders>
            <w:noWrap/>
            <w:vAlign w:val="center"/>
            <w:hideMark/>
          </w:tcPr>
          <w:p w14:paraId="582EA9A8" w14:textId="5E694F04" w:rsidR="00891A59" w:rsidRPr="00891A59" w:rsidRDefault="00891A59" w:rsidP="00891A59">
            <w:pPr>
              <w:spacing w:after="0" w:line="240" w:lineRule="auto"/>
              <w:jc w:val="center"/>
              <w:rPr>
                <w:b/>
                <w:bCs/>
                <w:color w:val="000000"/>
                <w:sz w:val="16"/>
                <w:szCs w:val="16"/>
                <w:lang w:eastAsia="sk-SK"/>
              </w:rPr>
            </w:pPr>
            <w:r w:rsidRPr="00891A59">
              <w:rPr>
                <w:b/>
                <w:bCs/>
                <w:color w:val="000000"/>
                <w:sz w:val="16"/>
                <w:szCs w:val="16"/>
                <w:lang w:eastAsia="sk-SK"/>
              </w:rPr>
              <w:t>% HDP</w:t>
            </w:r>
          </w:p>
        </w:tc>
        <w:tc>
          <w:tcPr>
            <w:tcW w:w="1218" w:type="dxa"/>
            <w:tcBorders>
              <w:top w:val="single" w:sz="4" w:space="0" w:color="auto"/>
              <w:left w:val="nil"/>
              <w:bottom w:val="nil"/>
              <w:right w:val="nil"/>
            </w:tcBorders>
            <w:noWrap/>
            <w:vAlign w:val="center"/>
            <w:hideMark/>
          </w:tcPr>
          <w:p w14:paraId="112F64FB" w14:textId="43A3A827" w:rsidR="00891A59" w:rsidRPr="00891A59" w:rsidRDefault="00891A59" w:rsidP="00891A59">
            <w:pPr>
              <w:spacing w:after="0" w:line="240" w:lineRule="auto"/>
              <w:jc w:val="center"/>
              <w:rPr>
                <w:b/>
                <w:bCs/>
                <w:color w:val="000000"/>
                <w:sz w:val="16"/>
                <w:szCs w:val="16"/>
                <w:lang w:eastAsia="sk-SK"/>
              </w:rPr>
            </w:pPr>
            <w:r w:rsidRPr="00891A59">
              <w:rPr>
                <w:b/>
                <w:bCs/>
                <w:color w:val="000000"/>
                <w:sz w:val="16"/>
                <w:szCs w:val="16"/>
                <w:lang w:eastAsia="sk-SK"/>
              </w:rPr>
              <w:t>tis. eur</w:t>
            </w:r>
          </w:p>
        </w:tc>
        <w:tc>
          <w:tcPr>
            <w:tcW w:w="948" w:type="dxa"/>
            <w:tcBorders>
              <w:top w:val="single" w:sz="4" w:space="0" w:color="auto"/>
              <w:left w:val="nil"/>
              <w:bottom w:val="nil"/>
              <w:right w:val="nil"/>
            </w:tcBorders>
            <w:noWrap/>
            <w:vAlign w:val="center"/>
            <w:hideMark/>
          </w:tcPr>
          <w:p w14:paraId="6241A794" w14:textId="7EB665CA" w:rsidR="00891A59" w:rsidRPr="00891A59" w:rsidRDefault="00891A59" w:rsidP="00891A59">
            <w:pPr>
              <w:spacing w:after="0" w:line="240" w:lineRule="auto"/>
              <w:jc w:val="center"/>
              <w:rPr>
                <w:b/>
                <w:bCs/>
                <w:color w:val="000000"/>
                <w:sz w:val="16"/>
                <w:szCs w:val="16"/>
                <w:lang w:eastAsia="sk-SK"/>
              </w:rPr>
            </w:pPr>
            <w:r w:rsidRPr="00891A59">
              <w:rPr>
                <w:b/>
                <w:bCs/>
                <w:color w:val="000000"/>
                <w:sz w:val="16"/>
                <w:szCs w:val="16"/>
                <w:lang w:eastAsia="sk-SK"/>
              </w:rPr>
              <w:t>% HDP</w:t>
            </w:r>
          </w:p>
        </w:tc>
        <w:tc>
          <w:tcPr>
            <w:tcW w:w="1220" w:type="dxa"/>
            <w:tcBorders>
              <w:top w:val="single" w:sz="4" w:space="0" w:color="auto"/>
              <w:left w:val="nil"/>
              <w:bottom w:val="nil"/>
              <w:right w:val="single" w:sz="4" w:space="0" w:color="auto"/>
            </w:tcBorders>
            <w:noWrap/>
            <w:vAlign w:val="center"/>
            <w:hideMark/>
          </w:tcPr>
          <w:p w14:paraId="0BC6D407" w14:textId="67E81E57" w:rsidR="00891A59" w:rsidRPr="00891A59" w:rsidRDefault="00891A59" w:rsidP="00891A59">
            <w:pPr>
              <w:spacing w:after="0" w:line="240" w:lineRule="auto"/>
              <w:jc w:val="center"/>
              <w:rPr>
                <w:b/>
                <w:bCs/>
                <w:color w:val="000000"/>
                <w:sz w:val="16"/>
                <w:szCs w:val="16"/>
                <w:lang w:eastAsia="sk-SK"/>
              </w:rPr>
            </w:pPr>
            <w:r w:rsidRPr="00891A59">
              <w:rPr>
                <w:b/>
                <w:bCs/>
                <w:color w:val="000000"/>
                <w:sz w:val="16"/>
                <w:szCs w:val="16"/>
                <w:lang w:eastAsia="sk-SK"/>
              </w:rPr>
              <w:t>tis. eur</w:t>
            </w:r>
          </w:p>
        </w:tc>
        <w:tc>
          <w:tcPr>
            <w:tcW w:w="999" w:type="dxa"/>
            <w:tcBorders>
              <w:top w:val="single" w:sz="4" w:space="0" w:color="auto"/>
              <w:left w:val="single" w:sz="4" w:space="0" w:color="auto"/>
              <w:bottom w:val="nil"/>
              <w:right w:val="nil"/>
            </w:tcBorders>
            <w:noWrap/>
            <w:vAlign w:val="center"/>
            <w:hideMark/>
          </w:tcPr>
          <w:p w14:paraId="65C0BC4D" w14:textId="231AEAC7" w:rsidR="00891A59" w:rsidRPr="00891A59" w:rsidRDefault="00891A59" w:rsidP="00891A59">
            <w:pPr>
              <w:spacing w:after="0" w:line="240" w:lineRule="auto"/>
              <w:jc w:val="center"/>
              <w:rPr>
                <w:b/>
                <w:bCs/>
                <w:color w:val="000000"/>
                <w:sz w:val="16"/>
                <w:szCs w:val="16"/>
                <w:lang w:eastAsia="sk-SK"/>
              </w:rPr>
            </w:pPr>
            <w:r w:rsidRPr="00891A59">
              <w:rPr>
                <w:b/>
                <w:bCs/>
                <w:color w:val="000000"/>
                <w:sz w:val="16"/>
                <w:szCs w:val="16"/>
                <w:lang w:eastAsia="sk-SK"/>
              </w:rPr>
              <w:t>p.</w:t>
            </w:r>
            <w:r w:rsidR="00887911">
              <w:rPr>
                <w:b/>
                <w:bCs/>
                <w:color w:val="000000"/>
                <w:sz w:val="16"/>
                <w:szCs w:val="16"/>
                <w:lang w:eastAsia="sk-SK"/>
              </w:rPr>
              <w:t> </w:t>
            </w:r>
            <w:r w:rsidRPr="00891A59">
              <w:rPr>
                <w:b/>
                <w:bCs/>
                <w:color w:val="000000"/>
                <w:sz w:val="16"/>
                <w:szCs w:val="16"/>
                <w:lang w:eastAsia="sk-SK"/>
              </w:rPr>
              <w:t>b.</w:t>
            </w:r>
          </w:p>
        </w:tc>
        <w:tc>
          <w:tcPr>
            <w:tcW w:w="1167" w:type="dxa"/>
            <w:tcBorders>
              <w:top w:val="single" w:sz="4" w:space="0" w:color="auto"/>
              <w:left w:val="nil"/>
              <w:bottom w:val="nil"/>
              <w:right w:val="nil"/>
            </w:tcBorders>
            <w:noWrap/>
            <w:vAlign w:val="center"/>
            <w:hideMark/>
          </w:tcPr>
          <w:p w14:paraId="2E04B2CF" w14:textId="43BA48A2" w:rsidR="00891A59" w:rsidRPr="00891A59" w:rsidRDefault="00891A59" w:rsidP="00891A59">
            <w:pPr>
              <w:spacing w:after="0" w:line="240" w:lineRule="auto"/>
              <w:jc w:val="center"/>
              <w:rPr>
                <w:b/>
                <w:bCs/>
                <w:color w:val="000000"/>
                <w:sz w:val="16"/>
                <w:szCs w:val="16"/>
                <w:lang w:eastAsia="sk-SK"/>
              </w:rPr>
            </w:pPr>
            <w:r w:rsidRPr="00891A59">
              <w:rPr>
                <w:b/>
                <w:bCs/>
                <w:color w:val="000000"/>
                <w:sz w:val="16"/>
                <w:szCs w:val="16"/>
                <w:lang w:eastAsia="sk-SK"/>
              </w:rPr>
              <w:t>tis. eur</w:t>
            </w:r>
          </w:p>
        </w:tc>
      </w:tr>
      <w:tr w:rsidR="00891A59" w:rsidRPr="00891A59" w14:paraId="44B3CADC" w14:textId="77777777" w:rsidTr="00891A59">
        <w:trPr>
          <w:trHeight w:val="264"/>
        </w:trPr>
        <w:tc>
          <w:tcPr>
            <w:tcW w:w="2779" w:type="dxa"/>
            <w:tcBorders>
              <w:top w:val="nil"/>
              <w:left w:val="nil"/>
              <w:bottom w:val="nil"/>
              <w:right w:val="nil"/>
            </w:tcBorders>
            <w:noWrap/>
            <w:vAlign w:val="center"/>
            <w:hideMark/>
          </w:tcPr>
          <w:p w14:paraId="647FB2D0" w14:textId="679A96CA" w:rsidR="00891A59" w:rsidRPr="00891A59" w:rsidRDefault="00891A59" w:rsidP="00891A59">
            <w:pPr>
              <w:spacing w:after="0" w:line="240" w:lineRule="auto"/>
              <w:rPr>
                <w:b/>
                <w:bCs/>
                <w:color w:val="000000"/>
                <w:sz w:val="18"/>
                <w:szCs w:val="18"/>
                <w:lang w:eastAsia="sk-SK"/>
              </w:rPr>
            </w:pPr>
            <w:r w:rsidRPr="00891A59">
              <w:rPr>
                <w:b/>
                <w:bCs/>
                <w:color w:val="000000"/>
                <w:sz w:val="18"/>
                <w:szCs w:val="18"/>
                <w:lang w:eastAsia="sk-SK"/>
              </w:rPr>
              <w:t>Starnutie obyvateľstva</w:t>
            </w:r>
          </w:p>
        </w:tc>
        <w:tc>
          <w:tcPr>
            <w:tcW w:w="1023" w:type="dxa"/>
            <w:gridSpan w:val="2"/>
            <w:tcBorders>
              <w:top w:val="nil"/>
              <w:left w:val="nil"/>
              <w:bottom w:val="nil"/>
              <w:right w:val="nil"/>
            </w:tcBorders>
            <w:noWrap/>
            <w:vAlign w:val="center"/>
          </w:tcPr>
          <w:p w14:paraId="11FBB2C7" w14:textId="458B2D74" w:rsidR="00891A59" w:rsidRPr="00891A59" w:rsidRDefault="00891A59" w:rsidP="00891A59">
            <w:pPr>
              <w:spacing w:after="0" w:line="240" w:lineRule="auto"/>
              <w:jc w:val="right"/>
              <w:rPr>
                <w:b/>
                <w:sz w:val="18"/>
                <w:szCs w:val="18"/>
              </w:rPr>
            </w:pPr>
            <w:r w:rsidRPr="00891A59">
              <w:rPr>
                <w:b/>
                <w:bCs/>
                <w:color w:val="000000"/>
                <w:sz w:val="18"/>
                <w:szCs w:val="18"/>
              </w:rPr>
              <w:t>-150,9%</w:t>
            </w:r>
          </w:p>
        </w:tc>
        <w:tc>
          <w:tcPr>
            <w:tcW w:w="1218" w:type="dxa"/>
            <w:tcBorders>
              <w:top w:val="nil"/>
              <w:left w:val="nil"/>
              <w:bottom w:val="nil"/>
              <w:right w:val="nil"/>
            </w:tcBorders>
            <w:noWrap/>
            <w:vAlign w:val="center"/>
          </w:tcPr>
          <w:p w14:paraId="00062E46" w14:textId="6018CB39" w:rsidR="00891A59" w:rsidRPr="00891A59" w:rsidRDefault="00891A59" w:rsidP="00891A59">
            <w:pPr>
              <w:spacing w:after="0" w:line="240" w:lineRule="auto"/>
              <w:jc w:val="right"/>
              <w:rPr>
                <w:b/>
                <w:sz w:val="18"/>
                <w:szCs w:val="18"/>
              </w:rPr>
            </w:pPr>
            <w:r w:rsidRPr="00891A59">
              <w:rPr>
                <w:b/>
                <w:bCs/>
                <w:color w:val="000000"/>
                <w:sz w:val="18"/>
                <w:szCs w:val="18"/>
              </w:rPr>
              <w:t>-197 688 176</w:t>
            </w:r>
          </w:p>
        </w:tc>
        <w:tc>
          <w:tcPr>
            <w:tcW w:w="948" w:type="dxa"/>
            <w:tcBorders>
              <w:top w:val="nil"/>
              <w:left w:val="nil"/>
              <w:bottom w:val="nil"/>
              <w:right w:val="nil"/>
            </w:tcBorders>
            <w:noWrap/>
            <w:vAlign w:val="center"/>
            <w:hideMark/>
          </w:tcPr>
          <w:p w14:paraId="0829ECD4" w14:textId="58D2B877" w:rsidR="00891A59" w:rsidRPr="00891A59" w:rsidRDefault="00891A59" w:rsidP="00891A59">
            <w:pPr>
              <w:spacing w:after="0" w:line="240" w:lineRule="auto"/>
              <w:jc w:val="right"/>
              <w:rPr>
                <w:b/>
                <w:sz w:val="18"/>
                <w:szCs w:val="18"/>
              </w:rPr>
            </w:pPr>
            <w:r w:rsidRPr="00891A59">
              <w:rPr>
                <w:b/>
                <w:bCs/>
                <w:color w:val="000000"/>
                <w:sz w:val="18"/>
                <w:szCs w:val="18"/>
              </w:rPr>
              <w:t>-158,9%</w:t>
            </w:r>
          </w:p>
        </w:tc>
        <w:tc>
          <w:tcPr>
            <w:tcW w:w="1220" w:type="dxa"/>
            <w:tcBorders>
              <w:top w:val="nil"/>
              <w:left w:val="nil"/>
              <w:bottom w:val="nil"/>
              <w:right w:val="single" w:sz="4" w:space="0" w:color="auto"/>
            </w:tcBorders>
            <w:noWrap/>
            <w:vAlign w:val="center"/>
            <w:hideMark/>
          </w:tcPr>
          <w:p w14:paraId="4B6F39BD" w14:textId="1BB8A0DC" w:rsidR="00891A59" w:rsidRPr="00891A59" w:rsidRDefault="00891A59" w:rsidP="00891A59">
            <w:pPr>
              <w:spacing w:after="0" w:line="240" w:lineRule="auto"/>
              <w:jc w:val="right"/>
              <w:rPr>
                <w:b/>
                <w:sz w:val="18"/>
                <w:szCs w:val="18"/>
              </w:rPr>
            </w:pPr>
            <w:r w:rsidRPr="00891A59">
              <w:rPr>
                <w:b/>
                <w:bCs/>
                <w:color w:val="000000"/>
                <w:sz w:val="18"/>
                <w:szCs w:val="18"/>
              </w:rPr>
              <w:t>-195 176 915</w:t>
            </w:r>
          </w:p>
        </w:tc>
        <w:tc>
          <w:tcPr>
            <w:tcW w:w="999" w:type="dxa"/>
            <w:tcBorders>
              <w:top w:val="nil"/>
              <w:left w:val="single" w:sz="4" w:space="0" w:color="auto"/>
              <w:bottom w:val="nil"/>
              <w:right w:val="nil"/>
            </w:tcBorders>
            <w:noWrap/>
            <w:vAlign w:val="center"/>
            <w:hideMark/>
          </w:tcPr>
          <w:p w14:paraId="0506DC0D" w14:textId="3489B576" w:rsidR="00891A59" w:rsidRPr="00891A59" w:rsidRDefault="00891A59" w:rsidP="00891A59">
            <w:pPr>
              <w:spacing w:after="0" w:line="240" w:lineRule="auto"/>
              <w:jc w:val="center"/>
              <w:rPr>
                <w:b/>
                <w:sz w:val="18"/>
                <w:szCs w:val="18"/>
              </w:rPr>
            </w:pPr>
            <w:r w:rsidRPr="00891A59">
              <w:rPr>
                <w:b/>
                <w:bCs/>
                <w:color w:val="000000"/>
                <w:sz w:val="18"/>
                <w:szCs w:val="18"/>
              </w:rPr>
              <w:t>8,0%</w:t>
            </w:r>
          </w:p>
        </w:tc>
        <w:tc>
          <w:tcPr>
            <w:tcW w:w="1167" w:type="dxa"/>
            <w:tcBorders>
              <w:top w:val="nil"/>
              <w:left w:val="nil"/>
              <w:bottom w:val="nil"/>
              <w:right w:val="nil"/>
            </w:tcBorders>
            <w:noWrap/>
            <w:vAlign w:val="center"/>
            <w:hideMark/>
          </w:tcPr>
          <w:p w14:paraId="73349E8F" w14:textId="6FFC3B48" w:rsidR="00891A59" w:rsidRPr="00891A59" w:rsidRDefault="00891A59" w:rsidP="00891A59">
            <w:pPr>
              <w:spacing w:after="0" w:line="240" w:lineRule="auto"/>
              <w:jc w:val="right"/>
              <w:rPr>
                <w:b/>
                <w:sz w:val="18"/>
                <w:szCs w:val="18"/>
              </w:rPr>
            </w:pPr>
            <w:r w:rsidRPr="00891A59">
              <w:rPr>
                <w:b/>
                <w:bCs/>
                <w:color w:val="000000"/>
                <w:sz w:val="18"/>
                <w:szCs w:val="18"/>
              </w:rPr>
              <w:t>-2 511 260</w:t>
            </w:r>
          </w:p>
        </w:tc>
      </w:tr>
      <w:tr w:rsidR="00891A59" w:rsidRPr="00891A59" w14:paraId="56C37705" w14:textId="77777777" w:rsidTr="00891A59">
        <w:trPr>
          <w:trHeight w:val="264"/>
        </w:trPr>
        <w:tc>
          <w:tcPr>
            <w:tcW w:w="2846" w:type="dxa"/>
            <w:gridSpan w:val="2"/>
            <w:tcBorders>
              <w:top w:val="nil"/>
              <w:left w:val="nil"/>
              <w:bottom w:val="nil"/>
              <w:right w:val="nil"/>
            </w:tcBorders>
            <w:noWrap/>
            <w:vAlign w:val="center"/>
            <w:hideMark/>
          </w:tcPr>
          <w:p w14:paraId="407A3DF4" w14:textId="220CCA59" w:rsidR="00891A59" w:rsidRPr="00891A59" w:rsidRDefault="00891A59" w:rsidP="00891A59">
            <w:pPr>
              <w:spacing w:after="0" w:line="240" w:lineRule="auto"/>
              <w:ind w:firstLineChars="100" w:firstLine="180"/>
              <w:rPr>
                <w:color w:val="000000"/>
                <w:sz w:val="18"/>
                <w:szCs w:val="18"/>
                <w:lang w:eastAsia="sk-SK"/>
              </w:rPr>
            </w:pPr>
            <w:r w:rsidRPr="00891A59">
              <w:rPr>
                <w:color w:val="000000"/>
                <w:sz w:val="18"/>
                <w:szCs w:val="18"/>
                <w:lang w:eastAsia="sk-SK"/>
              </w:rPr>
              <w:t xml:space="preserve"> - dôchodkový systém</w:t>
            </w:r>
          </w:p>
        </w:tc>
        <w:tc>
          <w:tcPr>
            <w:tcW w:w="956" w:type="dxa"/>
            <w:tcBorders>
              <w:top w:val="nil"/>
              <w:left w:val="nil"/>
              <w:bottom w:val="nil"/>
              <w:right w:val="nil"/>
            </w:tcBorders>
            <w:noWrap/>
            <w:vAlign w:val="center"/>
          </w:tcPr>
          <w:p w14:paraId="2CA77FED" w14:textId="38B5A13C" w:rsidR="00891A59" w:rsidRPr="00891A59" w:rsidRDefault="00891A59" w:rsidP="00891A59">
            <w:pPr>
              <w:spacing w:after="0" w:line="240" w:lineRule="auto"/>
              <w:jc w:val="right"/>
              <w:rPr>
                <w:color w:val="000000"/>
                <w:sz w:val="18"/>
                <w:szCs w:val="20"/>
              </w:rPr>
            </w:pPr>
            <w:r w:rsidRPr="00891A59">
              <w:rPr>
                <w:color w:val="000000"/>
                <w:sz w:val="18"/>
                <w:szCs w:val="18"/>
              </w:rPr>
              <w:t>-80,0%</w:t>
            </w:r>
          </w:p>
        </w:tc>
        <w:tc>
          <w:tcPr>
            <w:tcW w:w="1218" w:type="dxa"/>
            <w:tcBorders>
              <w:top w:val="nil"/>
              <w:left w:val="nil"/>
              <w:bottom w:val="nil"/>
              <w:right w:val="nil"/>
            </w:tcBorders>
            <w:noWrap/>
            <w:vAlign w:val="center"/>
          </w:tcPr>
          <w:p w14:paraId="30E3691C" w14:textId="6F00912B" w:rsidR="00891A59" w:rsidRPr="00891A59" w:rsidRDefault="00891A59" w:rsidP="00891A59">
            <w:pPr>
              <w:spacing w:after="0" w:line="240" w:lineRule="auto"/>
              <w:jc w:val="right"/>
              <w:rPr>
                <w:color w:val="000000"/>
                <w:sz w:val="18"/>
                <w:szCs w:val="20"/>
              </w:rPr>
            </w:pPr>
            <w:r w:rsidRPr="00891A59">
              <w:rPr>
                <w:color w:val="000000"/>
                <w:sz w:val="18"/>
                <w:szCs w:val="18"/>
              </w:rPr>
              <w:t>-104 737 955</w:t>
            </w:r>
          </w:p>
        </w:tc>
        <w:tc>
          <w:tcPr>
            <w:tcW w:w="948" w:type="dxa"/>
            <w:tcBorders>
              <w:top w:val="nil"/>
              <w:left w:val="nil"/>
              <w:bottom w:val="nil"/>
              <w:right w:val="nil"/>
            </w:tcBorders>
            <w:noWrap/>
            <w:vAlign w:val="center"/>
            <w:hideMark/>
          </w:tcPr>
          <w:p w14:paraId="1F4431FD" w14:textId="115126B7" w:rsidR="00891A59" w:rsidRPr="00891A59" w:rsidRDefault="00891A59" w:rsidP="00891A59">
            <w:pPr>
              <w:spacing w:after="0" w:line="240" w:lineRule="auto"/>
              <w:jc w:val="right"/>
              <w:rPr>
                <w:sz w:val="18"/>
                <w:szCs w:val="18"/>
              </w:rPr>
            </w:pPr>
            <w:r w:rsidRPr="00891A59">
              <w:rPr>
                <w:color w:val="000000"/>
                <w:sz w:val="18"/>
                <w:szCs w:val="18"/>
              </w:rPr>
              <w:t>-88,0%</w:t>
            </w:r>
          </w:p>
        </w:tc>
        <w:tc>
          <w:tcPr>
            <w:tcW w:w="1220" w:type="dxa"/>
            <w:tcBorders>
              <w:top w:val="nil"/>
              <w:left w:val="nil"/>
              <w:bottom w:val="nil"/>
              <w:right w:val="single" w:sz="4" w:space="0" w:color="auto"/>
            </w:tcBorders>
            <w:noWrap/>
            <w:vAlign w:val="center"/>
            <w:hideMark/>
          </w:tcPr>
          <w:p w14:paraId="163E7015" w14:textId="4B8DA5DF" w:rsidR="00891A59" w:rsidRPr="00891A59" w:rsidRDefault="00891A59" w:rsidP="00891A59">
            <w:pPr>
              <w:spacing w:after="0" w:line="240" w:lineRule="auto"/>
              <w:jc w:val="right"/>
              <w:rPr>
                <w:sz w:val="18"/>
                <w:szCs w:val="18"/>
              </w:rPr>
            </w:pPr>
            <w:r w:rsidRPr="00891A59">
              <w:rPr>
                <w:color w:val="000000"/>
                <w:sz w:val="18"/>
                <w:szCs w:val="18"/>
              </w:rPr>
              <w:t>-108 015 570</w:t>
            </w:r>
          </w:p>
        </w:tc>
        <w:tc>
          <w:tcPr>
            <w:tcW w:w="999" w:type="dxa"/>
            <w:tcBorders>
              <w:top w:val="nil"/>
              <w:left w:val="single" w:sz="4" w:space="0" w:color="auto"/>
              <w:bottom w:val="nil"/>
              <w:right w:val="nil"/>
            </w:tcBorders>
            <w:noWrap/>
            <w:vAlign w:val="center"/>
            <w:hideMark/>
          </w:tcPr>
          <w:p w14:paraId="745E9FCE" w14:textId="588084D9" w:rsidR="00891A59" w:rsidRPr="00891A59" w:rsidRDefault="00891A59" w:rsidP="00891A59">
            <w:pPr>
              <w:spacing w:after="0" w:line="240" w:lineRule="auto"/>
              <w:jc w:val="center"/>
              <w:rPr>
                <w:color w:val="000000"/>
                <w:sz w:val="18"/>
                <w:szCs w:val="20"/>
              </w:rPr>
            </w:pPr>
            <w:r w:rsidRPr="00891A59">
              <w:rPr>
                <w:color w:val="000000"/>
                <w:sz w:val="18"/>
                <w:szCs w:val="18"/>
              </w:rPr>
              <w:t>8,0%</w:t>
            </w:r>
          </w:p>
        </w:tc>
        <w:tc>
          <w:tcPr>
            <w:tcW w:w="1167" w:type="dxa"/>
            <w:tcBorders>
              <w:top w:val="nil"/>
              <w:left w:val="nil"/>
              <w:bottom w:val="nil"/>
              <w:right w:val="nil"/>
            </w:tcBorders>
            <w:noWrap/>
            <w:vAlign w:val="center"/>
            <w:hideMark/>
          </w:tcPr>
          <w:p w14:paraId="6D259B4B" w14:textId="157AADE9" w:rsidR="00891A59" w:rsidRPr="00891A59" w:rsidRDefault="00891A59" w:rsidP="00891A59">
            <w:pPr>
              <w:spacing w:after="0" w:line="240" w:lineRule="auto"/>
              <w:jc w:val="right"/>
              <w:rPr>
                <w:color w:val="000000"/>
                <w:sz w:val="18"/>
                <w:szCs w:val="20"/>
              </w:rPr>
            </w:pPr>
            <w:r w:rsidRPr="00891A59">
              <w:rPr>
                <w:color w:val="000000"/>
                <w:sz w:val="18"/>
                <w:szCs w:val="18"/>
              </w:rPr>
              <w:t>3 277 615</w:t>
            </w:r>
          </w:p>
        </w:tc>
      </w:tr>
      <w:tr w:rsidR="00891A59" w:rsidRPr="00891A59" w14:paraId="51C9137E" w14:textId="77777777" w:rsidTr="00891A59">
        <w:trPr>
          <w:trHeight w:val="264"/>
        </w:trPr>
        <w:tc>
          <w:tcPr>
            <w:tcW w:w="2846" w:type="dxa"/>
            <w:gridSpan w:val="2"/>
            <w:tcBorders>
              <w:top w:val="nil"/>
              <w:left w:val="nil"/>
              <w:bottom w:val="nil"/>
              <w:right w:val="nil"/>
            </w:tcBorders>
            <w:noWrap/>
            <w:vAlign w:val="center"/>
            <w:hideMark/>
          </w:tcPr>
          <w:p w14:paraId="23B9CE83" w14:textId="673FC5C6" w:rsidR="00891A59" w:rsidRPr="00891A59" w:rsidRDefault="00891A59" w:rsidP="00891A59">
            <w:pPr>
              <w:spacing w:after="0" w:line="240" w:lineRule="auto"/>
              <w:ind w:firstLineChars="100" w:firstLine="180"/>
              <w:rPr>
                <w:color w:val="000000"/>
                <w:sz w:val="18"/>
                <w:szCs w:val="18"/>
                <w:lang w:eastAsia="sk-SK"/>
              </w:rPr>
            </w:pPr>
            <w:r w:rsidRPr="00891A59">
              <w:rPr>
                <w:color w:val="000000"/>
                <w:sz w:val="18"/>
                <w:szCs w:val="18"/>
                <w:lang w:eastAsia="sk-SK"/>
              </w:rPr>
              <w:t xml:space="preserve"> - zdravotníctvo</w:t>
            </w:r>
          </w:p>
        </w:tc>
        <w:tc>
          <w:tcPr>
            <w:tcW w:w="956" w:type="dxa"/>
            <w:tcBorders>
              <w:top w:val="nil"/>
              <w:left w:val="nil"/>
              <w:bottom w:val="nil"/>
              <w:right w:val="nil"/>
            </w:tcBorders>
            <w:noWrap/>
            <w:vAlign w:val="center"/>
          </w:tcPr>
          <w:p w14:paraId="2A344D4F" w14:textId="6B6A0364" w:rsidR="00891A59" w:rsidRPr="00891A59" w:rsidRDefault="00891A59" w:rsidP="00891A59">
            <w:pPr>
              <w:spacing w:after="0" w:line="240" w:lineRule="auto"/>
              <w:jc w:val="right"/>
              <w:rPr>
                <w:color w:val="000000"/>
                <w:sz w:val="18"/>
                <w:szCs w:val="20"/>
              </w:rPr>
            </w:pPr>
            <w:r w:rsidRPr="00891A59">
              <w:rPr>
                <w:color w:val="000000"/>
                <w:sz w:val="18"/>
                <w:szCs w:val="18"/>
              </w:rPr>
              <w:t>-33,6%</w:t>
            </w:r>
          </w:p>
        </w:tc>
        <w:tc>
          <w:tcPr>
            <w:tcW w:w="1218" w:type="dxa"/>
            <w:tcBorders>
              <w:top w:val="nil"/>
              <w:left w:val="nil"/>
              <w:bottom w:val="nil"/>
              <w:right w:val="nil"/>
            </w:tcBorders>
            <w:noWrap/>
            <w:vAlign w:val="center"/>
          </w:tcPr>
          <w:p w14:paraId="3386A1BF" w14:textId="6E58D181" w:rsidR="00891A59" w:rsidRPr="00891A59" w:rsidRDefault="00891A59" w:rsidP="00891A59">
            <w:pPr>
              <w:spacing w:after="0" w:line="240" w:lineRule="auto"/>
              <w:jc w:val="right"/>
              <w:rPr>
                <w:color w:val="000000"/>
                <w:sz w:val="18"/>
                <w:szCs w:val="20"/>
              </w:rPr>
            </w:pPr>
            <w:r w:rsidRPr="00891A59">
              <w:rPr>
                <w:color w:val="000000"/>
                <w:sz w:val="18"/>
                <w:szCs w:val="18"/>
              </w:rPr>
              <w:t>-44 031 906</w:t>
            </w:r>
          </w:p>
        </w:tc>
        <w:tc>
          <w:tcPr>
            <w:tcW w:w="948" w:type="dxa"/>
            <w:tcBorders>
              <w:top w:val="nil"/>
              <w:left w:val="nil"/>
              <w:bottom w:val="nil"/>
              <w:right w:val="nil"/>
            </w:tcBorders>
            <w:noWrap/>
            <w:vAlign w:val="center"/>
            <w:hideMark/>
          </w:tcPr>
          <w:p w14:paraId="4EF7F241" w14:textId="628D3083" w:rsidR="00891A59" w:rsidRPr="00891A59" w:rsidRDefault="00891A59" w:rsidP="00891A59">
            <w:pPr>
              <w:spacing w:after="0" w:line="240" w:lineRule="auto"/>
              <w:jc w:val="right"/>
              <w:rPr>
                <w:sz w:val="18"/>
                <w:szCs w:val="18"/>
              </w:rPr>
            </w:pPr>
            <w:r w:rsidRPr="00891A59">
              <w:rPr>
                <w:color w:val="000000"/>
                <w:sz w:val="18"/>
                <w:szCs w:val="18"/>
              </w:rPr>
              <w:t>-35,7%</w:t>
            </w:r>
          </w:p>
        </w:tc>
        <w:tc>
          <w:tcPr>
            <w:tcW w:w="1220" w:type="dxa"/>
            <w:tcBorders>
              <w:top w:val="nil"/>
              <w:left w:val="nil"/>
              <w:bottom w:val="nil"/>
              <w:right w:val="single" w:sz="4" w:space="0" w:color="auto"/>
            </w:tcBorders>
            <w:noWrap/>
            <w:vAlign w:val="center"/>
            <w:hideMark/>
          </w:tcPr>
          <w:p w14:paraId="19158799" w14:textId="3728B91B" w:rsidR="00891A59" w:rsidRPr="00891A59" w:rsidRDefault="00891A59" w:rsidP="00891A59">
            <w:pPr>
              <w:spacing w:after="0" w:line="240" w:lineRule="auto"/>
              <w:jc w:val="right"/>
              <w:rPr>
                <w:sz w:val="18"/>
                <w:szCs w:val="18"/>
              </w:rPr>
            </w:pPr>
            <w:r w:rsidRPr="00891A59">
              <w:rPr>
                <w:color w:val="000000"/>
                <w:sz w:val="18"/>
                <w:szCs w:val="18"/>
              </w:rPr>
              <w:t>-43 810 723</w:t>
            </w:r>
          </w:p>
        </w:tc>
        <w:tc>
          <w:tcPr>
            <w:tcW w:w="999" w:type="dxa"/>
            <w:tcBorders>
              <w:top w:val="nil"/>
              <w:left w:val="single" w:sz="4" w:space="0" w:color="auto"/>
              <w:bottom w:val="nil"/>
              <w:right w:val="nil"/>
            </w:tcBorders>
            <w:noWrap/>
            <w:vAlign w:val="center"/>
            <w:hideMark/>
          </w:tcPr>
          <w:p w14:paraId="69FFC635" w14:textId="577F135D" w:rsidR="00891A59" w:rsidRPr="00891A59" w:rsidRDefault="00891A59" w:rsidP="00891A59">
            <w:pPr>
              <w:spacing w:after="0" w:line="240" w:lineRule="auto"/>
              <w:jc w:val="center"/>
              <w:rPr>
                <w:color w:val="000000"/>
                <w:sz w:val="18"/>
                <w:szCs w:val="20"/>
              </w:rPr>
            </w:pPr>
            <w:r w:rsidRPr="00891A59">
              <w:rPr>
                <w:color w:val="000000"/>
                <w:sz w:val="18"/>
                <w:szCs w:val="18"/>
              </w:rPr>
              <w:t>2,1%</w:t>
            </w:r>
          </w:p>
        </w:tc>
        <w:tc>
          <w:tcPr>
            <w:tcW w:w="1167" w:type="dxa"/>
            <w:tcBorders>
              <w:top w:val="nil"/>
              <w:left w:val="nil"/>
              <w:bottom w:val="nil"/>
              <w:right w:val="nil"/>
            </w:tcBorders>
            <w:noWrap/>
            <w:vAlign w:val="center"/>
            <w:hideMark/>
          </w:tcPr>
          <w:p w14:paraId="1463BFFD" w14:textId="22F228B7" w:rsidR="00891A59" w:rsidRPr="00891A59" w:rsidRDefault="00891A59" w:rsidP="00891A59">
            <w:pPr>
              <w:spacing w:after="0" w:line="240" w:lineRule="auto"/>
              <w:jc w:val="right"/>
              <w:rPr>
                <w:color w:val="000000"/>
                <w:sz w:val="18"/>
                <w:szCs w:val="20"/>
              </w:rPr>
            </w:pPr>
            <w:r w:rsidRPr="00891A59">
              <w:rPr>
                <w:color w:val="000000"/>
                <w:sz w:val="18"/>
                <w:szCs w:val="18"/>
              </w:rPr>
              <w:t>-221 183</w:t>
            </w:r>
          </w:p>
        </w:tc>
      </w:tr>
      <w:tr w:rsidR="00891A59" w:rsidRPr="00891A59" w14:paraId="4E3F9F62" w14:textId="77777777" w:rsidTr="00891A59">
        <w:trPr>
          <w:trHeight w:val="264"/>
        </w:trPr>
        <w:tc>
          <w:tcPr>
            <w:tcW w:w="2846" w:type="dxa"/>
            <w:gridSpan w:val="2"/>
            <w:tcBorders>
              <w:top w:val="nil"/>
              <w:left w:val="nil"/>
              <w:bottom w:val="nil"/>
              <w:right w:val="nil"/>
            </w:tcBorders>
            <w:noWrap/>
            <w:vAlign w:val="center"/>
            <w:hideMark/>
          </w:tcPr>
          <w:p w14:paraId="29FDA6A9" w14:textId="003B6ED2" w:rsidR="00891A59" w:rsidRPr="00891A59" w:rsidRDefault="00891A59" w:rsidP="00891A59">
            <w:pPr>
              <w:spacing w:after="0" w:line="240" w:lineRule="auto"/>
              <w:ind w:firstLineChars="100" w:firstLine="180"/>
              <w:rPr>
                <w:color w:val="000000"/>
                <w:sz w:val="18"/>
                <w:szCs w:val="18"/>
                <w:lang w:eastAsia="sk-SK"/>
              </w:rPr>
            </w:pPr>
            <w:r w:rsidRPr="00891A59">
              <w:rPr>
                <w:color w:val="000000"/>
                <w:sz w:val="18"/>
                <w:szCs w:val="18"/>
                <w:lang w:eastAsia="sk-SK"/>
              </w:rPr>
              <w:t xml:space="preserve"> - dlhodobá starostlivosť</w:t>
            </w:r>
          </w:p>
        </w:tc>
        <w:tc>
          <w:tcPr>
            <w:tcW w:w="956" w:type="dxa"/>
            <w:tcBorders>
              <w:top w:val="nil"/>
              <w:left w:val="nil"/>
              <w:bottom w:val="nil"/>
              <w:right w:val="nil"/>
            </w:tcBorders>
            <w:noWrap/>
            <w:vAlign w:val="center"/>
          </w:tcPr>
          <w:p w14:paraId="02EF6BBA" w14:textId="2B9C352D" w:rsidR="00891A59" w:rsidRPr="00891A59" w:rsidRDefault="00891A59" w:rsidP="00891A59">
            <w:pPr>
              <w:spacing w:after="0" w:line="240" w:lineRule="auto"/>
              <w:jc w:val="right"/>
              <w:rPr>
                <w:color w:val="000000"/>
                <w:sz w:val="18"/>
                <w:szCs w:val="20"/>
              </w:rPr>
            </w:pPr>
            <w:r w:rsidRPr="00891A59">
              <w:rPr>
                <w:color w:val="000000"/>
                <w:sz w:val="18"/>
                <w:szCs w:val="18"/>
              </w:rPr>
              <w:t>-29,3%</w:t>
            </w:r>
          </w:p>
        </w:tc>
        <w:tc>
          <w:tcPr>
            <w:tcW w:w="1218" w:type="dxa"/>
            <w:tcBorders>
              <w:top w:val="nil"/>
              <w:left w:val="nil"/>
              <w:bottom w:val="nil"/>
              <w:right w:val="nil"/>
            </w:tcBorders>
            <w:noWrap/>
            <w:vAlign w:val="center"/>
          </w:tcPr>
          <w:p w14:paraId="3604793D" w14:textId="74A54F59" w:rsidR="00891A59" w:rsidRPr="00891A59" w:rsidRDefault="00891A59" w:rsidP="00891A59">
            <w:pPr>
              <w:spacing w:after="0" w:line="240" w:lineRule="auto"/>
              <w:jc w:val="right"/>
              <w:rPr>
                <w:color w:val="000000"/>
                <w:sz w:val="18"/>
                <w:szCs w:val="20"/>
              </w:rPr>
            </w:pPr>
            <w:r w:rsidRPr="00891A59">
              <w:rPr>
                <w:color w:val="000000"/>
                <w:sz w:val="18"/>
                <w:szCs w:val="18"/>
              </w:rPr>
              <w:t>-38 364 660</w:t>
            </w:r>
          </w:p>
        </w:tc>
        <w:tc>
          <w:tcPr>
            <w:tcW w:w="948" w:type="dxa"/>
            <w:tcBorders>
              <w:top w:val="nil"/>
              <w:left w:val="nil"/>
              <w:bottom w:val="nil"/>
              <w:right w:val="nil"/>
            </w:tcBorders>
            <w:noWrap/>
            <w:vAlign w:val="center"/>
            <w:hideMark/>
          </w:tcPr>
          <w:p w14:paraId="64ABFB9E" w14:textId="6A408055" w:rsidR="00891A59" w:rsidRPr="00891A59" w:rsidRDefault="00891A59" w:rsidP="00891A59">
            <w:pPr>
              <w:spacing w:after="0" w:line="240" w:lineRule="auto"/>
              <w:jc w:val="right"/>
              <w:rPr>
                <w:sz w:val="18"/>
                <w:szCs w:val="18"/>
              </w:rPr>
            </w:pPr>
            <w:r w:rsidRPr="00891A59">
              <w:rPr>
                <w:color w:val="000000"/>
                <w:sz w:val="18"/>
                <w:szCs w:val="18"/>
              </w:rPr>
              <w:t>-29,0%</w:t>
            </w:r>
          </w:p>
        </w:tc>
        <w:tc>
          <w:tcPr>
            <w:tcW w:w="1220" w:type="dxa"/>
            <w:tcBorders>
              <w:top w:val="nil"/>
              <w:left w:val="nil"/>
              <w:bottom w:val="nil"/>
              <w:right w:val="single" w:sz="4" w:space="0" w:color="auto"/>
            </w:tcBorders>
            <w:noWrap/>
            <w:vAlign w:val="center"/>
            <w:hideMark/>
          </w:tcPr>
          <w:p w14:paraId="34E0C0CE" w14:textId="4DADE20E" w:rsidR="00891A59" w:rsidRPr="00891A59" w:rsidRDefault="00891A59" w:rsidP="00891A59">
            <w:pPr>
              <w:spacing w:after="0" w:line="240" w:lineRule="auto"/>
              <w:jc w:val="right"/>
              <w:rPr>
                <w:sz w:val="18"/>
                <w:szCs w:val="18"/>
              </w:rPr>
            </w:pPr>
            <w:r w:rsidRPr="00891A59">
              <w:rPr>
                <w:color w:val="000000"/>
                <w:sz w:val="18"/>
                <w:szCs w:val="18"/>
              </w:rPr>
              <w:t>-35 611 783</w:t>
            </w:r>
          </w:p>
        </w:tc>
        <w:tc>
          <w:tcPr>
            <w:tcW w:w="999" w:type="dxa"/>
            <w:tcBorders>
              <w:top w:val="nil"/>
              <w:left w:val="single" w:sz="4" w:space="0" w:color="auto"/>
              <w:bottom w:val="nil"/>
              <w:right w:val="nil"/>
            </w:tcBorders>
            <w:noWrap/>
            <w:vAlign w:val="center"/>
            <w:hideMark/>
          </w:tcPr>
          <w:p w14:paraId="2D516199" w14:textId="23101017" w:rsidR="00891A59" w:rsidRPr="00891A59" w:rsidRDefault="00891A59" w:rsidP="00891A59">
            <w:pPr>
              <w:spacing w:after="0" w:line="240" w:lineRule="auto"/>
              <w:jc w:val="center"/>
              <w:rPr>
                <w:color w:val="000000"/>
                <w:sz w:val="18"/>
                <w:szCs w:val="20"/>
              </w:rPr>
            </w:pPr>
            <w:r w:rsidRPr="00891A59">
              <w:rPr>
                <w:color w:val="000000"/>
                <w:sz w:val="18"/>
                <w:szCs w:val="18"/>
              </w:rPr>
              <w:t>-0,3%</w:t>
            </w:r>
          </w:p>
        </w:tc>
        <w:tc>
          <w:tcPr>
            <w:tcW w:w="1167" w:type="dxa"/>
            <w:tcBorders>
              <w:top w:val="nil"/>
              <w:left w:val="nil"/>
              <w:bottom w:val="nil"/>
              <w:right w:val="nil"/>
            </w:tcBorders>
            <w:noWrap/>
            <w:vAlign w:val="center"/>
            <w:hideMark/>
          </w:tcPr>
          <w:p w14:paraId="2619FE5B" w14:textId="2C5BB6DE" w:rsidR="00891A59" w:rsidRPr="00891A59" w:rsidRDefault="00891A59" w:rsidP="00891A59">
            <w:pPr>
              <w:spacing w:after="0" w:line="240" w:lineRule="auto"/>
              <w:jc w:val="right"/>
              <w:rPr>
                <w:color w:val="000000"/>
                <w:sz w:val="18"/>
                <w:szCs w:val="20"/>
              </w:rPr>
            </w:pPr>
            <w:r w:rsidRPr="00891A59">
              <w:rPr>
                <w:color w:val="000000"/>
                <w:sz w:val="18"/>
                <w:szCs w:val="18"/>
              </w:rPr>
              <w:t>-2 752 878</w:t>
            </w:r>
          </w:p>
        </w:tc>
      </w:tr>
      <w:tr w:rsidR="00891A59" w:rsidRPr="00891A59" w14:paraId="3F89CE37" w14:textId="77777777" w:rsidTr="00891A59">
        <w:trPr>
          <w:trHeight w:val="264"/>
        </w:trPr>
        <w:tc>
          <w:tcPr>
            <w:tcW w:w="2846" w:type="dxa"/>
            <w:gridSpan w:val="2"/>
            <w:tcBorders>
              <w:top w:val="nil"/>
              <w:left w:val="nil"/>
              <w:bottom w:val="nil"/>
              <w:right w:val="nil"/>
            </w:tcBorders>
            <w:noWrap/>
            <w:vAlign w:val="center"/>
            <w:hideMark/>
          </w:tcPr>
          <w:p w14:paraId="79D24086" w14:textId="237B5E33" w:rsidR="00891A59" w:rsidRPr="00891A59" w:rsidRDefault="00891A59" w:rsidP="00891A59">
            <w:pPr>
              <w:spacing w:after="0" w:line="240" w:lineRule="auto"/>
              <w:ind w:firstLineChars="100" w:firstLine="180"/>
              <w:rPr>
                <w:color w:val="000000"/>
                <w:sz w:val="18"/>
                <w:szCs w:val="18"/>
                <w:lang w:eastAsia="sk-SK"/>
              </w:rPr>
            </w:pPr>
            <w:r w:rsidRPr="00891A59">
              <w:rPr>
                <w:color w:val="000000"/>
                <w:sz w:val="18"/>
                <w:szCs w:val="18"/>
                <w:lang w:eastAsia="sk-SK"/>
              </w:rPr>
              <w:t xml:space="preserve"> - poistenie v nezamestnanosti</w:t>
            </w:r>
          </w:p>
        </w:tc>
        <w:tc>
          <w:tcPr>
            <w:tcW w:w="956" w:type="dxa"/>
            <w:tcBorders>
              <w:top w:val="nil"/>
              <w:left w:val="nil"/>
              <w:bottom w:val="nil"/>
              <w:right w:val="nil"/>
            </w:tcBorders>
            <w:noWrap/>
            <w:vAlign w:val="center"/>
          </w:tcPr>
          <w:p w14:paraId="1202514A" w14:textId="0D7827DA" w:rsidR="00891A59" w:rsidRPr="00891A59" w:rsidRDefault="00891A59" w:rsidP="00891A59">
            <w:pPr>
              <w:spacing w:after="0" w:line="240" w:lineRule="auto"/>
              <w:jc w:val="right"/>
              <w:rPr>
                <w:color w:val="000000"/>
                <w:sz w:val="18"/>
                <w:szCs w:val="20"/>
              </w:rPr>
            </w:pPr>
            <w:r w:rsidRPr="00891A59">
              <w:rPr>
                <w:color w:val="000000"/>
                <w:sz w:val="18"/>
                <w:szCs w:val="18"/>
              </w:rPr>
              <w:t>1,2%</w:t>
            </w:r>
          </w:p>
        </w:tc>
        <w:tc>
          <w:tcPr>
            <w:tcW w:w="1218" w:type="dxa"/>
            <w:tcBorders>
              <w:top w:val="nil"/>
              <w:left w:val="nil"/>
              <w:bottom w:val="nil"/>
              <w:right w:val="nil"/>
            </w:tcBorders>
            <w:noWrap/>
            <w:vAlign w:val="center"/>
          </w:tcPr>
          <w:p w14:paraId="7DF53A0D" w14:textId="1797BE95" w:rsidR="00891A59" w:rsidRPr="00891A59" w:rsidRDefault="00891A59" w:rsidP="00891A59">
            <w:pPr>
              <w:spacing w:after="0" w:line="240" w:lineRule="auto"/>
              <w:jc w:val="right"/>
              <w:rPr>
                <w:color w:val="000000"/>
                <w:sz w:val="18"/>
                <w:szCs w:val="20"/>
              </w:rPr>
            </w:pPr>
            <w:r w:rsidRPr="00891A59">
              <w:rPr>
                <w:color w:val="000000"/>
                <w:sz w:val="18"/>
                <w:szCs w:val="18"/>
              </w:rPr>
              <w:t>1 515 835</w:t>
            </w:r>
          </w:p>
        </w:tc>
        <w:tc>
          <w:tcPr>
            <w:tcW w:w="948" w:type="dxa"/>
            <w:tcBorders>
              <w:top w:val="nil"/>
              <w:left w:val="nil"/>
              <w:bottom w:val="nil"/>
              <w:right w:val="nil"/>
            </w:tcBorders>
            <w:noWrap/>
            <w:vAlign w:val="center"/>
            <w:hideMark/>
          </w:tcPr>
          <w:p w14:paraId="43C11170" w14:textId="7A4BD9BA" w:rsidR="00891A59" w:rsidRPr="00891A59" w:rsidRDefault="00891A59" w:rsidP="00891A59">
            <w:pPr>
              <w:spacing w:after="0" w:line="240" w:lineRule="auto"/>
              <w:jc w:val="right"/>
              <w:rPr>
                <w:sz w:val="18"/>
                <w:szCs w:val="18"/>
              </w:rPr>
            </w:pPr>
            <w:r w:rsidRPr="00891A59">
              <w:rPr>
                <w:color w:val="000000"/>
                <w:sz w:val="18"/>
                <w:szCs w:val="18"/>
              </w:rPr>
              <w:t>0,9%</w:t>
            </w:r>
          </w:p>
        </w:tc>
        <w:tc>
          <w:tcPr>
            <w:tcW w:w="1220" w:type="dxa"/>
            <w:tcBorders>
              <w:top w:val="nil"/>
              <w:left w:val="nil"/>
              <w:bottom w:val="nil"/>
              <w:right w:val="single" w:sz="4" w:space="0" w:color="auto"/>
            </w:tcBorders>
            <w:noWrap/>
            <w:vAlign w:val="center"/>
            <w:hideMark/>
          </w:tcPr>
          <w:p w14:paraId="60C6D452" w14:textId="73D1D944" w:rsidR="00891A59" w:rsidRPr="00891A59" w:rsidRDefault="00891A59" w:rsidP="00891A59">
            <w:pPr>
              <w:spacing w:after="0" w:line="240" w:lineRule="auto"/>
              <w:jc w:val="right"/>
              <w:rPr>
                <w:sz w:val="18"/>
                <w:szCs w:val="18"/>
              </w:rPr>
            </w:pPr>
            <w:r w:rsidRPr="00891A59">
              <w:rPr>
                <w:color w:val="000000"/>
                <w:sz w:val="18"/>
                <w:szCs w:val="18"/>
              </w:rPr>
              <w:t>1 117 827</w:t>
            </w:r>
          </w:p>
        </w:tc>
        <w:tc>
          <w:tcPr>
            <w:tcW w:w="999" w:type="dxa"/>
            <w:tcBorders>
              <w:top w:val="nil"/>
              <w:left w:val="single" w:sz="4" w:space="0" w:color="auto"/>
              <w:bottom w:val="nil"/>
              <w:right w:val="nil"/>
            </w:tcBorders>
            <w:noWrap/>
            <w:vAlign w:val="center"/>
            <w:hideMark/>
          </w:tcPr>
          <w:p w14:paraId="46CC3770" w14:textId="25AC1E83" w:rsidR="00891A59" w:rsidRPr="00891A59" w:rsidRDefault="00891A59" w:rsidP="00891A59">
            <w:pPr>
              <w:spacing w:after="0" w:line="240" w:lineRule="auto"/>
              <w:jc w:val="center"/>
              <w:rPr>
                <w:color w:val="000000"/>
                <w:sz w:val="18"/>
                <w:szCs w:val="20"/>
              </w:rPr>
            </w:pPr>
            <w:r w:rsidRPr="00891A59">
              <w:rPr>
                <w:color w:val="000000"/>
                <w:sz w:val="18"/>
                <w:szCs w:val="18"/>
              </w:rPr>
              <w:t>0,2%</w:t>
            </w:r>
          </w:p>
        </w:tc>
        <w:tc>
          <w:tcPr>
            <w:tcW w:w="1167" w:type="dxa"/>
            <w:tcBorders>
              <w:top w:val="nil"/>
              <w:left w:val="nil"/>
              <w:bottom w:val="nil"/>
              <w:right w:val="nil"/>
            </w:tcBorders>
            <w:noWrap/>
            <w:vAlign w:val="center"/>
            <w:hideMark/>
          </w:tcPr>
          <w:p w14:paraId="2377A1E0" w14:textId="4F47B836" w:rsidR="00891A59" w:rsidRPr="00891A59" w:rsidRDefault="00891A59" w:rsidP="00891A59">
            <w:pPr>
              <w:spacing w:after="0" w:line="240" w:lineRule="auto"/>
              <w:jc w:val="right"/>
              <w:rPr>
                <w:color w:val="000000"/>
                <w:sz w:val="18"/>
                <w:szCs w:val="20"/>
              </w:rPr>
            </w:pPr>
            <w:r w:rsidRPr="00891A59">
              <w:rPr>
                <w:color w:val="000000"/>
                <w:sz w:val="18"/>
                <w:szCs w:val="18"/>
              </w:rPr>
              <w:t>398 008</w:t>
            </w:r>
          </w:p>
        </w:tc>
      </w:tr>
      <w:tr w:rsidR="00891A59" w:rsidRPr="00891A59" w14:paraId="1DE7BB2C" w14:textId="77777777" w:rsidTr="00891A59">
        <w:trPr>
          <w:trHeight w:val="56"/>
        </w:trPr>
        <w:tc>
          <w:tcPr>
            <w:tcW w:w="2846" w:type="dxa"/>
            <w:gridSpan w:val="2"/>
            <w:tcBorders>
              <w:top w:val="nil"/>
              <w:left w:val="nil"/>
              <w:bottom w:val="nil"/>
              <w:right w:val="nil"/>
            </w:tcBorders>
            <w:noWrap/>
            <w:vAlign w:val="center"/>
            <w:hideMark/>
          </w:tcPr>
          <w:p w14:paraId="24B8E488" w14:textId="09312D76" w:rsidR="00891A59" w:rsidRPr="00891A59" w:rsidRDefault="00891A59" w:rsidP="00891A59">
            <w:pPr>
              <w:spacing w:after="0" w:line="240" w:lineRule="auto"/>
              <w:ind w:firstLineChars="100" w:firstLine="180"/>
              <w:rPr>
                <w:color w:val="000000"/>
                <w:sz w:val="18"/>
                <w:szCs w:val="18"/>
                <w:lang w:eastAsia="sk-SK"/>
              </w:rPr>
            </w:pPr>
            <w:r w:rsidRPr="00891A59">
              <w:rPr>
                <w:color w:val="000000"/>
                <w:sz w:val="18"/>
                <w:szCs w:val="18"/>
                <w:lang w:eastAsia="sk-SK"/>
              </w:rPr>
              <w:t xml:space="preserve"> - školstvo</w:t>
            </w:r>
          </w:p>
        </w:tc>
        <w:tc>
          <w:tcPr>
            <w:tcW w:w="956" w:type="dxa"/>
            <w:tcBorders>
              <w:top w:val="nil"/>
              <w:left w:val="nil"/>
              <w:bottom w:val="nil"/>
              <w:right w:val="nil"/>
            </w:tcBorders>
            <w:noWrap/>
            <w:vAlign w:val="center"/>
          </w:tcPr>
          <w:p w14:paraId="6423F2FF" w14:textId="12147EAB" w:rsidR="00891A59" w:rsidRPr="00891A59" w:rsidRDefault="00891A59" w:rsidP="00891A59">
            <w:pPr>
              <w:spacing w:after="0" w:line="240" w:lineRule="auto"/>
              <w:jc w:val="right"/>
              <w:rPr>
                <w:color w:val="000000"/>
                <w:sz w:val="18"/>
                <w:szCs w:val="20"/>
              </w:rPr>
            </w:pPr>
            <w:r w:rsidRPr="00891A59">
              <w:rPr>
                <w:color w:val="000000"/>
                <w:sz w:val="18"/>
                <w:szCs w:val="18"/>
              </w:rPr>
              <w:t>-9,2%</w:t>
            </w:r>
          </w:p>
        </w:tc>
        <w:tc>
          <w:tcPr>
            <w:tcW w:w="1218" w:type="dxa"/>
            <w:tcBorders>
              <w:top w:val="nil"/>
              <w:left w:val="nil"/>
              <w:bottom w:val="nil"/>
              <w:right w:val="nil"/>
            </w:tcBorders>
            <w:noWrap/>
            <w:vAlign w:val="center"/>
          </w:tcPr>
          <w:p w14:paraId="522E0650" w14:textId="7DD23080" w:rsidR="00891A59" w:rsidRPr="00891A59" w:rsidRDefault="00891A59" w:rsidP="00891A59">
            <w:pPr>
              <w:spacing w:after="0" w:line="240" w:lineRule="auto"/>
              <w:jc w:val="right"/>
              <w:rPr>
                <w:color w:val="000000"/>
                <w:sz w:val="18"/>
                <w:szCs w:val="20"/>
              </w:rPr>
            </w:pPr>
            <w:r w:rsidRPr="00891A59">
              <w:rPr>
                <w:color w:val="000000"/>
                <w:sz w:val="18"/>
                <w:szCs w:val="18"/>
              </w:rPr>
              <w:t>-12 069 489</w:t>
            </w:r>
          </w:p>
        </w:tc>
        <w:tc>
          <w:tcPr>
            <w:tcW w:w="948" w:type="dxa"/>
            <w:tcBorders>
              <w:top w:val="nil"/>
              <w:left w:val="nil"/>
              <w:bottom w:val="nil"/>
              <w:right w:val="nil"/>
            </w:tcBorders>
            <w:noWrap/>
            <w:vAlign w:val="center"/>
            <w:hideMark/>
          </w:tcPr>
          <w:p w14:paraId="4AB5178F" w14:textId="0369599F" w:rsidR="00891A59" w:rsidRPr="00891A59" w:rsidRDefault="00891A59" w:rsidP="00891A59">
            <w:pPr>
              <w:spacing w:after="0" w:line="240" w:lineRule="auto"/>
              <w:jc w:val="right"/>
              <w:rPr>
                <w:sz w:val="18"/>
                <w:szCs w:val="18"/>
              </w:rPr>
            </w:pPr>
            <w:r w:rsidRPr="00891A59">
              <w:rPr>
                <w:color w:val="000000"/>
                <w:sz w:val="18"/>
                <w:szCs w:val="18"/>
              </w:rPr>
              <w:t>-7,2%</w:t>
            </w:r>
          </w:p>
        </w:tc>
        <w:tc>
          <w:tcPr>
            <w:tcW w:w="1220" w:type="dxa"/>
            <w:tcBorders>
              <w:top w:val="nil"/>
              <w:left w:val="nil"/>
              <w:bottom w:val="nil"/>
              <w:right w:val="single" w:sz="4" w:space="0" w:color="auto"/>
            </w:tcBorders>
            <w:noWrap/>
            <w:vAlign w:val="center"/>
            <w:hideMark/>
          </w:tcPr>
          <w:p w14:paraId="2055A364" w14:textId="40BC6BB8" w:rsidR="00891A59" w:rsidRPr="00891A59" w:rsidRDefault="00891A59" w:rsidP="00891A59">
            <w:pPr>
              <w:spacing w:after="0" w:line="240" w:lineRule="auto"/>
              <w:jc w:val="right"/>
              <w:rPr>
                <w:sz w:val="18"/>
                <w:szCs w:val="18"/>
              </w:rPr>
            </w:pPr>
            <w:r w:rsidRPr="00891A59">
              <w:rPr>
                <w:color w:val="000000"/>
                <w:sz w:val="18"/>
                <w:szCs w:val="18"/>
              </w:rPr>
              <w:t>-8 856 666</w:t>
            </w:r>
          </w:p>
        </w:tc>
        <w:tc>
          <w:tcPr>
            <w:tcW w:w="999" w:type="dxa"/>
            <w:tcBorders>
              <w:top w:val="nil"/>
              <w:left w:val="single" w:sz="4" w:space="0" w:color="auto"/>
              <w:bottom w:val="nil"/>
              <w:right w:val="nil"/>
            </w:tcBorders>
            <w:noWrap/>
            <w:vAlign w:val="center"/>
            <w:hideMark/>
          </w:tcPr>
          <w:p w14:paraId="1069F006" w14:textId="3A9FA356" w:rsidR="00891A59" w:rsidRPr="00891A59" w:rsidRDefault="00891A59" w:rsidP="00891A59">
            <w:pPr>
              <w:spacing w:after="0" w:line="240" w:lineRule="auto"/>
              <w:jc w:val="center"/>
              <w:rPr>
                <w:color w:val="000000"/>
                <w:sz w:val="18"/>
                <w:szCs w:val="20"/>
              </w:rPr>
            </w:pPr>
            <w:r w:rsidRPr="00891A59">
              <w:rPr>
                <w:color w:val="000000"/>
                <w:sz w:val="18"/>
                <w:szCs w:val="18"/>
              </w:rPr>
              <w:t>-2,0%</w:t>
            </w:r>
          </w:p>
        </w:tc>
        <w:tc>
          <w:tcPr>
            <w:tcW w:w="1167" w:type="dxa"/>
            <w:tcBorders>
              <w:top w:val="nil"/>
              <w:left w:val="nil"/>
              <w:bottom w:val="nil"/>
              <w:right w:val="nil"/>
            </w:tcBorders>
            <w:noWrap/>
            <w:vAlign w:val="center"/>
            <w:hideMark/>
          </w:tcPr>
          <w:p w14:paraId="4B29CE9A" w14:textId="4428A6AE" w:rsidR="00891A59" w:rsidRPr="00891A59" w:rsidRDefault="00891A59" w:rsidP="00891A59">
            <w:pPr>
              <w:spacing w:after="0" w:line="240" w:lineRule="auto"/>
              <w:jc w:val="right"/>
              <w:rPr>
                <w:color w:val="000000"/>
                <w:sz w:val="18"/>
                <w:szCs w:val="20"/>
              </w:rPr>
            </w:pPr>
            <w:r w:rsidRPr="00891A59">
              <w:rPr>
                <w:color w:val="000000"/>
                <w:sz w:val="18"/>
                <w:szCs w:val="18"/>
              </w:rPr>
              <w:t>-3 212 823</w:t>
            </w:r>
          </w:p>
        </w:tc>
      </w:tr>
      <w:tr w:rsidR="00891A59" w:rsidRPr="00891A59" w14:paraId="40244329" w14:textId="77777777" w:rsidTr="00891A59">
        <w:trPr>
          <w:trHeight w:val="264"/>
        </w:trPr>
        <w:tc>
          <w:tcPr>
            <w:tcW w:w="2846" w:type="dxa"/>
            <w:gridSpan w:val="2"/>
            <w:tcBorders>
              <w:top w:val="nil"/>
              <w:left w:val="nil"/>
              <w:bottom w:val="nil"/>
              <w:right w:val="nil"/>
            </w:tcBorders>
            <w:noWrap/>
            <w:vAlign w:val="center"/>
            <w:hideMark/>
          </w:tcPr>
          <w:p w14:paraId="5E043690" w14:textId="2262D62B" w:rsidR="00891A59" w:rsidRPr="00891A59" w:rsidRDefault="00891A59" w:rsidP="00891A59">
            <w:pPr>
              <w:spacing w:after="0" w:line="240" w:lineRule="auto"/>
              <w:rPr>
                <w:b/>
                <w:bCs/>
                <w:color w:val="000000"/>
                <w:sz w:val="18"/>
                <w:szCs w:val="18"/>
                <w:lang w:eastAsia="sk-SK"/>
              </w:rPr>
            </w:pPr>
            <w:r w:rsidRPr="00891A59">
              <w:rPr>
                <w:b/>
                <w:bCs/>
                <w:color w:val="000000"/>
                <w:sz w:val="18"/>
                <w:szCs w:val="18"/>
                <w:lang w:eastAsia="sk-SK"/>
              </w:rPr>
              <w:lastRenderedPageBreak/>
              <w:t>PPP projekty</w:t>
            </w:r>
          </w:p>
        </w:tc>
        <w:tc>
          <w:tcPr>
            <w:tcW w:w="956" w:type="dxa"/>
            <w:tcBorders>
              <w:top w:val="nil"/>
              <w:left w:val="nil"/>
              <w:bottom w:val="nil"/>
              <w:right w:val="nil"/>
            </w:tcBorders>
            <w:noWrap/>
            <w:vAlign w:val="center"/>
          </w:tcPr>
          <w:p w14:paraId="62AE1943" w14:textId="6E3158AD" w:rsidR="00891A59" w:rsidRPr="00891A59" w:rsidRDefault="00891A59" w:rsidP="00891A59">
            <w:pPr>
              <w:spacing w:after="0" w:line="240" w:lineRule="auto"/>
              <w:jc w:val="right"/>
              <w:rPr>
                <w:b/>
                <w:bCs/>
                <w:color w:val="000000"/>
                <w:sz w:val="18"/>
                <w:szCs w:val="18"/>
              </w:rPr>
            </w:pPr>
            <w:r w:rsidRPr="00891A59">
              <w:rPr>
                <w:b/>
                <w:bCs/>
                <w:color w:val="000000"/>
                <w:sz w:val="18"/>
                <w:szCs w:val="18"/>
              </w:rPr>
              <w:t>-2,3%</w:t>
            </w:r>
          </w:p>
        </w:tc>
        <w:tc>
          <w:tcPr>
            <w:tcW w:w="1218" w:type="dxa"/>
            <w:tcBorders>
              <w:top w:val="nil"/>
              <w:left w:val="nil"/>
              <w:bottom w:val="nil"/>
              <w:right w:val="nil"/>
            </w:tcBorders>
            <w:noWrap/>
            <w:vAlign w:val="center"/>
          </w:tcPr>
          <w:p w14:paraId="4C0C0F35" w14:textId="59703CF8" w:rsidR="00891A59" w:rsidRPr="00891A59" w:rsidRDefault="00891A59" w:rsidP="00891A59">
            <w:pPr>
              <w:spacing w:after="0" w:line="240" w:lineRule="auto"/>
              <w:jc w:val="right"/>
              <w:rPr>
                <w:b/>
                <w:bCs/>
                <w:color w:val="000000"/>
                <w:sz w:val="18"/>
                <w:szCs w:val="18"/>
              </w:rPr>
            </w:pPr>
            <w:r w:rsidRPr="00891A59">
              <w:rPr>
                <w:b/>
                <w:bCs/>
                <w:color w:val="000000"/>
                <w:sz w:val="18"/>
                <w:szCs w:val="18"/>
              </w:rPr>
              <w:t>-3 061 646</w:t>
            </w:r>
          </w:p>
        </w:tc>
        <w:tc>
          <w:tcPr>
            <w:tcW w:w="948" w:type="dxa"/>
            <w:tcBorders>
              <w:top w:val="nil"/>
              <w:left w:val="nil"/>
              <w:bottom w:val="nil"/>
              <w:right w:val="nil"/>
            </w:tcBorders>
            <w:noWrap/>
            <w:vAlign w:val="center"/>
            <w:hideMark/>
          </w:tcPr>
          <w:p w14:paraId="05B0455D" w14:textId="4488FADB" w:rsidR="00891A59" w:rsidRPr="00891A59" w:rsidRDefault="00891A59" w:rsidP="00891A59">
            <w:pPr>
              <w:spacing w:after="0" w:line="240" w:lineRule="auto"/>
              <w:jc w:val="right"/>
              <w:rPr>
                <w:b/>
                <w:sz w:val="18"/>
                <w:szCs w:val="18"/>
              </w:rPr>
            </w:pPr>
            <w:r w:rsidRPr="00891A59">
              <w:rPr>
                <w:b/>
                <w:bCs/>
                <w:color w:val="000000"/>
                <w:sz w:val="18"/>
                <w:szCs w:val="18"/>
              </w:rPr>
              <w:t>-2,5%</w:t>
            </w:r>
          </w:p>
        </w:tc>
        <w:tc>
          <w:tcPr>
            <w:tcW w:w="1220" w:type="dxa"/>
            <w:tcBorders>
              <w:top w:val="nil"/>
              <w:left w:val="nil"/>
              <w:bottom w:val="nil"/>
              <w:right w:val="single" w:sz="4" w:space="0" w:color="auto"/>
            </w:tcBorders>
            <w:noWrap/>
            <w:vAlign w:val="center"/>
            <w:hideMark/>
          </w:tcPr>
          <w:p w14:paraId="5661C3D8" w14:textId="37648D0A" w:rsidR="00891A59" w:rsidRPr="00891A59" w:rsidRDefault="00891A59" w:rsidP="00891A59">
            <w:pPr>
              <w:spacing w:after="0" w:line="240" w:lineRule="auto"/>
              <w:jc w:val="right"/>
              <w:rPr>
                <w:b/>
                <w:sz w:val="18"/>
                <w:szCs w:val="18"/>
              </w:rPr>
            </w:pPr>
            <w:r w:rsidRPr="00891A59">
              <w:rPr>
                <w:b/>
                <w:bCs/>
                <w:color w:val="000000"/>
                <w:sz w:val="18"/>
                <w:szCs w:val="18"/>
              </w:rPr>
              <w:t>-3 033 398</w:t>
            </w:r>
          </w:p>
        </w:tc>
        <w:tc>
          <w:tcPr>
            <w:tcW w:w="999" w:type="dxa"/>
            <w:tcBorders>
              <w:top w:val="nil"/>
              <w:left w:val="single" w:sz="4" w:space="0" w:color="auto"/>
              <w:bottom w:val="nil"/>
              <w:right w:val="nil"/>
            </w:tcBorders>
            <w:noWrap/>
            <w:vAlign w:val="center"/>
            <w:hideMark/>
          </w:tcPr>
          <w:p w14:paraId="7FA3251C" w14:textId="7BFECFFD" w:rsidR="00891A59" w:rsidRPr="00891A59" w:rsidRDefault="00891A59" w:rsidP="00891A59">
            <w:pPr>
              <w:spacing w:after="0" w:line="240" w:lineRule="auto"/>
              <w:jc w:val="center"/>
              <w:rPr>
                <w:b/>
                <w:bCs/>
                <w:color w:val="000000"/>
                <w:sz w:val="18"/>
                <w:szCs w:val="18"/>
              </w:rPr>
            </w:pPr>
            <w:r w:rsidRPr="00891A59">
              <w:rPr>
                <w:b/>
                <w:bCs/>
                <w:color w:val="000000"/>
                <w:sz w:val="18"/>
                <w:szCs w:val="18"/>
              </w:rPr>
              <w:t>0,1%</w:t>
            </w:r>
          </w:p>
        </w:tc>
        <w:tc>
          <w:tcPr>
            <w:tcW w:w="1167" w:type="dxa"/>
            <w:tcBorders>
              <w:top w:val="nil"/>
              <w:left w:val="nil"/>
              <w:bottom w:val="nil"/>
              <w:right w:val="nil"/>
            </w:tcBorders>
            <w:noWrap/>
            <w:vAlign w:val="center"/>
            <w:hideMark/>
          </w:tcPr>
          <w:p w14:paraId="30D395BD" w14:textId="7794233E" w:rsidR="00891A59" w:rsidRPr="00891A59" w:rsidRDefault="00891A59" w:rsidP="00891A59">
            <w:pPr>
              <w:spacing w:after="0" w:line="240" w:lineRule="auto"/>
              <w:jc w:val="right"/>
              <w:rPr>
                <w:b/>
                <w:bCs/>
                <w:color w:val="000000"/>
                <w:sz w:val="18"/>
                <w:szCs w:val="18"/>
              </w:rPr>
            </w:pPr>
            <w:r w:rsidRPr="00891A59">
              <w:rPr>
                <w:b/>
                <w:bCs/>
                <w:color w:val="000000"/>
                <w:sz w:val="18"/>
                <w:szCs w:val="18"/>
              </w:rPr>
              <w:t>-28 248</w:t>
            </w:r>
          </w:p>
        </w:tc>
      </w:tr>
      <w:tr w:rsidR="00891A59" w:rsidRPr="00891A59" w14:paraId="35AFA1D3" w14:textId="77777777" w:rsidTr="00891A59">
        <w:trPr>
          <w:trHeight w:val="264"/>
        </w:trPr>
        <w:tc>
          <w:tcPr>
            <w:tcW w:w="2846" w:type="dxa"/>
            <w:gridSpan w:val="2"/>
            <w:tcBorders>
              <w:top w:val="nil"/>
              <w:left w:val="nil"/>
              <w:bottom w:val="nil"/>
              <w:right w:val="nil"/>
            </w:tcBorders>
            <w:noWrap/>
            <w:vAlign w:val="center"/>
            <w:hideMark/>
          </w:tcPr>
          <w:p w14:paraId="4A314B05" w14:textId="1E899826" w:rsidR="00891A59" w:rsidRPr="00891A59" w:rsidRDefault="00891A59" w:rsidP="00891A59">
            <w:pPr>
              <w:spacing w:after="0" w:line="240" w:lineRule="auto"/>
              <w:rPr>
                <w:b/>
                <w:bCs/>
                <w:color w:val="000000"/>
                <w:sz w:val="18"/>
                <w:szCs w:val="18"/>
                <w:lang w:eastAsia="sk-SK"/>
              </w:rPr>
            </w:pPr>
            <w:r w:rsidRPr="00891A59">
              <w:rPr>
                <w:b/>
                <w:bCs/>
                <w:color w:val="000000"/>
                <w:sz w:val="18"/>
                <w:szCs w:val="18"/>
                <w:lang w:eastAsia="sk-SK"/>
              </w:rPr>
              <w:t>Vplyv Národného jadrového fondu</w:t>
            </w:r>
          </w:p>
        </w:tc>
        <w:tc>
          <w:tcPr>
            <w:tcW w:w="956" w:type="dxa"/>
            <w:tcBorders>
              <w:top w:val="nil"/>
              <w:left w:val="nil"/>
              <w:bottom w:val="nil"/>
              <w:right w:val="nil"/>
            </w:tcBorders>
            <w:noWrap/>
            <w:vAlign w:val="center"/>
          </w:tcPr>
          <w:p w14:paraId="6017D176" w14:textId="24F02EB7" w:rsidR="00891A59" w:rsidRPr="00891A59" w:rsidRDefault="00891A59" w:rsidP="00891A59">
            <w:pPr>
              <w:spacing w:after="0" w:line="240" w:lineRule="auto"/>
              <w:jc w:val="right"/>
              <w:rPr>
                <w:b/>
                <w:bCs/>
                <w:color w:val="000000"/>
                <w:sz w:val="18"/>
                <w:szCs w:val="18"/>
              </w:rPr>
            </w:pPr>
            <w:r w:rsidRPr="00891A59">
              <w:rPr>
                <w:b/>
                <w:bCs/>
                <w:color w:val="000000"/>
                <w:sz w:val="18"/>
                <w:szCs w:val="18"/>
              </w:rPr>
              <w:t>2,9%</w:t>
            </w:r>
          </w:p>
        </w:tc>
        <w:tc>
          <w:tcPr>
            <w:tcW w:w="1218" w:type="dxa"/>
            <w:tcBorders>
              <w:top w:val="nil"/>
              <w:left w:val="nil"/>
              <w:bottom w:val="nil"/>
              <w:right w:val="nil"/>
            </w:tcBorders>
            <w:noWrap/>
            <w:vAlign w:val="center"/>
          </w:tcPr>
          <w:p w14:paraId="0CCB831F" w14:textId="157820AF" w:rsidR="00891A59" w:rsidRPr="00891A59" w:rsidRDefault="00891A59" w:rsidP="00891A59">
            <w:pPr>
              <w:spacing w:after="0" w:line="240" w:lineRule="auto"/>
              <w:jc w:val="right"/>
              <w:rPr>
                <w:b/>
                <w:bCs/>
                <w:color w:val="000000"/>
                <w:sz w:val="18"/>
                <w:szCs w:val="18"/>
              </w:rPr>
            </w:pPr>
            <w:r w:rsidRPr="00891A59">
              <w:rPr>
                <w:b/>
                <w:bCs/>
                <w:color w:val="000000"/>
                <w:sz w:val="18"/>
                <w:szCs w:val="18"/>
              </w:rPr>
              <w:t>3 819 857</w:t>
            </w:r>
          </w:p>
        </w:tc>
        <w:tc>
          <w:tcPr>
            <w:tcW w:w="948" w:type="dxa"/>
            <w:tcBorders>
              <w:top w:val="nil"/>
              <w:left w:val="nil"/>
              <w:bottom w:val="nil"/>
              <w:right w:val="nil"/>
            </w:tcBorders>
            <w:noWrap/>
            <w:vAlign w:val="center"/>
            <w:hideMark/>
          </w:tcPr>
          <w:p w14:paraId="7671FB46" w14:textId="29F321AA" w:rsidR="00891A59" w:rsidRPr="00891A59" w:rsidRDefault="00891A59" w:rsidP="00891A59">
            <w:pPr>
              <w:spacing w:after="0" w:line="240" w:lineRule="auto"/>
              <w:jc w:val="right"/>
              <w:rPr>
                <w:b/>
                <w:sz w:val="18"/>
                <w:szCs w:val="18"/>
              </w:rPr>
            </w:pPr>
            <w:r w:rsidRPr="00891A59">
              <w:rPr>
                <w:b/>
                <w:bCs/>
                <w:color w:val="000000"/>
                <w:sz w:val="18"/>
                <w:szCs w:val="18"/>
              </w:rPr>
              <w:t>3,0%</w:t>
            </w:r>
          </w:p>
        </w:tc>
        <w:tc>
          <w:tcPr>
            <w:tcW w:w="1220" w:type="dxa"/>
            <w:tcBorders>
              <w:top w:val="nil"/>
              <w:left w:val="nil"/>
              <w:bottom w:val="nil"/>
              <w:right w:val="single" w:sz="4" w:space="0" w:color="auto"/>
            </w:tcBorders>
            <w:noWrap/>
            <w:vAlign w:val="center"/>
            <w:hideMark/>
          </w:tcPr>
          <w:p w14:paraId="0DC1A36B" w14:textId="33F4CE2A" w:rsidR="00891A59" w:rsidRPr="00891A59" w:rsidRDefault="00891A59" w:rsidP="00891A59">
            <w:pPr>
              <w:spacing w:after="0" w:line="240" w:lineRule="auto"/>
              <w:jc w:val="right"/>
              <w:rPr>
                <w:b/>
                <w:sz w:val="18"/>
                <w:szCs w:val="18"/>
              </w:rPr>
            </w:pPr>
            <w:r w:rsidRPr="00891A59">
              <w:rPr>
                <w:b/>
                <w:bCs/>
                <w:color w:val="000000"/>
                <w:sz w:val="18"/>
                <w:szCs w:val="18"/>
              </w:rPr>
              <w:t>3 715 253</w:t>
            </w:r>
          </w:p>
        </w:tc>
        <w:tc>
          <w:tcPr>
            <w:tcW w:w="999" w:type="dxa"/>
            <w:tcBorders>
              <w:top w:val="nil"/>
              <w:left w:val="single" w:sz="4" w:space="0" w:color="auto"/>
              <w:bottom w:val="nil"/>
              <w:right w:val="nil"/>
            </w:tcBorders>
            <w:noWrap/>
            <w:vAlign w:val="center"/>
            <w:hideMark/>
          </w:tcPr>
          <w:p w14:paraId="58A7046E" w14:textId="7FE055FF" w:rsidR="00891A59" w:rsidRPr="00891A59" w:rsidRDefault="00891A59" w:rsidP="00891A59">
            <w:pPr>
              <w:spacing w:after="0" w:line="240" w:lineRule="auto"/>
              <w:jc w:val="center"/>
              <w:rPr>
                <w:b/>
                <w:bCs/>
                <w:color w:val="000000"/>
                <w:sz w:val="18"/>
                <w:szCs w:val="18"/>
              </w:rPr>
            </w:pPr>
            <w:r w:rsidRPr="00891A59">
              <w:rPr>
                <w:b/>
                <w:bCs/>
                <w:color w:val="000000"/>
                <w:sz w:val="18"/>
                <w:szCs w:val="18"/>
              </w:rPr>
              <w:t>-0,1%</w:t>
            </w:r>
          </w:p>
        </w:tc>
        <w:tc>
          <w:tcPr>
            <w:tcW w:w="1167" w:type="dxa"/>
            <w:tcBorders>
              <w:top w:val="nil"/>
              <w:left w:val="nil"/>
              <w:bottom w:val="nil"/>
              <w:right w:val="nil"/>
            </w:tcBorders>
            <w:noWrap/>
            <w:vAlign w:val="center"/>
            <w:hideMark/>
          </w:tcPr>
          <w:p w14:paraId="1A61D185" w14:textId="049BC84B" w:rsidR="00891A59" w:rsidRPr="00891A59" w:rsidRDefault="00891A59" w:rsidP="00891A59">
            <w:pPr>
              <w:spacing w:after="0" w:line="240" w:lineRule="auto"/>
              <w:jc w:val="right"/>
              <w:rPr>
                <w:b/>
                <w:bCs/>
                <w:color w:val="000000"/>
                <w:sz w:val="18"/>
                <w:szCs w:val="18"/>
              </w:rPr>
            </w:pPr>
            <w:r w:rsidRPr="00891A59">
              <w:rPr>
                <w:b/>
                <w:bCs/>
                <w:color w:val="000000"/>
                <w:sz w:val="18"/>
                <w:szCs w:val="18"/>
              </w:rPr>
              <w:t>104 604</w:t>
            </w:r>
          </w:p>
        </w:tc>
      </w:tr>
      <w:tr w:rsidR="00891A59" w:rsidRPr="00891A59" w14:paraId="37B0BA9D" w14:textId="77777777" w:rsidTr="00891A59">
        <w:trPr>
          <w:trHeight w:val="264"/>
        </w:trPr>
        <w:tc>
          <w:tcPr>
            <w:tcW w:w="2846" w:type="dxa"/>
            <w:gridSpan w:val="2"/>
            <w:tcBorders>
              <w:top w:val="nil"/>
              <w:left w:val="nil"/>
              <w:bottom w:val="nil"/>
              <w:right w:val="nil"/>
            </w:tcBorders>
            <w:noWrap/>
            <w:vAlign w:val="center"/>
          </w:tcPr>
          <w:p w14:paraId="2DDFF292" w14:textId="572B3D22" w:rsidR="00891A59" w:rsidRPr="00891A59" w:rsidRDefault="00891A59" w:rsidP="00891A59">
            <w:pPr>
              <w:spacing w:after="0" w:line="240" w:lineRule="auto"/>
              <w:rPr>
                <w:b/>
                <w:bCs/>
                <w:color w:val="000000"/>
                <w:sz w:val="18"/>
                <w:szCs w:val="18"/>
                <w:lang w:eastAsia="sk-SK"/>
              </w:rPr>
            </w:pPr>
            <w:r w:rsidRPr="00891A59">
              <w:rPr>
                <w:b/>
                <w:bCs/>
                <w:color w:val="000000"/>
                <w:sz w:val="18"/>
                <w:szCs w:val="18"/>
                <w:lang w:eastAsia="sk-SK"/>
              </w:rPr>
              <w:t>Vplyv NGEU</w:t>
            </w:r>
          </w:p>
        </w:tc>
        <w:tc>
          <w:tcPr>
            <w:tcW w:w="956" w:type="dxa"/>
            <w:tcBorders>
              <w:top w:val="nil"/>
              <w:left w:val="nil"/>
              <w:bottom w:val="nil"/>
              <w:right w:val="nil"/>
            </w:tcBorders>
            <w:noWrap/>
            <w:vAlign w:val="center"/>
          </w:tcPr>
          <w:p w14:paraId="0369997E" w14:textId="7953260C" w:rsidR="00891A59" w:rsidRPr="00891A59" w:rsidRDefault="00891A59" w:rsidP="00891A59">
            <w:pPr>
              <w:spacing w:after="0" w:line="240" w:lineRule="auto"/>
              <w:jc w:val="right"/>
              <w:rPr>
                <w:b/>
                <w:bCs/>
                <w:color w:val="000000"/>
                <w:sz w:val="18"/>
                <w:szCs w:val="18"/>
              </w:rPr>
            </w:pPr>
            <w:r w:rsidRPr="00891A59">
              <w:rPr>
                <w:b/>
                <w:bCs/>
                <w:color w:val="000000"/>
                <w:sz w:val="18"/>
                <w:szCs w:val="18"/>
              </w:rPr>
              <w:t>-2,6%</w:t>
            </w:r>
          </w:p>
        </w:tc>
        <w:tc>
          <w:tcPr>
            <w:tcW w:w="1218" w:type="dxa"/>
            <w:tcBorders>
              <w:top w:val="nil"/>
              <w:left w:val="nil"/>
              <w:bottom w:val="nil"/>
              <w:right w:val="nil"/>
            </w:tcBorders>
            <w:noWrap/>
            <w:vAlign w:val="center"/>
          </w:tcPr>
          <w:p w14:paraId="05323112" w14:textId="22AB2645" w:rsidR="00891A59" w:rsidRPr="00891A59" w:rsidRDefault="00891A59" w:rsidP="00891A59">
            <w:pPr>
              <w:spacing w:after="0" w:line="240" w:lineRule="auto"/>
              <w:jc w:val="right"/>
              <w:rPr>
                <w:b/>
                <w:bCs/>
                <w:color w:val="000000"/>
                <w:sz w:val="18"/>
                <w:szCs w:val="18"/>
              </w:rPr>
            </w:pPr>
            <w:r w:rsidRPr="00891A59">
              <w:rPr>
                <w:b/>
                <w:bCs/>
                <w:color w:val="000000"/>
                <w:sz w:val="18"/>
                <w:szCs w:val="18"/>
              </w:rPr>
              <w:t>-3 435 332</w:t>
            </w:r>
          </w:p>
        </w:tc>
        <w:tc>
          <w:tcPr>
            <w:tcW w:w="948" w:type="dxa"/>
            <w:tcBorders>
              <w:top w:val="nil"/>
              <w:left w:val="nil"/>
              <w:bottom w:val="nil"/>
              <w:right w:val="nil"/>
            </w:tcBorders>
            <w:noWrap/>
            <w:vAlign w:val="center"/>
          </w:tcPr>
          <w:p w14:paraId="71913F27" w14:textId="4CFAAC31" w:rsidR="00891A59" w:rsidRPr="00891A59" w:rsidRDefault="00891A59" w:rsidP="00891A59">
            <w:pPr>
              <w:spacing w:after="0" w:line="240" w:lineRule="auto"/>
              <w:jc w:val="right"/>
              <w:rPr>
                <w:b/>
                <w:sz w:val="18"/>
                <w:szCs w:val="18"/>
              </w:rPr>
            </w:pPr>
            <w:r w:rsidRPr="00891A59">
              <w:rPr>
                <w:b/>
                <w:bCs/>
                <w:color w:val="000000"/>
                <w:sz w:val="18"/>
                <w:szCs w:val="18"/>
              </w:rPr>
              <w:t>-3,6%</w:t>
            </w:r>
          </w:p>
        </w:tc>
        <w:tc>
          <w:tcPr>
            <w:tcW w:w="1220" w:type="dxa"/>
            <w:tcBorders>
              <w:top w:val="nil"/>
              <w:left w:val="nil"/>
              <w:bottom w:val="nil"/>
              <w:right w:val="single" w:sz="4" w:space="0" w:color="auto"/>
            </w:tcBorders>
            <w:noWrap/>
            <w:vAlign w:val="center"/>
          </w:tcPr>
          <w:p w14:paraId="6C309D2C" w14:textId="46E19A80" w:rsidR="00891A59" w:rsidRPr="00891A59" w:rsidRDefault="00891A59" w:rsidP="00891A59">
            <w:pPr>
              <w:spacing w:after="0" w:line="240" w:lineRule="auto"/>
              <w:jc w:val="right"/>
              <w:rPr>
                <w:b/>
                <w:sz w:val="18"/>
                <w:szCs w:val="18"/>
              </w:rPr>
            </w:pPr>
            <w:r w:rsidRPr="00891A59">
              <w:rPr>
                <w:b/>
                <w:bCs/>
                <w:color w:val="000000"/>
                <w:sz w:val="18"/>
                <w:szCs w:val="18"/>
              </w:rPr>
              <w:t>-4 405 875</w:t>
            </w:r>
          </w:p>
        </w:tc>
        <w:tc>
          <w:tcPr>
            <w:tcW w:w="999" w:type="dxa"/>
            <w:tcBorders>
              <w:top w:val="nil"/>
              <w:left w:val="single" w:sz="4" w:space="0" w:color="auto"/>
              <w:bottom w:val="nil"/>
              <w:right w:val="nil"/>
            </w:tcBorders>
            <w:noWrap/>
            <w:vAlign w:val="center"/>
          </w:tcPr>
          <w:p w14:paraId="200A914E" w14:textId="5205D5AF" w:rsidR="00891A59" w:rsidRPr="00891A59" w:rsidRDefault="00891A59" w:rsidP="00891A59">
            <w:pPr>
              <w:spacing w:after="0" w:line="240" w:lineRule="auto"/>
              <w:jc w:val="center"/>
              <w:rPr>
                <w:b/>
                <w:bCs/>
                <w:color w:val="000000"/>
                <w:sz w:val="18"/>
                <w:szCs w:val="18"/>
              </w:rPr>
            </w:pPr>
            <w:r w:rsidRPr="00891A59">
              <w:rPr>
                <w:b/>
                <w:bCs/>
                <w:color w:val="000000"/>
                <w:sz w:val="18"/>
                <w:szCs w:val="18"/>
              </w:rPr>
              <w:t>1,0%</w:t>
            </w:r>
          </w:p>
        </w:tc>
        <w:tc>
          <w:tcPr>
            <w:tcW w:w="1167" w:type="dxa"/>
            <w:tcBorders>
              <w:top w:val="nil"/>
              <w:left w:val="nil"/>
              <w:bottom w:val="nil"/>
              <w:right w:val="nil"/>
            </w:tcBorders>
            <w:noWrap/>
            <w:vAlign w:val="center"/>
          </w:tcPr>
          <w:p w14:paraId="50751B9A" w14:textId="64CABA1E" w:rsidR="00891A59" w:rsidRPr="00891A59" w:rsidRDefault="00891A59" w:rsidP="00891A59">
            <w:pPr>
              <w:spacing w:after="0" w:line="240" w:lineRule="auto"/>
              <w:jc w:val="right"/>
              <w:rPr>
                <w:b/>
                <w:bCs/>
                <w:color w:val="000000"/>
                <w:sz w:val="18"/>
                <w:szCs w:val="18"/>
              </w:rPr>
            </w:pPr>
            <w:r w:rsidRPr="00891A59">
              <w:rPr>
                <w:b/>
                <w:bCs/>
                <w:color w:val="000000"/>
                <w:sz w:val="18"/>
                <w:szCs w:val="18"/>
              </w:rPr>
              <w:t>970 543</w:t>
            </w:r>
          </w:p>
        </w:tc>
      </w:tr>
      <w:tr w:rsidR="00891A59" w:rsidRPr="00891A59" w14:paraId="49D60EB2" w14:textId="77777777" w:rsidTr="00891A59">
        <w:trPr>
          <w:trHeight w:val="275"/>
        </w:trPr>
        <w:tc>
          <w:tcPr>
            <w:tcW w:w="2846" w:type="dxa"/>
            <w:gridSpan w:val="2"/>
            <w:tcBorders>
              <w:top w:val="single" w:sz="4" w:space="0" w:color="auto"/>
              <w:left w:val="nil"/>
              <w:bottom w:val="single" w:sz="8" w:space="0" w:color="auto"/>
              <w:right w:val="nil"/>
            </w:tcBorders>
            <w:noWrap/>
            <w:vAlign w:val="center"/>
            <w:hideMark/>
          </w:tcPr>
          <w:p w14:paraId="11F3E072" w14:textId="4F2737D8" w:rsidR="00891A59" w:rsidRPr="00891A59" w:rsidRDefault="00891A59" w:rsidP="00891A59">
            <w:pPr>
              <w:spacing w:after="0" w:line="240" w:lineRule="auto"/>
              <w:rPr>
                <w:b/>
                <w:bCs/>
                <w:color w:val="000000"/>
                <w:sz w:val="18"/>
                <w:szCs w:val="18"/>
                <w:lang w:eastAsia="sk-SK"/>
              </w:rPr>
            </w:pPr>
            <w:r w:rsidRPr="00891A59">
              <w:rPr>
                <w:b/>
                <w:bCs/>
                <w:color w:val="000000"/>
                <w:sz w:val="18"/>
                <w:szCs w:val="18"/>
                <w:lang w:eastAsia="sk-SK"/>
              </w:rPr>
              <w:t>Implicitné záväzky spolu</w:t>
            </w:r>
          </w:p>
        </w:tc>
        <w:tc>
          <w:tcPr>
            <w:tcW w:w="956" w:type="dxa"/>
            <w:tcBorders>
              <w:top w:val="single" w:sz="4" w:space="0" w:color="auto"/>
              <w:left w:val="nil"/>
              <w:bottom w:val="single" w:sz="8" w:space="0" w:color="auto"/>
              <w:right w:val="nil"/>
            </w:tcBorders>
            <w:noWrap/>
            <w:vAlign w:val="center"/>
          </w:tcPr>
          <w:p w14:paraId="53F62CDC" w14:textId="528337A6" w:rsidR="00891A59" w:rsidRPr="00891A59" w:rsidRDefault="00891A59" w:rsidP="00891A59">
            <w:pPr>
              <w:spacing w:after="0" w:line="240" w:lineRule="auto"/>
              <w:jc w:val="right"/>
              <w:rPr>
                <w:b/>
                <w:bCs/>
                <w:color w:val="000000"/>
                <w:sz w:val="18"/>
                <w:szCs w:val="18"/>
              </w:rPr>
            </w:pPr>
            <w:r w:rsidRPr="00891A59">
              <w:rPr>
                <w:b/>
                <w:bCs/>
                <w:color w:val="000000"/>
                <w:sz w:val="18"/>
                <w:szCs w:val="18"/>
              </w:rPr>
              <w:t>-153,0%</w:t>
            </w:r>
          </w:p>
        </w:tc>
        <w:tc>
          <w:tcPr>
            <w:tcW w:w="1218" w:type="dxa"/>
            <w:tcBorders>
              <w:top w:val="single" w:sz="4" w:space="0" w:color="auto"/>
              <w:left w:val="nil"/>
              <w:bottom w:val="single" w:sz="8" w:space="0" w:color="auto"/>
              <w:right w:val="nil"/>
            </w:tcBorders>
            <w:noWrap/>
            <w:vAlign w:val="center"/>
          </w:tcPr>
          <w:p w14:paraId="2623DDA6" w14:textId="423AE72B" w:rsidR="00891A59" w:rsidRPr="00891A59" w:rsidRDefault="00891A59" w:rsidP="00891A59">
            <w:pPr>
              <w:spacing w:after="0" w:line="240" w:lineRule="auto"/>
              <w:jc w:val="right"/>
              <w:rPr>
                <w:b/>
                <w:bCs/>
                <w:color w:val="000000"/>
                <w:sz w:val="18"/>
                <w:szCs w:val="18"/>
              </w:rPr>
            </w:pPr>
            <w:r w:rsidRPr="00891A59">
              <w:rPr>
                <w:b/>
                <w:bCs/>
                <w:color w:val="000000"/>
                <w:sz w:val="18"/>
                <w:szCs w:val="18"/>
              </w:rPr>
              <w:t>-200 365 296</w:t>
            </w:r>
          </w:p>
        </w:tc>
        <w:tc>
          <w:tcPr>
            <w:tcW w:w="948" w:type="dxa"/>
            <w:tcBorders>
              <w:top w:val="single" w:sz="4" w:space="0" w:color="auto"/>
              <w:left w:val="nil"/>
              <w:bottom w:val="single" w:sz="8" w:space="0" w:color="auto"/>
              <w:right w:val="nil"/>
            </w:tcBorders>
            <w:noWrap/>
            <w:vAlign w:val="center"/>
            <w:hideMark/>
          </w:tcPr>
          <w:p w14:paraId="48FAE818" w14:textId="2138BF22" w:rsidR="00891A59" w:rsidRPr="00891A59" w:rsidRDefault="00891A59" w:rsidP="00891A59">
            <w:pPr>
              <w:spacing w:after="0" w:line="240" w:lineRule="auto"/>
              <w:jc w:val="right"/>
              <w:rPr>
                <w:b/>
                <w:sz w:val="18"/>
                <w:szCs w:val="18"/>
              </w:rPr>
            </w:pPr>
            <w:r w:rsidRPr="00891A59">
              <w:rPr>
                <w:b/>
                <w:bCs/>
                <w:color w:val="000000"/>
                <w:sz w:val="18"/>
                <w:szCs w:val="18"/>
              </w:rPr>
              <w:t>-162,0%</w:t>
            </w:r>
          </w:p>
        </w:tc>
        <w:tc>
          <w:tcPr>
            <w:tcW w:w="1220" w:type="dxa"/>
            <w:tcBorders>
              <w:top w:val="single" w:sz="4" w:space="0" w:color="auto"/>
              <w:left w:val="nil"/>
              <w:bottom w:val="single" w:sz="8" w:space="0" w:color="auto"/>
              <w:right w:val="single" w:sz="4" w:space="0" w:color="auto"/>
            </w:tcBorders>
            <w:noWrap/>
            <w:vAlign w:val="center"/>
            <w:hideMark/>
          </w:tcPr>
          <w:p w14:paraId="5CA6C2CC" w14:textId="10AC88D0" w:rsidR="00891A59" w:rsidRPr="00891A59" w:rsidRDefault="00891A59" w:rsidP="00891A59">
            <w:pPr>
              <w:spacing w:after="0" w:line="240" w:lineRule="auto"/>
              <w:jc w:val="right"/>
              <w:rPr>
                <w:b/>
                <w:sz w:val="18"/>
                <w:szCs w:val="18"/>
              </w:rPr>
            </w:pPr>
            <w:r w:rsidRPr="00891A59">
              <w:rPr>
                <w:b/>
                <w:bCs/>
                <w:color w:val="000000"/>
                <w:sz w:val="18"/>
                <w:szCs w:val="18"/>
              </w:rPr>
              <w:t>-198 900 935</w:t>
            </w:r>
          </w:p>
        </w:tc>
        <w:tc>
          <w:tcPr>
            <w:tcW w:w="999" w:type="dxa"/>
            <w:tcBorders>
              <w:top w:val="single" w:sz="4" w:space="0" w:color="auto"/>
              <w:left w:val="single" w:sz="4" w:space="0" w:color="auto"/>
              <w:bottom w:val="single" w:sz="8" w:space="0" w:color="auto"/>
              <w:right w:val="nil"/>
            </w:tcBorders>
            <w:noWrap/>
            <w:vAlign w:val="center"/>
            <w:hideMark/>
          </w:tcPr>
          <w:p w14:paraId="048C0366" w14:textId="6B9E2BD2" w:rsidR="00891A59" w:rsidRPr="00891A59" w:rsidRDefault="00891A59" w:rsidP="00891A59">
            <w:pPr>
              <w:spacing w:after="0" w:line="240" w:lineRule="auto"/>
              <w:jc w:val="center"/>
              <w:rPr>
                <w:b/>
                <w:bCs/>
                <w:color w:val="000000"/>
                <w:sz w:val="18"/>
                <w:szCs w:val="18"/>
              </w:rPr>
            </w:pPr>
            <w:r w:rsidRPr="00891A59">
              <w:rPr>
                <w:b/>
                <w:bCs/>
                <w:color w:val="000000"/>
                <w:sz w:val="18"/>
                <w:szCs w:val="18"/>
              </w:rPr>
              <w:t>9,0%</w:t>
            </w:r>
          </w:p>
        </w:tc>
        <w:tc>
          <w:tcPr>
            <w:tcW w:w="1167" w:type="dxa"/>
            <w:tcBorders>
              <w:top w:val="single" w:sz="4" w:space="0" w:color="auto"/>
              <w:left w:val="nil"/>
              <w:bottom w:val="single" w:sz="8" w:space="0" w:color="auto"/>
              <w:right w:val="nil"/>
            </w:tcBorders>
            <w:noWrap/>
            <w:vAlign w:val="center"/>
            <w:hideMark/>
          </w:tcPr>
          <w:p w14:paraId="0A6B1A21" w14:textId="6D53D689" w:rsidR="00891A59" w:rsidRPr="00891A59" w:rsidRDefault="00891A59" w:rsidP="00891A59">
            <w:pPr>
              <w:spacing w:after="0" w:line="240" w:lineRule="auto"/>
              <w:jc w:val="right"/>
              <w:rPr>
                <w:b/>
                <w:bCs/>
                <w:color w:val="000000"/>
                <w:sz w:val="18"/>
                <w:szCs w:val="18"/>
              </w:rPr>
            </w:pPr>
            <w:r w:rsidRPr="00891A59">
              <w:rPr>
                <w:b/>
                <w:bCs/>
                <w:color w:val="000000"/>
                <w:sz w:val="18"/>
                <w:szCs w:val="18"/>
              </w:rPr>
              <w:t>-1 464 361</w:t>
            </w:r>
          </w:p>
        </w:tc>
      </w:tr>
    </w:tbl>
    <w:p w14:paraId="0A750B70" w14:textId="52FA7C9C" w:rsidR="00DD0DA5" w:rsidRPr="00891A59" w:rsidRDefault="000B1F5C" w:rsidP="000B1F5C">
      <w:pPr>
        <w:spacing w:after="120" w:line="240" w:lineRule="auto"/>
        <w:jc w:val="center"/>
        <w:rPr>
          <w:i/>
          <w:sz w:val="16"/>
          <w:szCs w:val="16"/>
        </w:rPr>
      </w:pPr>
      <w:r w:rsidRPr="00891A59">
        <w:rPr>
          <w:i/>
          <w:sz w:val="16"/>
          <w:szCs w:val="16"/>
        </w:rPr>
        <w:t xml:space="preserve">                                                                                                                               </w:t>
      </w:r>
      <w:r w:rsidRPr="00891A59">
        <w:rPr>
          <w:i/>
          <w:sz w:val="16"/>
          <w:szCs w:val="16"/>
        </w:rPr>
        <w:tab/>
      </w:r>
      <w:r w:rsidRPr="00891A59">
        <w:rPr>
          <w:i/>
          <w:sz w:val="16"/>
          <w:szCs w:val="16"/>
        </w:rPr>
        <w:tab/>
      </w:r>
      <w:r w:rsidRPr="00891A59">
        <w:rPr>
          <w:i/>
          <w:sz w:val="16"/>
          <w:szCs w:val="16"/>
        </w:rPr>
        <w:tab/>
      </w:r>
      <w:r w:rsidRPr="00891A59">
        <w:rPr>
          <w:i/>
          <w:sz w:val="16"/>
          <w:szCs w:val="16"/>
        </w:rPr>
        <w:tab/>
      </w:r>
      <w:r w:rsidR="008A488A" w:rsidRPr="00891A59">
        <w:rPr>
          <w:i/>
          <w:sz w:val="16"/>
          <w:szCs w:val="16"/>
        </w:rPr>
        <w:t xml:space="preserve">    </w:t>
      </w:r>
      <w:r w:rsidR="003569EA" w:rsidRPr="00891A59">
        <w:rPr>
          <w:i/>
          <w:sz w:val="16"/>
          <w:szCs w:val="16"/>
        </w:rPr>
        <w:t xml:space="preserve">        </w:t>
      </w:r>
      <w:r w:rsidR="008A488A" w:rsidRPr="00891A59">
        <w:rPr>
          <w:i/>
          <w:sz w:val="16"/>
          <w:szCs w:val="16"/>
        </w:rPr>
        <w:t xml:space="preserve">   </w:t>
      </w:r>
      <w:r w:rsidR="00DD0DA5" w:rsidRPr="00891A59">
        <w:rPr>
          <w:i/>
          <w:sz w:val="16"/>
          <w:szCs w:val="16"/>
        </w:rPr>
        <w:t>Zdroj: MF SR</w:t>
      </w:r>
    </w:p>
    <w:p w14:paraId="08CB6FB4" w14:textId="52F49D85" w:rsidR="00891A59" w:rsidRPr="00CE3A7D" w:rsidRDefault="00891A59" w:rsidP="00891A59">
      <w:pPr>
        <w:spacing w:before="120" w:after="0" w:line="240" w:lineRule="auto"/>
        <w:jc w:val="both"/>
        <w:rPr>
          <w:rFonts w:eastAsia="Calibri"/>
          <w:szCs w:val="22"/>
          <w:highlight w:val="yellow"/>
        </w:rPr>
      </w:pPr>
      <w:r w:rsidRPr="009A2C72">
        <w:rPr>
          <w:rFonts w:eastAsia="Calibri"/>
          <w:b/>
          <w:bCs/>
          <w:szCs w:val="22"/>
        </w:rPr>
        <w:t xml:space="preserve">Vláda </w:t>
      </w:r>
      <w:r>
        <w:rPr>
          <w:rFonts w:eastAsia="Calibri"/>
          <w:b/>
          <w:bCs/>
          <w:szCs w:val="22"/>
        </w:rPr>
        <w:t>počas</w:t>
      </w:r>
      <w:r w:rsidRPr="009A2C72">
        <w:rPr>
          <w:rFonts w:eastAsia="Calibri"/>
          <w:b/>
          <w:bCs/>
          <w:szCs w:val="22"/>
        </w:rPr>
        <w:t xml:space="preserve"> roka 202</w:t>
      </w:r>
      <w:r>
        <w:rPr>
          <w:rFonts w:eastAsia="Calibri"/>
          <w:b/>
          <w:bCs/>
          <w:szCs w:val="22"/>
        </w:rPr>
        <w:t>4</w:t>
      </w:r>
      <w:r w:rsidRPr="009A2C72">
        <w:rPr>
          <w:rFonts w:eastAsia="Calibri"/>
          <w:b/>
          <w:bCs/>
          <w:szCs w:val="22"/>
        </w:rPr>
        <w:t xml:space="preserve"> </w:t>
      </w:r>
      <w:r>
        <w:rPr>
          <w:rFonts w:eastAsia="Calibri"/>
          <w:b/>
          <w:bCs/>
          <w:szCs w:val="22"/>
        </w:rPr>
        <w:t>schválila</w:t>
      </w:r>
      <w:r w:rsidRPr="009A2C72">
        <w:rPr>
          <w:rFonts w:eastAsia="Calibri"/>
          <w:b/>
          <w:bCs/>
          <w:szCs w:val="22"/>
        </w:rPr>
        <w:t xml:space="preserve"> nové opatrenia v dôchodkovom systéme, ktorých súhrnný vplyv na</w:t>
      </w:r>
      <w:r w:rsidR="00041EA0">
        <w:rPr>
          <w:rFonts w:eastAsia="Calibri"/>
          <w:b/>
          <w:bCs/>
          <w:szCs w:val="22"/>
        </w:rPr>
        <w:t> </w:t>
      </w:r>
      <w:r w:rsidRPr="009A2C72">
        <w:rPr>
          <w:rFonts w:eastAsia="Calibri"/>
          <w:b/>
          <w:bCs/>
          <w:szCs w:val="22"/>
        </w:rPr>
        <w:t>implicitné záväzky do roku 206</w:t>
      </w:r>
      <w:r>
        <w:rPr>
          <w:rFonts w:eastAsia="Calibri"/>
          <w:b/>
          <w:bCs/>
          <w:szCs w:val="22"/>
        </w:rPr>
        <w:t>7</w:t>
      </w:r>
      <w:r w:rsidRPr="009A2C72">
        <w:rPr>
          <w:rFonts w:eastAsia="Calibri"/>
          <w:b/>
          <w:bCs/>
          <w:szCs w:val="22"/>
        </w:rPr>
        <w:t xml:space="preserve"> je približne</w:t>
      </w:r>
      <w:r>
        <w:rPr>
          <w:rFonts w:eastAsia="Calibri"/>
          <w:b/>
          <w:bCs/>
          <w:szCs w:val="22"/>
        </w:rPr>
        <w:t xml:space="preserve"> 20,7</w:t>
      </w:r>
      <w:r w:rsidR="00E1792B">
        <w:rPr>
          <w:rFonts w:eastAsia="Calibri"/>
          <w:b/>
          <w:bCs/>
          <w:szCs w:val="22"/>
        </w:rPr>
        <w:t> </w:t>
      </w:r>
      <w:r>
        <w:rPr>
          <w:rFonts w:eastAsia="Calibri"/>
          <w:b/>
          <w:bCs/>
          <w:szCs w:val="22"/>
        </w:rPr>
        <w:t>p.</w:t>
      </w:r>
      <w:r w:rsidR="00E1792B">
        <w:rPr>
          <w:rFonts w:eastAsia="Calibri"/>
          <w:b/>
          <w:bCs/>
          <w:szCs w:val="22"/>
        </w:rPr>
        <w:t> </w:t>
      </w:r>
      <w:r>
        <w:rPr>
          <w:rFonts w:eastAsia="Calibri"/>
          <w:b/>
          <w:bCs/>
          <w:szCs w:val="22"/>
        </w:rPr>
        <w:t>b</w:t>
      </w:r>
      <w:r w:rsidRPr="009A2C72">
        <w:rPr>
          <w:rFonts w:eastAsia="Calibri"/>
          <w:b/>
          <w:bCs/>
          <w:szCs w:val="22"/>
        </w:rPr>
        <w:t>.</w:t>
      </w:r>
      <w:r w:rsidRPr="009A2C72">
        <w:rPr>
          <w:rFonts w:eastAsia="Calibri"/>
          <w:szCs w:val="22"/>
        </w:rPr>
        <w:t xml:space="preserve"> </w:t>
      </w:r>
      <w:r>
        <w:rPr>
          <w:rFonts w:eastAsia="Calibri"/>
          <w:szCs w:val="22"/>
        </w:rPr>
        <w:t>Zjednotenie krátenia predčasných dôchodkov na 0,5</w:t>
      </w:r>
      <w:r w:rsidR="00E1792B">
        <w:rPr>
          <w:rFonts w:eastAsia="Calibri"/>
          <w:szCs w:val="22"/>
        </w:rPr>
        <w:t> </w:t>
      </w:r>
      <w:r>
        <w:rPr>
          <w:rFonts w:eastAsia="Calibri"/>
          <w:szCs w:val="22"/>
        </w:rPr>
        <w:t>% za každých začatých 30</w:t>
      </w:r>
      <w:r w:rsidR="00E1792B">
        <w:rPr>
          <w:rFonts w:eastAsia="Calibri"/>
          <w:szCs w:val="22"/>
        </w:rPr>
        <w:t> </w:t>
      </w:r>
      <w:r>
        <w:rPr>
          <w:rFonts w:eastAsia="Calibri"/>
          <w:szCs w:val="22"/>
        </w:rPr>
        <w:t>dní, ktoré poistencovi chýbajú do dovŕšenia dôchodkového veku a zároveň zavedenie každoročného zvyšovania potrebného odpracovaného obdobia o 2 mesiace v závislosti od ročníka poistenca má pozitívny vplyv na implicitné záväzky približne 10,3</w:t>
      </w:r>
      <w:r w:rsidR="00E1792B">
        <w:rPr>
          <w:rFonts w:eastAsia="Calibri"/>
          <w:szCs w:val="22"/>
        </w:rPr>
        <w:t> </w:t>
      </w:r>
      <w:r>
        <w:rPr>
          <w:rFonts w:eastAsia="Calibri"/>
          <w:szCs w:val="22"/>
        </w:rPr>
        <w:t>p.</w:t>
      </w:r>
      <w:r w:rsidR="00E1792B">
        <w:rPr>
          <w:rFonts w:eastAsia="Calibri"/>
          <w:szCs w:val="22"/>
        </w:rPr>
        <w:t> </w:t>
      </w:r>
      <w:r>
        <w:rPr>
          <w:rFonts w:eastAsia="Calibri"/>
          <w:szCs w:val="22"/>
        </w:rPr>
        <w:t>b. Taktiež sa schválilo zrušenie rodičovského dôchodku, ktorý bol nahradený od 1.1.2025 asignáciou podielu zaplatenej dane, pozitívny vplyv na implicitné záväzky sa odhaduje v hodnote 10,5</w:t>
      </w:r>
      <w:r w:rsidR="00E1792B">
        <w:rPr>
          <w:rFonts w:eastAsia="Calibri"/>
          <w:szCs w:val="22"/>
        </w:rPr>
        <w:t> </w:t>
      </w:r>
      <w:r>
        <w:rPr>
          <w:rFonts w:eastAsia="Calibri"/>
          <w:szCs w:val="22"/>
        </w:rPr>
        <w:t>p.</w:t>
      </w:r>
      <w:r w:rsidR="00E1792B">
        <w:rPr>
          <w:rFonts w:eastAsia="Calibri"/>
          <w:szCs w:val="22"/>
        </w:rPr>
        <w:t> </w:t>
      </w:r>
      <w:r>
        <w:rPr>
          <w:rFonts w:eastAsia="Calibri"/>
          <w:szCs w:val="22"/>
        </w:rPr>
        <w:t xml:space="preserve">b. </w:t>
      </w:r>
    </w:p>
    <w:p w14:paraId="3BC3CFF3" w14:textId="311997E7" w:rsidR="00861EEF" w:rsidRPr="00C6300E" w:rsidRDefault="00861EEF" w:rsidP="00D162A9">
      <w:pPr>
        <w:pStyle w:val="Popis"/>
      </w:pPr>
      <w:r w:rsidRPr="00C6300E">
        <w:t xml:space="preserve">Graf </w:t>
      </w:r>
      <w:r w:rsidR="00B26C85" w:rsidRPr="00C6300E">
        <w:t>7</w:t>
      </w:r>
      <w:r w:rsidRPr="00C6300E">
        <w:t xml:space="preserve"> - Aktualizácia implicitných záväzkov v 202</w:t>
      </w:r>
      <w:r w:rsidR="00891A59" w:rsidRPr="00C6300E">
        <w:t>4</w:t>
      </w:r>
      <w:r w:rsidRPr="00C6300E">
        <w:t xml:space="preserve"> súvisiacich so starnutím populácie (do 206</w:t>
      </w:r>
      <w:r w:rsidR="00891A59" w:rsidRPr="00C6300E">
        <w:t>7</w:t>
      </w:r>
      <w:r w:rsidRPr="00C6300E">
        <w:t>; %</w:t>
      </w:r>
      <w:r w:rsidR="00E1792B">
        <w:t> </w:t>
      </w:r>
      <w:r w:rsidRPr="00C6300E">
        <w:t>HDP)</w:t>
      </w:r>
    </w:p>
    <w:tbl>
      <w:tblPr>
        <w:tblpPr w:leftFromText="141" w:rightFromText="141" w:vertAnchor="text" w:horzAnchor="margin" w:tblpY="61"/>
        <w:tblOverlap w:val="never"/>
        <w:tblW w:w="4997"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9489"/>
      </w:tblGrid>
      <w:tr w:rsidR="009E7882" w:rsidRPr="00174C84" w14:paraId="1A58EA15" w14:textId="77777777" w:rsidTr="00861EEF">
        <w:trPr>
          <w:trHeight w:val="913"/>
        </w:trPr>
        <w:tc>
          <w:tcPr>
            <w:tcW w:w="5000" w:type="pct"/>
            <w:tcBorders>
              <w:top w:val="nil"/>
              <w:left w:val="nil"/>
              <w:bottom w:val="nil"/>
              <w:right w:val="nil"/>
            </w:tcBorders>
            <w:vAlign w:val="center"/>
          </w:tcPr>
          <w:tbl>
            <w:tblPr>
              <w:tblpPr w:leftFromText="141" w:rightFromText="141" w:vertAnchor="text" w:horzAnchor="margin" w:tblpY="61"/>
              <w:tblOverlap w:val="never"/>
              <w:tblW w:w="4987"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9325"/>
            </w:tblGrid>
            <w:tr w:rsidR="00891A59" w:rsidRPr="00CE3A7D" w14:paraId="66BA2381" w14:textId="77777777" w:rsidTr="00BB1667">
              <w:trPr>
                <w:trHeight w:val="913"/>
              </w:trPr>
              <w:tc>
                <w:tcPr>
                  <w:tcW w:w="4902" w:type="pct"/>
                  <w:tcBorders>
                    <w:top w:val="single" w:sz="4" w:space="0" w:color="auto"/>
                    <w:left w:val="nil"/>
                    <w:bottom w:val="single" w:sz="4" w:space="0" w:color="auto"/>
                    <w:right w:val="nil"/>
                  </w:tcBorders>
                  <w:vAlign w:val="center"/>
                </w:tcPr>
                <w:p w14:paraId="3D0E4000" w14:textId="77777777" w:rsidR="00891A59" w:rsidRPr="00CE3A7D" w:rsidRDefault="00891A59" w:rsidP="00891A59">
                  <w:pPr>
                    <w:spacing w:before="40" w:after="40"/>
                    <w:jc w:val="center"/>
                    <w:rPr>
                      <w:rFonts w:ascii="Arial Narrow" w:hAnsi="Arial Narrow" w:cs="Arial"/>
                      <w:b/>
                      <w:sz w:val="20"/>
                      <w:szCs w:val="20"/>
                      <w:highlight w:val="yellow"/>
                    </w:rPr>
                  </w:pPr>
                  <w:r>
                    <w:rPr>
                      <w:noProof/>
                    </w:rPr>
                    <w:drawing>
                      <wp:inline distT="0" distB="0" distL="0" distR="0" wp14:anchorId="45A91EF5" wp14:editId="04156EE8">
                        <wp:extent cx="5541010" cy="1743710"/>
                        <wp:effectExtent l="0" t="0" r="2540" b="8890"/>
                        <wp:docPr id="184513750" name="Graf 1">
                          <a:extLst xmlns:a="http://schemas.openxmlformats.org/drawingml/2006/main">
                            <a:ext uri="{FF2B5EF4-FFF2-40B4-BE49-F238E27FC236}">
                              <a16:creationId xmlns:a16="http://schemas.microsoft.com/office/drawing/2014/main" id="{C4D2BC8C-B055-4922-A0C7-B31D837D7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891A59" w:rsidRPr="00F4056D" w14:paraId="6EEAED93" w14:textId="77777777" w:rsidTr="00BB1667">
              <w:trPr>
                <w:trHeight w:val="114"/>
              </w:trPr>
              <w:tc>
                <w:tcPr>
                  <w:tcW w:w="4902" w:type="pct"/>
                  <w:tcBorders>
                    <w:top w:val="single" w:sz="4" w:space="0" w:color="auto"/>
                    <w:left w:val="nil"/>
                    <w:bottom w:val="nil"/>
                    <w:right w:val="nil"/>
                  </w:tcBorders>
                </w:tcPr>
                <w:p w14:paraId="0DF0EE19" w14:textId="77777777" w:rsidR="00891A59" w:rsidRPr="00F4056D" w:rsidRDefault="00891A59" w:rsidP="00891A59">
                  <w:pPr>
                    <w:spacing w:before="40" w:after="40"/>
                    <w:jc w:val="both"/>
                    <w:rPr>
                      <w:i/>
                      <w:sz w:val="16"/>
                      <w:szCs w:val="14"/>
                    </w:rPr>
                  </w:pPr>
                  <w:r w:rsidRPr="00F4056D">
                    <w:rPr>
                      <w:i/>
                      <w:sz w:val="16"/>
                      <w:szCs w:val="14"/>
                    </w:rPr>
                    <w:t>Pozn.: * Aktualizácia projekcie dlhodobých výdavkov citlivých na starnutie (dôchodkový systém, zdravotníctvo, školstvo, dlhodobá starostlivosť; štandardný posun sledovaného horizontu o 1 rok; aktualizácia HDP a ďalších makroekonomických ukazovateľov do roku 2029.</w:t>
                  </w:r>
                </w:p>
              </w:tc>
            </w:tr>
          </w:tbl>
          <w:p w14:paraId="5319A843" w14:textId="72459EDE" w:rsidR="009E7882" w:rsidRPr="00174C84" w:rsidRDefault="009E7882" w:rsidP="00891A59">
            <w:pPr>
              <w:spacing w:before="40" w:after="40"/>
              <w:rPr>
                <w:rFonts w:ascii="Arial Narrow" w:hAnsi="Arial Narrow" w:cs="Arial"/>
                <w:b/>
                <w:sz w:val="20"/>
                <w:szCs w:val="20"/>
                <w:highlight w:val="yellow"/>
              </w:rPr>
            </w:pPr>
          </w:p>
        </w:tc>
      </w:tr>
      <w:tr w:rsidR="009E7882" w:rsidRPr="00174C84" w14:paraId="38A25E0E" w14:textId="77777777" w:rsidTr="00861EEF">
        <w:trPr>
          <w:trHeight w:val="114"/>
        </w:trPr>
        <w:tc>
          <w:tcPr>
            <w:tcW w:w="5000" w:type="pct"/>
            <w:tcBorders>
              <w:top w:val="nil"/>
              <w:left w:val="nil"/>
              <w:bottom w:val="nil"/>
              <w:right w:val="nil"/>
            </w:tcBorders>
          </w:tcPr>
          <w:p w14:paraId="6018F601" w14:textId="51044A6E" w:rsidR="009E7882" w:rsidRPr="00174C84" w:rsidRDefault="00891A59" w:rsidP="00FC2B68">
            <w:pPr>
              <w:spacing w:before="40" w:after="40"/>
              <w:jc w:val="both"/>
              <w:rPr>
                <w:i/>
                <w:sz w:val="16"/>
                <w:szCs w:val="14"/>
                <w:highlight w:val="yellow"/>
              </w:rPr>
            </w:pPr>
            <w:r>
              <w:rPr>
                <w:i/>
                <w:sz w:val="16"/>
                <w:szCs w:val="14"/>
              </w:rPr>
              <w:t xml:space="preserve">                                                                                                                                                                                                       </w:t>
            </w:r>
            <w:r w:rsidRPr="00044AB2">
              <w:rPr>
                <w:i/>
                <w:sz w:val="16"/>
                <w:szCs w:val="14"/>
              </w:rPr>
              <w:t>Zdroj: MF SR</w:t>
            </w:r>
          </w:p>
        </w:tc>
      </w:tr>
      <w:tr w:rsidR="009E7882" w:rsidRPr="00174C84" w14:paraId="1D1C13EC" w14:textId="77777777" w:rsidTr="00861EEF">
        <w:trPr>
          <w:trHeight w:val="114"/>
        </w:trPr>
        <w:tc>
          <w:tcPr>
            <w:tcW w:w="5000" w:type="pct"/>
            <w:tcBorders>
              <w:top w:val="nil"/>
              <w:left w:val="nil"/>
              <w:bottom w:val="nil"/>
              <w:right w:val="nil"/>
            </w:tcBorders>
          </w:tcPr>
          <w:p w14:paraId="47FF02D2" w14:textId="61610062" w:rsidR="009E7882" w:rsidRPr="00174C84" w:rsidRDefault="009E7882" w:rsidP="00FC2B68">
            <w:pPr>
              <w:spacing w:before="40" w:after="40"/>
              <w:jc w:val="right"/>
              <w:rPr>
                <w:i/>
                <w:sz w:val="16"/>
                <w:szCs w:val="14"/>
                <w:highlight w:val="yellow"/>
              </w:rPr>
            </w:pPr>
          </w:p>
        </w:tc>
      </w:tr>
    </w:tbl>
    <w:p w14:paraId="03D531B3" w14:textId="17509987" w:rsidR="0061379D" w:rsidRPr="009117D3" w:rsidRDefault="00891A59" w:rsidP="00891A59">
      <w:pPr>
        <w:spacing w:after="120" w:line="240" w:lineRule="auto"/>
        <w:contextualSpacing/>
        <w:jc w:val="both"/>
        <w:rPr>
          <w:rFonts w:eastAsia="Calibri"/>
          <w:szCs w:val="22"/>
        </w:rPr>
      </w:pPr>
      <w:r w:rsidRPr="009117D3">
        <w:rPr>
          <w:rFonts w:eastAsia="Calibri"/>
          <w:b/>
          <w:szCs w:val="22"/>
        </w:rPr>
        <w:t>Záväzky vyplývajúce z PPP projektov predstavovali ku koncu roka 202</w:t>
      </w:r>
      <w:r>
        <w:rPr>
          <w:rFonts w:eastAsia="Calibri"/>
          <w:b/>
          <w:szCs w:val="22"/>
        </w:rPr>
        <w:t>4</w:t>
      </w:r>
      <w:r w:rsidRPr="009117D3">
        <w:rPr>
          <w:rFonts w:eastAsia="Calibri"/>
          <w:b/>
          <w:szCs w:val="22"/>
        </w:rPr>
        <w:t xml:space="preserve"> hodnotu 2,</w:t>
      </w:r>
      <w:r>
        <w:rPr>
          <w:rFonts w:eastAsia="Calibri"/>
          <w:b/>
          <w:szCs w:val="22"/>
        </w:rPr>
        <w:t>3</w:t>
      </w:r>
      <w:r w:rsidRPr="009117D3">
        <w:rPr>
          <w:rFonts w:eastAsia="Calibri"/>
          <w:b/>
          <w:szCs w:val="22"/>
        </w:rPr>
        <w:t>%</w:t>
      </w:r>
      <w:r w:rsidR="00E1792B">
        <w:rPr>
          <w:rFonts w:eastAsia="Calibri"/>
          <w:b/>
          <w:szCs w:val="22"/>
        </w:rPr>
        <w:t> </w:t>
      </w:r>
      <w:r w:rsidRPr="009117D3">
        <w:rPr>
          <w:rFonts w:eastAsia="Calibri"/>
          <w:b/>
          <w:szCs w:val="22"/>
        </w:rPr>
        <w:t>HDP, medziročne klesli o 0,</w:t>
      </w:r>
      <w:r>
        <w:rPr>
          <w:rFonts w:eastAsia="Calibri"/>
          <w:b/>
          <w:szCs w:val="22"/>
        </w:rPr>
        <w:t>2</w:t>
      </w:r>
      <w:r w:rsidR="00E1792B">
        <w:rPr>
          <w:rFonts w:eastAsia="Calibri"/>
          <w:b/>
          <w:szCs w:val="22"/>
        </w:rPr>
        <w:t> </w:t>
      </w:r>
      <w:r w:rsidRPr="009117D3">
        <w:rPr>
          <w:rFonts w:eastAsia="Calibri"/>
          <w:b/>
          <w:szCs w:val="22"/>
        </w:rPr>
        <w:t>p.</w:t>
      </w:r>
      <w:r w:rsidR="00E1792B">
        <w:rPr>
          <w:rFonts w:eastAsia="Calibri"/>
          <w:b/>
          <w:szCs w:val="22"/>
        </w:rPr>
        <w:t> </w:t>
      </w:r>
      <w:r w:rsidRPr="009117D3">
        <w:rPr>
          <w:rFonts w:eastAsia="Calibri"/>
          <w:b/>
          <w:szCs w:val="22"/>
        </w:rPr>
        <w:t>b.</w:t>
      </w:r>
      <w:r w:rsidR="00E1792B">
        <w:rPr>
          <w:rFonts w:eastAsia="Calibri"/>
          <w:b/>
          <w:szCs w:val="22"/>
        </w:rPr>
        <w:t> </w:t>
      </w:r>
      <w:r w:rsidRPr="009117D3">
        <w:rPr>
          <w:rFonts w:eastAsia="Calibri"/>
          <w:b/>
          <w:szCs w:val="22"/>
        </w:rPr>
        <w:t xml:space="preserve">HDP. </w:t>
      </w:r>
      <w:r w:rsidRPr="009117D3">
        <w:rPr>
          <w:rFonts w:eastAsia="Calibri"/>
          <w:szCs w:val="22"/>
        </w:rPr>
        <w:t>Záväzky sú kvantifikované na základe odhadu platieb štátu za</w:t>
      </w:r>
      <w:r w:rsidR="00041EA0">
        <w:rPr>
          <w:rFonts w:eastAsia="Calibri"/>
          <w:szCs w:val="22"/>
        </w:rPr>
        <w:t> </w:t>
      </w:r>
      <w:r w:rsidRPr="009117D3">
        <w:rPr>
          <w:rFonts w:eastAsia="Calibri"/>
          <w:szCs w:val="22"/>
        </w:rPr>
        <w:t>dostupnosť počas ich celej doby trvania koncesie.</w:t>
      </w:r>
      <w:r w:rsidRPr="009117D3">
        <w:rPr>
          <w:rFonts w:eastAsia="Calibri"/>
          <w:szCs w:val="22"/>
          <w:vertAlign w:val="superscript"/>
        </w:rPr>
        <w:footnoteReference w:id="31"/>
      </w:r>
      <w:r w:rsidRPr="009117D3">
        <w:rPr>
          <w:rFonts w:eastAsia="Calibri"/>
          <w:szCs w:val="22"/>
        </w:rPr>
        <w:t xml:space="preserve"> Medziročné zníženie odhadovaných budúcich záväzkov o 0,</w:t>
      </w:r>
      <w:r>
        <w:rPr>
          <w:rFonts w:eastAsia="Calibri"/>
          <w:szCs w:val="22"/>
        </w:rPr>
        <w:t>2</w:t>
      </w:r>
      <w:r w:rsidR="00E1792B">
        <w:rPr>
          <w:rFonts w:eastAsia="Calibri"/>
          <w:szCs w:val="22"/>
        </w:rPr>
        <w:t> </w:t>
      </w:r>
      <w:r w:rsidRPr="009117D3">
        <w:rPr>
          <w:rFonts w:eastAsia="Calibri"/>
          <w:szCs w:val="22"/>
        </w:rPr>
        <w:t>p.</w:t>
      </w:r>
      <w:r w:rsidR="00E1792B">
        <w:rPr>
          <w:rFonts w:eastAsia="Calibri"/>
          <w:szCs w:val="22"/>
        </w:rPr>
        <w:t> </w:t>
      </w:r>
      <w:r w:rsidRPr="009117D3">
        <w:rPr>
          <w:rFonts w:eastAsia="Calibri"/>
          <w:szCs w:val="22"/>
        </w:rPr>
        <w:t>b. vyplýva predovšetkým z aktualizácie makroekonomických predpokladov pri</w:t>
      </w:r>
      <w:r w:rsidR="00E1792B">
        <w:rPr>
          <w:rFonts w:eastAsia="Calibri"/>
          <w:szCs w:val="22"/>
        </w:rPr>
        <w:t> </w:t>
      </w:r>
      <w:r w:rsidRPr="009117D3">
        <w:rPr>
          <w:rFonts w:eastAsia="Calibri"/>
          <w:szCs w:val="22"/>
        </w:rPr>
        <w:t>objemovo najväčšom projekte rýchlostnej cesty R1.</w:t>
      </w:r>
    </w:p>
    <w:p w14:paraId="321F80E2" w14:textId="1B4D86FA" w:rsidR="0061379D" w:rsidRDefault="0061379D" w:rsidP="00D162A9">
      <w:pPr>
        <w:pStyle w:val="Popis"/>
      </w:pPr>
      <w:bookmarkStart w:id="90" w:name="_Toc212124638"/>
      <w:r>
        <w:t xml:space="preserve">Tabuľka </w:t>
      </w:r>
      <w:r w:rsidR="00CA4B84">
        <w:fldChar w:fldCharType="begin"/>
      </w:r>
      <w:r w:rsidR="00CA4B84">
        <w:instrText xml:space="preserve"> SEQ Tabuľka \* ARABIC </w:instrText>
      </w:r>
      <w:r w:rsidR="00CA4B84">
        <w:fldChar w:fldCharType="separate"/>
      </w:r>
      <w:r w:rsidR="00076866">
        <w:rPr>
          <w:noProof/>
        </w:rPr>
        <w:t>17</w:t>
      </w:r>
      <w:r w:rsidR="00CA4B84">
        <w:fldChar w:fldCharType="end"/>
      </w:r>
      <w:r>
        <w:t xml:space="preserve"> - </w:t>
      </w:r>
      <w:r w:rsidRPr="009B3116">
        <w:t>Vplyv PPP projektov (v %</w:t>
      </w:r>
      <w:r w:rsidR="00E1792B">
        <w:t> </w:t>
      </w:r>
      <w:r w:rsidRPr="009B3116">
        <w:t>HDP)</w:t>
      </w:r>
      <w:bookmarkEnd w:id="90"/>
    </w:p>
    <w:tbl>
      <w:tblPr>
        <w:tblW w:w="5000" w:type="pct"/>
        <w:tblCellMar>
          <w:left w:w="70" w:type="dxa"/>
          <w:right w:w="70" w:type="dxa"/>
        </w:tblCellMar>
        <w:tblLook w:val="04A0" w:firstRow="1" w:lastRow="0" w:firstColumn="1" w:lastColumn="0" w:noHBand="0" w:noVBand="1"/>
      </w:tblPr>
      <w:tblGrid>
        <w:gridCol w:w="4019"/>
        <w:gridCol w:w="1067"/>
        <w:gridCol w:w="1067"/>
        <w:gridCol w:w="51"/>
        <w:gridCol w:w="215"/>
        <w:gridCol w:w="824"/>
        <w:gridCol w:w="1065"/>
        <w:gridCol w:w="1187"/>
      </w:tblGrid>
      <w:tr w:rsidR="00891A59" w:rsidRPr="00174C84" w14:paraId="071FE137" w14:textId="77777777" w:rsidTr="00777298">
        <w:trPr>
          <w:trHeight w:val="332"/>
          <w:tblHeader/>
        </w:trPr>
        <w:tc>
          <w:tcPr>
            <w:tcW w:w="2116" w:type="pct"/>
            <w:tcBorders>
              <w:top w:val="single" w:sz="4" w:space="0" w:color="auto"/>
              <w:left w:val="nil"/>
              <w:bottom w:val="single" w:sz="4" w:space="0" w:color="auto"/>
              <w:right w:val="nil"/>
            </w:tcBorders>
            <w:noWrap/>
            <w:vAlign w:val="center"/>
            <w:hideMark/>
          </w:tcPr>
          <w:p w14:paraId="519FF07C" w14:textId="77777777" w:rsidR="00891A59" w:rsidRPr="00174C84" w:rsidRDefault="00891A59" w:rsidP="00891A59">
            <w:pPr>
              <w:spacing w:after="0" w:line="240" w:lineRule="auto"/>
              <w:jc w:val="center"/>
              <w:rPr>
                <w:color w:val="000000"/>
                <w:sz w:val="18"/>
                <w:szCs w:val="18"/>
                <w:highlight w:val="yellow"/>
                <w:lang w:eastAsia="sk-SK"/>
              </w:rPr>
            </w:pPr>
            <w:r w:rsidRPr="0061379D">
              <w:rPr>
                <w:color w:val="000000"/>
                <w:sz w:val="18"/>
                <w:szCs w:val="18"/>
                <w:lang w:eastAsia="sk-SK"/>
              </w:rPr>
              <w:t> </w:t>
            </w:r>
          </w:p>
        </w:tc>
        <w:tc>
          <w:tcPr>
            <w:tcW w:w="562" w:type="pct"/>
            <w:tcBorders>
              <w:top w:val="single" w:sz="4" w:space="0" w:color="auto"/>
              <w:left w:val="nil"/>
              <w:bottom w:val="single" w:sz="4" w:space="0" w:color="auto"/>
              <w:right w:val="nil"/>
            </w:tcBorders>
            <w:noWrap/>
            <w:vAlign w:val="center"/>
            <w:hideMark/>
          </w:tcPr>
          <w:p w14:paraId="7FD9A8C6" w14:textId="5230D7D7"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202</w:t>
            </w:r>
            <w:r>
              <w:rPr>
                <w:b/>
                <w:bCs/>
                <w:color w:val="000000"/>
                <w:sz w:val="18"/>
                <w:szCs w:val="18"/>
                <w:lang w:eastAsia="sk-SK"/>
              </w:rPr>
              <w:t>4</w:t>
            </w:r>
          </w:p>
        </w:tc>
        <w:tc>
          <w:tcPr>
            <w:tcW w:w="562" w:type="pct"/>
            <w:tcBorders>
              <w:top w:val="single" w:sz="4" w:space="0" w:color="auto"/>
              <w:left w:val="nil"/>
              <w:bottom w:val="single" w:sz="4" w:space="0" w:color="auto"/>
              <w:right w:val="nil"/>
            </w:tcBorders>
            <w:noWrap/>
            <w:vAlign w:val="center"/>
            <w:hideMark/>
          </w:tcPr>
          <w:p w14:paraId="5C2CAB10" w14:textId="2CFBBCA3"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2030</w:t>
            </w:r>
          </w:p>
        </w:tc>
        <w:tc>
          <w:tcPr>
            <w:tcW w:w="574" w:type="pct"/>
            <w:gridSpan w:val="3"/>
            <w:tcBorders>
              <w:top w:val="single" w:sz="4" w:space="0" w:color="auto"/>
              <w:left w:val="nil"/>
              <w:bottom w:val="single" w:sz="4" w:space="0" w:color="auto"/>
              <w:right w:val="nil"/>
            </w:tcBorders>
            <w:noWrap/>
            <w:vAlign w:val="center"/>
            <w:hideMark/>
          </w:tcPr>
          <w:p w14:paraId="38AB7DD3" w14:textId="6D34ED2C"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2040</w:t>
            </w:r>
          </w:p>
        </w:tc>
        <w:tc>
          <w:tcPr>
            <w:tcW w:w="561" w:type="pct"/>
            <w:tcBorders>
              <w:top w:val="single" w:sz="4" w:space="0" w:color="auto"/>
              <w:left w:val="nil"/>
              <w:bottom w:val="single" w:sz="4" w:space="0" w:color="auto"/>
            </w:tcBorders>
            <w:vAlign w:val="center"/>
            <w:hideMark/>
          </w:tcPr>
          <w:p w14:paraId="2606C88B" w14:textId="7CEA9FF5"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2050</w:t>
            </w:r>
          </w:p>
        </w:tc>
        <w:tc>
          <w:tcPr>
            <w:tcW w:w="625" w:type="pct"/>
            <w:tcBorders>
              <w:top w:val="single" w:sz="4" w:space="0" w:color="auto"/>
              <w:bottom w:val="single" w:sz="4" w:space="0" w:color="auto"/>
              <w:right w:val="nil"/>
            </w:tcBorders>
            <w:noWrap/>
            <w:vAlign w:val="center"/>
            <w:hideMark/>
          </w:tcPr>
          <w:p w14:paraId="6D483B82" w14:textId="4B7D62B1"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Spolu</w:t>
            </w:r>
          </w:p>
        </w:tc>
      </w:tr>
      <w:tr w:rsidR="00891A59" w:rsidRPr="00174C84" w14:paraId="1AA2D380" w14:textId="77777777" w:rsidTr="00777298">
        <w:trPr>
          <w:trHeight w:val="295"/>
        </w:trPr>
        <w:tc>
          <w:tcPr>
            <w:tcW w:w="2116" w:type="pct"/>
            <w:tcBorders>
              <w:top w:val="single" w:sz="4" w:space="0" w:color="auto"/>
              <w:left w:val="nil"/>
              <w:bottom w:val="nil"/>
              <w:right w:val="nil"/>
            </w:tcBorders>
            <w:noWrap/>
            <w:vAlign w:val="center"/>
            <w:hideMark/>
          </w:tcPr>
          <w:p w14:paraId="6D0FBF8A" w14:textId="74254FD3" w:rsidR="00891A59" w:rsidRPr="00174C84" w:rsidRDefault="00891A59" w:rsidP="00891A59">
            <w:pPr>
              <w:spacing w:after="0" w:line="240" w:lineRule="auto"/>
              <w:rPr>
                <w:color w:val="000000"/>
                <w:sz w:val="18"/>
                <w:szCs w:val="18"/>
                <w:highlight w:val="yellow"/>
                <w:lang w:eastAsia="sk-SK"/>
              </w:rPr>
            </w:pPr>
            <w:r w:rsidRPr="009117D3">
              <w:rPr>
                <w:color w:val="000000"/>
                <w:sz w:val="18"/>
                <w:szCs w:val="18"/>
                <w:lang w:eastAsia="sk-SK"/>
              </w:rPr>
              <w:t>Platba za dostupnosť R1</w:t>
            </w:r>
          </w:p>
        </w:tc>
        <w:tc>
          <w:tcPr>
            <w:tcW w:w="562" w:type="pct"/>
            <w:tcBorders>
              <w:top w:val="single" w:sz="4" w:space="0" w:color="auto"/>
              <w:left w:val="nil"/>
              <w:bottom w:val="nil"/>
              <w:right w:val="nil"/>
            </w:tcBorders>
            <w:noWrap/>
            <w:hideMark/>
          </w:tcPr>
          <w:p w14:paraId="1033F2B1" w14:textId="43BABB3E" w:rsidR="00891A59" w:rsidRPr="00174C84" w:rsidRDefault="00891A59" w:rsidP="00891A59">
            <w:pPr>
              <w:spacing w:after="0" w:line="240" w:lineRule="auto"/>
              <w:jc w:val="center"/>
              <w:rPr>
                <w:rFonts w:eastAsia="Calibri"/>
                <w:bCs/>
                <w:color w:val="000000"/>
                <w:sz w:val="18"/>
                <w:szCs w:val="18"/>
                <w:highlight w:val="yellow"/>
              </w:rPr>
            </w:pPr>
            <w:r>
              <w:rPr>
                <w:rFonts w:eastAsia="Calibri"/>
                <w:bCs/>
                <w:color w:val="000000"/>
                <w:sz w:val="18"/>
                <w:szCs w:val="18"/>
              </w:rPr>
              <w:t>-</w:t>
            </w:r>
            <w:r w:rsidRPr="009117D3">
              <w:rPr>
                <w:rFonts w:eastAsia="Calibri"/>
                <w:bCs/>
                <w:color w:val="000000"/>
                <w:sz w:val="18"/>
                <w:szCs w:val="18"/>
              </w:rPr>
              <w:t>0,10</w:t>
            </w:r>
          </w:p>
        </w:tc>
        <w:tc>
          <w:tcPr>
            <w:tcW w:w="562" w:type="pct"/>
            <w:tcBorders>
              <w:top w:val="single" w:sz="4" w:space="0" w:color="auto"/>
              <w:left w:val="nil"/>
              <w:bottom w:val="nil"/>
              <w:right w:val="nil"/>
            </w:tcBorders>
            <w:noWrap/>
            <w:hideMark/>
          </w:tcPr>
          <w:p w14:paraId="33F236F6" w14:textId="49355373" w:rsidR="00891A59" w:rsidRPr="00174C84" w:rsidRDefault="00891A59" w:rsidP="00891A59">
            <w:pPr>
              <w:spacing w:after="0" w:line="240" w:lineRule="auto"/>
              <w:jc w:val="center"/>
              <w:rPr>
                <w:rFonts w:eastAsia="Calibri"/>
                <w:bCs/>
                <w:color w:val="000000"/>
                <w:sz w:val="18"/>
                <w:szCs w:val="18"/>
                <w:highlight w:val="yellow"/>
              </w:rPr>
            </w:pPr>
            <w:r>
              <w:rPr>
                <w:rFonts w:eastAsia="Calibri"/>
                <w:bCs/>
                <w:color w:val="000000"/>
                <w:sz w:val="18"/>
                <w:szCs w:val="18"/>
              </w:rPr>
              <w:t>-</w:t>
            </w:r>
            <w:r w:rsidRPr="009117D3">
              <w:rPr>
                <w:rFonts w:eastAsia="Calibri"/>
                <w:bCs/>
                <w:color w:val="000000"/>
                <w:sz w:val="18"/>
                <w:szCs w:val="18"/>
              </w:rPr>
              <w:t>0,09</w:t>
            </w:r>
          </w:p>
        </w:tc>
        <w:tc>
          <w:tcPr>
            <w:tcW w:w="574" w:type="pct"/>
            <w:gridSpan w:val="3"/>
            <w:tcBorders>
              <w:top w:val="single" w:sz="4" w:space="0" w:color="auto"/>
              <w:left w:val="nil"/>
              <w:bottom w:val="nil"/>
              <w:right w:val="nil"/>
            </w:tcBorders>
            <w:noWrap/>
            <w:hideMark/>
          </w:tcPr>
          <w:p w14:paraId="6E3339DB" w14:textId="3307830E" w:rsidR="00891A59" w:rsidRPr="00174C84" w:rsidRDefault="00891A59" w:rsidP="00891A59">
            <w:pPr>
              <w:spacing w:after="0" w:line="240" w:lineRule="auto"/>
              <w:jc w:val="center"/>
              <w:rPr>
                <w:rFonts w:eastAsia="Calibri"/>
                <w:bCs/>
                <w:color w:val="000000"/>
                <w:sz w:val="18"/>
                <w:szCs w:val="18"/>
                <w:highlight w:val="yellow"/>
              </w:rPr>
            </w:pPr>
            <w:r>
              <w:rPr>
                <w:rFonts w:eastAsia="Calibri"/>
                <w:bCs/>
                <w:color w:val="000000"/>
                <w:sz w:val="18"/>
                <w:szCs w:val="18"/>
              </w:rPr>
              <w:t>-</w:t>
            </w:r>
            <w:r w:rsidRPr="009117D3">
              <w:rPr>
                <w:rFonts w:eastAsia="Calibri"/>
                <w:bCs/>
                <w:color w:val="000000"/>
                <w:sz w:val="18"/>
                <w:szCs w:val="18"/>
              </w:rPr>
              <w:t>0,0</w:t>
            </w:r>
            <w:r>
              <w:rPr>
                <w:rFonts w:eastAsia="Calibri"/>
                <w:bCs/>
                <w:color w:val="000000"/>
                <w:sz w:val="18"/>
                <w:szCs w:val="18"/>
              </w:rPr>
              <w:t>7</w:t>
            </w:r>
          </w:p>
        </w:tc>
        <w:tc>
          <w:tcPr>
            <w:tcW w:w="561" w:type="pct"/>
            <w:tcBorders>
              <w:top w:val="single" w:sz="4" w:space="0" w:color="auto"/>
              <w:left w:val="nil"/>
              <w:bottom w:val="nil"/>
            </w:tcBorders>
            <w:hideMark/>
          </w:tcPr>
          <w:p w14:paraId="3E3F7321" w14:textId="7D4A4741" w:rsidR="00891A59" w:rsidRPr="00174C84" w:rsidRDefault="00891A59" w:rsidP="00891A59">
            <w:pPr>
              <w:spacing w:after="0" w:line="240" w:lineRule="auto"/>
              <w:jc w:val="center"/>
              <w:rPr>
                <w:rFonts w:eastAsia="Calibri"/>
                <w:bCs/>
                <w:color w:val="000000"/>
                <w:sz w:val="18"/>
                <w:szCs w:val="18"/>
                <w:highlight w:val="yellow"/>
              </w:rPr>
            </w:pPr>
            <w:r>
              <w:rPr>
                <w:rFonts w:eastAsia="Calibri"/>
                <w:bCs/>
                <w:color w:val="000000"/>
                <w:sz w:val="18"/>
                <w:szCs w:val="18"/>
              </w:rPr>
              <w:t>-</w:t>
            </w:r>
            <w:r w:rsidRPr="009117D3">
              <w:rPr>
                <w:rFonts w:eastAsia="Calibri"/>
                <w:bCs/>
                <w:color w:val="000000"/>
                <w:sz w:val="18"/>
                <w:szCs w:val="18"/>
              </w:rPr>
              <w:t>0,00</w:t>
            </w:r>
          </w:p>
        </w:tc>
        <w:tc>
          <w:tcPr>
            <w:tcW w:w="625" w:type="pct"/>
            <w:tcBorders>
              <w:top w:val="single" w:sz="4" w:space="0" w:color="auto"/>
              <w:bottom w:val="nil"/>
              <w:right w:val="nil"/>
            </w:tcBorders>
            <w:noWrap/>
            <w:hideMark/>
          </w:tcPr>
          <w:p w14:paraId="23309A79" w14:textId="00E34F8E" w:rsidR="00891A59" w:rsidRPr="00174C84" w:rsidRDefault="00891A59" w:rsidP="00891A59">
            <w:pPr>
              <w:spacing w:after="0" w:line="240" w:lineRule="auto"/>
              <w:jc w:val="center"/>
              <w:rPr>
                <w:rFonts w:eastAsia="Calibri"/>
                <w:bCs/>
                <w:color w:val="000000"/>
                <w:sz w:val="18"/>
                <w:szCs w:val="18"/>
                <w:highlight w:val="yellow"/>
              </w:rPr>
            </w:pPr>
            <w:r>
              <w:rPr>
                <w:rFonts w:eastAsia="Calibri"/>
                <w:bCs/>
                <w:color w:val="000000"/>
                <w:sz w:val="18"/>
                <w:szCs w:val="18"/>
              </w:rPr>
              <w:t>-</w:t>
            </w:r>
            <w:r w:rsidRPr="009117D3">
              <w:rPr>
                <w:rFonts w:eastAsia="Calibri"/>
                <w:bCs/>
                <w:color w:val="000000"/>
                <w:sz w:val="18"/>
                <w:szCs w:val="18"/>
              </w:rPr>
              <w:t>1,</w:t>
            </w:r>
            <w:r>
              <w:rPr>
                <w:rFonts w:eastAsia="Calibri"/>
                <w:bCs/>
                <w:color w:val="000000"/>
                <w:sz w:val="18"/>
                <w:szCs w:val="18"/>
              </w:rPr>
              <w:t>4</w:t>
            </w:r>
          </w:p>
        </w:tc>
      </w:tr>
      <w:tr w:rsidR="00891A59" w:rsidRPr="00174C84" w14:paraId="057339DF" w14:textId="77777777" w:rsidTr="00777298">
        <w:trPr>
          <w:trHeight w:val="295"/>
        </w:trPr>
        <w:tc>
          <w:tcPr>
            <w:tcW w:w="2116" w:type="pct"/>
            <w:tcBorders>
              <w:top w:val="nil"/>
              <w:left w:val="nil"/>
              <w:right w:val="nil"/>
            </w:tcBorders>
            <w:noWrap/>
            <w:vAlign w:val="center"/>
            <w:hideMark/>
          </w:tcPr>
          <w:p w14:paraId="73988A2C" w14:textId="78B7337D" w:rsidR="00891A59" w:rsidRPr="00174C84" w:rsidRDefault="00891A59" w:rsidP="00891A59">
            <w:pPr>
              <w:spacing w:after="0" w:line="240" w:lineRule="auto"/>
              <w:rPr>
                <w:color w:val="000000"/>
                <w:sz w:val="18"/>
                <w:szCs w:val="18"/>
                <w:highlight w:val="yellow"/>
                <w:lang w:eastAsia="sk-SK"/>
              </w:rPr>
            </w:pPr>
            <w:r w:rsidRPr="009117D3">
              <w:rPr>
                <w:color w:val="000000"/>
                <w:sz w:val="18"/>
                <w:szCs w:val="18"/>
                <w:lang w:eastAsia="sk-SK"/>
              </w:rPr>
              <w:t>Platba za dostupnosť D4 a R7</w:t>
            </w:r>
          </w:p>
        </w:tc>
        <w:tc>
          <w:tcPr>
            <w:tcW w:w="562" w:type="pct"/>
            <w:tcBorders>
              <w:top w:val="nil"/>
              <w:left w:val="nil"/>
              <w:right w:val="nil"/>
            </w:tcBorders>
            <w:noWrap/>
            <w:hideMark/>
          </w:tcPr>
          <w:p w14:paraId="3DF9AE6C" w14:textId="3F2C56DB"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0,04</w:t>
            </w:r>
          </w:p>
        </w:tc>
        <w:tc>
          <w:tcPr>
            <w:tcW w:w="562" w:type="pct"/>
            <w:tcBorders>
              <w:top w:val="nil"/>
              <w:left w:val="nil"/>
              <w:right w:val="nil"/>
            </w:tcBorders>
            <w:noWrap/>
            <w:hideMark/>
          </w:tcPr>
          <w:p w14:paraId="2EA54991" w14:textId="4023AE15"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w:t>
            </w:r>
            <w:r>
              <w:rPr>
                <w:rFonts w:eastAsia="Calibri"/>
                <w:bCs/>
                <w:color w:val="000000"/>
                <w:sz w:val="18"/>
                <w:szCs w:val="18"/>
              </w:rPr>
              <w:t>3</w:t>
            </w:r>
          </w:p>
        </w:tc>
        <w:tc>
          <w:tcPr>
            <w:tcW w:w="574" w:type="pct"/>
            <w:gridSpan w:val="3"/>
            <w:tcBorders>
              <w:top w:val="nil"/>
              <w:left w:val="nil"/>
              <w:right w:val="nil"/>
            </w:tcBorders>
            <w:noWrap/>
            <w:hideMark/>
          </w:tcPr>
          <w:p w14:paraId="1603FB79" w14:textId="54C0B416"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w:t>
            </w:r>
            <w:r>
              <w:rPr>
                <w:rFonts w:eastAsia="Calibri"/>
                <w:bCs/>
                <w:color w:val="000000"/>
                <w:sz w:val="18"/>
                <w:szCs w:val="18"/>
              </w:rPr>
              <w:t>3</w:t>
            </w:r>
          </w:p>
        </w:tc>
        <w:tc>
          <w:tcPr>
            <w:tcW w:w="561" w:type="pct"/>
            <w:tcBorders>
              <w:top w:val="nil"/>
              <w:left w:val="nil"/>
            </w:tcBorders>
            <w:hideMark/>
          </w:tcPr>
          <w:p w14:paraId="31D3027C" w14:textId="70B3EDD1"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w:t>
            </w:r>
            <w:r>
              <w:rPr>
                <w:rFonts w:eastAsia="Calibri"/>
                <w:bCs/>
                <w:color w:val="000000"/>
                <w:sz w:val="18"/>
                <w:szCs w:val="18"/>
              </w:rPr>
              <w:t>2</w:t>
            </w:r>
          </w:p>
        </w:tc>
        <w:tc>
          <w:tcPr>
            <w:tcW w:w="625" w:type="pct"/>
            <w:tcBorders>
              <w:top w:val="nil"/>
              <w:right w:val="nil"/>
            </w:tcBorders>
            <w:noWrap/>
            <w:hideMark/>
          </w:tcPr>
          <w:p w14:paraId="07132B5D" w14:textId="333CB241"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w:t>
            </w:r>
            <w:r>
              <w:rPr>
                <w:rFonts w:eastAsia="Calibri"/>
                <w:bCs/>
                <w:color w:val="000000"/>
                <w:sz w:val="18"/>
                <w:szCs w:val="18"/>
              </w:rPr>
              <w:t>8</w:t>
            </w:r>
          </w:p>
        </w:tc>
      </w:tr>
      <w:tr w:rsidR="00891A59" w:rsidRPr="00174C84" w14:paraId="637BA296" w14:textId="77777777" w:rsidTr="00777298">
        <w:trPr>
          <w:trHeight w:val="295"/>
        </w:trPr>
        <w:tc>
          <w:tcPr>
            <w:tcW w:w="2116" w:type="pct"/>
            <w:tcBorders>
              <w:top w:val="nil"/>
              <w:left w:val="nil"/>
              <w:bottom w:val="single" w:sz="4" w:space="0" w:color="auto"/>
              <w:right w:val="nil"/>
            </w:tcBorders>
            <w:noWrap/>
            <w:vAlign w:val="center"/>
            <w:hideMark/>
          </w:tcPr>
          <w:p w14:paraId="307FE47F" w14:textId="2527ECCE" w:rsidR="00891A59" w:rsidRPr="00174C84" w:rsidRDefault="00891A59" w:rsidP="00891A59">
            <w:pPr>
              <w:spacing w:after="0" w:line="240" w:lineRule="auto"/>
              <w:rPr>
                <w:color w:val="000000"/>
                <w:sz w:val="18"/>
                <w:szCs w:val="18"/>
                <w:highlight w:val="yellow"/>
                <w:lang w:eastAsia="sk-SK"/>
              </w:rPr>
            </w:pPr>
            <w:r w:rsidRPr="009117D3">
              <w:rPr>
                <w:color w:val="000000"/>
                <w:sz w:val="18"/>
                <w:szCs w:val="18"/>
                <w:lang w:eastAsia="sk-SK"/>
              </w:rPr>
              <w:t>Platba za dostupnosť - väznica Rimavská Sobota</w:t>
            </w:r>
          </w:p>
        </w:tc>
        <w:tc>
          <w:tcPr>
            <w:tcW w:w="562" w:type="pct"/>
            <w:tcBorders>
              <w:top w:val="nil"/>
              <w:left w:val="nil"/>
              <w:bottom w:val="single" w:sz="4" w:space="0" w:color="auto"/>
              <w:right w:val="nil"/>
            </w:tcBorders>
            <w:noWrap/>
            <w:hideMark/>
          </w:tcPr>
          <w:p w14:paraId="356DB6BA" w14:textId="2EF5D927"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0,00</w:t>
            </w:r>
          </w:p>
        </w:tc>
        <w:tc>
          <w:tcPr>
            <w:tcW w:w="562" w:type="pct"/>
            <w:tcBorders>
              <w:top w:val="nil"/>
              <w:left w:val="nil"/>
              <w:bottom w:val="single" w:sz="4" w:space="0" w:color="auto"/>
              <w:right w:val="nil"/>
            </w:tcBorders>
            <w:noWrap/>
            <w:hideMark/>
          </w:tcPr>
          <w:p w14:paraId="4D07C833" w14:textId="7D46D77E"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0,01</w:t>
            </w:r>
          </w:p>
        </w:tc>
        <w:tc>
          <w:tcPr>
            <w:tcW w:w="574" w:type="pct"/>
            <w:gridSpan w:val="3"/>
            <w:tcBorders>
              <w:top w:val="nil"/>
              <w:left w:val="nil"/>
              <w:bottom w:val="single" w:sz="4" w:space="0" w:color="auto"/>
              <w:right w:val="nil"/>
            </w:tcBorders>
            <w:noWrap/>
            <w:hideMark/>
          </w:tcPr>
          <w:p w14:paraId="3E982312" w14:textId="41C9488A"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0,01</w:t>
            </w:r>
          </w:p>
        </w:tc>
        <w:tc>
          <w:tcPr>
            <w:tcW w:w="561" w:type="pct"/>
            <w:tcBorders>
              <w:top w:val="nil"/>
              <w:left w:val="nil"/>
              <w:bottom w:val="single" w:sz="4" w:space="0" w:color="auto"/>
            </w:tcBorders>
            <w:hideMark/>
          </w:tcPr>
          <w:p w14:paraId="6D863B82" w14:textId="6787ED0D"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0,00</w:t>
            </w:r>
          </w:p>
        </w:tc>
        <w:tc>
          <w:tcPr>
            <w:tcW w:w="625" w:type="pct"/>
            <w:tcBorders>
              <w:top w:val="nil"/>
              <w:bottom w:val="single" w:sz="4" w:space="0" w:color="auto"/>
              <w:right w:val="nil"/>
            </w:tcBorders>
            <w:noWrap/>
            <w:hideMark/>
          </w:tcPr>
          <w:p w14:paraId="51A5DF7D" w14:textId="1D703DF4" w:rsidR="00891A59" w:rsidRPr="00174C84" w:rsidRDefault="00891A59" w:rsidP="00891A59">
            <w:pPr>
              <w:spacing w:after="0" w:line="240" w:lineRule="auto"/>
              <w:jc w:val="center"/>
              <w:rPr>
                <w:color w:val="000000"/>
                <w:sz w:val="18"/>
                <w:szCs w:val="18"/>
                <w:highlight w:val="yellow"/>
                <w:lang w:eastAsia="sk-SK"/>
              </w:rPr>
            </w:pPr>
            <w:r>
              <w:rPr>
                <w:rFonts w:eastAsia="Calibri"/>
                <w:bCs/>
                <w:color w:val="000000"/>
                <w:sz w:val="18"/>
                <w:szCs w:val="18"/>
              </w:rPr>
              <w:t>-</w:t>
            </w:r>
            <w:r w:rsidRPr="009117D3">
              <w:rPr>
                <w:rFonts w:eastAsia="Calibri"/>
                <w:bCs/>
                <w:color w:val="000000"/>
                <w:sz w:val="18"/>
                <w:szCs w:val="18"/>
              </w:rPr>
              <w:t>0,2</w:t>
            </w:r>
          </w:p>
        </w:tc>
      </w:tr>
      <w:tr w:rsidR="00891A59" w:rsidRPr="00174C84" w14:paraId="041B4287" w14:textId="77777777" w:rsidTr="00777298">
        <w:trPr>
          <w:trHeight w:val="166"/>
        </w:trPr>
        <w:tc>
          <w:tcPr>
            <w:tcW w:w="2116" w:type="pct"/>
            <w:tcBorders>
              <w:top w:val="single" w:sz="4" w:space="0" w:color="auto"/>
              <w:left w:val="nil"/>
              <w:bottom w:val="single" w:sz="4" w:space="0" w:color="auto"/>
              <w:right w:val="nil"/>
            </w:tcBorders>
            <w:noWrap/>
            <w:vAlign w:val="center"/>
            <w:hideMark/>
          </w:tcPr>
          <w:p w14:paraId="19194F14" w14:textId="7540217F" w:rsidR="00891A59" w:rsidRPr="00174C84" w:rsidRDefault="00891A59" w:rsidP="00891A59">
            <w:pPr>
              <w:spacing w:after="0" w:line="240" w:lineRule="auto"/>
              <w:rPr>
                <w:b/>
                <w:bCs/>
                <w:color w:val="000000"/>
                <w:sz w:val="18"/>
                <w:szCs w:val="18"/>
                <w:highlight w:val="yellow"/>
                <w:lang w:eastAsia="sk-SK"/>
              </w:rPr>
            </w:pPr>
            <w:r w:rsidRPr="009117D3">
              <w:rPr>
                <w:b/>
                <w:bCs/>
                <w:color w:val="000000"/>
                <w:sz w:val="18"/>
                <w:szCs w:val="18"/>
                <w:lang w:eastAsia="sk-SK"/>
              </w:rPr>
              <w:t>Spolu</w:t>
            </w:r>
          </w:p>
        </w:tc>
        <w:tc>
          <w:tcPr>
            <w:tcW w:w="562" w:type="pct"/>
            <w:tcBorders>
              <w:top w:val="single" w:sz="4" w:space="0" w:color="auto"/>
              <w:left w:val="nil"/>
              <w:bottom w:val="single" w:sz="4" w:space="0" w:color="auto"/>
              <w:right w:val="nil"/>
            </w:tcBorders>
            <w:noWrap/>
            <w:vAlign w:val="center"/>
            <w:hideMark/>
          </w:tcPr>
          <w:p w14:paraId="7AFB6C08" w14:textId="77777777" w:rsidR="00891A59" w:rsidRPr="00174C84" w:rsidRDefault="00891A59" w:rsidP="00891A59">
            <w:pPr>
              <w:spacing w:after="0" w:line="240" w:lineRule="auto"/>
              <w:jc w:val="center"/>
              <w:rPr>
                <w:b/>
                <w:bCs/>
                <w:color w:val="000000"/>
                <w:sz w:val="18"/>
                <w:szCs w:val="18"/>
                <w:highlight w:val="yellow"/>
                <w:lang w:eastAsia="sk-SK"/>
              </w:rPr>
            </w:pPr>
          </w:p>
        </w:tc>
        <w:tc>
          <w:tcPr>
            <w:tcW w:w="562" w:type="pct"/>
            <w:tcBorders>
              <w:top w:val="single" w:sz="4" w:space="0" w:color="auto"/>
              <w:left w:val="nil"/>
              <w:bottom w:val="single" w:sz="4" w:space="0" w:color="auto"/>
              <w:right w:val="nil"/>
            </w:tcBorders>
            <w:noWrap/>
            <w:vAlign w:val="center"/>
            <w:hideMark/>
          </w:tcPr>
          <w:p w14:paraId="1A6C70D6" w14:textId="77777777" w:rsidR="00891A59" w:rsidRPr="00174C84" w:rsidRDefault="00891A59" w:rsidP="00891A59">
            <w:pPr>
              <w:spacing w:after="0" w:line="240" w:lineRule="auto"/>
              <w:jc w:val="center"/>
              <w:rPr>
                <w:b/>
                <w:bCs/>
                <w:color w:val="000000"/>
                <w:sz w:val="18"/>
                <w:szCs w:val="18"/>
                <w:highlight w:val="yellow"/>
                <w:lang w:eastAsia="sk-SK"/>
              </w:rPr>
            </w:pPr>
          </w:p>
        </w:tc>
        <w:tc>
          <w:tcPr>
            <w:tcW w:w="574" w:type="pct"/>
            <w:gridSpan w:val="3"/>
            <w:tcBorders>
              <w:top w:val="single" w:sz="4" w:space="0" w:color="auto"/>
              <w:left w:val="nil"/>
              <w:bottom w:val="single" w:sz="4" w:space="0" w:color="auto"/>
              <w:right w:val="nil"/>
            </w:tcBorders>
            <w:noWrap/>
            <w:vAlign w:val="center"/>
            <w:hideMark/>
          </w:tcPr>
          <w:p w14:paraId="4D317405" w14:textId="77777777" w:rsidR="00891A59" w:rsidRPr="00174C84" w:rsidRDefault="00891A59" w:rsidP="00891A59">
            <w:pPr>
              <w:spacing w:after="0" w:line="240" w:lineRule="auto"/>
              <w:jc w:val="center"/>
              <w:rPr>
                <w:b/>
                <w:bCs/>
                <w:color w:val="000000"/>
                <w:sz w:val="18"/>
                <w:szCs w:val="18"/>
                <w:highlight w:val="yellow"/>
                <w:lang w:eastAsia="sk-SK"/>
              </w:rPr>
            </w:pPr>
          </w:p>
        </w:tc>
        <w:tc>
          <w:tcPr>
            <w:tcW w:w="561" w:type="pct"/>
            <w:tcBorders>
              <w:top w:val="single" w:sz="4" w:space="0" w:color="auto"/>
              <w:left w:val="nil"/>
              <w:bottom w:val="single" w:sz="4" w:space="0" w:color="auto"/>
            </w:tcBorders>
            <w:vAlign w:val="center"/>
            <w:hideMark/>
          </w:tcPr>
          <w:p w14:paraId="7D3CB915" w14:textId="77777777" w:rsidR="00891A59" w:rsidRPr="00174C84" w:rsidRDefault="00891A59" w:rsidP="00891A59">
            <w:pPr>
              <w:spacing w:after="0" w:line="240" w:lineRule="auto"/>
              <w:jc w:val="center"/>
              <w:rPr>
                <w:b/>
                <w:bCs/>
                <w:color w:val="000000"/>
                <w:sz w:val="18"/>
                <w:szCs w:val="18"/>
                <w:highlight w:val="yellow"/>
                <w:lang w:eastAsia="sk-SK"/>
              </w:rPr>
            </w:pPr>
          </w:p>
        </w:tc>
        <w:tc>
          <w:tcPr>
            <w:tcW w:w="625" w:type="pct"/>
            <w:tcBorders>
              <w:top w:val="single" w:sz="4" w:space="0" w:color="auto"/>
              <w:bottom w:val="single" w:sz="4" w:space="0" w:color="auto"/>
              <w:right w:val="nil"/>
            </w:tcBorders>
            <w:noWrap/>
            <w:vAlign w:val="center"/>
            <w:hideMark/>
          </w:tcPr>
          <w:p w14:paraId="1D954F98" w14:textId="3C843949" w:rsidR="00891A59" w:rsidRPr="00174C84" w:rsidRDefault="00891A59" w:rsidP="00891A59">
            <w:pPr>
              <w:spacing w:after="0" w:line="240" w:lineRule="auto"/>
              <w:jc w:val="center"/>
              <w:rPr>
                <w:b/>
                <w:bCs/>
                <w:color w:val="000000"/>
                <w:sz w:val="18"/>
                <w:szCs w:val="18"/>
                <w:highlight w:val="yellow"/>
                <w:lang w:eastAsia="sk-SK"/>
              </w:rPr>
            </w:pPr>
            <w:r>
              <w:rPr>
                <w:rFonts w:eastAsia="Calibri"/>
                <w:b/>
                <w:bCs/>
                <w:color w:val="000000"/>
                <w:sz w:val="18"/>
                <w:szCs w:val="18"/>
              </w:rPr>
              <w:t>-2,3</w:t>
            </w:r>
          </w:p>
        </w:tc>
      </w:tr>
      <w:tr w:rsidR="00DD0DA5" w:rsidRPr="00174C84" w14:paraId="422A9D59" w14:textId="77777777" w:rsidTr="00777298">
        <w:trPr>
          <w:trHeight w:val="344"/>
        </w:trPr>
        <w:tc>
          <w:tcPr>
            <w:tcW w:w="3267" w:type="pct"/>
            <w:gridSpan w:val="4"/>
            <w:tcBorders>
              <w:top w:val="single" w:sz="4" w:space="0" w:color="auto"/>
              <w:left w:val="nil"/>
              <w:bottom w:val="nil"/>
              <w:right w:val="nil"/>
            </w:tcBorders>
            <w:noWrap/>
            <w:hideMark/>
          </w:tcPr>
          <w:p w14:paraId="24D3F363" w14:textId="231F63EA" w:rsidR="00DD0DA5" w:rsidRPr="00891A59" w:rsidRDefault="00DD0DA5" w:rsidP="00CA4C99">
            <w:pPr>
              <w:spacing w:after="0" w:line="240" w:lineRule="auto"/>
              <w:rPr>
                <w:i/>
                <w:color w:val="000000"/>
                <w:sz w:val="16"/>
                <w:szCs w:val="18"/>
                <w:lang w:eastAsia="sk-SK"/>
              </w:rPr>
            </w:pPr>
            <w:r w:rsidRPr="00891A59">
              <w:rPr>
                <w:i/>
                <w:color w:val="000000"/>
                <w:sz w:val="16"/>
                <w:szCs w:val="18"/>
                <w:lang w:eastAsia="sk-SK"/>
              </w:rPr>
              <w:t xml:space="preserve">* </w:t>
            </w:r>
            <w:r w:rsidR="00996A89" w:rsidRPr="00891A59">
              <w:rPr>
                <w:i/>
                <w:color w:val="000000"/>
                <w:sz w:val="16"/>
                <w:szCs w:val="18"/>
                <w:lang w:eastAsia="sk-SK"/>
              </w:rPr>
              <w:t>Pozn.: Diskontované k roku 202</w:t>
            </w:r>
            <w:r w:rsidR="00891A59" w:rsidRPr="00891A59">
              <w:rPr>
                <w:i/>
                <w:color w:val="000000"/>
                <w:sz w:val="16"/>
                <w:szCs w:val="18"/>
                <w:lang w:eastAsia="sk-SK"/>
              </w:rPr>
              <w:t>4</w:t>
            </w:r>
            <w:r w:rsidR="00996A89" w:rsidRPr="00891A59">
              <w:rPr>
                <w:i/>
                <w:color w:val="000000"/>
                <w:sz w:val="16"/>
                <w:szCs w:val="18"/>
                <w:lang w:eastAsia="sk-SK"/>
              </w:rPr>
              <w:t>, bez započítania DPH za služby.</w:t>
            </w:r>
          </w:p>
          <w:p w14:paraId="722CD53C" w14:textId="77777777" w:rsidR="00DD0DA5" w:rsidRPr="00891A59" w:rsidRDefault="00DD0DA5" w:rsidP="00CA4C99">
            <w:pPr>
              <w:spacing w:after="0" w:line="240" w:lineRule="auto"/>
              <w:rPr>
                <w:color w:val="000000"/>
                <w:sz w:val="16"/>
                <w:szCs w:val="18"/>
                <w:lang w:eastAsia="sk-SK"/>
              </w:rPr>
            </w:pPr>
          </w:p>
        </w:tc>
        <w:tc>
          <w:tcPr>
            <w:tcW w:w="113" w:type="pct"/>
            <w:tcBorders>
              <w:top w:val="single" w:sz="4" w:space="0" w:color="auto"/>
              <w:left w:val="nil"/>
              <w:bottom w:val="nil"/>
              <w:right w:val="nil"/>
            </w:tcBorders>
            <w:noWrap/>
            <w:vAlign w:val="center"/>
            <w:hideMark/>
          </w:tcPr>
          <w:p w14:paraId="3CFD4872" w14:textId="77777777" w:rsidR="00DD0DA5" w:rsidRPr="00891A59" w:rsidRDefault="00DD0DA5" w:rsidP="00CA4C99">
            <w:pPr>
              <w:spacing w:after="0" w:line="240" w:lineRule="auto"/>
              <w:rPr>
                <w:color w:val="000000"/>
                <w:sz w:val="16"/>
                <w:szCs w:val="18"/>
                <w:lang w:eastAsia="sk-SK"/>
              </w:rPr>
            </w:pPr>
            <w:r w:rsidRPr="00891A59">
              <w:rPr>
                <w:color w:val="000000"/>
                <w:sz w:val="16"/>
                <w:szCs w:val="18"/>
                <w:lang w:eastAsia="sk-SK"/>
              </w:rPr>
              <w:t> </w:t>
            </w:r>
          </w:p>
        </w:tc>
        <w:tc>
          <w:tcPr>
            <w:tcW w:w="434" w:type="pct"/>
            <w:tcBorders>
              <w:top w:val="single" w:sz="4" w:space="0" w:color="auto"/>
              <w:left w:val="nil"/>
              <w:bottom w:val="nil"/>
              <w:right w:val="nil"/>
            </w:tcBorders>
            <w:vAlign w:val="center"/>
            <w:hideMark/>
          </w:tcPr>
          <w:p w14:paraId="5BD11BBF" w14:textId="77777777" w:rsidR="00DD0DA5" w:rsidRPr="00891A59" w:rsidRDefault="00DD0DA5" w:rsidP="00CA4C99">
            <w:pPr>
              <w:spacing w:after="0" w:line="240" w:lineRule="auto"/>
              <w:jc w:val="right"/>
              <w:rPr>
                <w:color w:val="000000"/>
                <w:sz w:val="16"/>
                <w:szCs w:val="18"/>
                <w:lang w:eastAsia="sk-SK"/>
              </w:rPr>
            </w:pPr>
            <w:r w:rsidRPr="00891A59">
              <w:rPr>
                <w:color w:val="000000"/>
                <w:sz w:val="16"/>
                <w:szCs w:val="18"/>
                <w:lang w:eastAsia="sk-SK"/>
              </w:rPr>
              <w:t> </w:t>
            </w:r>
          </w:p>
        </w:tc>
        <w:tc>
          <w:tcPr>
            <w:tcW w:w="1186" w:type="pct"/>
            <w:gridSpan w:val="2"/>
            <w:tcBorders>
              <w:top w:val="single" w:sz="4" w:space="0" w:color="auto"/>
              <w:left w:val="nil"/>
              <w:bottom w:val="nil"/>
              <w:right w:val="nil"/>
            </w:tcBorders>
            <w:hideMark/>
          </w:tcPr>
          <w:p w14:paraId="00226288" w14:textId="77777777" w:rsidR="00DD0DA5" w:rsidRPr="00891A59" w:rsidRDefault="00DD0DA5" w:rsidP="00CA4C99">
            <w:pPr>
              <w:spacing w:after="0" w:line="240" w:lineRule="auto"/>
              <w:jc w:val="right"/>
              <w:rPr>
                <w:i/>
                <w:color w:val="000000"/>
                <w:sz w:val="16"/>
                <w:szCs w:val="18"/>
                <w:lang w:eastAsia="sk-SK"/>
              </w:rPr>
            </w:pPr>
            <w:r w:rsidRPr="00891A59">
              <w:rPr>
                <w:i/>
                <w:color w:val="000000"/>
                <w:sz w:val="16"/>
                <w:szCs w:val="18"/>
                <w:lang w:eastAsia="sk-SK"/>
              </w:rPr>
              <w:t>Zdroj: MF SR</w:t>
            </w:r>
          </w:p>
        </w:tc>
      </w:tr>
    </w:tbl>
    <w:p w14:paraId="7F53BDA2" w14:textId="4E53487A" w:rsidR="0061379D" w:rsidRPr="009117D3" w:rsidRDefault="00891A59" w:rsidP="00891A59">
      <w:pPr>
        <w:autoSpaceDE w:val="0"/>
        <w:autoSpaceDN w:val="0"/>
        <w:adjustRightInd w:val="0"/>
        <w:spacing w:after="120" w:line="240" w:lineRule="auto"/>
        <w:jc w:val="both"/>
        <w:rPr>
          <w:rFonts w:eastAsia="Calibri"/>
          <w:szCs w:val="22"/>
        </w:rPr>
      </w:pPr>
      <w:r w:rsidRPr="009117D3">
        <w:rPr>
          <w:b/>
          <w:szCs w:val="22"/>
        </w:rPr>
        <w:t xml:space="preserve">Vplyv PPP projektov na celkových implicitných záväzkoch plne kompenzuje schéma vyraďovania jadrových zaradení vo výške </w:t>
      </w:r>
      <w:r>
        <w:rPr>
          <w:b/>
          <w:szCs w:val="22"/>
        </w:rPr>
        <w:t>2</w:t>
      </w:r>
      <w:r w:rsidRPr="009117D3">
        <w:rPr>
          <w:b/>
          <w:szCs w:val="22"/>
        </w:rPr>
        <w:t>,</w:t>
      </w:r>
      <w:r>
        <w:rPr>
          <w:b/>
          <w:szCs w:val="22"/>
        </w:rPr>
        <w:t>9</w:t>
      </w:r>
      <w:r w:rsidR="00E1792B">
        <w:rPr>
          <w:b/>
          <w:szCs w:val="22"/>
        </w:rPr>
        <w:t> </w:t>
      </w:r>
      <w:r w:rsidRPr="009117D3">
        <w:rPr>
          <w:b/>
          <w:szCs w:val="22"/>
        </w:rPr>
        <w:t>%</w:t>
      </w:r>
      <w:r w:rsidR="00E1792B">
        <w:rPr>
          <w:b/>
          <w:szCs w:val="22"/>
        </w:rPr>
        <w:t> </w:t>
      </w:r>
      <w:r w:rsidRPr="009117D3">
        <w:rPr>
          <w:b/>
          <w:szCs w:val="22"/>
        </w:rPr>
        <w:t>HDP.</w:t>
      </w:r>
      <w:r w:rsidRPr="009117D3">
        <w:rPr>
          <w:rStyle w:val="Odkaznapoznmkupodiarou"/>
          <w:szCs w:val="22"/>
        </w:rPr>
        <w:footnoteReference w:id="32"/>
      </w:r>
      <w:r w:rsidRPr="009117D3">
        <w:rPr>
          <w:b/>
          <w:szCs w:val="22"/>
        </w:rPr>
        <w:t xml:space="preserve"> </w:t>
      </w:r>
      <w:r w:rsidRPr="009117D3">
        <w:rPr>
          <w:szCs w:val="22"/>
        </w:rPr>
        <w:t>Medziročne došlo pri záväzkoch k zníženiu pozitívneho príspevku o </w:t>
      </w:r>
      <w:r>
        <w:rPr>
          <w:szCs w:val="22"/>
        </w:rPr>
        <w:t>0</w:t>
      </w:r>
      <w:r w:rsidRPr="009117D3">
        <w:rPr>
          <w:szCs w:val="22"/>
        </w:rPr>
        <w:t>,</w:t>
      </w:r>
      <w:r>
        <w:rPr>
          <w:szCs w:val="22"/>
        </w:rPr>
        <w:t>1</w:t>
      </w:r>
      <w:r w:rsidR="00E1792B">
        <w:rPr>
          <w:szCs w:val="22"/>
        </w:rPr>
        <w:t> </w:t>
      </w:r>
      <w:r w:rsidRPr="009117D3">
        <w:rPr>
          <w:szCs w:val="22"/>
        </w:rPr>
        <w:t>p.</w:t>
      </w:r>
      <w:r w:rsidR="00E1792B">
        <w:rPr>
          <w:szCs w:val="22"/>
        </w:rPr>
        <w:t> </w:t>
      </w:r>
      <w:r w:rsidRPr="009117D3">
        <w:rPr>
          <w:szCs w:val="22"/>
        </w:rPr>
        <w:t>b. z dôvodov aktualizácie schémy očakávaných príjmov a nákladov Národného jadrového fondu na strednodobom horizonte, aktualizácie makroekonomických predpokladov a pod vplyvom zmeny diskontovaného obdobia</w:t>
      </w:r>
      <w:r w:rsidRPr="009117D3">
        <w:rPr>
          <w:rFonts w:eastAsia="Calibri"/>
          <w:szCs w:val="22"/>
        </w:rPr>
        <w:t>.</w:t>
      </w:r>
      <w:r w:rsidRPr="009117D3">
        <w:rPr>
          <w:rFonts w:eastAsia="Calibri"/>
          <w:szCs w:val="22"/>
          <w:vertAlign w:val="superscript"/>
        </w:rPr>
        <w:footnoteReference w:id="33"/>
      </w:r>
    </w:p>
    <w:p w14:paraId="69BF29E0" w14:textId="48169746" w:rsidR="00076866" w:rsidRDefault="00076866" w:rsidP="00D162A9">
      <w:pPr>
        <w:pStyle w:val="Popis"/>
      </w:pPr>
      <w:bookmarkStart w:id="91" w:name="_Toc212124639"/>
      <w:r>
        <w:lastRenderedPageBreak/>
        <w:t xml:space="preserve">Tabuľka </w:t>
      </w:r>
      <w:r>
        <w:fldChar w:fldCharType="begin"/>
      </w:r>
      <w:r>
        <w:instrText xml:space="preserve"> SEQ Tabuľka \* ARABIC </w:instrText>
      </w:r>
      <w:r>
        <w:fldChar w:fldCharType="separate"/>
      </w:r>
      <w:r>
        <w:rPr>
          <w:noProof/>
        </w:rPr>
        <w:t>18</w:t>
      </w:r>
      <w:r>
        <w:fldChar w:fldCharType="end"/>
      </w:r>
      <w:r>
        <w:t xml:space="preserve"> - </w:t>
      </w:r>
      <w:r w:rsidRPr="004B7117">
        <w:t>Vplyv Národného jadrového fondu (v %</w:t>
      </w:r>
      <w:r w:rsidR="00E1792B">
        <w:t> </w:t>
      </w:r>
      <w:r w:rsidRPr="004B7117">
        <w:t>HDP)</w:t>
      </w:r>
      <w:bookmarkEnd w:id="91"/>
    </w:p>
    <w:tbl>
      <w:tblPr>
        <w:tblW w:w="5000" w:type="pct"/>
        <w:tblCellMar>
          <w:left w:w="70" w:type="dxa"/>
          <w:right w:w="70" w:type="dxa"/>
        </w:tblCellMar>
        <w:tblLook w:val="04A0" w:firstRow="1" w:lastRow="0" w:firstColumn="1" w:lastColumn="0" w:noHBand="0" w:noVBand="1"/>
      </w:tblPr>
      <w:tblGrid>
        <w:gridCol w:w="3812"/>
        <w:gridCol w:w="630"/>
        <w:gridCol w:w="1103"/>
        <w:gridCol w:w="1170"/>
        <w:gridCol w:w="1031"/>
        <w:gridCol w:w="872"/>
        <w:gridCol w:w="877"/>
      </w:tblGrid>
      <w:tr w:rsidR="00891A59" w:rsidRPr="00174C84" w14:paraId="1E902700" w14:textId="77777777" w:rsidTr="00891A59">
        <w:trPr>
          <w:trHeight w:val="316"/>
          <w:tblHeader/>
        </w:trPr>
        <w:tc>
          <w:tcPr>
            <w:tcW w:w="2007" w:type="pct"/>
            <w:tcBorders>
              <w:top w:val="single" w:sz="4" w:space="0" w:color="auto"/>
              <w:left w:val="nil"/>
              <w:bottom w:val="single" w:sz="4" w:space="0" w:color="auto"/>
              <w:right w:val="nil"/>
            </w:tcBorders>
            <w:noWrap/>
            <w:vAlign w:val="center"/>
            <w:hideMark/>
          </w:tcPr>
          <w:p w14:paraId="749771BC" w14:textId="50A3BE89" w:rsidR="00891A59" w:rsidRPr="00174C84" w:rsidRDefault="00891A59" w:rsidP="00891A59">
            <w:pPr>
              <w:spacing w:after="0" w:line="240" w:lineRule="auto"/>
              <w:jc w:val="center"/>
              <w:rPr>
                <w:color w:val="000000"/>
                <w:sz w:val="18"/>
                <w:szCs w:val="18"/>
                <w:highlight w:val="yellow"/>
                <w:lang w:eastAsia="sk-SK"/>
              </w:rPr>
            </w:pPr>
            <w:r w:rsidRPr="009117D3">
              <w:rPr>
                <w:color w:val="000000"/>
                <w:sz w:val="18"/>
                <w:szCs w:val="18"/>
                <w:lang w:eastAsia="sk-SK"/>
              </w:rPr>
              <w:t> </w:t>
            </w:r>
          </w:p>
        </w:tc>
        <w:tc>
          <w:tcPr>
            <w:tcW w:w="332" w:type="pct"/>
            <w:tcBorders>
              <w:top w:val="single" w:sz="4" w:space="0" w:color="auto"/>
              <w:left w:val="nil"/>
              <w:bottom w:val="single" w:sz="4" w:space="0" w:color="auto"/>
              <w:right w:val="nil"/>
            </w:tcBorders>
            <w:noWrap/>
            <w:vAlign w:val="center"/>
          </w:tcPr>
          <w:p w14:paraId="70F33CF1" w14:textId="77777777" w:rsidR="00891A59" w:rsidRPr="00174C84" w:rsidRDefault="00891A59" w:rsidP="00891A59">
            <w:pPr>
              <w:spacing w:after="0" w:line="240" w:lineRule="auto"/>
              <w:jc w:val="center"/>
              <w:rPr>
                <w:b/>
                <w:bCs/>
                <w:color w:val="000000"/>
                <w:sz w:val="18"/>
                <w:szCs w:val="18"/>
                <w:highlight w:val="yellow"/>
                <w:lang w:eastAsia="sk-SK"/>
              </w:rPr>
            </w:pPr>
          </w:p>
        </w:tc>
        <w:tc>
          <w:tcPr>
            <w:tcW w:w="581" w:type="pct"/>
            <w:tcBorders>
              <w:top w:val="single" w:sz="4" w:space="0" w:color="auto"/>
              <w:left w:val="nil"/>
              <w:bottom w:val="single" w:sz="4" w:space="0" w:color="auto"/>
              <w:right w:val="nil"/>
            </w:tcBorders>
            <w:noWrap/>
            <w:vAlign w:val="center"/>
            <w:hideMark/>
          </w:tcPr>
          <w:p w14:paraId="3E75EF4C" w14:textId="61B14FA2"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202</w:t>
            </w:r>
            <w:r>
              <w:rPr>
                <w:b/>
                <w:bCs/>
                <w:color w:val="000000"/>
                <w:sz w:val="18"/>
                <w:szCs w:val="18"/>
                <w:lang w:eastAsia="sk-SK"/>
              </w:rPr>
              <w:t>4</w:t>
            </w:r>
          </w:p>
        </w:tc>
        <w:tc>
          <w:tcPr>
            <w:tcW w:w="616" w:type="pct"/>
            <w:tcBorders>
              <w:top w:val="single" w:sz="4" w:space="0" w:color="auto"/>
              <w:left w:val="nil"/>
              <w:bottom w:val="single" w:sz="4" w:space="0" w:color="auto"/>
              <w:right w:val="nil"/>
            </w:tcBorders>
            <w:noWrap/>
            <w:vAlign w:val="center"/>
            <w:hideMark/>
          </w:tcPr>
          <w:p w14:paraId="4D6A194A" w14:textId="0A635725"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2050</w:t>
            </w:r>
          </w:p>
        </w:tc>
        <w:tc>
          <w:tcPr>
            <w:tcW w:w="543" w:type="pct"/>
            <w:tcBorders>
              <w:top w:val="single" w:sz="4" w:space="0" w:color="auto"/>
              <w:left w:val="nil"/>
              <w:bottom w:val="single" w:sz="4" w:space="0" w:color="auto"/>
              <w:right w:val="nil"/>
            </w:tcBorders>
            <w:noWrap/>
            <w:vAlign w:val="center"/>
            <w:hideMark/>
          </w:tcPr>
          <w:p w14:paraId="7A590E2F" w14:textId="0DAF2483"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2100</w:t>
            </w:r>
          </w:p>
        </w:tc>
        <w:tc>
          <w:tcPr>
            <w:tcW w:w="459" w:type="pct"/>
            <w:tcBorders>
              <w:top w:val="single" w:sz="4" w:space="0" w:color="auto"/>
              <w:left w:val="nil"/>
              <w:bottom w:val="single" w:sz="4" w:space="0" w:color="auto"/>
            </w:tcBorders>
            <w:noWrap/>
            <w:vAlign w:val="center"/>
            <w:hideMark/>
          </w:tcPr>
          <w:p w14:paraId="45822D44" w14:textId="2C946B0E"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2140</w:t>
            </w:r>
          </w:p>
        </w:tc>
        <w:tc>
          <w:tcPr>
            <w:tcW w:w="462" w:type="pct"/>
            <w:tcBorders>
              <w:top w:val="single" w:sz="4" w:space="0" w:color="auto"/>
              <w:bottom w:val="single" w:sz="4" w:space="0" w:color="auto"/>
              <w:right w:val="nil"/>
            </w:tcBorders>
            <w:noWrap/>
            <w:vAlign w:val="center"/>
            <w:hideMark/>
          </w:tcPr>
          <w:p w14:paraId="2E0F5DD9" w14:textId="0B99363F" w:rsidR="00891A59" w:rsidRPr="00174C84" w:rsidRDefault="00891A59" w:rsidP="00891A59">
            <w:pPr>
              <w:spacing w:after="0" w:line="240" w:lineRule="auto"/>
              <w:jc w:val="center"/>
              <w:rPr>
                <w:b/>
                <w:bCs/>
                <w:color w:val="000000"/>
                <w:sz w:val="18"/>
                <w:szCs w:val="18"/>
                <w:highlight w:val="yellow"/>
                <w:lang w:eastAsia="sk-SK"/>
              </w:rPr>
            </w:pPr>
            <w:r w:rsidRPr="009117D3">
              <w:rPr>
                <w:b/>
                <w:bCs/>
                <w:color w:val="000000"/>
                <w:sz w:val="18"/>
                <w:szCs w:val="18"/>
                <w:lang w:eastAsia="sk-SK"/>
              </w:rPr>
              <w:t>Spolu</w:t>
            </w:r>
          </w:p>
        </w:tc>
      </w:tr>
      <w:tr w:rsidR="00891A59" w:rsidRPr="00174C84" w14:paraId="0BB4C36B" w14:textId="77777777" w:rsidTr="00891A59">
        <w:trPr>
          <w:trHeight w:val="316"/>
        </w:trPr>
        <w:tc>
          <w:tcPr>
            <w:tcW w:w="2007" w:type="pct"/>
            <w:tcBorders>
              <w:top w:val="single" w:sz="4" w:space="0" w:color="auto"/>
              <w:left w:val="nil"/>
              <w:bottom w:val="single" w:sz="4" w:space="0" w:color="auto"/>
              <w:right w:val="nil"/>
            </w:tcBorders>
            <w:noWrap/>
            <w:vAlign w:val="center"/>
            <w:hideMark/>
          </w:tcPr>
          <w:p w14:paraId="1B34E453" w14:textId="3C2BCC87" w:rsidR="00891A59" w:rsidRPr="00174C84" w:rsidRDefault="00891A59" w:rsidP="00891A59">
            <w:pPr>
              <w:spacing w:after="0" w:line="240" w:lineRule="auto"/>
              <w:rPr>
                <w:color w:val="000000"/>
                <w:sz w:val="18"/>
                <w:szCs w:val="18"/>
                <w:highlight w:val="yellow"/>
                <w:lang w:eastAsia="sk-SK"/>
              </w:rPr>
            </w:pPr>
            <w:r w:rsidRPr="009117D3">
              <w:rPr>
                <w:color w:val="000000"/>
                <w:sz w:val="18"/>
                <w:szCs w:val="18"/>
                <w:lang w:eastAsia="sk-SK"/>
              </w:rPr>
              <w:t>Vplyv NJF na saldo</w:t>
            </w:r>
          </w:p>
        </w:tc>
        <w:tc>
          <w:tcPr>
            <w:tcW w:w="332" w:type="pct"/>
            <w:tcBorders>
              <w:top w:val="single" w:sz="4" w:space="0" w:color="auto"/>
              <w:left w:val="nil"/>
              <w:bottom w:val="single" w:sz="4" w:space="0" w:color="auto"/>
              <w:right w:val="nil"/>
            </w:tcBorders>
            <w:noWrap/>
            <w:vAlign w:val="center"/>
          </w:tcPr>
          <w:p w14:paraId="5727F5E7" w14:textId="77777777" w:rsidR="00891A59" w:rsidRPr="00174C84" w:rsidRDefault="00891A59" w:rsidP="00891A59">
            <w:pPr>
              <w:spacing w:after="0" w:line="240" w:lineRule="auto"/>
              <w:rPr>
                <w:rFonts w:eastAsia="Calibri"/>
                <w:bCs/>
                <w:color w:val="000000"/>
                <w:sz w:val="18"/>
                <w:szCs w:val="18"/>
                <w:highlight w:val="yellow"/>
              </w:rPr>
            </w:pPr>
          </w:p>
        </w:tc>
        <w:tc>
          <w:tcPr>
            <w:tcW w:w="581" w:type="pct"/>
            <w:tcBorders>
              <w:top w:val="single" w:sz="4" w:space="0" w:color="auto"/>
              <w:left w:val="nil"/>
              <w:bottom w:val="single" w:sz="4" w:space="0" w:color="auto"/>
              <w:right w:val="nil"/>
            </w:tcBorders>
            <w:noWrap/>
            <w:vAlign w:val="center"/>
            <w:hideMark/>
          </w:tcPr>
          <w:p w14:paraId="33119023" w14:textId="282154A7" w:rsidR="00891A59" w:rsidRPr="00174C84" w:rsidRDefault="00891A59" w:rsidP="00891A59">
            <w:pPr>
              <w:spacing w:after="0" w:line="240" w:lineRule="auto"/>
              <w:jc w:val="center"/>
              <w:rPr>
                <w:rFonts w:eastAsia="Calibri"/>
                <w:bCs/>
                <w:color w:val="000000"/>
                <w:sz w:val="18"/>
                <w:szCs w:val="18"/>
                <w:highlight w:val="yellow"/>
              </w:rPr>
            </w:pPr>
            <w:r w:rsidRPr="009117D3">
              <w:rPr>
                <w:rFonts w:eastAsia="Calibri"/>
                <w:bCs/>
                <w:color w:val="000000"/>
                <w:sz w:val="18"/>
                <w:szCs w:val="18"/>
              </w:rPr>
              <w:t>0,0</w:t>
            </w:r>
            <w:r>
              <w:rPr>
                <w:rFonts w:eastAsia="Calibri"/>
                <w:bCs/>
                <w:color w:val="000000"/>
                <w:sz w:val="18"/>
                <w:szCs w:val="18"/>
              </w:rPr>
              <w:t>8</w:t>
            </w:r>
          </w:p>
        </w:tc>
        <w:tc>
          <w:tcPr>
            <w:tcW w:w="616" w:type="pct"/>
            <w:tcBorders>
              <w:top w:val="single" w:sz="4" w:space="0" w:color="auto"/>
              <w:left w:val="nil"/>
              <w:bottom w:val="single" w:sz="4" w:space="0" w:color="auto"/>
              <w:right w:val="nil"/>
            </w:tcBorders>
            <w:noWrap/>
            <w:vAlign w:val="center"/>
            <w:hideMark/>
          </w:tcPr>
          <w:p w14:paraId="43D353CC" w14:textId="5EE1B173" w:rsidR="00891A59" w:rsidRPr="00174C84" w:rsidRDefault="00891A59" w:rsidP="00891A59">
            <w:pPr>
              <w:spacing w:after="0" w:line="240" w:lineRule="auto"/>
              <w:jc w:val="center"/>
              <w:rPr>
                <w:rFonts w:eastAsia="Calibri"/>
                <w:bCs/>
                <w:color w:val="000000"/>
                <w:sz w:val="18"/>
                <w:szCs w:val="18"/>
                <w:highlight w:val="yellow"/>
              </w:rPr>
            </w:pPr>
            <w:r w:rsidRPr="009117D3">
              <w:rPr>
                <w:rFonts w:eastAsia="Calibri"/>
                <w:bCs/>
                <w:color w:val="000000"/>
                <w:sz w:val="18"/>
                <w:szCs w:val="18"/>
              </w:rPr>
              <w:t>0,</w:t>
            </w:r>
            <w:r>
              <w:rPr>
                <w:rFonts w:eastAsia="Calibri"/>
                <w:bCs/>
                <w:color w:val="000000"/>
                <w:sz w:val="18"/>
                <w:szCs w:val="18"/>
              </w:rPr>
              <w:t>07</w:t>
            </w:r>
          </w:p>
        </w:tc>
        <w:tc>
          <w:tcPr>
            <w:tcW w:w="543" w:type="pct"/>
            <w:tcBorders>
              <w:top w:val="single" w:sz="4" w:space="0" w:color="auto"/>
              <w:left w:val="nil"/>
              <w:bottom w:val="single" w:sz="4" w:space="0" w:color="auto"/>
              <w:right w:val="nil"/>
            </w:tcBorders>
            <w:noWrap/>
            <w:vAlign w:val="center"/>
            <w:hideMark/>
          </w:tcPr>
          <w:p w14:paraId="1D42A515" w14:textId="1E4FA830" w:rsidR="00891A59" w:rsidRPr="00174C84" w:rsidRDefault="00891A59" w:rsidP="00891A59">
            <w:pPr>
              <w:spacing w:after="0" w:line="240" w:lineRule="auto"/>
              <w:jc w:val="center"/>
              <w:rPr>
                <w:rFonts w:eastAsia="Calibri"/>
                <w:bCs/>
                <w:color w:val="000000"/>
                <w:sz w:val="18"/>
                <w:szCs w:val="18"/>
                <w:highlight w:val="yellow"/>
              </w:rPr>
            </w:pPr>
            <w:r>
              <w:rPr>
                <w:rFonts w:eastAsia="Calibri"/>
                <w:bCs/>
                <w:color w:val="000000"/>
                <w:sz w:val="18"/>
                <w:szCs w:val="18"/>
              </w:rPr>
              <w:t>-</w:t>
            </w:r>
            <w:r w:rsidRPr="009117D3">
              <w:rPr>
                <w:rFonts w:eastAsia="Calibri"/>
                <w:bCs/>
                <w:color w:val="000000"/>
                <w:sz w:val="18"/>
                <w:szCs w:val="18"/>
              </w:rPr>
              <w:t>0,02</w:t>
            </w:r>
          </w:p>
        </w:tc>
        <w:tc>
          <w:tcPr>
            <w:tcW w:w="459" w:type="pct"/>
            <w:tcBorders>
              <w:top w:val="single" w:sz="4" w:space="0" w:color="auto"/>
              <w:left w:val="nil"/>
              <w:bottom w:val="single" w:sz="4" w:space="0" w:color="auto"/>
            </w:tcBorders>
            <w:noWrap/>
            <w:vAlign w:val="center"/>
            <w:hideMark/>
          </w:tcPr>
          <w:p w14:paraId="20C3E6A8" w14:textId="5B080555" w:rsidR="00891A59" w:rsidRPr="00174C84" w:rsidRDefault="00891A59" w:rsidP="00891A59">
            <w:pPr>
              <w:spacing w:after="0" w:line="240" w:lineRule="auto"/>
              <w:jc w:val="center"/>
              <w:rPr>
                <w:rFonts w:eastAsia="Calibri"/>
                <w:bCs/>
                <w:color w:val="000000"/>
                <w:sz w:val="18"/>
                <w:szCs w:val="18"/>
                <w:highlight w:val="yellow"/>
              </w:rPr>
            </w:pPr>
            <w:r w:rsidRPr="009117D3">
              <w:rPr>
                <w:rFonts w:eastAsia="Calibri"/>
                <w:bCs/>
                <w:color w:val="000000"/>
                <w:sz w:val="18"/>
                <w:szCs w:val="18"/>
              </w:rPr>
              <w:t>0,00</w:t>
            </w:r>
          </w:p>
        </w:tc>
        <w:tc>
          <w:tcPr>
            <w:tcW w:w="462" w:type="pct"/>
            <w:tcBorders>
              <w:top w:val="single" w:sz="4" w:space="0" w:color="auto"/>
              <w:bottom w:val="single" w:sz="4" w:space="0" w:color="auto"/>
              <w:right w:val="nil"/>
            </w:tcBorders>
            <w:noWrap/>
            <w:vAlign w:val="center"/>
            <w:hideMark/>
          </w:tcPr>
          <w:p w14:paraId="16746E36" w14:textId="5F58D3A7" w:rsidR="00891A59" w:rsidRPr="00174C84" w:rsidRDefault="00891A59" w:rsidP="00891A59">
            <w:pPr>
              <w:spacing w:after="0" w:line="240" w:lineRule="auto"/>
              <w:jc w:val="center"/>
              <w:rPr>
                <w:rFonts w:eastAsia="Calibri"/>
                <w:b/>
                <w:bCs/>
                <w:color w:val="000000"/>
                <w:sz w:val="18"/>
                <w:szCs w:val="18"/>
                <w:highlight w:val="yellow"/>
              </w:rPr>
            </w:pPr>
            <w:r w:rsidRPr="00E52702">
              <w:rPr>
                <w:rFonts w:eastAsia="Calibri"/>
                <w:b/>
                <w:bCs/>
                <w:color w:val="000000"/>
                <w:sz w:val="18"/>
                <w:szCs w:val="18"/>
              </w:rPr>
              <w:t>2,9</w:t>
            </w:r>
          </w:p>
        </w:tc>
      </w:tr>
    </w:tbl>
    <w:p w14:paraId="30B9A362" w14:textId="5BDBBD6A" w:rsidR="00DD0DA5" w:rsidRPr="00891A59" w:rsidRDefault="006E5A16" w:rsidP="00DD0DA5">
      <w:pPr>
        <w:autoSpaceDE w:val="0"/>
        <w:autoSpaceDN w:val="0"/>
        <w:adjustRightInd w:val="0"/>
        <w:spacing w:after="0" w:line="288" w:lineRule="auto"/>
        <w:jc w:val="both"/>
        <w:rPr>
          <w:rFonts w:eastAsia="Calibri"/>
          <w:szCs w:val="22"/>
        </w:rPr>
      </w:pPr>
      <w:r w:rsidRPr="00891A59">
        <w:rPr>
          <w:i/>
          <w:color w:val="000000"/>
          <w:sz w:val="16"/>
          <w:szCs w:val="18"/>
          <w:lang w:eastAsia="sk-SK"/>
        </w:rPr>
        <w:t>Pozn.: Diskontované k roku 20</w:t>
      </w:r>
      <w:r w:rsidR="00891A59">
        <w:rPr>
          <w:i/>
          <w:color w:val="000000"/>
          <w:sz w:val="16"/>
          <w:szCs w:val="18"/>
          <w:lang w:eastAsia="sk-SK"/>
        </w:rPr>
        <w:t>24</w:t>
      </w:r>
      <w:r w:rsidR="00DD0DA5" w:rsidRPr="00891A59">
        <w:rPr>
          <w:i/>
          <w:color w:val="000000"/>
          <w:sz w:val="16"/>
          <w:szCs w:val="18"/>
          <w:lang w:eastAsia="sk-SK"/>
        </w:rPr>
        <w:t>.</w:t>
      </w:r>
      <w:r w:rsidR="00DD0DA5" w:rsidRPr="00891A59">
        <w:rPr>
          <w:color w:val="000000"/>
          <w:sz w:val="16"/>
          <w:szCs w:val="18"/>
          <w:lang w:eastAsia="sk-SK"/>
        </w:rPr>
        <w:tab/>
      </w:r>
      <w:r w:rsidR="00DD0DA5" w:rsidRPr="00891A59">
        <w:rPr>
          <w:color w:val="000000"/>
          <w:sz w:val="16"/>
          <w:szCs w:val="18"/>
          <w:lang w:eastAsia="sk-SK"/>
        </w:rPr>
        <w:tab/>
      </w:r>
      <w:r w:rsidR="00DD0DA5" w:rsidRPr="00891A59">
        <w:rPr>
          <w:color w:val="000000"/>
          <w:sz w:val="16"/>
          <w:szCs w:val="18"/>
          <w:lang w:eastAsia="sk-SK"/>
        </w:rPr>
        <w:tab/>
      </w:r>
      <w:r w:rsidR="00DD0DA5" w:rsidRPr="00891A59">
        <w:rPr>
          <w:color w:val="000000"/>
          <w:sz w:val="16"/>
          <w:szCs w:val="18"/>
          <w:lang w:eastAsia="sk-SK"/>
        </w:rPr>
        <w:tab/>
      </w:r>
      <w:r w:rsidR="00DD0DA5" w:rsidRPr="00891A59">
        <w:rPr>
          <w:color w:val="000000"/>
          <w:sz w:val="16"/>
          <w:szCs w:val="18"/>
          <w:lang w:eastAsia="sk-SK"/>
        </w:rPr>
        <w:tab/>
      </w:r>
      <w:r w:rsidR="00DD0DA5" w:rsidRPr="00891A59">
        <w:rPr>
          <w:color w:val="000000"/>
          <w:sz w:val="16"/>
          <w:szCs w:val="18"/>
          <w:lang w:eastAsia="sk-SK"/>
        </w:rPr>
        <w:tab/>
      </w:r>
      <w:r w:rsidR="00DD0DA5" w:rsidRPr="00891A59">
        <w:rPr>
          <w:color w:val="000000"/>
          <w:sz w:val="16"/>
          <w:szCs w:val="18"/>
          <w:lang w:eastAsia="sk-SK"/>
        </w:rPr>
        <w:tab/>
      </w:r>
      <w:r w:rsidR="00DD0DA5" w:rsidRPr="00891A59">
        <w:rPr>
          <w:color w:val="000000"/>
          <w:sz w:val="16"/>
          <w:szCs w:val="18"/>
          <w:lang w:eastAsia="sk-SK"/>
        </w:rPr>
        <w:tab/>
        <w:t xml:space="preserve">         </w:t>
      </w:r>
      <w:r w:rsidR="00777298" w:rsidRPr="00891A59">
        <w:rPr>
          <w:color w:val="000000"/>
          <w:sz w:val="16"/>
          <w:szCs w:val="18"/>
          <w:lang w:eastAsia="sk-SK"/>
        </w:rPr>
        <w:t xml:space="preserve">       </w:t>
      </w:r>
      <w:r w:rsidR="00DD0DA5" w:rsidRPr="00891A59">
        <w:rPr>
          <w:i/>
          <w:color w:val="000000"/>
          <w:sz w:val="16"/>
          <w:szCs w:val="18"/>
          <w:lang w:eastAsia="sk-SK"/>
        </w:rPr>
        <w:t>Zdroj: MF SR</w:t>
      </w:r>
    </w:p>
    <w:p w14:paraId="763EB87D" w14:textId="5245AB00" w:rsidR="006C2714" w:rsidRPr="006C2714" w:rsidRDefault="00891A59" w:rsidP="00DB7EF3">
      <w:pPr>
        <w:spacing w:before="120" w:after="120" w:line="240" w:lineRule="auto"/>
        <w:jc w:val="both"/>
      </w:pPr>
      <w:r w:rsidRPr="009117D3">
        <w:rPr>
          <w:b/>
        </w:rPr>
        <w:t>Od roku 2020 medzi implicitné záväzky MF SR zaraďuje aj platby, ktoré SR odvedie do</w:t>
      </w:r>
      <w:r w:rsidR="00E1792B">
        <w:rPr>
          <w:b/>
        </w:rPr>
        <w:t> </w:t>
      </w:r>
      <w:r w:rsidRPr="009117D3">
        <w:rPr>
          <w:b/>
        </w:rPr>
        <w:t>rozpočtu</w:t>
      </w:r>
      <w:r w:rsidR="00E1792B">
        <w:rPr>
          <w:b/>
        </w:rPr>
        <w:t> </w:t>
      </w:r>
      <w:r w:rsidRPr="009117D3">
        <w:rPr>
          <w:b/>
        </w:rPr>
        <w:t>EÚ formou vyššieho odvodu za zdroje získane z nástroja Next Generation EU.</w:t>
      </w:r>
      <w:r w:rsidRPr="009117D3">
        <w:t xml:space="preserve"> Balíkom sa v nasledujúcich rokoch podporia najmä investície do zelenej a digitálnej transformácie. Finančné prostriedky na zabezpečenie týchto grantov získala priamo EÚ. Dohoda predpokladá, že ich splácanie sa začne najskôr v roku 2028 a bude trvať maximálne do roku 2058. Splácanie istiny a úrokových platieb sa následne prejaví v</w:t>
      </w:r>
      <w:r w:rsidR="00E1792B">
        <w:t> </w:t>
      </w:r>
      <w:r w:rsidRPr="009117D3">
        <w:t>budúcich príspevkoch členských štátov do rozpočtu EÚ. Ak by sa zdroje pre NGEU financovali zo zavedenia nových celoeurópskych daní</w:t>
      </w:r>
      <w:r w:rsidRPr="009117D3">
        <w:rPr>
          <w:rStyle w:val="Odkaznapoznmkupodiarou"/>
        </w:rPr>
        <w:footnoteReference w:id="34"/>
      </w:r>
      <w:r w:rsidRPr="009117D3">
        <w:t>, vplyv NGEU na implicitné záväzky by sa neutralizoval. Slovensko v aktuálnych predpokladoch rozpo</w:t>
      </w:r>
      <w:r w:rsidRPr="0061379D">
        <w:t>čtu</w:t>
      </w:r>
      <w:r w:rsidR="00D7788E" w:rsidRPr="0061379D">
        <w:t>.</w:t>
      </w:r>
    </w:p>
    <w:p w14:paraId="3F503373" w14:textId="42D3E873" w:rsidR="00076866" w:rsidRDefault="00076866" w:rsidP="00D162A9">
      <w:pPr>
        <w:pStyle w:val="Popis"/>
      </w:pPr>
      <w:bookmarkStart w:id="92" w:name="_Toc212124640"/>
      <w:r>
        <w:t xml:space="preserve">Tabuľka </w:t>
      </w:r>
      <w:r>
        <w:fldChar w:fldCharType="begin"/>
      </w:r>
      <w:r>
        <w:instrText xml:space="preserve"> SEQ Tabuľka \* ARABIC </w:instrText>
      </w:r>
      <w:r>
        <w:fldChar w:fldCharType="separate"/>
      </w:r>
      <w:r>
        <w:rPr>
          <w:noProof/>
        </w:rPr>
        <w:t>19</w:t>
      </w:r>
      <w:r>
        <w:fldChar w:fldCharType="end"/>
      </w:r>
      <w:r>
        <w:t xml:space="preserve"> - </w:t>
      </w:r>
      <w:r w:rsidRPr="00E4366D">
        <w:t>Vplyv Plánu obnovy (v % HDP)</w:t>
      </w:r>
      <w:bookmarkEnd w:id="92"/>
    </w:p>
    <w:tbl>
      <w:tblPr>
        <w:tblW w:w="5000" w:type="pct"/>
        <w:tblLook w:val="04A0" w:firstRow="1" w:lastRow="0" w:firstColumn="1" w:lastColumn="0" w:noHBand="0" w:noVBand="1"/>
      </w:tblPr>
      <w:tblGrid>
        <w:gridCol w:w="3607"/>
        <w:gridCol w:w="908"/>
        <w:gridCol w:w="908"/>
        <w:gridCol w:w="908"/>
        <w:gridCol w:w="908"/>
        <w:gridCol w:w="908"/>
        <w:gridCol w:w="1348"/>
      </w:tblGrid>
      <w:tr w:rsidR="00891A59" w:rsidRPr="00174C84" w14:paraId="583FFDF4" w14:textId="77777777" w:rsidTr="00076866">
        <w:trPr>
          <w:trHeight w:val="177"/>
          <w:tblHeader/>
        </w:trPr>
        <w:tc>
          <w:tcPr>
            <w:tcW w:w="1900" w:type="pct"/>
            <w:tcBorders>
              <w:top w:val="single" w:sz="4" w:space="0" w:color="auto"/>
              <w:bottom w:val="single" w:sz="4" w:space="0" w:color="auto"/>
            </w:tcBorders>
            <w:noWrap/>
            <w:vAlign w:val="center"/>
            <w:hideMark/>
          </w:tcPr>
          <w:p w14:paraId="0C32727A" w14:textId="0E866F39" w:rsidR="00891A59" w:rsidRPr="00174C84" w:rsidRDefault="00891A59" w:rsidP="00891A59">
            <w:pPr>
              <w:spacing w:after="0" w:line="240" w:lineRule="auto"/>
              <w:jc w:val="center"/>
              <w:rPr>
                <w:color w:val="000000"/>
                <w:sz w:val="18"/>
                <w:szCs w:val="20"/>
                <w:highlight w:val="yellow"/>
              </w:rPr>
            </w:pPr>
            <w:r w:rsidRPr="005C52F3">
              <w:rPr>
                <w:color w:val="000000"/>
                <w:sz w:val="18"/>
                <w:szCs w:val="20"/>
              </w:rPr>
              <w:t> </w:t>
            </w:r>
          </w:p>
        </w:tc>
        <w:tc>
          <w:tcPr>
            <w:tcW w:w="478" w:type="pct"/>
            <w:tcBorders>
              <w:top w:val="single" w:sz="4" w:space="0" w:color="auto"/>
              <w:bottom w:val="single" w:sz="4" w:space="0" w:color="auto"/>
            </w:tcBorders>
            <w:noWrap/>
            <w:vAlign w:val="center"/>
            <w:hideMark/>
          </w:tcPr>
          <w:p w14:paraId="065E681F" w14:textId="14680841" w:rsidR="00891A59" w:rsidRPr="00174C84" w:rsidRDefault="00891A59" w:rsidP="00891A59">
            <w:pPr>
              <w:spacing w:after="0" w:line="240" w:lineRule="auto"/>
              <w:jc w:val="center"/>
              <w:rPr>
                <w:b/>
                <w:bCs/>
                <w:color w:val="000000"/>
                <w:sz w:val="18"/>
                <w:szCs w:val="20"/>
                <w:highlight w:val="yellow"/>
              </w:rPr>
            </w:pPr>
            <w:r w:rsidRPr="005C52F3">
              <w:rPr>
                <w:b/>
                <w:sz w:val="18"/>
                <w:szCs w:val="20"/>
              </w:rPr>
              <w:t>202</w:t>
            </w:r>
            <w:r>
              <w:rPr>
                <w:b/>
                <w:sz w:val="18"/>
                <w:szCs w:val="20"/>
              </w:rPr>
              <w:t>4</w:t>
            </w:r>
          </w:p>
        </w:tc>
        <w:tc>
          <w:tcPr>
            <w:tcW w:w="478" w:type="pct"/>
            <w:tcBorders>
              <w:top w:val="single" w:sz="4" w:space="0" w:color="auto"/>
              <w:bottom w:val="single" w:sz="4" w:space="0" w:color="auto"/>
            </w:tcBorders>
            <w:noWrap/>
            <w:vAlign w:val="center"/>
            <w:hideMark/>
          </w:tcPr>
          <w:p w14:paraId="6ECD30C5" w14:textId="1387EE0A" w:rsidR="00891A59" w:rsidRPr="00174C84" w:rsidRDefault="00891A59" w:rsidP="00891A59">
            <w:pPr>
              <w:spacing w:after="0" w:line="240" w:lineRule="auto"/>
              <w:jc w:val="center"/>
              <w:rPr>
                <w:b/>
                <w:bCs/>
                <w:color w:val="000000"/>
                <w:sz w:val="18"/>
                <w:szCs w:val="20"/>
                <w:highlight w:val="yellow"/>
              </w:rPr>
            </w:pPr>
            <w:r w:rsidRPr="005C52F3">
              <w:rPr>
                <w:b/>
                <w:sz w:val="18"/>
                <w:szCs w:val="20"/>
              </w:rPr>
              <w:t>2030</w:t>
            </w:r>
          </w:p>
        </w:tc>
        <w:tc>
          <w:tcPr>
            <w:tcW w:w="478" w:type="pct"/>
            <w:tcBorders>
              <w:top w:val="single" w:sz="4" w:space="0" w:color="auto"/>
              <w:bottom w:val="single" w:sz="4" w:space="0" w:color="auto"/>
            </w:tcBorders>
            <w:noWrap/>
            <w:vAlign w:val="center"/>
            <w:hideMark/>
          </w:tcPr>
          <w:p w14:paraId="50D4E8A8" w14:textId="4C6C7228" w:rsidR="00891A59" w:rsidRPr="00174C84" w:rsidRDefault="00891A59" w:rsidP="00891A59">
            <w:pPr>
              <w:spacing w:after="0" w:line="240" w:lineRule="auto"/>
              <w:jc w:val="center"/>
              <w:rPr>
                <w:b/>
                <w:bCs/>
                <w:color w:val="000000"/>
                <w:sz w:val="18"/>
                <w:szCs w:val="20"/>
                <w:highlight w:val="yellow"/>
              </w:rPr>
            </w:pPr>
            <w:r w:rsidRPr="005C52F3">
              <w:rPr>
                <w:b/>
                <w:sz w:val="18"/>
                <w:szCs w:val="20"/>
              </w:rPr>
              <w:t>2040</w:t>
            </w:r>
          </w:p>
        </w:tc>
        <w:tc>
          <w:tcPr>
            <w:tcW w:w="478" w:type="pct"/>
            <w:tcBorders>
              <w:top w:val="single" w:sz="4" w:space="0" w:color="auto"/>
              <w:bottom w:val="single" w:sz="4" w:space="0" w:color="auto"/>
            </w:tcBorders>
            <w:noWrap/>
            <w:vAlign w:val="center"/>
            <w:hideMark/>
          </w:tcPr>
          <w:p w14:paraId="12EE4EE0" w14:textId="5ABADA8C" w:rsidR="00891A59" w:rsidRPr="00174C84" w:rsidRDefault="00891A59" w:rsidP="00891A59">
            <w:pPr>
              <w:spacing w:after="0" w:line="240" w:lineRule="auto"/>
              <w:jc w:val="center"/>
              <w:rPr>
                <w:b/>
                <w:bCs/>
                <w:color w:val="000000"/>
                <w:sz w:val="18"/>
                <w:szCs w:val="20"/>
                <w:highlight w:val="yellow"/>
              </w:rPr>
            </w:pPr>
            <w:r w:rsidRPr="005C52F3">
              <w:rPr>
                <w:b/>
                <w:sz w:val="18"/>
                <w:szCs w:val="20"/>
              </w:rPr>
              <w:t>2050</w:t>
            </w:r>
          </w:p>
        </w:tc>
        <w:tc>
          <w:tcPr>
            <w:tcW w:w="478" w:type="pct"/>
            <w:tcBorders>
              <w:top w:val="single" w:sz="4" w:space="0" w:color="auto"/>
              <w:bottom w:val="single" w:sz="4" w:space="0" w:color="auto"/>
            </w:tcBorders>
          </w:tcPr>
          <w:p w14:paraId="5B5492AF" w14:textId="52F542A9" w:rsidR="00891A59" w:rsidRPr="00174C84" w:rsidRDefault="00891A59" w:rsidP="00891A59">
            <w:pPr>
              <w:spacing w:after="0" w:line="240" w:lineRule="auto"/>
              <w:jc w:val="center"/>
              <w:rPr>
                <w:b/>
                <w:sz w:val="18"/>
                <w:szCs w:val="20"/>
                <w:highlight w:val="yellow"/>
              </w:rPr>
            </w:pPr>
            <w:r w:rsidRPr="005C52F3">
              <w:rPr>
                <w:b/>
                <w:sz w:val="18"/>
                <w:szCs w:val="20"/>
              </w:rPr>
              <w:t>2058</w:t>
            </w:r>
          </w:p>
        </w:tc>
        <w:tc>
          <w:tcPr>
            <w:tcW w:w="709" w:type="pct"/>
            <w:tcBorders>
              <w:top w:val="single" w:sz="4" w:space="0" w:color="auto"/>
              <w:bottom w:val="single" w:sz="4" w:space="0" w:color="auto"/>
            </w:tcBorders>
            <w:noWrap/>
            <w:vAlign w:val="center"/>
          </w:tcPr>
          <w:p w14:paraId="568C1CF6" w14:textId="18C40E3E" w:rsidR="00891A59" w:rsidRPr="00174C84" w:rsidRDefault="00891A59" w:rsidP="00891A59">
            <w:pPr>
              <w:spacing w:after="0" w:line="240" w:lineRule="auto"/>
              <w:jc w:val="center"/>
              <w:rPr>
                <w:b/>
                <w:bCs/>
                <w:color w:val="000000"/>
                <w:sz w:val="18"/>
                <w:szCs w:val="20"/>
                <w:highlight w:val="yellow"/>
              </w:rPr>
            </w:pPr>
            <w:r w:rsidRPr="005C52F3">
              <w:rPr>
                <w:b/>
                <w:sz w:val="18"/>
                <w:szCs w:val="20"/>
              </w:rPr>
              <w:t>Spolu</w:t>
            </w:r>
          </w:p>
        </w:tc>
      </w:tr>
      <w:tr w:rsidR="00891A59" w:rsidRPr="00174C84" w14:paraId="37E6D695" w14:textId="77777777" w:rsidTr="00076866">
        <w:trPr>
          <w:trHeight w:val="317"/>
        </w:trPr>
        <w:tc>
          <w:tcPr>
            <w:tcW w:w="1900" w:type="pct"/>
            <w:tcBorders>
              <w:top w:val="single" w:sz="4" w:space="0" w:color="auto"/>
              <w:bottom w:val="single" w:sz="4" w:space="0" w:color="auto"/>
            </w:tcBorders>
            <w:noWrap/>
            <w:vAlign w:val="center"/>
            <w:hideMark/>
          </w:tcPr>
          <w:p w14:paraId="29FE6BC2" w14:textId="5973051E" w:rsidR="00891A59" w:rsidRPr="00174C84" w:rsidRDefault="00891A59" w:rsidP="00891A59">
            <w:pPr>
              <w:spacing w:after="0" w:line="240" w:lineRule="auto"/>
              <w:rPr>
                <w:color w:val="000000"/>
                <w:sz w:val="18"/>
                <w:szCs w:val="20"/>
                <w:highlight w:val="yellow"/>
              </w:rPr>
            </w:pPr>
            <w:r w:rsidRPr="005C52F3">
              <w:rPr>
                <w:color w:val="000000"/>
                <w:sz w:val="18"/>
                <w:szCs w:val="20"/>
              </w:rPr>
              <w:t>Vplyv Plánu obnovy na saldo</w:t>
            </w:r>
          </w:p>
        </w:tc>
        <w:tc>
          <w:tcPr>
            <w:tcW w:w="478" w:type="pct"/>
            <w:tcBorders>
              <w:top w:val="single" w:sz="4" w:space="0" w:color="auto"/>
              <w:bottom w:val="single" w:sz="4" w:space="0" w:color="auto"/>
            </w:tcBorders>
            <w:noWrap/>
            <w:vAlign w:val="center"/>
            <w:hideMark/>
          </w:tcPr>
          <w:p w14:paraId="2078BD75" w14:textId="65E4B98D" w:rsidR="00891A59" w:rsidRPr="00174C84" w:rsidRDefault="00891A59" w:rsidP="00891A59">
            <w:pPr>
              <w:spacing w:after="0" w:line="240" w:lineRule="auto"/>
              <w:jc w:val="center"/>
              <w:rPr>
                <w:color w:val="000000"/>
                <w:sz w:val="18"/>
                <w:szCs w:val="20"/>
                <w:highlight w:val="yellow"/>
              </w:rPr>
            </w:pPr>
            <w:r w:rsidRPr="005C52F3">
              <w:rPr>
                <w:sz w:val="18"/>
                <w:szCs w:val="20"/>
              </w:rPr>
              <w:t>0,0</w:t>
            </w:r>
          </w:p>
        </w:tc>
        <w:tc>
          <w:tcPr>
            <w:tcW w:w="478" w:type="pct"/>
            <w:tcBorders>
              <w:top w:val="single" w:sz="4" w:space="0" w:color="auto"/>
              <w:bottom w:val="single" w:sz="4" w:space="0" w:color="auto"/>
            </w:tcBorders>
            <w:noWrap/>
            <w:vAlign w:val="center"/>
            <w:hideMark/>
          </w:tcPr>
          <w:p w14:paraId="5308EC06" w14:textId="6AE6ED07" w:rsidR="00891A59" w:rsidRPr="00174C84" w:rsidRDefault="00891A59" w:rsidP="00891A59">
            <w:pPr>
              <w:spacing w:after="0" w:line="240" w:lineRule="auto"/>
              <w:jc w:val="center"/>
              <w:rPr>
                <w:color w:val="000000"/>
                <w:sz w:val="18"/>
                <w:szCs w:val="20"/>
                <w:highlight w:val="yellow"/>
              </w:rPr>
            </w:pPr>
            <w:r w:rsidRPr="005C52F3">
              <w:rPr>
                <w:sz w:val="18"/>
                <w:szCs w:val="20"/>
              </w:rPr>
              <w:t>-0,</w:t>
            </w:r>
            <w:r>
              <w:rPr>
                <w:sz w:val="18"/>
                <w:szCs w:val="20"/>
              </w:rPr>
              <w:t>1</w:t>
            </w:r>
          </w:p>
        </w:tc>
        <w:tc>
          <w:tcPr>
            <w:tcW w:w="478" w:type="pct"/>
            <w:tcBorders>
              <w:top w:val="single" w:sz="4" w:space="0" w:color="auto"/>
              <w:bottom w:val="single" w:sz="4" w:space="0" w:color="auto"/>
            </w:tcBorders>
            <w:noWrap/>
            <w:vAlign w:val="center"/>
            <w:hideMark/>
          </w:tcPr>
          <w:p w14:paraId="185376B4" w14:textId="411347A3" w:rsidR="00891A59" w:rsidRPr="00174C84" w:rsidRDefault="00891A59" w:rsidP="00891A59">
            <w:pPr>
              <w:spacing w:after="0" w:line="240" w:lineRule="auto"/>
              <w:jc w:val="center"/>
              <w:rPr>
                <w:color w:val="000000"/>
                <w:sz w:val="18"/>
                <w:szCs w:val="20"/>
                <w:highlight w:val="yellow"/>
              </w:rPr>
            </w:pPr>
            <w:r w:rsidRPr="005C52F3">
              <w:rPr>
                <w:sz w:val="18"/>
                <w:szCs w:val="20"/>
              </w:rPr>
              <w:t>-0,1</w:t>
            </w:r>
          </w:p>
        </w:tc>
        <w:tc>
          <w:tcPr>
            <w:tcW w:w="478" w:type="pct"/>
            <w:tcBorders>
              <w:top w:val="single" w:sz="4" w:space="0" w:color="auto"/>
              <w:bottom w:val="single" w:sz="4" w:space="0" w:color="auto"/>
            </w:tcBorders>
            <w:noWrap/>
            <w:vAlign w:val="center"/>
            <w:hideMark/>
          </w:tcPr>
          <w:p w14:paraId="54FD86AB" w14:textId="4E8BBF6B" w:rsidR="00891A59" w:rsidRPr="00174C84" w:rsidRDefault="00891A59" w:rsidP="00891A59">
            <w:pPr>
              <w:spacing w:after="0" w:line="240" w:lineRule="auto"/>
              <w:jc w:val="center"/>
              <w:rPr>
                <w:color w:val="000000"/>
                <w:sz w:val="18"/>
                <w:szCs w:val="20"/>
                <w:highlight w:val="yellow"/>
              </w:rPr>
            </w:pPr>
            <w:r w:rsidRPr="005C52F3">
              <w:rPr>
                <w:sz w:val="18"/>
                <w:szCs w:val="20"/>
              </w:rPr>
              <w:t>-0,1</w:t>
            </w:r>
          </w:p>
        </w:tc>
        <w:tc>
          <w:tcPr>
            <w:tcW w:w="478" w:type="pct"/>
            <w:tcBorders>
              <w:top w:val="single" w:sz="4" w:space="0" w:color="auto"/>
              <w:bottom w:val="single" w:sz="4" w:space="0" w:color="auto"/>
            </w:tcBorders>
            <w:vAlign w:val="center"/>
          </w:tcPr>
          <w:p w14:paraId="1D243F91" w14:textId="18723755" w:rsidR="00891A59" w:rsidRPr="00174C84" w:rsidRDefault="00891A59" w:rsidP="00891A59">
            <w:pPr>
              <w:spacing w:after="0" w:line="240" w:lineRule="auto"/>
              <w:jc w:val="center"/>
              <w:rPr>
                <w:sz w:val="18"/>
                <w:szCs w:val="20"/>
                <w:highlight w:val="yellow"/>
              </w:rPr>
            </w:pPr>
            <w:r w:rsidRPr="005C52F3">
              <w:rPr>
                <w:sz w:val="18"/>
                <w:szCs w:val="20"/>
              </w:rPr>
              <w:t>0,</w:t>
            </w:r>
            <w:r>
              <w:rPr>
                <w:sz w:val="18"/>
                <w:szCs w:val="20"/>
              </w:rPr>
              <w:t>0</w:t>
            </w:r>
          </w:p>
        </w:tc>
        <w:tc>
          <w:tcPr>
            <w:tcW w:w="709" w:type="pct"/>
            <w:tcBorders>
              <w:top w:val="single" w:sz="4" w:space="0" w:color="auto"/>
              <w:bottom w:val="single" w:sz="4" w:space="0" w:color="auto"/>
            </w:tcBorders>
            <w:noWrap/>
            <w:vAlign w:val="center"/>
          </w:tcPr>
          <w:p w14:paraId="12A7514E" w14:textId="4A0C1387" w:rsidR="00891A59" w:rsidRPr="00174C84" w:rsidRDefault="00891A59" w:rsidP="00891A59">
            <w:pPr>
              <w:spacing w:after="0" w:line="240" w:lineRule="auto"/>
              <w:jc w:val="center"/>
              <w:rPr>
                <w:b/>
                <w:color w:val="000000"/>
                <w:sz w:val="18"/>
                <w:szCs w:val="20"/>
                <w:highlight w:val="yellow"/>
              </w:rPr>
            </w:pPr>
            <w:r w:rsidRPr="005C52F3">
              <w:rPr>
                <w:bCs/>
                <w:sz w:val="18"/>
                <w:szCs w:val="20"/>
              </w:rPr>
              <w:t>-</w:t>
            </w:r>
            <w:r>
              <w:rPr>
                <w:b/>
                <w:sz w:val="18"/>
                <w:szCs w:val="20"/>
              </w:rPr>
              <w:t>2</w:t>
            </w:r>
            <w:r w:rsidRPr="005C52F3">
              <w:rPr>
                <w:b/>
                <w:sz w:val="18"/>
                <w:szCs w:val="20"/>
              </w:rPr>
              <w:t>,</w:t>
            </w:r>
            <w:r>
              <w:rPr>
                <w:b/>
                <w:sz w:val="18"/>
                <w:szCs w:val="20"/>
              </w:rPr>
              <w:t>6</w:t>
            </w:r>
          </w:p>
        </w:tc>
      </w:tr>
      <w:tr w:rsidR="00DD0DA5" w:rsidRPr="00174C84" w14:paraId="2895E9C5" w14:textId="77777777" w:rsidTr="00E43DA9">
        <w:trPr>
          <w:trHeight w:val="254"/>
        </w:trPr>
        <w:tc>
          <w:tcPr>
            <w:tcW w:w="5000" w:type="pct"/>
            <w:gridSpan w:val="7"/>
            <w:tcBorders>
              <w:top w:val="single" w:sz="4" w:space="0" w:color="auto"/>
              <w:left w:val="nil"/>
              <w:bottom w:val="nil"/>
              <w:right w:val="nil"/>
            </w:tcBorders>
          </w:tcPr>
          <w:p w14:paraId="2DC2E347" w14:textId="4CE09028" w:rsidR="00DD0DA5" w:rsidRPr="00891A59" w:rsidRDefault="00DD0DA5" w:rsidP="00E43DA9">
            <w:pPr>
              <w:spacing w:after="0" w:line="240" w:lineRule="auto"/>
              <w:rPr>
                <w:color w:val="000000"/>
                <w:sz w:val="14"/>
                <w:szCs w:val="14"/>
              </w:rPr>
            </w:pPr>
            <w:r w:rsidRPr="00891A59">
              <w:rPr>
                <w:i/>
                <w:color w:val="000000"/>
                <w:sz w:val="16"/>
                <w:szCs w:val="18"/>
                <w:lang w:eastAsia="sk-SK"/>
              </w:rPr>
              <w:t>Pozn.: Diskontované k roku 20</w:t>
            </w:r>
            <w:r w:rsidR="00891A59" w:rsidRPr="00891A59">
              <w:rPr>
                <w:i/>
                <w:color w:val="000000"/>
                <w:sz w:val="16"/>
                <w:szCs w:val="18"/>
                <w:lang w:eastAsia="sk-SK"/>
              </w:rPr>
              <w:t>24</w:t>
            </w:r>
            <w:r w:rsidRPr="00891A59">
              <w:rPr>
                <w:i/>
                <w:color w:val="000000"/>
                <w:sz w:val="16"/>
                <w:szCs w:val="18"/>
                <w:lang w:eastAsia="sk-SK"/>
              </w:rPr>
              <w:t xml:space="preserve">.                                                                                                                                </w:t>
            </w:r>
            <w:r w:rsidR="00112D4B" w:rsidRPr="00891A59">
              <w:rPr>
                <w:i/>
                <w:color w:val="000000"/>
                <w:sz w:val="16"/>
                <w:szCs w:val="18"/>
                <w:lang w:eastAsia="sk-SK"/>
              </w:rPr>
              <w:t xml:space="preserve">      </w:t>
            </w:r>
            <w:r w:rsidR="00E43DA9" w:rsidRPr="00891A59">
              <w:rPr>
                <w:i/>
                <w:color w:val="000000"/>
                <w:sz w:val="16"/>
                <w:szCs w:val="18"/>
                <w:lang w:eastAsia="sk-SK"/>
              </w:rPr>
              <w:t xml:space="preserve">  </w:t>
            </w:r>
            <w:r w:rsidR="00112D4B" w:rsidRPr="00891A59">
              <w:rPr>
                <w:i/>
                <w:color w:val="000000"/>
                <w:sz w:val="16"/>
                <w:szCs w:val="18"/>
                <w:lang w:eastAsia="sk-SK"/>
              </w:rPr>
              <w:t xml:space="preserve">      </w:t>
            </w:r>
            <w:r w:rsidRPr="00891A59">
              <w:rPr>
                <w:i/>
                <w:color w:val="000000"/>
                <w:sz w:val="16"/>
                <w:szCs w:val="18"/>
                <w:lang w:eastAsia="sk-SK"/>
              </w:rPr>
              <w:t xml:space="preserve">            </w:t>
            </w:r>
            <w:r w:rsidRPr="00891A59">
              <w:rPr>
                <w:i/>
                <w:color w:val="000000"/>
                <w:sz w:val="14"/>
                <w:szCs w:val="14"/>
              </w:rPr>
              <w:t>Zdroj: MF SR</w:t>
            </w:r>
          </w:p>
        </w:tc>
      </w:tr>
    </w:tbl>
    <w:p w14:paraId="655A3E93" w14:textId="0DB17EFE" w:rsidR="00DF0EC5" w:rsidRPr="00C5247B" w:rsidRDefault="00DF0EC5" w:rsidP="00A022E7">
      <w:pPr>
        <w:pStyle w:val="Nadpis3"/>
        <w:numPr>
          <w:ilvl w:val="2"/>
          <w:numId w:val="7"/>
        </w:numPr>
      </w:pPr>
      <w:bookmarkStart w:id="93" w:name="_Toc495990499"/>
      <w:bookmarkStart w:id="94" w:name="_Toc212461613"/>
      <w:r w:rsidRPr="00C5247B">
        <w:t>Podmienené záväzky</w:t>
      </w:r>
      <w:bookmarkEnd w:id="93"/>
      <w:bookmarkEnd w:id="94"/>
    </w:p>
    <w:p w14:paraId="42CEABAF" w14:textId="77777777" w:rsidR="00DE6A66" w:rsidRPr="00366F3A" w:rsidRDefault="00DE6A66" w:rsidP="00DE6A66">
      <w:pPr>
        <w:spacing w:after="120" w:line="240" w:lineRule="auto"/>
        <w:jc w:val="both"/>
        <w:rPr>
          <w:bCs/>
        </w:rPr>
      </w:pPr>
      <w:r w:rsidRPr="005240D8">
        <w:rPr>
          <w:bCs/>
        </w:rPr>
        <w:t xml:space="preserve">Podmienené záväzky predstavujú položku iných pasív, ktoré za určitých okolností môžu negatívne ovplyvniť finančnú situáciu </w:t>
      </w:r>
      <w:r>
        <w:rPr>
          <w:bCs/>
        </w:rPr>
        <w:t xml:space="preserve">verejnej správy (konkrétne </w:t>
      </w:r>
      <w:r w:rsidRPr="005240D8">
        <w:rPr>
          <w:bCs/>
        </w:rPr>
        <w:t xml:space="preserve">štátu či územnej samosprávy). Tieto záväzky nie sú vykazované na súvahových položkách pasív, pretože nie sú splnené podmienky pre ich zaúčtovanie (výška takéhoto ,,neistého“ záväzku sa nedá spoľahlivo oceniť, obdobie, ku ktorému sa povinnosť viaže nie je určené alebo úbytok ekonomických úžitkov v budúcnosti nie je istý). Z tohto dôvodu nie je možné jednoznačne odhadnúť vplyv na verejné financie z pohľadu času a už vôbec nie je možné stotožňovať hodnotu vyčíslených podmienených záväzkov v danom roku s aktuálnou potrebou peňažných prostriedkov na plnenie takýchto </w:t>
      </w:r>
      <w:r>
        <w:rPr>
          <w:bCs/>
        </w:rPr>
        <w:t xml:space="preserve">neistých </w:t>
      </w:r>
      <w:r w:rsidRPr="005240D8">
        <w:rPr>
          <w:bCs/>
        </w:rPr>
        <w:t>povinností.</w:t>
      </w:r>
      <w:r w:rsidRPr="00366F3A">
        <w:rPr>
          <w:bCs/>
        </w:rPr>
        <w:t xml:space="preserve"> </w:t>
      </w:r>
    </w:p>
    <w:p w14:paraId="0D9D4047" w14:textId="77777777" w:rsidR="00DE6A66" w:rsidRPr="00366F3A" w:rsidRDefault="00DE6A66" w:rsidP="00DE6A66">
      <w:pPr>
        <w:spacing w:after="120" w:line="240" w:lineRule="auto"/>
        <w:jc w:val="both"/>
        <w:rPr>
          <w:bCs/>
        </w:rPr>
      </w:pPr>
      <w:r w:rsidRPr="005240D8">
        <w:rPr>
          <w:bCs/>
        </w:rPr>
        <w:t>Podľa ústavného zákona o rozpočtovej zodpovednosti sú podmienené záväzky súčasťou</w:t>
      </w:r>
      <w:r w:rsidRPr="005240D8">
        <w:rPr>
          <w:bCs/>
        </w:rPr>
        <w:br/>
        <w:t>Návrhu rozpočtu verejnej správy (</w:t>
      </w:r>
      <w:r w:rsidRPr="00D6178C">
        <w:rPr>
          <w:bCs/>
        </w:rPr>
        <w:t>v prílohe č. 4</w:t>
      </w:r>
      <w:r w:rsidRPr="005240D8">
        <w:rPr>
          <w:bCs/>
        </w:rPr>
        <w:t>). Informácia v návrhu rozpočtu je smerodajná najmä pre</w:t>
      </w:r>
      <w:r>
        <w:rPr>
          <w:bCs/>
        </w:rPr>
        <w:t> </w:t>
      </w:r>
      <w:r w:rsidRPr="005240D8">
        <w:rPr>
          <w:bCs/>
        </w:rPr>
        <w:t>účely hodnotenia dlhodobej udržateľnosti a výpočtu základného scenára zo strany Rady pre rozpočtovú zodpovednosť, ako aj transparentné zverejňovanie mimobilančných položiek s potenciálnym vplyvom na</w:t>
      </w:r>
      <w:r>
        <w:rPr>
          <w:bCs/>
        </w:rPr>
        <w:t> </w:t>
      </w:r>
      <w:r w:rsidRPr="005240D8">
        <w:rPr>
          <w:bCs/>
        </w:rPr>
        <w:t>verejné financie.</w:t>
      </w:r>
    </w:p>
    <w:p w14:paraId="64B7A641" w14:textId="74399F30" w:rsidR="00DE6A66" w:rsidRPr="005240D8" w:rsidRDefault="00DE6A66" w:rsidP="00DE6A66">
      <w:pPr>
        <w:spacing w:after="120" w:line="240" w:lineRule="auto"/>
        <w:jc w:val="both"/>
        <w:rPr>
          <w:bCs/>
        </w:rPr>
      </w:pPr>
      <w:r w:rsidRPr="005240D8">
        <w:rPr>
          <w:bCs/>
        </w:rPr>
        <w:t>Požiadavku na zverejňovanie podmienených záväzkov obsahuje aj európska legislatíva, a to konkrétne smernica Rady</w:t>
      </w:r>
      <w:r w:rsidR="00E1792B">
        <w:rPr>
          <w:bCs/>
        </w:rPr>
        <w:t> </w:t>
      </w:r>
      <w:r w:rsidRPr="005240D8">
        <w:rPr>
          <w:bCs/>
        </w:rPr>
        <w:t>2011/85/EÚ o požiadavkách na rozpočtové rámce členský štátov. Podľa článku 14</w:t>
      </w:r>
      <w:r>
        <w:rPr>
          <w:bCs/>
        </w:rPr>
        <w:t> </w:t>
      </w:r>
      <w:r w:rsidRPr="005240D8">
        <w:rPr>
          <w:bCs/>
        </w:rPr>
        <w:t>ods.</w:t>
      </w:r>
      <w:r>
        <w:rPr>
          <w:bCs/>
        </w:rPr>
        <w:t> </w:t>
      </w:r>
      <w:r w:rsidRPr="005240D8">
        <w:rPr>
          <w:bCs/>
        </w:rPr>
        <w:t xml:space="preserve">3 tejto smernice členské štáty za všetky subsektory verejnej správy ,,uverejnia príslušné informácie o podmienených záväzkoch s možným veľkým vplyvom na rozpočet verejnej správy vrátane štátnych záruk, problémových úverov a záväzkov vyplývajúcich z činnosti verejnoprávnych korporácií vrátane ich rozsahu“. Podľa tejto smernice sa pravidelne zverejňujú záväzky zo záruk, mimobilančných projektov PPP a nesplácané úvery. </w:t>
      </w:r>
    </w:p>
    <w:p w14:paraId="7471E9DF" w14:textId="77777777" w:rsidR="00DE6A66" w:rsidRPr="002746C4" w:rsidRDefault="00DE6A66" w:rsidP="00DE6A66">
      <w:pPr>
        <w:spacing w:after="120" w:line="240" w:lineRule="auto"/>
        <w:jc w:val="both"/>
        <w:rPr>
          <w:bCs/>
          <w:highlight w:val="yellow"/>
        </w:rPr>
      </w:pPr>
      <w:r w:rsidRPr="005240D8">
        <w:rPr>
          <w:bCs/>
        </w:rPr>
        <w:t>Z uvedeného vyplýva, že aj pri podmienených záväzkoch existuje viacero metodických prístupov a</w:t>
      </w:r>
      <w:r>
        <w:rPr>
          <w:bCs/>
        </w:rPr>
        <w:t> </w:t>
      </w:r>
      <w:r w:rsidRPr="005240D8">
        <w:rPr>
          <w:bCs/>
        </w:rPr>
        <w:t>na</w:t>
      </w:r>
      <w:r>
        <w:rPr>
          <w:bCs/>
        </w:rPr>
        <w:t> </w:t>
      </w:r>
      <w:r w:rsidRPr="005240D8">
        <w:rPr>
          <w:bCs/>
        </w:rPr>
        <w:t xml:space="preserve">konkrétne podmienené záväzky je možné nazerať odlišne. V ekonomickej teórii, ale aj v legislatívnej praxi účtovného výkazníctva sa ako ostatné pasíva (širší pojem od podmienených záväzkov) spomínajú najčastejšie </w:t>
      </w:r>
      <w:r w:rsidRPr="005240D8">
        <w:rPr>
          <w:bCs/>
          <w:u w:val="single"/>
        </w:rPr>
        <w:t>pasíva</w:t>
      </w:r>
      <w:r w:rsidRPr="005240D8">
        <w:rPr>
          <w:bCs/>
        </w:rPr>
        <w:t xml:space="preserve"> z prebiehajúcich alebo hroziacich súdnych s</w:t>
      </w:r>
      <w:r>
        <w:rPr>
          <w:bCs/>
        </w:rPr>
        <w:t>porov, z poskytnutých záruk, zo </w:t>
      </w:r>
      <w:r w:rsidRPr="005240D8">
        <w:rPr>
          <w:bCs/>
        </w:rPr>
        <w:t xml:space="preserve">všeobecne záväzných právnych predpisov alebo sú to </w:t>
      </w:r>
      <w:r w:rsidRPr="005240D8">
        <w:rPr>
          <w:bCs/>
          <w:u w:val="single"/>
        </w:rPr>
        <w:t>iné finančné povinnosti</w:t>
      </w:r>
      <w:r w:rsidRPr="005240D8">
        <w:rPr>
          <w:bCs/>
        </w:rPr>
        <w:t xml:space="preserve"> ako napríklad z devízových termínovaných obchodov, z opčných obchodov, zákonná alebo zmluvná povinnosť odobrať určité produkty, napríklad z dodávateľských zmlúv a odberateľských zmlúv, povinnosti z nájomných zmlúv, koncesionárskych a iných zmlúv.</w:t>
      </w:r>
      <w:r w:rsidRPr="002746C4">
        <w:rPr>
          <w:bCs/>
          <w:highlight w:val="yellow"/>
        </w:rPr>
        <w:t xml:space="preserve"> </w:t>
      </w:r>
    </w:p>
    <w:p w14:paraId="5125FD2E" w14:textId="105EDC12" w:rsidR="00DE6A66" w:rsidRDefault="00DE6A66" w:rsidP="00DE6A66">
      <w:pPr>
        <w:spacing w:after="120" w:line="240" w:lineRule="auto"/>
        <w:jc w:val="both"/>
        <w:rPr>
          <w:b/>
          <w:szCs w:val="22"/>
          <w:lang w:eastAsia="cs-CZ"/>
        </w:rPr>
      </w:pPr>
      <w:r w:rsidRPr="005240D8">
        <w:rPr>
          <w:bCs/>
        </w:rPr>
        <w:t>Subjekty verejnej správy majú z podstaty svojej činnosti často špecifické položky nielen na</w:t>
      </w:r>
      <w:r>
        <w:rPr>
          <w:bCs/>
        </w:rPr>
        <w:t> </w:t>
      </w:r>
      <w:r w:rsidRPr="005240D8">
        <w:rPr>
          <w:bCs/>
        </w:rPr>
        <w:t xml:space="preserve">riadnych záväzkoch, ale aj v iných pasívach. Z pohľadu prezentácie údajov v účtovnej závierke často zverejňujú aj informácie, ktoré nemusia predstavovať podmienené záväzky, ale pre účely splnenia si povinnosti poskytnúť </w:t>
      </w:r>
      <w:r w:rsidRPr="005240D8">
        <w:rPr>
          <w:bCs/>
        </w:rPr>
        <w:lastRenderedPageBreak/>
        <w:t>užívateľovi účtovnej závierky významné informácie, uvedú ich medzi mimobilančné položky. V</w:t>
      </w:r>
      <w:r w:rsidR="00E1792B">
        <w:rPr>
          <w:bCs/>
        </w:rPr>
        <w:t> </w:t>
      </w:r>
      <w:r w:rsidRPr="005240D8">
        <w:rPr>
          <w:bCs/>
        </w:rPr>
        <w:t>súhrnnej výročnej správe pre účely odhadu čistého bohatstva a jeho jednotlivých zložiek sú preto podmienené záväzky chápané podľa účtovnej definície (uvedenej v prvom odseku) a sú predmetom analytického skúmania ich vplyvu na zmenu čistého bohatstva</w:t>
      </w:r>
      <w:r w:rsidRPr="005240D8">
        <w:rPr>
          <w:rStyle w:val="Odkaznapoznmkupodiarou"/>
        </w:rPr>
        <w:footnoteReference w:id="35"/>
      </w:r>
      <w:r w:rsidRPr="005240D8">
        <w:rPr>
          <w:bCs/>
        </w:rPr>
        <w:t>.</w:t>
      </w:r>
    </w:p>
    <w:p w14:paraId="0E07750E" w14:textId="0B7A27C9" w:rsidR="00BC1839" w:rsidRPr="00BC1839" w:rsidRDefault="00DE6A66" w:rsidP="0015190C">
      <w:pPr>
        <w:spacing w:after="120" w:line="240" w:lineRule="auto"/>
        <w:jc w:val="both"/>
        <w:rPr>
          <w:rFonts w:cs="Courier"/>
          <w:szCs w:val="22"/>
          <w:lang w:eastAsia="cs-CZ"/>
        </w:rPr>
      </w:pPr>
      <w:r>
        <w:rPr>
          <w:b/>
          <w:szCs w:val="22"/>
          <w:lang w:eastAsia="cs-CZ"/>
        </w:rPr>
        <w:t>Hodnota p</w:t>
      </w:r>
      <w:r w:rsidR="0015190C" w:rsidRPr="00D076BA">
        <w:rPr>
          <w:b/>
          <w:szCs w:val="22"/>
          <w:lang w:eastAsia="cs-CZ"/>
        </w:rPr>
        <w:t>odmienen</w:t>
      </w:r>
      <w:r>
        <w:rPr>
          <w:b/>
          <w:szCs w:val="22"/>
          <w:lang w:eastAsia="cs-CZ"/>
        </w:rPr>
        <w:t>ých</w:t>
      </w:r>
      <w:r w:rsidR="0015190C" w:rsidRPr="00D076BA">
        <w:rPr>
          <w:b/>
          <w:szCs w:val="22"/>
          <w:lang w:eastAsia="cs-CZ"/>
        </w:rPr>
        <w:t xml:space="preserve"> záväzky k 31.</w:t>
      </w:r>
      <w:r w:rsidR="00710B56">
        <w:rPr>
          <w:b/>
          <w:szCs w:val="22"/>
          <w:lang w:eastAsia="cs-CZ"/>
        </w:rPr>
        <w:t> </w:t>
      </w:r>
      <w:r w:rsidR="0015190C" w:rsidRPr="00D076BA">
        <w:rPr>
          <w:b/>
          <w:szCs w:val="22"/>
          <w:lang w:eastAsia="cs-CZ"/>
        </w:rPr>
        <w:t>12.</w:t>
      </w:r>
      <w:r w:rsidR="00710B56">
        <w:rPr>
          <w:b/>
          <w:szCs w:val="22"/>
          <w:lang w:eastAsia="cs-CZ"/>
        </w:rPr>
        <w:t> </w:t>
      </w:r>
      <w:r w:rsidR="0015190C" w:rsidRPr="00D076BA">
        <w:rPr>
          <w:b/>
          <w:szCs w:val="22"/>
          <w:lang w:eastAsia="cs-CZ"/>
        </w:rPr>
        <w:t>2024 na nekonsolidovanej báze dosiahl</w:t>
      </w:r>
      <w:r>
        <w:rPr>
          <w:b/>
          <w:szCs w:val="22"/>
          <w:lang w:eastAsia="cs-CZ"/>
        </w:rPr>
        <w:t>a</w:t>
      </w:r>
      <w:r w:rsidR="0015190C" w:rsidRPr="00D076BA">
        <w:rPr>
          <w:b/>
          <w:szCs w:val="22"/>
          <w:lang w:eastAsia="cs-CZ"/>
        </w:rPr>
        <w:t xml:space="preserve"> hodnotu</w:t>
      </w:r>
      <w:r>
        <w:rPr>
          <w:b/>
          <w:szCs w:val="22"/>
          <w:lang w:eastAsia="cs-CZ"/>
        </w:rPr>
        <w:t xml:space="preserve"> úhrnom </w:t>
      </w:r>
      <w:r w:rsidR="0015190C" w:rsidRPr="00D076BA">
        <w:rPr>
          <w:b/>
          <w:szCs w:val="22"/>
          <w:lang w:eastAsia="cs-CZ"/>
        </w:rPr>
        <w:br/>
        <w:t>20</w:t>
      </w:r>
      <w:r w:rsidR="00710B56">
        <w:rPr>
          <w:b/>
          <w:szCs w:val="22"/>
          <w:lang w:eastAsia="cs-CZ"/>
        </w:rPr>
        <w:t> </w:t>
      </w:r>
      <w:r w:rsidR="0015190C" w:rsidRPr="00D076BA">
        <w:rPr>
          <w:b/>
          <w:szCs w:val="22"/>
          <w:lang w:eastAsia="cs-CZ"/>
        </w:rPr>
        <w:t>964</w:t>
      </w:r>
      <w:r w:rsidR="00710B56">
        <w:rPr>
          <w:b/>
          <w:szCs w:val="22"/>
          <w:lang w:eastAsia="cs-CZ"/>
        </w:rPr>
        <w:t> </w:t>
      </w:r>
      <w:r w:rsidR="0015190C" w:rsidRPr="00D076BA">
        <w:rPr>
          <w:b/>
          <w:szCs w:val="22"/>
          <w:lang w:eastAsia="cs-CZ"/>
        </w:rPr>
        <w:t>958</w:t>
      </w:r>
      <w:r w:rsidR="00710B56">
        <w:rPr>
          <w:b/>
          <w:szCs w:val="22"/>
          <w:lang w:eastAsia="cs-CZ"/>
        </w:rPr>
        <w:t> </w:t>
      </w:r>
      <w:r w:rsidR="0015190C" w:rsidRPr="00D076BA">
        <w:rPr>
          <w:b/>
          <w:szCs w:val="22"/>
          <w:lang w:eastAsia="cs-CZ"/>
        </w:rPr>
        <w:t>tis.</w:t>
      </w:r>
      <w:r w:rsidR="00710B56">
        <w:rPr>
          <w:b/>
          <w:szCs w:val="22"/>
          <w:lang w:eastAsia="cs-CZ"/>
        </w:rPr>
        <w:t> </w:t>
      </w:r>
      <w:r w:rsidR="0015190C" w:rsidRPr="00D076BA">
        <w:rPr>
          <w:b/>
          <w:szCs w:val="22"/>
          <w:lang w:eastAsia="cs-CZ"/>
        </w:rPr>
        <w:t>eur</w:t>
      </w:r>
      <w:r w:rsidR="0015190C" w:rsidRPr="00D076BA">
        <w:rPr>
          <w:rFonts w:cs="Courier"/>
          <w:szCs w:val="22"/>
          <w:lang w:eastAsia="cs-CZ"/>
        </w:rPr>
        <w:t xml:space="preserve"> a ich členenie podľa jednotlivých skupín subjektov je nasledovné: </w:t>
      </w:r>
    </w:p>
    <w:p w14:paraId="155AF655" w14:textId="05D31A83" w:rsidR="00076866" w:rsidRDefault="00076866" w:rsidP="00D162A9">
      <w:pPr>
        <w:pStyle w:val="Popis"/>
      </w:pPr>
      <w:bookmarkStart w:id="95" w:name="_Toc212124641"/>
      <w:r>
        <w:t xml:space="preserve">Tabuľka </w:t>
      </w:r>
      <w:r>
        <w:fldChar w:fldCharType="begin"/>
      </w:r>
      <w:r>
        <w:instrText xml:space="preserve"> SEQ Tabuľka \* ARABIC </w:instrText>
      </w:r>
      <w:r>
        <w:fldChar w:fldCharType="separate"/>
      </w:r>
      <w:r>
        <w:rPr>
          <w:noProof/>
        </w:rPr>
        <w:t>20</w:t>
      </w:r>
      <w:r>
        <w:fldChar w:fldCharType="end"/>
      </w:r>
      <w:r>
        <w:t xml:space="preserve"> - </w:t>
      </w:r>
      <w:r w:rsidRPr="006541E8">
        <w:t>Podmienené záväzky nekonsolidované</w:t>
      </w:r>
      <w:bookmarkEnd w:id="95"/>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44"/>
        <w:gridCol w:w="241"/>
        <w:gridCol w:w="944"/>
        <w:gridCol w:w="184"/>
        <w:gridCol w:w="1086"/>
        <w:gridCol w:w="122"/>
        <w:gridCol w:w="1134"/>
        <w:gridCol w:w="1240"/>
      </w:tblGrid>
      <w:tr w:rsidR="0015190C" w:rsidRPr="00174C84" w14:paraId="3E0C329E" w14:textId="77777777" w:rsidTr="003458FE">
        <w:trPr>
          <w:trHeight w:val="345"/>
          <w:tblHeader/>
          <w:jc w:val="center"/>
        </w:trPr>
        <w:tc>
          <w:tcPr>
            <w:tcW w:w="2393" w:type="pct"/>
            <w:tcBorders>
              <w:right w:val="nil"/>
            </w:tcBorders>
            <w:vAlign w:val="center"/>
            <w:hideMark/>
          </w:tcPr>
          <w:p w14:paraId="0B00F3EF" w14:textId="2CD82D9E" w:rsidR="0015190C" w:rsidRPr="00174C84" w:rsidRDefault="0015190C" w:rsidP="0015190C">
            <w:pPr>
              <w:spacing w:after="0" w:line="240" w:lineRule="auto"/>
              <w:rPr>
                <w:b/>
                <w:sz w:val="18"/>
                <w:szCs w:val="18"/>
                <w:highlight w:val="yellow"/>
                <w:lang w:eastAsia="sk-SK"/>
              </w:rPr>
            </w:pPr>
            <w:r>
              <w:rPr>
                <w:b/>
                <w:bCs/>
                <w:color w:val="000000"/>
                <w:sz w:val="18"/>
                <w:szCs w:val="18"/>
              </w:rPr>
              <w:t xml:space="preserve">Subjekty </w:t>
            </w:r>
            <w:r w:rsidR="00FC3E2A">
              <w:rPr>
                <w:b/>
                <w:bCs/>
                <w:color w:val="000000"/>
                <w:sz w:val="18"/>
                <w:szCs w:val="18"/>
              </w:rPr>
              <w:t xml:space="preserve">  </w:t>
            </w:r>
            <w:r w:rsidRPr="00FC3E2A">
              <w:rPr>
                <w:color w:val="000000"/>
                <w:sz w:val="18"/>
                <w:szCs w:val="18"/>
              </w:rPr>
              <w:t>(v tis. eur)</w:t>
            </w:r>
          </w:p>
        </w:tc>
        <w:tc>
          <w:tcPr>
            <w:tcW w:w="624" w:type="pct"/>
            <w:gridSpan w:val="2"/>
            <w:tcBorders>
              <w:left w:val="nil"/>
              <w:right w:val="nil"/>
            </w:tcBorders>
            <w:vAlign w:val="center"/>
          </w:tcPr>
          <w:p w14:paraId="3E9ABE1D" w14:textId="2B12E94B" w:rsidR="0015190C" w:rsidRPr="00174C84" w:rsidRDefault="0015190C" w:rsidP="0015190C">
            <w:pPr>
              <w:spacing w:after="0" w:line="240" w:lineRule="auto"/>
              <w:jc w:val="right"/>
              <w:rPr>
                <w:b/>
                <w:sz w:val="18"/>
                <w:szCs w:val="18"/>
                <w:highlight w:val="yellow"/>
                <w:lang w:eastAsia="sk-SK"/>
              </w:rPr>
            </w:pPr>
            <w:r>
              <w:rPr>
                <w:b/>
                <w:bCs/>
                <w:color w:val="000000"/>
                <w:sz w:val="18"/>
                <w:szCs w:val="18"/>
              </w:rPr>
              <w:t>2022</w:t>
            </w:r>
          </w:p>
        </w:tc>
        <w:tc>
          <w:tcPr>
            <w:tcW w:w="669" w:type="pct"/>
            <w:gridSpan w:val="2"/>
            <w:tcBorders>
              <w:left w:val="nil"/>
              <w:right w:val="nil"/>
            </w:tcBorders>
            <w:vAlign w:val="center"/>
          </w:tcPr>
          <w:p w14:paraId="517C3168" w14:textId="2094F4A9" w:rsidR="0015190C" w:rsidRPr="00174C84" w:rsidRDefault="0015190C" w:rsidP="0015190C">
            <w:pPr>
              <w:spacing w:after="0" w:line="240" w:lineRule="auto"/>
              <w:jc w:val="right"/>
              <w:rPr>
                <w:b/>
                <w:sz w:val="18"/>
                <w:szCs w:val="18"/>
                <w:highlight w:val="yellow"/>
                <w:lang w:eastAsia="sk-SK"/>
              </w:rPr>
            </w:pPr>
            <w:r>
              <w:rPr>
                <w:b/>
                <w:bCs/>
                <w:color w:val="000000"/>
                <w:sz w:val="18"/>
                <w:szCs w:val="18"/>
              </w:rPr>
              <w:t>2023</w:t>
            </w:r>
          </w:p>
        </w:tc>
        <w:tc>
          <w:tcPr>
            <w:tcW w:w="661" w:type="pct"/>
            <w:gridSpan w:val="2"/>
            <w:tcBorders>
              <w:left w:val="nil"/>
              <w:right w:val="nil"/>
            </w:tcBorders>
            <w:vAlign w:val="center"/>
          </w:tcPr>
          <w:p w14:paraId="24803893" w14:textId="359B22F4" w:rsidR="0015190C" w:rsidRPr="00174C84" w:rsidRDefault="0015190C" w:rsidP="0015190C">
            <w:pPr>
              <w:spacing w:after="0" w:line="240" w:lineRule="auto"/>
              <w:jc w:val="right"/>
              <w:rPr>
                <w:b/>
                <w:sz w:val="18"/>
                <w:szCs w:val="18"/>
                <w:highlight w:val="yellow"/>
                <w:lang w:eastAsia="sk-SK"/>
              </w:rPr>
            </w:pPr>
            <w:r>
              <w:rPr>
                <w:b/>
                <w:bCs/>
                <w:color w:val="000000"/>
                <w:sz w:val="18"/>
                <w:szCs w:val="18"/>
              </w:rPr>
              <w:t>2024</w:t>
            </w:r>
          </w:p>
        </w:tc>
        <w:tc>
          <w:tcPr>
            <w:tcW w:w="653" w:type="pct"/>
            <w:tcBorders>
              <w:left w:val="nil"/>
            </w:tcBorders>
            <w:vAlign w:val="center"/>
          </w:tcPr>
          <w:p w14:paraId="6607386A" w14:textId="4C077344" w:rsidR="0015190C" w:rsidRPr="00174C84" w:rsidRDefault="0015190C" w:rsidP="0015190C">
            <w:pPr>
              <w:spacing w:after="0" w:line="240" w:lineRule="auto"/>
              <w:jc w:val="right"/>
              <w:rPr>
                <w:b/>
                <w:bCs/>
                <w:sz w:val="18"/>
                <w:szCs w:val="18"/>
                <w:highlight w:val="yellow"/>
                <w:lang w:eastAsia="sk-SK"/>
              </w:rPr>
            </w:pPr>
            <w:r>
              <w:rPr>
                <w:b/>
                <w:bCs/>
                <w:color w:val="000000"/>
                <w:sz w:val="18"/>
                <w:szCs w:val="18"/>
              </w:rPr>
              <w:t>Δ 2024-2023</w:t>
            </w:r>
          </w:p>
        </w:tc>
      </w:tr>
      <w:tr w:rsidR="0015190C" w:rsidRPr="00174C84" w14:paraId="38184D6F" w14:textId="77777777" w:rsidTr="00AB1B78">
        <w:trPr>
          <w:trHeight w:val="330"/>
          <w:jc w:val="center"/>
        </w:trPr>
        <w:tc>
          <w:tcPr>
            <w:tcW w:w="2393" w:type="pct"/>
            <w:tcBorders>
              <w:bottom w:val="nil"/>
              <w:right w:val="nil"/>
            </w:tcBorders>
            <w:vAlign w:val="center"/>
          </w:tcPr>
          <w:p w14:paraId="74FEB7C1" w14:textId="5ACB498A" w:rsidR="0015190C" w:rsidRPr="00174C84" w:rsidRDefault="0015190C" w:rsidP="0015190C">
            <w:pPr>
              <w:spacing w:after="0" w:line="240" w:lineRule="auto"/>
              <w:rPr>
                <w:sz w:val="18"/>
                <w:szCs w:val="18"/>
                <w:highlight w:val="yellow"/>
                <w:lang w:eastAsia="sk-SK"/>
              </w:rPr>
            </w:pPr>
            <w:r>
              <w:rPr>
                <w:color w:val="000000"/>
                <w:sz w:val="18"/>
                <w:szCs w:val="18"/>
              </w:rPr>
              <w:t>Ústredná správa a podniky štátnej správy</w:t>
            </w:r>
          </w:p>
        </w:tc>
        <w:tc>
          <w:tcPr>
            <w:tcW w:w="624" w:type="pct"/>
            <w:gridSpan w:val="2"/>
            <w:tcBorders>
              <w:left w:val="nil"/>
              <w:bottom w:val="nil"/>
              <w:right w:val="nil"/>
            </w:tcBorders>
            <w:vAlign w:val="center"/>
          </w:tcPr>
          <w:p w14:paraId="6ADC5794" w14:textId="4935B83C" w:rsidR="0015190C" w:rsidRPr="00174C84" w:rsidRDefault="0015190C" w:rsidP="0015190C">
            <w:pPr>
              <w:spacing w:after="0" w:line="240" w:lineRule="auto"/>
              <w:jc w:val="right"/>
              <w:rPr>
                <w:sz w:val="18"/>
                <w:szCs w:val="18"/>
                <w:highlight w:val="yellow"/>
                <w:lang w:eastAsia="sk-SK"/>
              </w:rPr>
            </w:pPr>
            <w:r>
              <w:rPr>
                <w:color w:val="000000"/>
                <w:sz w:val="18"/>
                <w:szCs w:val="18"/>
              </w:rPr>
              <w:t>20 508 703</w:t>
            </w:r>
          </w:p>
        </w:tc>
        <w:tc>
          <w:tcPr>
            <w:tcW w:w="669" w:type="pct"/>
            <w:gridSpan w:val="2"/>
            <w:tcBorders>
              <w:left w:val="nil"/>
              <w:bottom w:val="nil"/>
              <w:right w:val="nil"/>
            </w:tcBorders>
            <w:vAlign w:val="center"/>
          </w:tcPr>
          <w:p w14:paraId="2218BB55" w14:textId="2E14B52E" w:rsidR="0015190C" w:rsidRPr="00174C84" w:rsidRDefault="0015190C" w:rsidP="0015190C">
            <w:pPr>
              <w:spacing w:after="0" w:line="240" w:lineRule="auto"/>
              <w:jc w:val="right"/>
              <w:rPr>
                <w:sz w:val="18"/>
                <w:szCs w:val="18"/>
                <w:highlight w:val="yellow"/>
                <w:lang w:eastAsia="sk-SK"/>
              </w:rPr>
            </w:pPr>
            <w:r>
              <w:rPr>
                <w:color w:val="000000"/>
                <w:sz w:val="18"/>
                <w:szCs w:val="18"/>
              </w:rPr>
              <w:t xml:space="preserve">21 </w:t>
            </w:r>
            <w:r w:rsidR="008261F6">
              <w:rPr>
                <w:color w:val="000000"/>
                <w:sz w:val="18"/>
                <w:szCs w:val="18"/>
              </w:rPr>
              <w:t>842</w:t>
            </w:r>
            <w:r>
              <w:rPr>
                <w:color w:val="000000"/>
                <w:sz w:val="18"/>
                <w:szCs w:val="18"/>
              </w:rPr>
              <w:t xml:space="preserve"> </w:t>
            </w:r>
            <w:r w:rsidR="008261F6">
              <w:rPr>
                <w:color w:val="000000"/>
                <w:sz w:val="18"/>
                <w:szCs w:val="18"/>
              </w:rPr>
              <w:t>847</w:t>
            </w:r>
          </w:p>
        </w:tc>
        <w:tc>
          <w:tcPr>
            <w:tcW w:w="661" w:type="pct"/>
            <w:gridSpan w:val="2"/>
            <w:tcBorders>
              <w:left w:val="nil"/>
              <w:bottom w:val="nil"/>
              <w:right w:val="nil"/>
            </w:tcBorders>
            <w:vAlign w:val="center"/>
          </w:tcPr>
          <w:p w14:paraId="29D77B61" w14:textId="12B4671D" w:rsidR="0015190C" w:rsidRPr="00174C84" w:rsidRDefault="0015190C" w:rsidP="0015190C">
            <w:pPr>
              <w:spacing w:after="0" w:line="240" w:lineRule="auto"/>
              <w:jc w:val="right"/>
              <w:rPr>
                <w:sz w:val="18"/>
                <w:szCs w:val="18"/>
                <w:highlight w:val="yellow"/>
                <w:lang w:eastAsia="sk-SK"/>
              </w:rPr>
            </w:pPr>
            <w:r>
              <w:rPr>
                <w:color w:val="000000"/>
                <w:sz w:val="18"/>
                <w:szCs w:val="18"/>
              </w:rPr>
              <w:t>20 212 559</w:t>
            </w:r>
          </w:p>
        </w:tc>
        <w:tc>
          <w:tcPr>
            <w:tcW w:w="653" w:type="pct"/>
            <w:tcBorders>
              <w:left w:val="nil"/>
              <w:bottom w:val="nil"/>
            </w:tcBorders>
            <w:vAlign w:val="center"/>
          </w:tcPr>
          <w:p w14:paraId="4AA5075D" w14:textId="7CEA47BD" w:rsidR="0015190C" w:rsidRPr="00174C84" w:rsidRDefault="0015190C" w:rsidP="0015190C">
            <w:pPr>
              <w:spacing w:after="0" w:line="240" w:lineRule="auto"/>
              <w:jc w:val="right"/>
              <w:rPr>
                <w:sz w:val="18"/>
                <w:szCs w:val="18"/>
                <w:highlight w:val="yellow"/>
                <w:lang w:eastAsia="sk-SK"/>
              </w:rPr>
            </w:pPr>
            <w:r>
              <w:rPr>
                <w:color w:val="000000"/>
                <w:sz w:val="18"/>
                <w:szCs w:val="18"/>
              </w:rPr>
              <w:t>-</w:t>
            </w:r>
            <w:r w:rsidR="008261F6">
              <w:rPr>
                <w:color w:val="000000"/>
                <w:sz w:val="18"/>
                <w:szCs w:val="18"/>
              </w:rPr>
              <w:t>1 630</w:t>
            </w:r>
            <w:r>
              <w:rPr>
                <w:color w:val="000000"/>
                <w:sz w:val="18"/>
                <w:szCs w:val="18"/>
              </w:rPr>
              <w:t xml:space="preserve"> </w:t>
            </w:r>
            <w:r w:rsidR="008261F6">
              <w:rPr>
                <w:color w:val="000000"/>
                <w:sz w:val="18"/>
                <w:szCs w:val="18"/>
              </w:rPr>
              <w:t>288</w:t>
            </w:r>
          </w:p>
        </w:tc>
      </w:tr>
      <w:tr w:rsidR="0015190C" w:rsidRPr="00174C84" w14:paraId="3A501CEA" w14:textId="77777777" w:rsidTr="00AB1B78">
        <w:trPr>
          <w:trHeight w:val="330"/>
          <w:jc w:val="center"/>
        </w:trPr>
        <w:tc>
          <w:tcPr>
            <w:tcW w:w="2393" w:type="pct"/>
            <w:tcBorders>
              <w:top w:val="nil"/>
              <w:bottom w:val="nil"/>
              <w:right w:val="nil"/>
            </w:tcBorders>
            <w:vAlign w:val="center"/>
          </w:tcPr>
          <w:p w14:paraId="175F5C37" w14:textId="2FE9898E" w:rsidR="0015190C" w:rsidRPr="00174C84" w:rsidRDefault="0015190C" w:rsidP="0015190C">
            <w:pPr>
              <w:spacing w:before="120" w:after="0" w:line="240" w:lineRule="auto"/>
              <w:rPr>
                <w:sz w:val="18"/>
                <w:szCs w:val="18"/>
                <w:highlight w:val="yellow"/>
                <w:lang w:eastAsia="sk-SK"/>
              </w:rPr>
            </w:pPr>
            <w:r>
              <w:rPr>
                <w:color w:val="000000"/>
                <w:sz w:val="18"/>
                <w:szCs w:val="18"/>
              </w:rPr>
              <w:t>Obce a ich rozpočtové a príspevkové organizácie a podniky územnej samosprávy</w:t>
            </w:r>
          </w:p>
        </w:tc>
        <w:tc>
          <w:tcPr>
            <w:tcW w:w="624" w:type="pct"/>
            <w:gridSpan w:val="2"/>
            <w:tcBorders>
              <w:top w:val="nil"/>
              <w:left w:val="nil"/>
              <w:bottom w:val="nil"/>
              <w:right w:val="nil"/>
            </w:tcBorders>
            <w:vAlign w:val="center"/>
          </w:tcPr>
          <w:p w14:paraId="406168FF" w14:textId="4491F04C" w:rsidR="0015190C" w:rsidRPr="00174C84" w:rsidRDefault="0015190C" w:rsidP="0015190C">
            <w:pPr>
              <w:spacing w:before="120" w:after="0" w:line="240" w:lineRule="auto"/>
              <w:jc w:val="right"/>
              <w:rPr>
                <w:sz w:val="18"/>
                <w:szCs w:val="18"/>
                <w:highlight w:val="yellow"/>
                <w:lang w:eastAsia="sk-SK"/>
              </w:rPr>
            </w:pPr>
            <w:r>
              <w:rPr>
                <w:color w:val="000000"/>
                <w:sz w:val="18"/>
                <w:szCs w:val="18"/>
              </w:rPr>
              <w:t>83 935</w:t>
            </w:r>
          </w:p>
        </w:tc>
        <w:tc>
          <w:tcPr>
            <w:tcW w:w="669" w:type="pct"/>
            <w:gridSpan w:val="2"/>
            <w:tcBorders>
              <w:top w:val="nil"/>
              <w:left w:val="nil"/>
              <w:bottom w:val="nil"/>
              <w:right w:val="nil"/>
            </w:tcBorders>
            <w:vAlign w:val="center"/>
          </w:tcPr>
          <w:p w14:paraId="7405CF42" w14:textId="3346695A" w:rsidR="0015190C" w:rsidRPr="00174C84" w:rsidRDefault="0015190C" w:rsidP="0015190C">
            <w:pPr>
              <w:spacing w:before="120" w:after="0" w:line="240" w:lineRule="auto"/>
              <w:jc w:val="right"/>
              <w:rPr>
                <w:sz w:val="18"/>
                <w:szCs w:val="18"/>
                <w:highlight w:val="yellow"/>
                <w:lang w:eastAsia="sk-SK"/>
              </w:rPr>
            </w:pPr>
            <w:r>
              <w:rPr>
                <w:color w:val="000000"/>
                <w:sz w:val="18"/>
                <w:szCs w:val="18"/>
              </w:rPr>
              <w:t>612 308</w:t>
            </w:r>
          </w:p>
        </w:tc>
        <w:tc>
          <w:tcPr>
            <w:tcW w:w="661" w:type="pct"/>
            <w:gridSpan w:val="2"/>
            <w:tcBorders>
              <w:top w:val="nil"/>
              <w:left w:val="nil"/>
              <w:bottom w:val="nil"/>
              <w:right w:val="nil"/>
            </w:tcBorders>
            <w:vAlign w:val="center"/>
          </w:tcPr>
          <w:p w14:paraId="1DED01E7" w14:textId="7038B477" w:rsidR="0015190C" w:rsidRPr="00174C84" w:rsidRDefault="0015190C" w:rsidP="0015190C">
            <w:pPr>
              <w:spacing w:before="120" w:after="0" w:line="240" w:lineRule="auto"/>
              <w:jc w:val="right"/>
              <w:rPr>
                <w:sz w:val="18"/>
                <w:szCs w:val="18"/>
                <w:highlight w:val="yellow"/>
                <w:lang w:eastAsia="sk-SK"/>
              </w:rPr>
            </w:pPr>
            <w:r>
              <w:rPr>
                <w:color w:val="000000"/>
                <w:sz w:val="18"/>
                <w:szCs w:val="18"/>
              </w:rPr>
              <w:t>738 462</w:t>
            </w:r>
          </w:p>
        </w:tc>
        <w:tc>
          <w:tcPr>
            <w:tcW w:w="653" w:type="pct"/>
            <w:tcBorders>
              <w:top w:val="nil"/>
              <w:left w:val="nil"/>
              <w:bottom w:val="nil"/>
            </w:tcBorders>
            <w:vAlign w:val="center"/>
          </w:tcPr>
          <w:p w14:paraId="286EB630" w14:textId="4E388A6B" w:rsidR="0015190C" w:rsidRPr="00174C84" w:rsidRDefault="0015190C" w:rsidP="0015190C">
            <w:pPr>
              <w:spacing w:before="120" w:after="0" w:line="240" w:lineRule="auto"/>
              <w:jc w:val="right"/>
              <w:rPr>
                <w:sz w:val="18"/>
                <w:szCs w:val="18"/>
                <w:highlight w:val="yellow"/>
                <w:lang w:eastAsia="sk-SK"/>
              </w:rPr>
            </w:pPr>
            <w:r>
              <w:rPr>
                <w:color w:val="000000"/>
                <w:sz w:val="18"/>
                <w:szCs w:val="18"/>
              </w:rPr>
              <w:t>126 154</w:t>
            </w:r>
          </w:p>
        </w:tc>
      </w:tr>
      <w:tr w:rsidR="0015190C" w:rsidRPr="00174C84" w14:paraId="30B3E6B2" w14:textId="77777777" w:rsidTr="00AB1B78">
        <w:trPr>
          <w:trHeight w:val="330"/>
          <w:jc w:val="center"/>
        </w:trPr>
        <w:tc>
          <w:tcPr>
            <w:tcW w:w="2393" w:type="pct"/>
            <w:tcBorders>
              <w:top w:val="nil"/>
              <w:right w:val="nil"/>
            </w:tcBorders>
            <w:vAlign w:val="center"/>
          </w:tcPr>
          <w:p w14:paraId="2E720FCE" w14:textId="5D72A089" w:rsidR="0015190C" w:rsidRPr="00174C84" w:rsidRDefault="0015190C" w:rsidP="0015190C">
            <w:pPr>
              <w:spacing w:before="120" w:after="0" w:line="240" w:lineRule="auto"/>
              <w:rPr>
                <w:sz w:val="18"/>
                <w:szCs w:val="18"/>
                <w:highlight w:val="yellow"/>
                <w:lang w:eastAsia="sk-SK"/>
              </w:rPr>
            </w:pPr>
            <w:r>
              <w:rPr>
                <w:color w:val="000000"/>
                <w:sz w:val="18"/>
                <w:szCs w:val="18"/>
              </w:rPr>
              <w:t>Vyššie územné celky a ich rozpočtové a príspevkové organizácie a podniky územnej samosprávy</w:t>
            </w:r>
          </w:p>
        </w:tc>
        <w:tc>
          <w:tcPr>
            <w:tcW w:w="624" w:type="pct"/>
            <w:gridSpan w:val="2"/>
            <w:tcBorders>
              <w:top w:val="nil"/>
              <w:left w:val="nil"/>
              <w:right w:val="nil"/>
            </w:tcBorders>
            <w:vAlign w:val="center"/>
          </w:tcPr>
          <w:p w14:paraId="68D520A9" w14:textId="4D7BC4CC" w:rsidR="0015190C" w:rsidRPr="00174C84" w:rsidRDefault="0015190C" w:rsidP="0015190C">
            <w:pPr>
              <w:spacing w:before="120" w:after="0" w:line="240" w:lineRule="auto"/>
              <w:jc w:val="right"/>
              <w:rPr>
                <w:sz w:val="18"/>
                <w:szCs w:val="18"/>
                <w:highlight w:val="yellow"/>
                <w:lang w:eastAsia="sk-SK"/>
              </w:rPr>
            </w:pPr>
            <w:r>
              <w:rPr>
                <w:color w:val="000000"/>
                <w:sz w:val="18"/>
                <w:szCs w:val="18"/>
              </w:rPr>
              <w:t>81</w:t>
            </w:r>
          </w:p>
        </w:tc>
        <w:tc>
          <w:tcPr>
            <w:tcW w:w="669" w:type="pct"/>
            <w:gridSpan w:val="2"/>
            <w:tcBorders>
              <w:top w:val="nil"/>
              <w:left w:val="nil"/>
              <w:right w:val="nil"/>
            </w:tcBorders>
            <w:vAlign w:val="center"/>
          </w:tcPr>
          <w:p w14:paraId="5352D088" w14:textId="5BB1B65B" w:rsidR="0015190C" w:rsidRPr="00174C84" w:rsidRDefault="0015190C" w:rsidP="0015190C">
            <w:pPr>
              <w:spacing w:before="120" w:after="0" w:line="240" w:lineRule="auto"/>
              <w:jc w:val="right"/>
              <w:rPr>
                <w:sz w:val="18"/>
                <w:szCs w:val="18"/>
                <w:highlight w:val="yellow"/>
                <w:lang w:eastAsia="sk-SK"/>
              </w:rPr>
            </w:pPr>
            <w:r>
              <w:rPr>
                <w:color w:val="000000"/>
                <w:sz w:val="18"/>
                <w:szCs w:val="18"/>
              </w:rPr>
              <w:t>12 080</w:t>
            </w:r>
          </w:p>
        </w:tc>
        <w:tc>
          <w:tcPr>
            <w:tcW w:w="661" w:type="pct"/>
            <w:gridSpan w:val="2"/>
            <w:tcBorders>
              <w:top w:val="nil"/>
              <w:left w:val="nil"/>
              <w:right w:val="nil"/>
            </w:tcBorders>
            <w:vAlign w:val="center"/>
          </w:tcPr>
          <w:p w14:paraId="2B16C2C8" w14:textId="60977EA5" w:rsidR="0015190C" w:rsidRPr="00174C84" w:rsidRDefault="0015190C" w:rsidP="0015190C">
            <w:pPr>
              <w:spacing w:before="120" w:after="0" w:line="240" w:lineRule="auto"/>
              <w:jc w:val="right"/>
              <w:rPr>
                <w:sz w:val="18"/>
                <w:szCs w:val="18"/>
                <w:highlight w:val="yellow"/>
                <w:lang w:eastAsia="sk-SK"/>
              </w:rPr>
            </w:pPr>
            <w:r>
              <w:rPr>
                <w:color w:val="000000"/>
                <w:sz w:val="18"/>
                <w:szCs w:val="18"/>
              </w:rPr>
              <w:t>13 937</w:t>
            </w:r>
          </w:p>
        </w:tc>
        <w:tc>
          <w:tcPr>
            <w:tcW w:w="653" w:type="pct"/>
            <w:tcBorders>
              <w:top w:val="nil"/>
              <w:left w:val="nil"/>
            </w:tcBorders>
            <w:vAlign w:val="center"/>
          </w:tcPr>
          <w:p w14:paraId="233B302D" w14:textId="3E082EE7" w:rsidR="0015190C" w:rsidRPr="00174C84" w:rsidRDefault="0015190C" w:rsidP="0015190C">
            <w:pPr>
              <w:spacing w:before="120" w:after="0" w:line="240" w:lineRule="auto"/>
              <w:jc w:val="right"/>
              <w:rPr>
                <w:sz w:val="18"/>
                <w:szCs w:val="18"/>
                <w:highlight w:val="yellow"/>
                <w:lang w:eastAsia="sk-SK"/>
              </w:rPr>
            </w:pPr>
            <w:r>
              <w:rPr>
                <w:color w:val="000000"/>
                <w:sz w:val="18"/>
                <w:szCs w:val="18"/>
              </w:rPr>
              <w:t>1 857</w:t>
            </w:r>
          </w:p>
        </w:tc>
      </w:tr>
      <w:tr w:rsidR="0015190C" w:rsidRPr="00174C84" w14:paraId="10656CF2" w14:textId="77777777" w:rsidTr="00390E01">
        <w:trPr>
          <w:trHeight w:hRule="exact" w:val="346"/>
          <w:jc w:val="center"/>
        </w:trPr>
        <w:tc>
          <w:tcPr>
            <w:tcW w:w="2520" w:type="pct"/>
            <w:gridSpan w:val="2"/>
            <w:tcBorders>
              <w:right w:val="nil"/>
            </w:tcBorders>
            <w:noWrap/>
            <w:vAlign w:val="center"/>
            <w:hideMark/>
          </w:tcPr>
          <w:p w14:paraId="00A604EC" w14:textId="19710643" w:rsidR="0015190C" w:rsidRPr="00174C84" w:rsidRDefault="0015190C" w:rsidP="0015190C">
            <w:pPr>
              <w:spacing w:after="0" w:line="240" w:lineRule="auto"/>
              <w:rPr>
                <w:b/>
                <w:bCs/>
                <w:sz w:val="18"/>
                <w:szCs w:val="18"/>
                <w:highlight w:val="yellow"/>
                <w:lang w:eastAsia="sk-SK"/>
              </w:rPr>
            </w:pPr>
            <w:r>
              <w:rPr>
                <w:b/>
                <w:bCs/>
                <w:color w:val="000000"/>
                <w:sz w:val="18"/>
                <w:szCs w:val="18"/>
              </w:rPr>
              <w:t>Spolu  (nekonsolidované)</w:t>
            </w:r>
          </w:p>
        </w:tc>
        <w:tc>
          <w:tcPr>
            <w:tcW w:w="594" w:type="pct"/>
            <w:gridSpan w:val="2"/>
            <w:tcBorders>
              <w:left w:val="nil"/>
              <w:right w:val="nil"/>
            </w:tcBorders>
            <w:vAlign w:val="center"/>
          </w:tcPr>
          <w:p w14:paraId="7C17856E" w14:textId="37832448" w:rsidR="0015190C" w:rsidRPr="00174C84" w:rsidRDefault="0015190C" w:rsidP="0015190C">
            <w:pPr>
              <w:spacing w:after="0" w:line="240" w:lineRule="auto"/>
              <w:ind w:left="-195" w:right="175"/>
              <w:jc w:val="right"/>
              <w:rPr>
                <w:b/>
                <w:bCs/>
                <w:sz w:val="18"/>
                <w:szCs w:val="18"/>
                <w:highlight w:val="yellow"/>
                <w:lang w:eastAsia="sk-SK"/>
              </w:rPr>
            </w:pPr>
            <w:r>
              <w:rPr>
                <w:b/>
                <w:bCs/>
                <w:color w:val="000000"/>
                <w:sz w:val="18"/>
                <w:szCs w:val="18"/>
              </w:rPr>
              <w:t>20 592 719</w:t>
            </w:r>
          </w:p>
        </w:tc>
        <w:tc>
          <w:tcPr>
            <w:tcW w:w="636" w:type="pct"/>
            <w:gridSpan w:val="2"/>
            <w:tcBorders>
              <w:left w:val="nil"/>
              <w:right w:val="nil"/>
            </w:tcBorders>
            <w:vAlign w:val="center"/>
          </w:tcPr>
          <w:p w14:paraId="2D66D9E7" w14:textId="3826367F" w:rsidR="0015190C" w:rsidRPr="00174C84" w:rsidRDefault="0015190C" w:rsidP="0015190C">
            <w:pPr>
              <w:spacing w:after="0" w:line="240" w:lineRule="auto"/>
              <w:ind w:left="-111" w:right="171"/>
              <w:jc w:val="right"/>
              <w:rPr>
                <w:b/>
                <w:bCs/>
                <w:sz w:val="18"/>
                <w:szCs w:val="18"/>
                <w:highlight w:val="yellow"/>
                <w:lang w:eastAsia="sk-SK"/>
              </w:rPr>
            </w:pPr>
            <w:r>
              <w:rPr>
                <w:b/>
                <w:bCs/>
                <w:color w:val="000000"/>
                <w:sz w:val="18"/>
                <w:szCs w:val="18"/>
              </w:rPr>
              <w:t>2</w:t>
            </w:r>
            <w:r w:rsidR="008261F6">
              <w:rPr>
                <w:b/>
                <w:bCs/>
                <w:color w:val="000000"/>
                <w:sz w:val="18"/>
                <w:szCs w:val="18"/>
              </w:rPr>
              <w:t>2</w:t>
            </w:r>
            <w:r>
              <w:rPr>
                <w:b/>
                <w:bCs/>
                <w:color w:val="000000"/>
                <w:sz w:val="18"/>
                <w:szCs w:val="18"/>
              </w:rPr>
              <w:t xml:space="preserve"> </w:t>
            </w:r>
            <w:r w:rsidR="008261F6">
              <w:rPr>
                <w:b/>
                <w:bCs/>
                <w:color w:val="000000"/>
                <w:sz w:val="18"/>
                <w:szCs w:val="18"/>
              </w:rPr>
              <w:t>467</w:t>
            </w:r>
            <w:r>
              <w:rPr>
                <w:b/>
                <w:bCs/>
                <w:color w:val="000000"/>
                <w:sz w:val="18"/>
                <w:szCs w:val="18"/>
              </w:rPr>
              <w:t xml:space="preserve"> </w:t>
            </w:r>
            <w:r w:rsidR="008261F6">
              <w:rPr>
                <w:b/>
                <w:bCs/>
                <w:color w:val="000000"/>
                <w:sz w:val="18"/>
                <w:szCs w:val="18"/>
              </w:rPr>
              <w:t>235</w:t>
            </w:r>
          </w:p>
        </w:tc>
        <w:tc>
          <w:tcPr>
            <w:tcW w:w="597" w:type="pct"/>
            <w:tcBorders>
              <w:left w:val="nil"/>
              <w:right w:val="nil"/>
            </w:tcBorders>
            <w:vAlign w:val="center"/>
          </w:tcPr>
          <w:p w14:paraId="5DC24B8F" w14:textId="7B955BB5" w:rsidR="0015190C" w:rsidRPr="00174C84" w:rsidRDefault="0015190C" w:rsidP="0015190C">
            <w:pPr>
              <w:spacing w:after="0" w:line="240" w:lineRule="auto"/>
              <w:jc w:val="right"/>
              <w:rPr>
                <w:b/>
                <w:bCs/>
                <w:sz w:val="18"/>
                <w:szCs w:val="18"/>
                <w:highlight w:val="yellow"/>
                <w:lang w:eastAsia="sk-SK"/>
              </w:rPr>
            </w:pPr>
            <w:r>
              <w:rPr>
                <w:b/>
                <w:bCs/>
                <w:color w:val="000000"/>
                <w:sz w:val="18"/>
                <w:szCs w:val="18"/>
              </w:rPr>
              <w:t>20 964 958</w:t>
            </w:r>
          </w:p>
        </w:tc>
        <w:tc>
          <w:tcPr>
            <w:tcW w:w="653" w:type="pct"/>
            <w:tcBorders>
              <w:left w:val="nil"/>
            </w:tcBorders>
            <w:vAlign w:val="center"/>
          </w:tcPr>
          <w:p w14:paraId="01D98239" w14:textId="7778C0AE" w:rsidR="0015190C" w:rsidRPr="00174C84" w:rsidRDefault="0015190C" w:rsidP="0015190C">
            <w:pPr>
              <w:spacing w:after="0"/>
              <w:jc w:val="right"/>
              <w:rPr>
                <w:b/>
                <w:bCs/>
                <w:sz w:val="18"/>
                <w:szCs w:val="18"/>
                <w:highlight w:val="yellow"/>
                <w:lang w:eastAsia="sk-SK"/>
              </w:rPr>
            </w:pPr>
            <w:r>
              <w:rPr>
                <w:b/>
                <w:bCs/>
                <w:color w:val="000000"/>
                <w:sz w:val="18"/>
                <w:szCs w:val="18"/>
              </w:rPr>
              <w:t>-</w:t>
            </w:r>
            <w:r w:rsidR="008261F6">
              <w:rPr>
                <w:b/>
                <w:bCs/>
                <w:color w:val="000000"/>
                <w:sz w:val="18"/>
                <w:szCs w:val="18"/>
              </w:rPr>
              <w:t>1 502</w:t>
            </w:r>
            <w:r>
              <w:rPr>
                <w:b/>
                <w:bCs/>
                <w:color w:val="000000"/>
                <w:sz w:val="18"/>
                <w:szCs w:val="18"/>
              </w:rPr>
              <w:t xml:space="preserve"> </w:t>
            </w:r>
            <w:r w:rsidR="008261F6">
              <w:rPr>
                <w:b/>
                <w:bCs/>
                <w:color w:val="000000"/>
                <w:sz w:val="18"/>
                <w:szCs w:val="18"/>
              </w:rPr>
              <w:t>277</w:t>
            </w:r>
          </w:p>
        </w:tc>
      </w:tr>
      <w:tr w:rsidR="0015190C" w:rsidRPr="00174C84" w14:paraId="7086A3F2" w14:textId="77777777" w:rsidTr="00AB1B78">
        <w:trPr>
          <w:trHeight w:hRule="exact" w:val="346"/>
          <w:jc w:val="center"/>
        </w:trPr>
        <w:tc>
          <w:tcPr>
            <w:tcW w:w="2520" w:type="pct"/>
            <w:gridSpan w:val="2"/>
            <w:tcBorders>
              <w:right w:val="nil"/>
            </w:tcBorders>
            <w:noWrap/>
          </w:tcPr>
          <w:p w14:paraId="1E114826" w14:textId="6C8C2F8B" w:rsidR="0015190C" w:rsidRPr="00174C84" w:rsidRDefault="0015190C" w:rsidP="0015190C">
            <w:pPr>
              <w:spacing w:after="0" w:line="240" w:lineRule="auto"/>
              <w:rPr>
                <w:bCs/>
                <w:sz w:val="18"/>
                <w:szCs w:val="18"/>
                <w:highlight w:val="yellow"/>
                <w:lang w:eastAsia="sk-SK"/>
              </w:rPr>
            </w:pPr>
            <w:r>
              <w:rPr>
                <w:color w:val="000000"/>
                <w:sz w:val="18"/>
                <w:szCs w:val="18"/>
              </w:rPr>
              <w:t>Objem konsolidácie</w:t>
            </w:r>
          </w:p>
        </w:tc>
        <w:tc>
          <w:tcPr>
            <w:tcW w:w="594" w:type="pct"/>
            <w:gridSpan w:val="2"/>
            <w:tcBorders>
              <w:left w:val="nil"/>
              <w:right w:val="nil"/>
            </w:tcBorders>
            <w:vAlign w:val="bottom"/>
          </w:tcPr>
          <w:p w14:paraId="1809A82F" w14:textId="44BF05F9" w:rsidR="0015190C" w:rsidRPr="00174C84" w:rsidRDefault="0015190C" w:rsidP="0015190C">
            <w:pPr>
              <w:spacing w:after="0" w:line="240" w:lineRule="auto"/>
              <w:ind w:left="-195" w:right="175"/>
              <w:jc w:val="right"/>
              <w:rPr>
                <w:bCs/>
                <w:sz w:val="18"/>
                <w:szCs w:val="18"/>
                <w:highlight w:val="yellow"/>
                <w:lang w:eastAsia="sk-SK"/>
              </w:rPr>
            </w:pPr>
            <w:r>
              <w:rPr>
                <w:color w:val="000000"/>
                <w:sz w:val="18"/>
                <w:szCs w:val="18"/>
              </w:rPr>
              <w:t>347 134</w:t>
            </w:r>
          </w:p>
        </w:tc>
        <w:tc>
          <w:tcPr>
            <w:tcW w:w="636" w:type="pct"/>
            <w:gridSpan w:val="2"/>
            <w:tcBorders>
              <w:left w:val="nil"/>
              <w:right w:val="nil"/>
            </w:tcBorders>
            <w:vAlign w:val="bottom"/>
          </w:tcPr>
          <w:p w14:paraId="4585C666" w14:textId="29844C6E" w:rsidR="0015190C" w:rsidRPr="00174C84" w:rsidRDefault="0015190C" w:rsidP="0015190C">
            <w:pPr>
              <w:spacing w:after="0" w:line="240" w:lineRule="auto"/>
              <w:ind w:left="-111" w:right="171"/>
              <w:jc w:val="right"/>
              <w:rPr>
                <w:bCs/>
                <w:sz w:val="18"/>
                <w:szCs w:val="18"/>
                <w:highlight w:val="yellow"/>
                <w:lang w:eastAsia="sk-SK"/>
              </w:rPr>
            </w:pPr>
            <w:r>
              <w:rPr>
                <w:color w:val="000000"/>
                <w:sz w:val="18"/>
                <w:szCs w:val="18"/>
              </w:rPr>
              <w:t>377 431</w:t>
            </w:r>
          </w:p>
        </w:tc>
        <w:tc>
          <w:tcPr>
            <w:tcW w:w="597" w:type="pct"/>
            <w:tcBorders>
              <w:left w:val="nil"/>
              <w:right w:val="nil"/>
            </w:tcBorders>
            <w:vAlign w:val="bottom"/>
          </w:tcPr>
          <w:p w14:paraId="38192127" w14:textId="4708A72E" w:rsidR="0015190C" w:rsidRPr="00174C84" w:rsidRDefault="0015190C" w:rsidP="0015190C">
            <w:pPr>
              <w:pStyle w:val="Odsekzoznamu"/>
              <w:ind w:left="139"/>
              <w:jc w:val="right"/>
              <w:rPr>
                <w:bCs/>
                <w:sz w:val="18"/>
                <w:szCs w:val="18"/>
                <w:highlight w:val="yellow"/>
              </w:rPr>
            </w:pPr>
            <w:r>
              <w:rPr>
                <w:color w:val="000000"/>
                <w:sz w:val="18"/>
                <w:szCs w:val="18"/>
              </w:rPr>
              <w:t>311 084</w:t>
            </w:r>
          </w:p>
        </w:tc>
        <w:tc>
          <w:tcPr>
            <w:tcW w:w="653" w:type="pct"/>
            <w:tcBorders>
              <w:left w:val="nil"/>
            </w:tcBorders>
            <w:vAlign w:val="bottom"/>
          </w:tcPr>
          <w:p w14:paraId="3719B6CD" w14:textId="235E4377" w:rsidR="0015190C" w:rsidRPr="00174C84" w:rsidRDefault="0015190C" w:rsidP="0015190C">
            <w:pPr>
              <w:spacing w:after="0"/>
              <w:jc w:val="right"/>
              <w:rPr>
                <w:bCs/>
                <w:sz w:val="18"/>
                <w:szCs w:val="18"/>
                <w:highlight w:val="yellow"/>
                <w:lang w:eastAsia="sk-SK"/>
              </w:rPr>
            </w:pPr>
            <w:r>
              <w:rPr>
                <w:color w:val="000000"/>
                <w:sz w:val="18"/>
                <w:szCs w:val="18"/>
              </w:rPr>
              <w:t>-66 347</w:t>
            </w:r>
          </w:p>
        </w:tc>
      </w:tr>
      <w:tr w:rsidR="0015190C" w:rsidRPr="00174C84" w14:paraId="27588E25" w14:textId="77777777" w:rsidTr="00AB1B78">
        <w:trPr>
          <w:trHeight w:val="273"/>
          <w:jc w:val="center"/>
        </w:trPr>
        <w:tc>
          <w:tcPr>
            <w:tcW w:w="2393" w:type="pct"/>
            <w:tcBorders>
              <w:right w:val="nil"/>
            </w:tcBorders>
            <w:noWrap/>
            <w:vAlign w:val="center"/>
            <w:hideMark/>
          </w:tcPr>
          <w:p w14:paraId="784C7412" w14:textId="56FFF364" w:rsidR="0015190C" w:rsidRPr="00174C84" w:rsidRDefault="0015190C" w:rsidP="0015190C">
            <w:pPr>
              <w:spacing w:after="0" w:line="240" w:lineRule="auto"/>
              <w:rPr>
                <w:b/>
                <w:bCs/>
                <w:sz w:val="18"/>
                <w:szCs w:val="18"/>
                <w:highlight w:val="yellow"/>
                <w:lang w:eastAsia="sk-SK"/>
              </w:rPr>
            </w:pPr>
            <w:r>
              <w:rPr>
                <w:b/>
                <w:bCs/>
                <w:color w:val="000000"/>
                <w:sz w:val="18"/>
                <w:szCs w:val="18"/>
              </w:rPr>
              <w:t>Spolu  (konsolidované)</w:t>
            </w:r>
          </w:p>
        </w:tc>
        <w:tc>
          <w:tcPr>
            <w:tcW w:w="624" w:type="pct"/>
            <w:gridSpan w:val="2"/>
            <w:tcBorders>
              <w:left w:val="nil"/>
              <w:right w:val="nil"/>
            </w:tcBorders>
          </w:tcPr>
          <w:p w14:paraId="280DCBCE" w14:textId="29144380" w:rsidR="0015190C" w:rsidRPr="00174C84" w:rsidRDefault="0015190C" w:rsidP="0015190C">
            <w:pPr>
              <w:spacing w:after="0" w:line="240" w:lineRule="auto"/>
              <w:ind w:left="-107"/>
              <w:jc w:val="right"/>
              <w:rPr>
                <w:b/>
                <w:bCs/>
                <w:sz w:val="18"/>
                <w:szCs w:val="18"/>
                <w:highlight w:val="yellow"/>
                <w:lang w:eastAsia="sk-SK"/>
              </w:rPr>
            </w:pPr>
            <w:r>
              <w:rPr>
                <w:b/>
                <w:bCs/>
                <w:color w:val="000000"/>
                <w:sz w:val="18"/>
                <w:szCs w:val="18"/>
              </w:rPr>
              <w:t>20 245 585</w:t>
            </w:r>
          </w:p>
        </w:tc>
        <w:tc>
          <w:tcPr>
            <w:tcW w:w="669" w:type="pct"/>
            <w:gridSpan w:val="2"/>
            <w:tcBorders>
              <w:left w:val="nil"/>
              <w:right w:val="nil"/>
            </w:tcBorders>
          </w:tcPr>
          <w:p w14:paraId="34505BA7" w14:textId="2BF36C0A" w:rsidR="0015190C" w:rsidRPr="00174C84" w:rsidRDefault="0015190C" w:rsidP="0015190C">
            <w:pPr>
              <w:spacing w:after="0" w:line="240" w:lineRule="auto"/>
              <w:jc w:val="right"/>
              <w:rPr>
                <w:b/>
                <w:bCs/>
                <w:sz w:val="18"/>
                <w:szCs w:val="18"/>
                <w:highlight w:val="yellow"/>
                <w:lang w:eastAsia="sk-SK"/>
              </w:rPr>
            </w:pPr>
            <w:r>
              <w:rPr>
                <w:b/>
                <w:bCs/>
                <w:color w:val="000000"/>
                <w:sz w:val="18"/>
                <w:szCs w:val="18"/>
              </w:rPr>
              <w:t>2</w:t>
            </w:r>
            <w:r w:rsidR="008261F6">
              <w:rPr>
                <w:b/>
                <w:bCs/>
                <w:color w:val="000000"/>
                <w:sz w:val="18"/>
                <w:szCs w:val="18"/>
              </w:rPr>
              <w:t>2</w:t>
            </w:r>
            <w:r>
              <w:rPr>
                <w:b/>
                <w:bCs/>
                <w:color w:val="000000"/>
                <w:sz w:val="18"/>
                <w:szCs w:val="18"/>
              </w:rPr>
              <w:t> </w:t>
            </w:r>
            <w:r w:rsidR="008261F6">
              <w:rPr>
                <w:b/>
                <w:bCs/>
                <w:color w:val="000000"/>
                <w:sz w:val="18"/>
                <w:szCs w:val="18"/>
              </w:rPr>
              <w:t>089</w:t>
            </w:r>
            <w:r>
              <w:rPr>
                <w:b/>
                <w:bCs/>
                <w:color w:val="000000"/>
                <w:sz w:val="18"/>
                <w:szCs w:val="18"/>
              </w:rPr>
              <w:t xml:space="preserve"> </w:t>
            </w:r>
            <w:r w:rsidR="008261F6">
              <w:rPr>
                <w:b/>
                <w:bCs/>
                <w:color w:val="000000"/>
                <w:sz w:val="18"/>
                <w:szCs w:val="18"/>
              </w:rPr>
              <w:t>804</w:t>
            </w:r>
          </w:p>
        </w:tc>
        <w:tc>
          <w:tcPr>
            <w:tcW w:w="661" w:type="pct"/>
            <w:gridSpan w:val="2"/>
            <w:tcBorders>
              <w:left w:val="nil"/>
              <w:right w:val="nil"/>
            </w:tcBorders>
          </w:tcPr>
          <w:p w14:paraId="09D8E9E4" w14:textId="523B4F73" w:rsidR="0015190C" w:rsidRPr="00174C84" w:rsidRDefault="0015190C" w:rsidP="0015190C">
            <w:pPr>
              <w:spacing w:after="0" w:line="240" w:lineRule="auto"/>
              <w:ind w:left="13"/>
              <w:jc w:val="right"/>
              <w:rPr>
                <w:b/>
                <w:bCs/>
                <w:sz w:val="18"/>
                <w:szCs w:val="18"/>
                <w:highlight w:val="yellow"/>
                <w:lang w:eastAsia="sk-SK"/>
              </w:rPr>
            </w:pPr>
            <w:r>
              <w:rPr>
                <w:b/>
                <w:bCs/>
                <w:color w:val="000000"/>
                <w:sz w:val="18"/>
                <w:szCs w:val="18"/>
              </w:rPr>
              <w:t>20 653 874</w:t>
            </w:r>
          </w:p>
        </w:tc>
        <w:tc>
          <w:tcPr>
            <w:tcW w:w="653" w:type="pct"/>
            <w:tcBorders>
              <w:left w:val="nil"/>
            </w:tcBorders>
          </w:tcPr>
          <w:p w14:paraId="61918999" w14:textId="57BEC9BC" w:rsidR="0015190C" w:rsidRPr="00174C84" w:rsidRDefault="0015190C" w:rsidP="0015190C">
            <w:pPr>
              <w:spacing w:after="0" w:line="240" w:lineRule="auto"/>
              <w:jc w:val="right"/>
              <w:rPr>
                <w:b/>
                <w:bCs/>
                <w:sz w:val="18"/>
                <w:szCs w:val="18"/>
                <w:highlight w:val="yellow"/>
                <w:lang w:eastAsia="sk-SK"/>
              </w:rPr>
            </w:pPr>
            <w:r>
              <w:rPr>
                <w:b/>
                <w:bCs/>
                <w:color w:val="000000"/>
                <w:sz w:val="18"/>
                <w:szCs w:val="18"/>
              </w:rPr>
              <w:t>-</w:t>
            </w:r>
            <w:r w:rsidR="008261F6">
              <w:rPr>
                <w:b/>
                <w:bCs/>
                <w:color w:val="000000"/>
                <w:sz w:val="18"/>
                <w:szCs w:val="18"/>
              </w:rPr>
              <w:t>1 435</w:t>
            </w:r>
            <w:r>
              <w:rPr>
                <w:b/>
                <w:bCs/>
                <w:color w:val="000000"/>
                <w:sz w:val="18"/>
                <w:szCs w:val="18"/>
              </w:rPr>
              <w:t xml:space="preserve"> </w:t>
            </w:r>
            <w:r w:rsidR="008261F6">
              <w:rPr>
                <w:b/>
                <w:bCs/>
                <w:color w:val="000000"/>
                <w:sz w:val="18"/>
                <w:szCs w:val="18"/>
              </w:rPr>
              <w:t>930</w:t>
            </w:r>
          </w:p>
        </w:tc>
      </w:tr>
    </w:tbl>
    <w:p w14:paraId="19842524" w14:textId="7B832A3F" w:rsidR="0015190C" w:rsidRDefault="0015190C" w:rsidP="0015190C">
      <w:pPr>
        <w:spacing w:after="0"/>
        <w:ind w:left="567" w:hanging="567"/>
        <w:jc w:val="both"/>
        <w:rPr>
          <w:sz w:val="16"/>
          <w:szCs w:val="16"/>
        </w:rPr>
      </w:pPr>
      <w:r>
        <w:rPr>
          <w:sz w:val="16"/>
          <w:szCs w:val="16"/>
        </w:rPr>
        <w:t xml:space="preserve">Poznámka: Hodnota </w:t>
      </w:r>
      <w:r w:rsidR="008261F6">
        <w:rPr>
          <w:sz w:val="16"/>
          <w:szCs w:val="16"/>
        </w:rPr>
        <w:t xml:space="preserve">ústrednej správy, ako aj hodnota </w:t>
      </w:r>
      <w:r>
        <w:rPr>
          <w:sz w:val="16"/>
          <w:szCs w:val="16"/>
        </w:rPr>
        <w:t>objemu konsolidácie za rok 2023 bol</w:t>
      </w:r>
      <w:r w:rsidR="008261F6">
        <w:rPr>
          <w:sz w:val="16"/>
          <w:szCs w:val="16"/>
        </w:rPr>
        <w:t>i</w:t>
      </w:r>
      <w:r>
        <w:rPr>
          <w:sz w:val="16"/>
          <w:szCs w:val="16"/>
        </w:rPr>
        <w:t xml:space="preserve"> upraven</w:t>
      </w:r>
      <w:r w:rsidR="008261F6">
        <w:rPr>
          <w:sz w:val="16"/>
          <w:szCs w:val="16"/>
        </w:rPr>
        <w:t>é</w:t>
      </w:r>
      <w:r>
        <w:rPr>
          <w:sz w:val="16"/>
          <w:szCs w:val="16"/>
        </w:rPr>
        <w:t xml:space="preserve"> z dôvodu aktualizácie vstupných údajov. </w:t>
      </w:r>
      <w:r w:rsidRPr="00C1305B">
        <w:rPr>
          <w:sz w:val="16"/>
          <w:szCs w:val="16"/>
        </w:rPr>
        <w:t xml:space="preserve">   </w:t>
      </w:r>
    </w:p>
    <w:p w14:paraId="7D91A786" w14:textId="77777777" w:rsidR="0015190C" w:rsidRPr="00C1305B" w:rsidRDefault="0015190C" w:rsidP="00221CF7">
      <w:pPr>
        <w:spacing w:before="120" w:after="0"/>
        <w:ind w:left="567" w:hanging="567"/>
        <w:jc w:val="both"/>
        <w:rPr>
          <w:sz w:val="16"/>
          <w:szCs w:val="16"/>
        </w:rPr>
      </w:pPr>
      <w:r w:rsidRPr="00C1305B">
        <w:rPr>
          <w:sz w:val="16"/>
          <w:szCs w:val="16"/>
        </w:rPr>
        <w:t>Zdroj: Individuálne a konsolidované účtovné závierky subjektov k 31.</w:t>
      </w:r>
      <w:r>
        <w:rPr>
          <w:sz w:val="16"/>
          <w:szCs w:val="16"/>
        </w:rPr>
        <w:t xml:space="preserve"> </w:t>
      </w:r>
      <w:r w:rsidRPr="00C1305B">
        <w:rPr>
          <w:sz w:val="16"/>
          <w:szCs w:val="16"/>
        </w:rPr>
        <w:t>12.</w:t>
      </w:r>
      <w:r>
        <w:rPr>
          <w:sz w:val="16"/>
          <w:szCs w:val="16"/>
        </w:rPr>
        <w:t xml:space="preserve"> </w:t>
      </w:r>
      <w:r w:rsidRPr="00C1305B">
        <w:rPr>
          <w:sz w:val="16"/>
          <w:szCs w:val="16"/>
        </w:rPr>
        <w:t>202</w:t>
      </w:r>
      <w:r>
        <w:rPr>
          <w:sz w:val="16"/>
          <w:szCs w:val="16"/>
        </w:rPr>
        <w:t>4</w:t>
      </w:r>
      <w:r w:rsidRPr="00C1305B">
        <w:rPr>
          <w:sz w:val="16"/>
          <w:szCs w:val="16"/>
        </w:rPr>
        <w:t xml:space="preserve"> zverejnené v registri </w:t>
      </w:r>
      <w:hyperlink r:id="rId19" w:history="1">
        <w:r w:rsidRPr="00C1305B">
          <w:rPr>
            <w:sz w:val="16"/>
            <w:szCs w:val="16"/>
            <w:u w:val="single"/>
          </w:rPr>
          <w:t>www.registeruz.sk</w:t>
        </w:r>
      </w:hyperlink>
      <w:r w:rsidRPr="00C1305B">
        <w:rPr>
          <w:sz w:val="16"/>
          <w:szCs w:val="16"/>
        </w:rPr>
        <w:t xml:space="preserve"> a databáza MF SR</w:t>
      </w:r>
    </w:p>
    <w:p w14:paraId="60A5CB8D" w14:textId="46DB9AE8" w:rsidR="0015190C" w:rsidRPr="00D076BA" w:rsidRDefault="0015190C" w:rsidP="007819D4">
      <w:pPr>
        <w:spacing w:after="120" w:line="240" w:lineRule="auto"/>
        <w:jc w:val="both"/>
        <w:rPr>
          <w:szCs w:val="22"/>
          <w:lang w:eastAsia="cs-CZ"/>
        </w:rPr>
      </w:pPr>
      <w:r w:rsidRPr="00D076BA">
        <w:rPr>
          <w:szCs w:val="22"/>
          <w:lang w:eastAsia="cs-CZ"/>
        </w:rPr>
        <w:t xml:space="preserve">Keďže niektoré podmienené záväzky predstavujú vzťah medzi subjektmi verejnej správy, je vhodné prezentovať aj podmienené záväzky ako konsolidované. Hodnotu konsolidácie predstavujú napríklad potenciálne úhrady z konaní jedného subjektu verejnej správy voči inému subjektu verejnej správy, vzájomné súdne spory, či poskytnuté záruky, z ktorých by plnenie predstavovalo len presun prostriedkov v rámci verejnej správy. </w:t>
      </w:r>
      <w:r w:rsidRPr="00D076BA">
        <w:rPr>
          <w:szCs w:val="22"/>
          <w:u w:val="single"/>
          <w:lang w:eastAsia="cs-CZ"/>
        </w:rPr>
        <w:t>Takto očistené podmienené záväzky verejnej správy predstavujú hodnotu 20</w:t>
      </w:r>
      <w:r>
        <w:rPr>
          <w:szCs w:val="22"/>
          <w:u w:val="single"/>
          <w:lang w:eastAsia="cs-CZ"/>
        </w:rPr>
        <w:t> </w:t>
      </w:r>
      <w:r w:rsidRPr="00D076BA">
        <w:rPr>
          <w:szCs w:val="22"/>
          <w:u w:val="single"/>
          <w:lang w:eastAsia="cs-CZ"/>
        </w:rPr>
        <w:t>653</w:t>
      </w:r>
      <w:r>
        <w:rPr>
          <w:szCs w:val="22"/>
          <w:u w:val="single"/>
          <w:lang w:eastAsia="cs-CZ"/>
        </w:rPr>
        <w:t> </w:t>
      </w:r>
      <w:r w:rsidRPr="00D076BA">
        <w:rPr>
          <w:szCs w:val="22"/>
          <w:u w:val="single"/>
          <w:lang w:eastAsia="cs-CZ"/>
        </w:rPr>
        <w:t>74</w:t>
      </w:r>
      <w:r>
        <w:rPr>
          <w:szCs w:val="22"/>
          <w:u w:val="single"/>
          <w:lang w:eastAsia="cs-CZ"/>
        </w:rPr>
        <w:t> </w:t>
      </w:r>
      <w:r w:rsidRPr="00D076BA">
        <w:rPr>
          <w:szCs w:val="22"/>
          <w:u w:val="single"/>
          <w:lang w:eastAsia="cs-CZ"/>
        </w:rPr>
        <w:t>tis.</w:t>
      </w:r>
      <w:r>
        <w:rPr>
          <w:szCs w:val="22"/>
          <w:u w:val="single"/>
          <w:lang w:eastAsia="cs-CZ"/>
        </w:rPr>
        <w:t> </w:t>
      </w:r>
      <w:r w:rsidRPr="00D076BA">
        <w:rPr>
          <w:szCs w:val="22"/>
          <w:u w:val="single"/>
          <w:lang w:eastAsia="cs-CZ"/>
        </w:rPr>
        <w:t xml:space="preserve">eur. </w:t>
      </w:r>
    </w:p>
    <w:p w14:paraId="40670177" w14:textId="40AA49E0" w:rsidR="0015190C" w:rsidRPr="00D076BA" w:rsidRDefault="008261F6" w:rsidP="007819D4">
      <w:pPr>
        <w:spacing w:after="120" w:line="240" w:lineRule="auto"/>
        <w:jc w:val="both"/>
        <w:rPr>
          <w:szCs w:val="22"/>
          <w:lang w:eastAsia="cs-CZ"/>
        </w:rPr>
      </w:pPr>
      <w:r w:rsidRPr="00D076BA">
        <w:rPr>
          <w:szCs w:val="22"/>
          <w:lang w:eastAsia="cs-CZ"/>
        </w:rPr>
        <w:t>Podľa údajov dostupných z účtovných závierok hodnotených subjektov dosiahli podmienené záväzky na</w:t>
      </w:r>
      <w:r w:rsidR="00E1792B">
        <w:rPr>
          <w:szCs w:val="22"/>
          <w:lang w:eastAsia="cs-CZ"/>
        </w:rPr>
        <w:t> </w:t>
      </w:r>
      <w:r w:rsidRPr="00D076BA">
        <w:rPr>
          <w:szCs w:val="22"/>
          <w:lang w:eastAsia="cs-CZ"/>
        </w:rPr>
        <w:t xml:space="preserve">nekonsolidovanej báze medziročne celkový pokles </w:t>
      </w:r>
      <w:r w:rsidRPr="003937A1">
        <w:rPr>
          <w:szCs w:val="22"/>
          <w:lang w:eastAsia="cs-CZ"/>
        </w:rPr>
        <w:t>o</w:t>
      </w:r>
      <w:r>
        <w:rPr>
          <w:szCs w:val="22"/>
          <w:lang w:eastAsia="cs-CZ"/>
        </w:rPr>
        <w:t> 1 502 277 </w:t>
      </w:r>
      <w:r w:rsidRPr="003937A1">
        <w:rPr>
          <w:szCs w:val="22"/>
          <w:lang w:eastAsia="cs-CZ"/>
        </w:rPr>
        <w:t>tis.</w:t>
      </w:r>
      <w:r>
        <w:rPr>
          <w:szCs w:val="22"/>
          <w:lang w:eastAsia="cs-CZ"/>
        </w:rPr>
        <w:t> </w:t>
      </w:r>
      <w:r w:rsidRPr="003937A1">
        <w:rPr>
          <w:szCs w:val="22"/>
          <w:lang w:eastAsia="cs-CZ"/>
        </w:rPr>
        <w:t>eur</w:t>
      </w:r>
      <w:r>
        <w:rPr>
          <w:szCs w:val="22"/>
          <w:lang w:eastAsia="cs-CZ"/>
        </w:rPr>
        <w:t xml:space="preserve"> </w:t>
      </w:r>
      <w:r w:rsidRPr="003937A1">
        <w:rPr>
          <w:szCs w:val="22"/>
          <w:lang w:eastAsia="cs-CZ"/>
        </w:rPr>
        <w:t>(resp.</w:t>
      </w:r>
      <w:r w:rsidR="00FE22D0">
        <w:rPr>
          <w:szCs w:val="22"/>
          <w:lang w:eastAsia="cs-CZ"/>
        </w:rPr>
        <w:t> </w:t>
      </w:r>
      <w:r>
        <w:rPr>
          <w:szCs w:val="22"/>
          <w:lang w:eastAsia="cs-CZ"/>
        </w:rPr>
        <w:t>1 435 930 </w:t>
      </w:r>
      <w:r w:rsidRPr="003937A1">
        <w:rPr>
          <w:szCs w:val="22"/>
          <w:lang w:eastAsia="cs-CZ"/>
        </w:rPr>
        <w:t>tis.</w:t>
      </w:r>
      <w:r>
        <w:rPr>
          <w:szCs w:val="22"/>
          <w:lang w:eastAsia="cs-CZ"/>
        </w:rPr>
        <w:t> </w:t>
      </w:r>
      <w:r w:rsidRPr="003937A1">
        <w:rPr>
          <w:szCs w:val="22"/>
          <w:lang w:eastAsia="cs-CZ"/>
        </w:rPr>
        <w:t>eur po</w:t>
      </w:r>
      <w:r>
        <w:rPr>
          <w:szCs w:val="22"/>
          <w:lang w:eastAsia="cs-CZ"/>
        </w:rPr>
        <w:t> </w:t>
      </w:r>
      <w:r w:rsidRPr="003937A1">
        <w:rPr>
          <w:szCs w:val="22"/>
          <w:lang w:eastAsia="cs-CZ"/>
        </w:rPr>
        <w:t>konsolidácii). Celková medziročná zmena je zložená</w:t>
      </w:r>
      <w:r w:rsidRPr="00D076BA">
        <w:rPr>
          <w:szCs w:val="22"/>
          <w:lang w:eastAsia="cs-CZ"/>
        </w:rPr>
        <w:t xml:space="preserve"> z položiek, ktoré medziročne poklesli a z položiek, ktoré boli zachytené v prehľade prvýkrát, resp. zaznamenali medziročný nárast</w:t>
      </w:r>
      <w:r w:rsidR="0015190C" w:rsidRPr="00D076BA">
        <w:rPr>
          <w:szCs w:val="22"/>
          <w:lang w:eastAsia="cs-CZ"/>
        </w:rPr>
        <w:t>.</w:t>
      </w:r>
    </w:p>
    <w:p w14:paraId="60AECA7C" w14:textId="122D1A6E" w:rsidR="0015190C" w:rsidRPr="00D076BA" w:rsidRDefault="0015190C" w:rsidP="008261F6">
      <w:pPr>
        <w:spacing w:after="120" w:line="240" w:lineRule="auto"/>
        <w:jc w:val="both"/>
        <w:rPr>
          <w:szCs w:val="22"/>
          <w:lang w:eastAsia="cs-CZ"/>
        </w:rPr>
      </w:pPr>
      <w:r w:rsidRPr="00D076BA">
        <w:rPr>
          <w:szCs w:val="22"/>
          <w:lang w:eastAsia="cs-CZ"/>
        </w:rPr>
        <w:t>Medziročne boli reportované zo strany subjektov niektoré nové mimobilančné položky na</w:t>
      </w:r>
      <w:r w:rsidR="00E1792B">
        <w:rPr>
          <w:szCs w:val="22"/>
          <w:lang w:eastAsia="cs-CZ"/>
        </w:rPr>
        <w:t> </w:t>
      </w:r>
      <w:r w:rsidRPr="00D076BA">
        <w:rPr>
          <w:szCs w:val="22"/>
          <w:lang w:eastAsia="cs-CZ"/>
        </w:rPr>
        <w:t>strane podmienených pasív, u viacerých položiek došlo k poklesu hodnoty. V prípade ústrednej správy došlo k celkovému medziročnému poklesu o</w:t>
      </w:r>
      <w:r w:rsidR="008261F6">
        <w:rPr>
          <w:szCs w:val="22"/>
          <w:lang w:eastAsia="cs-CZ"/>
        </w:rPr>
        <w:t> 1 630 288 </w:t>
      </w:r>
      <w:r w:rsidRPr="00D076BA">
        <w:rPr>
          <w:szCs w:val="22"/>
          <w:lang w:eastAsia="cs-CZ"/>
        </w:rPr>
        <w:t>tis.</w:t>
      </w:r>
      <w:r w:rsidR="00710B56">
        <w:rPr>
          <w:szCs w:val="22"/>
          <w:lang w:eastAsia="cs-CZ"/>
        </w:rPr>
        <w:t> </w:t>
      </w:r>
      <w:r w:rsidRPr="00D076BA">
        <w:rPr>
          <w:szCs w:val="22"/>
          <w:lang w:eastAsia="cs-CZ"/>
        </w:rPr>
        <w:t xml:space="preserve">eur, z toho </w:t>
      </w:r>
      <w:r w:rsidR="008261F6">
        <w:rPr>
          <w:szCs w:val="22"/>
          <w:lang w:eastAsia="cs-CZ"/>
        </w:rPr>
        <w:t xml:space="preserve">Ministerstvo vnútra SR zaznamenalo pokles v rámci pasívnych súdnych sporov v hodnote 869 055 tis. eur, </w:t>
      </w:r>
      <w:r w:rsidRPr="00D076BA">
        <w:rPr>
          <w:szCs w:val="22"/>
          <w:lang w:eastAsia="cs-CZ"/>
        </w:rPr>
        <w:t>Slovenský plynárenský priemysel,</w:t>
      </w:r>
      <w:r w:rsidR="00E1792B">
        <w:rPr>
          <w:szCs w:val="22"/>
          <w:lang w:eastAsia="cs-CZ"/>
        </w:rPr>
        <w:t> </w:t>
      </w:r>
      <w:r w:rsidRPr="00D076BA">
        <w:rPr>
          <w:szCs w:val="22"/>
          <w:lang w:eastAsia="cs-CZ"/>
        </w:rPr>
        <w:t>a.</w:t>
      </w:r>
      <w:r w:rsidR="00E1792B">
        <w:rPr>
          <w:szCs w:val="22"/>
          <w:lang w:eastAsia="cs-CZ"/>
        </w:rPr>
        <w:t> </w:t>
      </w:r>
      <w:r w:rsidRPr="00D076BA">
        <w:rPr>
          <w:szCs w:val="22"/>
          <w:lang w:eastAsia="cs-CZ"/>
        </w:rPr>
        <w:t>s. zaznamenal pokles komoditných derivátov v</w:t>
      </w:r>
      <w:r w:rsidR="00710B56">
        <w:rPr>
          <w:szCs w:val="22"/>
          <w:lang w:eastAsia="cs-CZ"/>
        </w:rPr>
        <w:t> </w:t>
      </w:r>
      <w:r w:rsidRPr="00D076BA">
        <w:rPr>
          <w:szCs w:val="22"/>
          <w:lang w:eastAsia="cs-CZ"/>
        </w:rPr>
        <w:t>hodnote</w:t>
      </w:r>
      <w:r w:rsidR="00710B56">
        <w:rPr>
          <w:szCs w:val="22"/>
          <w:lang w:eastAsia="cs-CZ"/>
        </w:rPr>
        <w:t> </w:t>
      </w:r>
      <w:r w:rsidR="008261F6">
        <w:rPr>
          <w:szCs w:val="22"/>
          <w:lang w:eastAsia="cs-CZ"/>
        </w:rPr>
        <w:t>448</w:t>
      </w:r>
      <w:r w:rsidR="00710B56">
        <w:rPr>
          <w:szCs w:val="22"/>
          <w:lang w:eastAsia="cs-CZ"/>
        </w:rPr>
        <w:t> </w:t>
      </w:r>
      <w:r w:rsidR="008261F6">
        <w:rPr>
          <w:szCs w:val="22"/>
          <w:lang w:eastAsia="cs-CZ"/>
        </w:rPr>
        <w:t>540</w:t>
      </w:r>
      <w:r w:rsidR="00710B56">
        <w:rPr>
          <w:szCs w:val="22"/>
          <w:lang w:eastAsia="cs-CZ"/>
        </w:rPr>
        <w:t> </w:t>
      </w:r>
      <w:r w:rsidRPr="00D076BA">
        <w:rPr>
          <w:szCs w:val="22"/>
          <w:lang w:eastAsia="cs-CZ"/>
        </w:rPr>
        <w:t>tis.</w:t>
      </w:r>
      <w:r w:rsidR="00710B56">
        <w:rPr>
          <w:szCs w:val="22"/>
          <w:lang w:eastAsia="cs-CZ"/>
        </w:rPr>
        <w:t> </w:t>
      </w:r>
      <w:r w:rsidRPr="00D076BA">
        <w:rPr>
          <w:szCs w:val="22"/>
          <w:lang w:eastAsia="cs-CZ"/>
        </w:rPr>
        <w:t>eur, NDF II pokles záruk o</w:t>
      </w:r>
      <w:r w:rsidR="00710B56">
        <w:rPr>
          <w:szCs w:val="22"/>
          <w:lang w:eastAsia="cs-CZ"/>
        </w:rPr>
        <w:t> </w:t>
      </w:r>
      <w:r w:rsidRPr="00D076BA">
        <w:rPr>
          <w:szCs w:val="22"/>
          <w:lang w:eastAsia="cs-CZ"/>
        </w:rPr>
        <w:t>167</w:t>
      </w:r>
      <w:r w:rsidR="00710B56">
        <w:rPr>
          <w:szCs w:val="22"/>
          <w:lang w:eastAsia="cs-CZ"/>
        </w:rPr>
        <w:t> </w:t>
      </w:r>
      <w:r w:rsidRPr="00D076BA">
        <w:rPr>
          <w:szCs w:val="22"/>
          <w:lang w:eastAsia="cs-CZ"/>
        </w:rPr>
        <w:t>789</w:t>
      </w:r>
      <w:r w:rsidR="00710B56">
        <w:rPr>
          <w:szCs w:val="22"/>
          <w:lang w:eastAsia="cs-CZ"/>
        </w:rPr>
        <w:t> </w:t>
      </w:r>
      <w:r w:rsidRPr="00D076BA">
        <w:rPr>
          <w:szCs w:val="22"/>
          <w:lang w:eastAsia="cs-CZ"/>
        </w:rPr>
        <w:t>tis.</w:t>
      </w:r>
      <w:r w:rsidR="00710B56">
        <w:rPr>
          <w:szCs w:val="22"/>
          <w:lang w:eastAsia="cs-CZ"/>
        </w:rPr>
        <w:t> </w:t>
      </w:r>
      <w:r w:rsidRPr="00D076BA">
        <w:rPr>
          <w:szCs w:val="22"/>
          <w:lang w:eastAsia="cs-CZ"/>
        </w:rPr>
        <w:t>eur a Exportno-importná banka SR medziročný nárast bankových a iných záruk o</w:t>
      </w:r>
      <w:r w:rsidR="00710B56">
        <w:rPr>
          <w:szCs w:val="22"/>
          <w:lang w:eastAsia="cs-CZ"/>
        </w:rPr>
        <w:t> </w:t>
      </w:r>
      <w:r w:rsidRPr="00D076BA">
        <w:rPr>
          <w:szCs w:val="22"/>
          <w:lang w:eastAsia="cs-CZ"/>
        </w:rPr>
        <w:t>27</w:t>
      </w:r>
      <w:r w:rsidR="00710B56">
        <w:rPr>
          <w:szCs w:val="22"/>
          <w:lang w:eastAsia="cs-CZ"/>
        </w:rPr>
        <w:t> </w:t>
      </w:r>
      <w:r w:rsidRPr="00D076BA">
        <w:rPr>
          <w:szCs w:val="22"/>
          <w:lang w:eastAsia="cs-CZ"/>
        </w:rPr>
        <w:t>517</w:t>
      </w:r>
      <w:r w:rsidR="00710B56">
        <w:rPr>
          <w:szCs w:val="22"/>
          <w:lang w:eastAsia="cs-CZ"/>
        </w:rPr>
        <w:t> </w:t>
      </w:r>
      <w:r w:rsidRPr="00D076BA">
        <w:rPr>
          <w:szCs w:val="22"/>
          <w:lang w:eastAsia="cs-CZ"/>
        </w:rPr>
        <w:t>tis.</w:t>
      </w:r>
      <w:r w:rsidR="00710B56">
        <w:rPr>
          <w:szCs w:val="22"/>
          <w:lang w:eastAsia="cs-CZ"/>
        </w:rPr>
        <w:t> </w:t>
      </w:r>
      <w:r w:rsidRPr="00D076BA">
        <w:rPr>
          <w:szCs w:val="22"/>
          <w:lang w:eastAsia="cs-CZ"/>
        </w:rPr>
        <w:t>eur, prepočítaný podiel štátu (34</w:t>
      </w:r>
      <w:r w:rsidR="00710B56">
        <w:rPr>
          <w:szCs w:val="22"/>
          <w:lang w:eastAsia="cs-CZ"/>
        </w:rPr>
        <w:t> </w:t>
      </w:r>
      <w:r w:rsidRPr="00D076BA">
        <w:rPr>
          <w:szCs w:val="22"/>
          <w:lang w:eastAsia="cs-CZ"/>
        </w:rPr>
        <w:t>%) na založenom majetku Slovenských elektrární,</w:t>
      </w:r>
      <w:r w:rsidR="00E1792B">
        <w:rPr>
          <w:szCs w:val="22"/>
          <w:lang w:eastAsia="cs-CZ"/>
        </w:rPr>
        <w:t> </w:t>
      </w:r>
      <w:r w:rsidRPr="00D076BA">
        <w:rPr>
          <w:szCs w:val="22"/>
          <w:lang w:eastAsia="cs-CZ"/>
        </w:rPr>
        <w:t>a.</w:t>
      </w:r>
      <w:r w:rsidR="00E1792B">
        <w:rPr>
          <w:szCs w:val="22"/>
          <w:lang w:eastAsia="cs-CZ"/>
        </w:rPr>
        <w:t> </w:t>
      </w:r>
      <w:r w:rsidRPr="00D076BA">
        <w:rPr>
          <w:szCs w:val="22"/>
          <w:lang w:eastAsia="cs-CZ"/>
        </w:rPr>
        <w:t>s. sa zvýšil o 162</w:t>
      </w:r>
      <w:r w:rsidR="00710B56">
        <w:rPr>
          <w:szCs w:val="22"/>
          <w:lang w:eastAsia="cs-CZ"/>
        </w:rPr>
        <w:t> </w:t>
      </w:r>
      <w:r w:rsidRPr="00D076BA">
        <w:rPr>
          <w:szCs w:val="22"/>
          <w:lang w:eastAsia="cs-CZ"/>
        </w:rPr>
        <w:t>224</w:t>
      </w:r>
      <w:r w:rsidR="00710B56">
        <w:rPr>
          <w:szCs w:val="22"/>
          <w:lang w:eastAsia="cs-CZ"/>
        </w:rPr>
        <w:t> </w:t>
      </w:r>
      <w:r w:rsidRPr="00D076BA">
        <w:rPr>
          <w:szCs w:val="22"/>
          <w:lang w:eastAsia="cs-CZ"/>
        </w:rPr>
        <w:t>tis.</w:t>
      </w:r>
      <w:r w:rsidR="00710B56">
        <w:rPr>
          <w:szCs w:val="22"/>
          <w:lang w:eastAsia="cs-CZ"/>
        </w:rPr>
        <w:t> </w:t>
      </w:r>
      <w:r w:rsidRPr="00D076BA">
        <w:rPr>
          <w:szCs w:val="22"/>
          <w:lang w:eastAsia="cs-CZ"/>
        </w:rPr>
        <w:t>eur. Medziročnú zmenu nezaznamenal MH</w:t>
      </w:r>
      <w:r w:rsidR="00E1792B">
        <w:rPr>
          <w:szCs w:val="22"/>
          <w:lang w:eastAsia="cs-CZ"/>
        </w:rPr>
        <w:t> </w:t>
      </w:r>
      <w:r w:rsidRPr="00D076BA">
        <w:rPr>
          <w:szCs w:val="22"/>
          <w:lang w:eastAsia="cs-CZ"/>
        </w:rPr>
        <w:t>Manažment,</w:t>
      </w:r>
      <w:r w:rsidR="00E1792B">
        <w:rPr>
          <w:szCs w:val="22"/>
          <w:lang w:eastAsia="cs-CZ"/>
        </w:rPr>
        <w:t> </w:t>
      </w:r>
      <w:r w:rsidRPr="00D076BA">
        <w:rPr>
          <w:szCs w:val="22"/>
          <w:lang w:eastAsia="cs-CZ"/>
        </w:rPr>
        <w:t>a.</w:t>
      </w:r>
      <w:r w:rsidR="00E1792B">
        <w:rPr>
          <w:szCs w:val="22"/>
          <w:lang w:eastAsia="cs-CZ"/>
        </w:rPr>
        <w:t> </w:t>
      </w:r>
      <w:r w:rsidRPr="00D076BA">
        <w:rPr>
          <w:szCs w:val="22"/>
          <w:lang w:eastAsia="cs-CZ"/>
        </w:rPr>
        <w:t xml:space="preserve">s. v hodnotách vykazovaných z ručenia za splnenie záväzkov vyplývajúcich z privatizačných zmlúv. Za skupinu subjektov obcí a ich organizácií, došlo k  nárastu vykázaných iných pasív, najmä z titulu </w:t>
      </w:r>
      <w:r w:rsidR="008261F6" w:rsidRPr="00D076BA">
        <w:rPr>
          <w:szCs w:val="22"/>
          <w:lang w:eastAsia="cs-CZ"/>
        </w:rPr>
        <w:t>20</w:t>
      </w:r>
      <w:r w:rsidR="00E1792B">
        <w:rPr>
          <w:szCs w:val="22"/>
          <w:lang w:eastAsia="cs-CZ"/>
        </w:rPr>
        <w:t> </w:t>
      </w:r>
      <w:r w:rsidR="008261F6">
        <w:rPr>
          <w:szCs w:val="22"/>
          <w:lang w:eastAsia="cs-CZ"/>
        </w:rPr>
        <w:t>%</w:t>
      </w:r>
      <w:r w:rsidRPr="00D076BA">
        <w:rPr>
          <w:szCs w:val="22"/>
          <w:lang w:eastAsia="cs-CZ"/>
        </w:rPr>
        <w:t xml:space="preserve"> nárastu hodnoty založeného majetku. </w:t>
      </w:r>
    </w:p>
    <w:p w14:paraId="405FAE6F" w14:textId="5CAA7CD8" w:rsidR="007723D2" w:rsidRPr="00174C84" w:rsidRDefault="008261F6" w:rsidP="00221CF7">
      <w:pPr>
        <w:spacing w:after="120" w:line="240" w:lineRule="auto"/>
        <w:jc w:val="both"/>
        <w:rPr>
          <w:szCs w:val="22"/>
          <w:highlight w:val="yellow"/>
          <w:lang w:eastAsia="cs-CZ"/>
        </w:rPr>
      </w:pPr>
      <w:r w:rsidRPr="008F1F43">
        <w:rPr>
          <w:szCs w:val="22"/>
          <w:lang w:eastAsia="cs-CZ"/>
        </w:rPr>
        <w:t>Medzi najvýznamnejšie podmienené záväzky patrí účasť SR na Európskom nástroji finančnej stability (EFSF) a Európskom mechanizme pre stabilitu (ESM). Ďalej sú to hroziace alebo už prebiehajúce súdne spory voči štátnym orgánom alebo podnikom štátnej správy, zabezpečovacie operácie Slovenského plynárenského priemyslu, záložné právo na majetok Slovenských elektrární a ďalšie.</w:t>
      </w:r>
      <w:r w:rsidR="007723D2" w:rsidRPr="00174C84">
        <w:rPr>
          <w:szCs w:val="22"/>
          <w:highlight w:val="yellow"/>
          <w:lang w:eastAsia="cs-CZ"/>
        </w:rPr>
        <w:br w:type="page"/>
      </w:r>
    </w:p>
    <w:p w14:paraId="27C6CA79" w14:textId="643FA554" w:rsidR="00076866" w:rsidRDefault="00076866" w:rsidP="00D162A9">
      <w:pPr>
        <w:pStyle w:val="Popis"/>
      </w:pPr>
      <w:bookmarkStart w:id="96" w:name="_Toc212124642"/>
      <w:r>
        <w:lastRenderedPageBreak/>
        <w:t xml:space="preserve">Tabuľka </w:t>
      </w:r>
      <w:r>
        <w:fldChar w:fldCharType="begin"/>
      </w:r>
      <w:r>
        <w:instrText xml:space="preserve"> SEQ Tabuľka \* ARABIC </w:instrText>
      </w:r>
      <w:r>
        <w:fldChar w:fldCharType="separate"/>
      </w:r>
      <w:r>
        <w:rPr>
          <w:noProof/>
        </w:rPr>
        <w:t>21</w:t>
      </w:r>
      <w:r>
        <w:fldChar w:fldCharType="end"/>
      </w:r>
      <w:r>
        <w:t xml:space="preserve"> - </w:t>
      </w:r>
      <w:r w:rsidRPr="00E45DE2">
        <w:t>Prehľad najväčších podmienených záväzkov na nekonsolidovanej báze (v tis. eur)</w:t>
      </w:r>
      <w:bookmarkEnd w:id="96"/>
    </w:p>
    <w:tbl>
      <w:tblPr>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8"/>
        <w:gridCol w:w="1162"/>
        <w:gridCol w:w="1162"/>
        <w:gridCol w:w="1162"/>
        <w:gridCol w:w="1221"/>
      </w:tblGrid>
      <w:tr w:rsidR="004B62BA" w:rsidRPr="001073E3" w14:paraId="03291827" w14:textId="77777777" w:rsidTr="003A7EFD">
        <w:trPr>
          <w:trHeight w:val="276"/>
          <w:tblHeader/>
          <w:jc w:val="center"/>
        </w:trPr>
        <w:tc>
          <w:tcPr>
            <w:tcW w:w="2521" w:type="pct"/>
            <w:tcBorders>
              <w:right w:val="nil"/>
            </w:tcBorders>
            <w:vAlign w:val="center"/>
            <w:hideMark/>
          </w:tcPr>
          <w:p w14:paraId="26A42438" w14:textId="77777777" w:rsidR="004B62BA" w:rsidRPr="001073E3" w:rsidRDefault="004B62BA" w:rsidP="003A7EFD">
            <w:pPr>
              <w:spacing w:after="0" w:line="240" w:lineRule="auto"/>
              <w:rPr>
                <w:color w:val="000000"/>
                <w:sz w:val="16"/>
                <w:szCs w:val="16"/>
                <w:lang w:eastAsia="sk-SK"/>
              </w:rPr>
            </w:pPr>
          </w:p>
        </w:tc>
        <w:tc>
          <w:tcPr>
            <w:tcW w:w="612" w:type="pct"/>
            <w:tcBorders>
              <w:left w:val="nil"/>
              <w:right w:val="nil"/>
            </w:tcBorders>
            <w:vAlign w:val="bottom"/>
            <w:hideMark/>
          </w:tcPr>
          <w:p w14:paraId="020E35B7" w14:textId="77777777" w:rsidR="004B62BA" w:rsidRPr="001073E3" w:rsidRDefault="004B62BA" w:rsidP="003A7EFD">
            <w:pPr>
              <w:spacing w:after="0" w:line="240" w:lineRule="auto"/>
              <w:jc w:val="right"/>
              <w:rPr>
                <w:b/>
                <w:bCs/>
                <w:sz w:val="16"/>
                <w:szCs w:val="16"/>
                <w:lang w:eastAsia="sk-SK"/>
              </w:rPr>
            </w:pPr>
            <w:r w:rsidRPr="001073E3">
              <w:rPr>
                <w:b/>
                <w:bCs/>
                <w:sz w:val="16"/>
                <w:szCs w:val="16"/>
                <w:lang w:eastAsia="sk-SK"/>
              </w:rPr>
              <w:t>2021</w:t>
            </w:r>
          </w:p>
        </w:tc>
        <w:tc>
          <w:tcPr>
            <w:tcW w:w="612" w:type="pct"/>
            <w:tcBorders>
              <w:left w:val="nil"/>
              <w:right w:val="nil"/>
            </w:tcBorders>
            <w:vAlign w:val="bottom"/>
            <w:hideMark/>
          </w:tcPr>
          <w:p w14:paraId="762F57E3" w14:textId="77777777" w:rsidR="004B62BA" w:rsidRPr="001073E3" w:rsidRDefault="004B62BA" w:rsidP="003A7EFD">
            <w:pPr>
              <w:spacing w:after="0" w:line="240" w:lineRule="auto"/>
              <w:jc w:val="right"/>
              <w:rPr>
                <w:b/>
                <w:bCs/>
                <w:sz w:val="16"/>
                <w:szCs w:val="16"/>
                <w:lang w:eastAsia="sk-SK"/>
              </w:rPr>
            </w:pPr>
            <w:r w:rsidRPr="001073E3">
              <w:rPr>
                <w:b/>
                <w:bCs/>
                <w:sz w:val="16"/>
                <w:szCs w:val="16"/>
                <w:lang w:eastAsia="sk-SK"/>
              </w:rPr>
              <w:t>2022</w:t>
            </w:r>
          </w:p>
        </w:tc>
        <w:tc>
          <w:tcPr>
            <w:tcW w:w="612" w:type="pct"/>
            <w:tcBorders>
              <w:left w:val="nil"/>
              <w:right w:val="nil"/>
            </w:tcBorders>
            <w:vAlign w:val="bottom"/>
            <w:hideMark/>
          </w:tcPr>
          <w:p w14:paraId="114B9854" w14:textId="77777777" w:rsidR="004B62BA" w:rsidRPr="001073E3" w:rsidRDefault="004B62BA" w:rsidP="003A7EFD">
            <w:pPr>
              <w:spacing w:after="0" w:line="240" w:lineRule="auto"/>
              <w:jc w:val="right"/>
              <w:rPr>
                <w:b/>
                <w:bCs/>
                <w:sz w:val="16"/>
                <w:szCs w:val="16"/>
                <w:lang w:eastAsia="sk-SK"/>
              </w:rPr>
            </w:pPr>
            <w:r w:rsidRPr="001073E3">
              <w:rPr>
                <w:b/>
                <w:bCs/>
                <w:sz w:val="16"/>
                <w:szCs w:val="16"/>
                <w:lang w:eastAsia="sk-SK"/>
              </w:rPr>
              <w:t>2023</w:t>
            </w:r>
          </w:p>
        </w:tc>
        <w:tc>
          <w:tcPr>
            <w:tcW w:w="643" w:type="pct"/>
            <w:tcBorders>
              <w:left w:val="nil"/>
            </w:tcBorders>
            <w:vAlign w:val="bottom"/>
            <w:hideMark/>
          </w:tcPr>
          <w:p w14:paraId="1C1F9879" w14:textId="77777777" w:rsidR="004B62BA" w:rsidRPr="001073E3" w:rsidRDefault="004B62BA" w:rsidP="003A7EFD">
            <w:pPr>
              <w:spacing w:after="0" w:line="240" w:lineRule="auto"/>
              <w:jc w:val="right"/>
              <w:rPr>
                <w:b/>
                <w:bCs/>
                <w:sz w:val="16"/>
                <w:szCs w:val="16"/>
                <w:lang w:eastAsia="sk-SK"/>
              </w:rPr>
            </w:pPr>
            <w:r w:rsidRPr="001073E3">
              <w:rPr>
                <w:b/>
                <w:bCs/>
                <w:sz w:val="16"/>
                <w:szCs w:val="16"/>
                <w:lang w:eastAsia="sk-SK"/>
              </w:rPr>
              <w:t>Δ2023-2022</w:t>
            </w:r>
          </w:p>
        </w:tc>
      </w:tr>
      <w:tr w:rsidR="004B62BA" w:rsidRPr="001073E3" w14:paraId="269766E0" w14:textId="77777777" w:rsidTr="00273D8C">
        <w:trPr>
          <w:trHeight w:val="276"/>
          <w:jc w:val="center"/>
        </w:trPr>
        <w:tc>
          <w:tcPr>
            <w:tcW w:w="2521" w:type="pct"/>
            <w:tcBorders>
              <w:right w:val="nil"/>
            </w:tcBorders>
            <w:noWrap/>
            <w:vAlign w:val="bottom"/>
            <w:hideMark/>
          </w:tcPr>
          <w:p w14:paraId="5A903A80" w14:textId="77777777" w:rsidR="004B62BA" w:rsidRPr="001073E3" w:rsidRDefault="004B62BA" w:rsidP="004B62BA">
            <w:pPr>
              <w:spacing w:after="0" w:line="240" w:lineRule="auto"/>
              <w:rPr>
                <w:b/>
                <w:bCs/>
                <w:color w:val="000000"/>
                <w:sz w:val="16"/>
                <w:szCs w:val="16"/>
                <w:lang w:eastAsia="sk-SK"/>
              </w:rPr>
            </w:pPr>
            <w:r w:rsidRPr="001073E3">
              <w:rPr>
                <w:b/>
                <w:bCs/>
                <w:color w:val="000000"/>
                <w:sz w:val="16"/>
                <w:szCs w:val="16"/>
                <w:lang w:eastAsia="sk-SK"/>
              </w:rPr>
              <w:t xml:space="preserve">Kapitál na požiadanie a záruky </w:t>
            </w:r>
          </w:p>
          <w:p w14:paraId="6A213264" w14:textId="77777777" w:rsidR="004B62BA" w:rsidRPr="001073E3" w:rsidRDefault="004B62BA" w:rsidP="004B62BA">
            <w:pPr>
              <w:spacing w:after="0" w:line="240" w:lineRule="auto"/>
              <w:rPr>
                <w:b/>
                <w:bCs/>
                <w:color w:val="000000"/>
                <w:sz w:val="16"/>
                <w:szCs w:val="16"/>
                <w:lang w:eastAsia="sk-SK"/>
              </w:rPr>
            </w:pPr>
            <w:r w:rsidRPr="001073E3">
              <w:rPr>
                <w:b/>
                <w:bCs/>
                <w:color w:val="000000"/>
                <w:sz w:val="16"/>
                <w:szCs w:val="16"/>
                <w:lang w:eastAsia="sk-SK"/>
              </w:rPr>
              <w:t>v medzinárodných finančných inštitúciách</w:t>
            </w:r>
          </w:p>
        </w:tc>
        <w:tc>
          <w:tcPr>
            <w:tcW w:w="612" w:type="pct"/>
            <w:tcBorders>
              <w:left w:val="nil"/>
              <w:right w:val="nil"/>
            </w:tcBorders>
            <w:hideMark/>
          </w:tcPr>
          <w:p w14:paraId="4BF6CF30" w14:textId="77777777" w:rsidR="004B62BA" w:rsidRDefault="004B62BA" w:rsidP="004B62BA">
            <w:pPr>
              <w:spacing w:after="0" w:line="240" w:lineRule="auto"/>
              <w:jc w:val="right"/>
              <w:rPr>
                <w:b/>
                <w:bCs/>
                <w:color w:val="000000"/>
                <w:sz w:val="16"/>
                <w:szCs w:val="16"/>
              </w:rPr>
            </w:pPr>
          </w:p>
          <w:p w14:paraId="16971AC5" w14:textId="39E76115" w:rsidR="004B62BA" w:rsidRPr="001073E3" w:rsidRDefault="004B62BA" w:rsidP="004B62BA">
            <w:pPr>
              <w:spacing w:after="0" w:line="240" w:lineRule="auto"/>
              <w:jc w:val="right"/>
              <w:rPr>
                <w:b/>
                <w:bCs/>
                <w:color w:val="000000"/>
                <w:sz w:val="16"/>
                <w:szCs w:val="16"/>
                <w:lang w:eastAsia="sk-SK"/>
              </w:rPr>
            </w:pPr>
            <w:r w:rsidRPr="000958C8">
              <w:rPr>
                <w:b/>
                <w:bCs/>
                <w:color w:val="000000"/>
                <w:sz w:val="16"/>
                <w:szCs w:val="16"/>
              </w:rPr>
              <w:t>9 879</w:t>
            </w:r>
            <w:r>
              <w:rPr>
                <w:b/>
                <w:bCs/>
                <w:color w:val="000000"/>
                <w:sz w:val="16"/>
                <w:szCs w:val="16"/>
              </w:rPr>
              <w:t> </w:t>
            </w:r>
            <w:r w:rsidRPr="000958C8">
              <w:rPr>
                <w:b/>
                <w:bCs/>
                <w:color w:val="000000"/>
                <w:sz w:val="16"/>
                <w:szCs w:val="16"/>
              </w:rPr>
              <w:t>746</w:t>
            </w:r>
          </w:p>
        </w:tc>
        <w:tc>
          <w:tcPr>
            <w:tcW w:w="612" w:type="pct"/>
            <w:tcBorders>
              <w:left w:val="nil"/>
              <w:right w:val="nil"/>
            </w:tcBorders>
            <w:hideMark/>
          </w:tcPr>
          <w:p w14:paraId="787DD459" w14:textId="77777777" w:rsidR="004B62BA" w:rsidRDefault="004B62BA" w:rsidP="004B62BA">
            <w:pPr>
              <w:spacing w:after="0" w:line="240" w:lineRule="auto"/>
              <w:jc w:val="right"/>
              <w:rPr>
                <w:b/>
                <w:bCs/>
                <w:color w:val="000000"/>
                <w:sz w:val="16"/>
                <w:szCs w:val="16"/>
              </w:rPr>
            </w:pPr>
          </w:p>
          <w:p w14:paraId="3DEAB562" w14:textId="083C11BA" w:rsidR="004B62BA" w:rsidRPr="001073E3" w:rsidRDefault="004B62BA" w:rsidP="004B62BA">
            <w:pPr>
              <w:spacing w:after="0" w:line="240" w:lineRule="auto"/>
              <w:jc w:val="right"/>
              <w:rPr>
                <w:b/>
                <w:bCs/>
                <w:color w:val="000000"/>
                <w:sz w:val="16"/>
                <w:szCs w:val="16"/>
                <w:lang w:eastAsia="sk-SK"/>
              </w:rPr>
            </w:pPr>
            <w:r w:rsidRPr="000958C8">
              <w:rPr>
                <w:b/>
                <w:bCs/>
                <w:color w:val="000000"/>
                <w:sz w:val="16"/>
                <w:szCs w:val="16"/>
              </w:rPr>
              <w:t>9 873</w:t>
            </w:r>
            <w:r>
              <w:rPr>
                <w:b/>
                <w:bCs/>
                <w:color w:val="000000"/>
                <w:sz w:val="16"/>
                <w:szCs w:val="16"/>
              </w:rPr>
              <w:t> </w:t>
            </w:r>
            <w:r w:rsidRPr="000958C8">
              <w:rPr>
                <w:b/>
                <w:bCs/>
                <w:color w:val="000000"/>
                <w:sz w:val="16"/>
                <w:szCs w:val="16"/>
              </w:rPr>
              <w:t>241</w:t>
            </w:r>
          </w:p>
        </w:tc>
        <w:tc>
          <w:tcPr>
            <w:tcW w:w="612" w:type="pct"/>
            <w:tcBorders>
              <w:left w:val="nil"/>
              <w:right w:val="nil"/>
            </w:tcBorders>
          </w:tcPr>
          <w:p w14:paraId="7F34686E" w14:textId="77777777" w:rsidR="004B62BA" w:rsidRDefault="004B62BA" w:rsidP="004B62BA">
            <w:pPr>
              <w:spacing w:after="0" w:line="240" w:lineRule="auto"/>
              <w:jc w:val="right"/>
              <w:rPr>
                <w:b/>
                <w:bCs/>
                <w:color w:val="000000"/>
                <w:sz w:val="16"/>
                <w:szCs w:val="16"/>
              </w:rPr>
            </w:pPr>
          </w:p>
          <w:p w14:paraId="703D44D1" w14:textId="7E66ADB1" w:rsidR="004B62BA" w:rsidRPr="001073E3" w:rsidRDefault="004B62BA" w:rsidP="004B62BA">
            <w:pPr>
              <w:spacing w:after="0" w:line="240" w:lineRule="auto"/>
              <w:jc w:val="right"/>
              <w:rPr>
                <w:b/>
                <w:bCs/>
                <w:color w:val="000000"/>
                <w:sz w:val="16"/>
                <w:szCs w:val="16"/>
                <w:lang w:eastAsia="sk-SK"/>
              </w:rPr>
            </w:pPr>
            <w:r w:rsidRPr="000958C8">
              <w:rPr>
                <w:b/>
                <w:bCs/>
                <w:color w:val="000000"/>
                <w:sz w:val="16"/>
                <w:szCs w:val="16"/>
              </w:rPr>
              <w:t>9 882</w:t>
            </w:r>
            <w:r>
              <w:rPr>
                <w:b/>
                <w:bCs/>
                <w:color w:val="000000"/>
                <w:sz w:val="16"/>
                <w:szCs w:val="16"/>
              </w:rPr>
              <w:t> </w:t>
            </w:r>
            <w:r w:rsidRPr="000958C8">
              <w:rPr>
                <w:b/>
                <w:bCs/>
                <w:color w:val="000000"/>
                <w:sz w:val="16"/>
                <w:szCs w:val="16"/>
              </w:rPr>
              <w:t>693</w:t>
            </w:r>
          </w:p>
        </w:tc>
        <w:tc>
          <w:tcPr>
            <w:tcW w:w="643" w:type="pct"/>
            <w:tcBorders>
              <w:left w:val="nil"/>
            </w:tcBorders>
            <w:hideMark/>
          </w:tcPr>
          <w:p w14:paraId="777435A3" w14:textId="77777777" w:rsidR="004B62BA" w:rsidRDefault="004B62BA" w:rsidP="004B62BA">
            <w:pPr>
              <w:spacing w:after="0" w:line="240" w:lineRule="auto"/>
              <w:jc w:val="right"/>
              <w:rPr>
                <w:b/>
                <w:bCs/>
                <w:color w:val="000000"/>
                <w:sz w:val="16"/>
                <w:szCs w:val="16"/>
              </w:rPr>
            </w:pPr>
          </w:p>
          <w:p w14:paraId="79860C6B" w14:textId="44226B1E" w:rsidR="004B62BA" w:rsidRPr="001073E3" w:rsidRDefault="004B62BA" w:rsidP="004B62BA">
            <w:pPr>
              <w:spacing w:after="0" w:line="240" w:lineRule="auto"/>
              <w:jc w:val="right"/>
              <w:rPr>
                <w:b/>
                <w:bCs/>
                <w:color w:val="000000"/>
                <w:sz w:val="16"/>
                <w:szCs w:val="16"/>
                <w:lang w:eastAsia="sk-SK"/>
              </w:rPr>
            </w:pPr>
            <w:r w:rsidRPr="000958C8">
              <w:rPr>
                <w:b/>
                <w:bCs/>
                <w:color w:val="000000"/>
                <w:sz w:val="16"/>
                <w:szCs w:val="16"/>
              </w:rPr>
              <w:t>9 452</w:t>
            </w:r>
          </w:p>
        </w:tc>
      </w:tr>
      <w:tr w:rsidR="00912697" w:rsidRPr="001073E3" w14:paraId="6BF29DB6" w14:textId="77777777" w:rsidTr="00643EC5">
        <w:trPr>
          <w:trHeight w:val="276"/>
          <w:jc w:val="center"/>
        </w:trPr>
        <w:tc>
          <w:tcPr>
            <w:tcW w:w="2521" w:type="pct"/>
            <w:tcBorders>
              <w:bottom w:val="nil"/>
              <w:right w:val="nil"/>
            </w:tcBorders>
            <w:hideMark/>
          </w:tcPr>
          <w:p w14:paraId="1952588C" w14:textId="36144BA2"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Európsky stabilizačný mechanizmus (ESM)</w:t>
            </w:r>
          </w:p>
        </w:tc>
        <w:tc>
          <w:tcPr>
            <w:tcW w:w="612" w:type="pct"/>
            <w:tcBorders>
              <w:left w:val="nil"/>
              <w:bottom w:val="nil"/>
              <w:right w:val="nil"/>
            </w:tcBorders>
            <w:hideMark/>
          </w:tcPr>
          <w:p w14:paraId="071BBD0B" w14:textId="4A67D91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6 148 450</w:t>
            </w:r>
          </w:p>
        </w:tc>
        <w:tc>
          <w:tcPr>
            <w:tcW w:w="612" w:type="pct"/>
            <w:tcBorders>
              <w:left w:val="nil"/>
              <w:bottom w:val="nil"/>
              <w:right w:val="nil"/>
            </w:tcBorders>
            <w:hideMark/>
          </w:tcPr>
          <w:p w14:paraId="4E2FFBBA" w14:textId="5D0B5E8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6 144 110</w:t>
            </w:r>
          </w:p>
        </w:tc>
        <w:tc>
          <w:tcPr>
            <w:tcW w:w="612" w:type="pct"/>
            <w:tcBorders>
              <w:left w:val="nil"/>
              <w:bottom w:val="nil"/>
              <w:right w:val="nil"/>
            </w:tcBorders>
          </w:tcPr>
          <w:p w14:paraId="21D8F945" w14:textId="020B1A2C"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6 144 110</w:t>
            </w:r>
          </w:p>
        </w:tc>
        <w:tc>
          <w:tcPr>
            <w:tcW w:w="643" w:type="pct"/>
            <w:tcBorders>
              <w:left w:val="nil"/>
              <w:bottom w:val="nil"/>
            </w:tcBorders>
            <w:hideMark/>
          </w:tcPr>
          <w:p w14:paraId="1BDF98B8" w14:textId="7FD8F8CC"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2F555657" w14:textId="77777777" w:rsidTr="00643EC5">
        <w:trPr>
          <w:trHeight w:val="276"/>
          <w:jc w:val="center"/>
        </w:trPr>
        <w:tc>
          <w:tcPr>
            <w:tcW w:w="2521" w:type="pct"/>
            <w:tcBorders>
              <w:top w:val="nil"/>
              <w:bottom w:val="nil"/>
              <w:right w:val="nil"/>
            </w:tcBorders>
            <w:hideMark/>
          </w:tcPr>
          <w:p w14:paraId="55994B46" w14:textId="60B79AB6"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Európsky nástroj finančnej stability (EFSF)</w:t>
            </w:r>
          </w:p>
        </w:tc>
        <w:tc>
          <w:tcPr>
            <w:tcW w:w="612" w:type="pct"/>
            <w:tcBorders>
              <w:top w:val="nil"/>
              <w:left w:val="nil"/>
              <w:bottom w:val="nil"/>
              <w:right w:val="nil"/>
            </w:tcBorders>
            <w:hideMark/>
          </w:tcPr>
          <w:p w14:paraId="74E99584" w14:textId="0B927F3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2 316 757</w:t>
            </w:r>
          </w:p>
        </w:tc>
        <w:tc>
          <w:tcPr>
            <w:tcW w:w="612" w:type="pct"/>
            <w:tcBorders>
              <w:top w:val="nil"/>
              <w:left w:val="nil"/>
              <w:bottom w:val="nil"/>
              <w:right w:val="nil"/>
            </w:tcBorders>
            <w:hideMark/>
          </w:tcPr>
          <w:p w14:paraId="4019E808" w14:textId="1B0114A2"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2 318 789</w:t>
            </w:r>
          </w:p>
        </w:tc>
        <w:tc>
          <w:tcPr>
            <w:tcW w:w="612" w:type="pct"/>
            <w:tcBorders>
              <w:top w:val="nil"/>
              <w:left w:val="nil"/>
              <w:bottom w:val="nil"/>
              <w:right w:val="nil"/>
            </w:tcBorders>
          </w:tcPr>
          <w:p w14:paraId="3CE75725" w14:textId="6129C3B6"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2 281 365</w:t>
            </w:r>
          </w:p>
        </w:tc>
        <w:tc>
          <w:tcPr>
            <w:tcW w:w="643" w:type="pct"/>
            <w:tcBorders>
              <w:top w:val="nil"/>
              <w:left w:val="nil"/>
              <w:bottom w:val="nil"/>
            </w:tcBorders>
            <w:hideMark/>
          </w:tcPr>
          <w:p w14:paraId="1206F0EC" w14:textId="0AC673A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-37 424</w:t>
            </w:r>
          </w:p>
        </w:tc>
      </w:tr>
      <w:tr w:rsidR="00912697" w:rsidRPr="001073E3" w14:paraId="11584248" w14:textId="77777777" w:rsidTr="00643EC5">
        <w:trPr>
          <w:trHeight w:val="276"/>
          <w:jc w:val="center"/>
        </w:trPr>
        <w:tc>
          <w:tcPr>
            <w:tcW w:w="2521" w:type="pct"/>
            <w:tcBorders>
              <w:top w:val="nil"/>
              <w:bottom w:val="nil"/>
              <w:right w:val="nil"/>
            </w:tcBorders>
            <w:noWrap/>
            <w:hideMark/>
          </w:tcPr>
          <w:p w14:paraId="77DE21D1" w14:textId="54AB0276"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 xml:space="preserve">Európska investičná banka </w:t>
            </w:r>
          </w:p>
        </w:tc>
        <w:tc>
          <w:tcPr>
            <w:tcW w:w="612" w:type="pct"/>
            <w:tcBorders>
              <w:top w:val="nil"/>
              <w:left w:val="nil"/>
              <w:bottom w:val="nil"/>
              <w:right w:val="nil"/>
            </w:tcBorders>
            <w:hideMark/>
          </w:tcPr>
          <w:p w14:paraId="1FC44371" w14:textId="6F3B843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684 231</w:t>
            </w:r>
          </w:p>
        </w:tc>
        <w:tc>
          <w:tcPr>
            <w:tcW w:w="612" w:type="pct"/>
            <w:tcBorders>
              <w:top w:val="nil"/>
              <w:left w:val="nil"/>
              <w:bottom w:val="nil"/>
              <w:right w:val="nil"/>
            </w:tcBorders>
            <w:hideMark/>
          </w:tcPr>
          <w:p w14:paraId="475C0AE9" w14:textId="33BECD0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684 231</w:t>
            </w:r>
          </w:p>
        </w:tc>
        <w:tc>
          <w:tcPr>
            <w:tcW w:w="612" w:type="pct"/>
            <w:tcBorders>
              <w:top w:val="nil"/>
              <w:left w:val="nil"/>
              <w:bottom w:val="nil"/>
              <w:right w:val="nil"/>
            </w:tcBorders>
          </w:tcPr>
          <w:p w14:paraId="311B63B6" w14:textId="5BF6104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684 231</w:t>
            </w:r>
          </w:p>
        </w:tc>
        <w:tc>
          <w:tcPr>
            <w:tcW w:w="643" w:type="pct"/>
            <w:tcBorders>
              <w:top w:val="nil"/>
              <w:left w:val="nil"/>
              <w:bottom w:val="nil"/>
            </w:tcBorders>
            <w:hideMark/>
          </w:tcPr>
          <w:p w14:paraId="02CD1982" w14:textId="546DE67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2E074E7F" w14:textId="77777777" w:rsidTr="00643EC5">
        <w:trPr>
          <w:trHeight w:val="276"/>
          <w:jc w:val="center"/>
        </w:trPr>
        <w:tc>
          <w:tcPr>
            <w:tcW w:w="2521" w:type="pct"/>
            <w:tcBorders>
              <w:top w:val="nil"/>
              <w:bottom w:val="nil"/>
              <w:right w:val="nil"/>
            </w:tcBorders>
            <w:hideMark/>
          </w:tcPr>
          <w:p w14:paraId="01F38487" w14:textId="38C8CD6C"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 xml:space="preserve">Medzinárodná banka pre obnovu a rozvoj </w:t>
            </w:r>
          </w:p>
        </w:tc>
        <w:tc>
          <w:tcPr>
            <w:tcW w:w="612" w:type="pct"/>
            <w:tcBorders>
              <w:top w:val="nil"/>
              <w:left w:val="nil"/>
              <w:bottom w:val="nil"/>
              <w:right w:val="nil"/>
            </w:tcBorders>
            <w:hideMark/>
          </w:tcPr>
          <w:p w14:paraId="762FD448" w14:textId="0B35427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488 809</w:t>
            </w:r>
          </w:p>
        </w:tc>
        <w:tc>
          <w:tcPr>
            <w:tcW w:w="612" w:type="pct"/>
            <w:tcBorders>
              <w:top w:val="nil"/>
              <w:left w:val="nil"/>
              <w:bottom w:val="nil"/>
              <w:right w:val="nil"/>
            </w:tcBorders>
            <w:hideMark/>
          </w:tcPr>
          <w:p w14:paraId="23EFB291" w14:textId="71637DC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485 275</w:t>
            </w:r>
          </w:p>
        </w:tc>
        <w:tc>
          <w:tcPr>
            <w:tcW w:w="612" w:type="pct"/>
            <w:tcBorders>
              <w:top w:val="nil"/>
              <w:left w:val="nil"/>
              <w:bottom w:val="nil"/>
              <w:right w:val="nil"/>
            </w:tcBorders>
          </w:tcPr>
          <w:p w14:paraId="3DA21827" w14:textId="1254680E"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516 151</w:t>
            </w:r>
          </w:p>
        </w:tc>
        <w:tc>
          <w:tcPr>
            <w:tcW w:w="643" w:type="pct"/>
            <w:tcBorders>
              <w:top w:val="nil"/>
              <w:left w:val="nil"/>
              <w:bottom w:val="nil"/>
            </w:tcBorders>
            <w:hideMark/>
          </w:tcPr>
          <w:p w14:paraId="0E8561D8" w14:textId="724AA24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30 876</w:t>
            </w:r>
          </w:p>
        </w:tc>
      </w:tr>
      <w:tr w:rsidR="00912697" w:rsidRPr="001073E3" w14:paraId="13EBDCF4" w14:textId="77777777" w:rsidTr="00643EC5">
        <w:trPr>
          <w:trHeight w:val="276"/>
          <w:jc w:val="center"/>
        </w:trPr>
        <w:tc>
          <w:tcPr>
            <w:tcW w:w="2521" w:type="pct"/>
            <w:tcBorders>
              <w:top w:val="nil"/>
              <w:bottom w:val="nil"/>
              <w:right w:val="nil"/>
            </w:tcBorders>
            <w:hideMark/>
          </w:tcPr>
          <w:p w14:paraId="695B2C5C" w14:textId="0C55A02E"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Európska banka pre obnovu a</w:t>
            </w:r>
            <w:r>
              <w:rPr>
                <w:color w:val="000000"/>
                <w:sz w:val="16"/>
                <w:szCs w:val="16"/>
              </w:rPr>
              <w:t> </w:t>
            </w:r>
            <w:r w:rsidRPr="000958C8">
              <w:rPr>
                <w:color w:val="000000"/>
                <w:sz w:val="16"/>
                <w:szCs w:val="16"/>
              </w:rPr>
              <w:t>rozvoj</w:t>
            </w:r>
          </w:p>
        </w:tc>
        <w:tc>
          <w:tcPr>
            <w:tcW w:w="612" w:type="pct"/>
            <w:tcBorders>
              <w:top w:val="nil"/>
              <w:left w:val="nil"/>
              <w:bottom w:val="nil"/>
              <w:right w:val="nil"/>
            </w:tcBorders>
            <w:hideMark/>
          </w:tcPr>
          <w:p w14:paraId="69C1B789" w14:textId="293CD0A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101 359</w:t>
            </w:r>
          </w:p>
        </w:tc>
        <w:tc>
          <w:tcPr>
            <w:tcW w:w="612" w:type="pct"/>
            <w:tcBorders>
              <w:top w:val="nil"/>
              <w:left w:val="nil"/>
              <w:bottom w:val="nil"/>
              <w:right w:val="nil"/>
            </w:tcBorders>
            <w:hideMark/>
          </w:tcPr>
          <w:p w14:paraId="47AAF51C" w14:textId="1B897A9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101 359</w:t>
            </w:r>
          </w:p>
        </w:tc>
        <w:tc>
          <w:tcPr>
            <w:tcW w:w="612" w:type="pct"/>
            <w:tcBorders>
              <w:top w:val="nil"/>
              <w:left w:val="nil"/>
              <w:bottom w:val="nil"/>
              <w:right w:val="nil"/>
            </w:tcBorders>
          </w:tcPr>
          <w:p w14:paraId="048A140F" w14:textId="65E92C9C"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118 569</w:t>
            </w:r>
          </w:p>
        </w:tc>
        <w:tc>
          <w:tcPr>
            <w:tcW w:w="643" w:type="pct"/>
            <w:tcBorders>
              <w:top w:val="nil"/>
              <w:left w:val="nil"/>
              <w:bottom w:val="nil"/>
            </w:tcBorders>
            <w:hideMark/>
          </w:tcPr>
          <w:p w14:paraId="4030319B" w14:textId="57EA94F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17 210</w:t>
            </w:r>
          </w:p>
        </w:tc>
      </w:tr>
      <w:tr w:rsidR="00912697" w:rsidRPr="001073E3" w14:paraId="18FEDC4F" w14:textId="77777777" w:rsidTr="00643EC5">
        <w:trPr>
          <w:trHeight w:val="276"/>
          <w:jc w:val="center"/>
        </w:trPr>
        <w:tc>
          <w:tcPr>
            <w:tcW w:w="2521" w:type="pct"/>
            <w:tcBorders>
              <w:top w:val="nil"/>
              <w:bottom w:val="nil"/>
              <w:right w:val="nil"/>
            </w:tcBorders>
            <w:hideMark/>
          </w:tcPr>
          <w:p w14:paraId="5A8847B8" w14:textId="220B44DE"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Paneurópsky garančný fond</w:t>
            </w:r>
          </w:p>
        </w:tc>
        <w:tc>
          <w:tcPr>
            <w:tcW w:w="612" w:type="pct"/>
            <w:tcBorders>
              <w:top w:val="nil"/>
              <w:left w:val="nil"/>
              <w:bottom w:val="nil"/>
              <w:right w:val="nil"/>
            </w:tcBorders>
            <w:hideMark/>
          </w:tcPr>
          <w:p w14:paraId="393437D5" w14:textId="5FEB409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75 484</w:t>
            </w:r>
          </w:p>
        </w:tc>
        <w:tc>
          <w:tcPr>
            <w:tcW w:w="612" w:type="pct"/>
            <w:tcBorders>
              <w:top w:val="nil"/>
              <w:left w:val="nil"/>
              <w:bottom w:val="nil"/>
              <w:right w:val="nil"/>
            </w:tcBorders>
            <w:hideMark/>
          </w:tcPr>
          <w:p w14:paraId="234EC5FD" w14:textId="53E8DCC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74 932</w:t>
            </w:r>
          </w:p>
        </w:tc>
        <w:tc>
          <w:tcPr>
            <w:tcW w:w="612" w:type="pct"/>
            <w:tcBorders>
              <w:top w:val="nil"/>
              <w:left w:val="nil"/>
              <w:bottom w:val="nil"/>
              <w:right w:val="nil"/>
            </w:tcBorders>
          </w:tcPr>
          <w:p w14:paraId="200E4C0F" w14:textId="55A5015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56 038</w:t>
            </w:r>
          </w:p>
        </w:tc>
        <w:tc>
          <w:tcPr>
            <w:tcW w:w="643" w:type="pct"/>
            <w:tcBorders>
              <w:top w:val="nil"/>
              <w:left w:val="nil"/>
              <w:bottom w:val="nil"/>
            </w:tcBorders>
            <w:hideMark/>
          </w:tcPr>
          <w:p w14:paraId="5F88AA6C" w14:textId="70DCA6C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-18 894</w:t>
            </w:r>
          </w:p>
        </w:tc>
      </w:tr>
      <w:tr w:rsidR="00912697" w:rsidRPr="001073E3" w14:paraId="5B37F0A0" w14:textId="77777777" w:rsidTr="00643EC5">
        <w:trPr>
          <w:trHeight w:val="276"/>
          <w:jc w:val="center"/>
        </w:trPr>
        <w:tc>
          <w:tcPr>
            <w:tcW w:w="2521" w:type="pct"/>
            <w:tcBorders>
              <w:top w:val="nil"/>
              <w:bottom w:val="nil"/>
              <w:right w:val="nil"/>
            </w:tcBorders>
            <w:hideMark/>
          </w:tcPr>
          <w:p w14:paraId="04568BD5" w14:textId="1892376B"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 xml:space="preserve">Medzinárodná investičná banka </w:t>
            </w:r>
          </w:p>
        </w:tc>
        <w:tc>
          <w:tcPr>
            <w:tcW w:w="612" w:type="pct"/>
            <w:tcBorders>
              <w:top w:val="nil"/>
              <w:left w:val="nil"/>
              <w:bottom w:val="nil"/>
              <w:right w:val="nil"/>
            </w:tcBorders>
            <w:noWrap/>
            <w:hideMark/>
          </w:tcPr>
          <w:p w14:paraId="073F28A6" w14:textId="0CCC8DC5"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33 931</w:t>
            </w:r>
          </w:p>
        </w:tc>
        <w:tc>
          <w:tcPr>
            <w:tcW w:w="612" w:type="pct"/>
            <w:tcBorders>
              <w:top w:val="nil"/>
              <w:left w:val="nil"/>
              <w:bottom w:val="nil"/>
              <w:right w:val="nil"/>
            </w:tcBorders>
            <w:noWrap/>
            <w:hideMark/>
          </w:tcPr>
          <w:p w14:paraId="1D07199C" w14:textId="022CFA8F"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33 931</w:t>
            </w:r>
          </w:p>
        </w:tc>
        <w:tc>
          <w:tcPr>
            <w:tcW w:w="612" w:type="pct"/>
            <w:tcBorders>
              <w:top w:val="nil"/>
              <w:left w:val="nil"/>
              <w:bottom w:val="nil"/>
              <w:right w:val="nil"/>
            </w:tcBorders>
          </w:tcPr>
          <w:p w14:paraId="346E3D14" w14:textId="77C148F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33 931</w:t>
            </w:r>
          </w:p>
        </w:tc>
        <w:tc>
          <w:tcPr>
            <w:tcW w:w="643" w:type="pct"/>
            <w:tcBorders>
              <w:top w:val="nil"/>
              <w:left w:val="nil"/>
              <w:bottom w:val="nil"/>
            </w:tcBorders>
            <w:hideMark/>
          </w:tcPr>
          <w:p w14:paraId="042A0614" w14:textId="5AC5756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12C77B8C" w14:textId="77777777" w:rsidTr="00643EC5">
        <w:trPr>
          <w:trHeight w:val="276"/>
          <w:jc w:val="center"/>
        </w:trPr>
        <w:tc>
          <w:tcPr>
            <w:tcW w:w="2521" w:type="pct"/>
            <w:tcBorders>
              <w:top w:val="nil"/>
              <w:bottom w:val="nil"/>
              <w:right w:val="nil"/>
            </w:tcBorders>
            <w:noWrap/>
            <w:hideMark/>
          </w:tcPr>
          <w:p w14:paraId="0C170F48" w14:textId="7DF4AD59"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Rozvojová banka rady Európy</w:t>
            </w:r>
          </w:p>
        </w:tc>
        <w:tc>
          <w:tcPr>
            <w:tcW w:w="612" w:type="pct"/>
            <w:tcBorders>
              <w:top w:val="nil"/>
              <w:left w:val="nil"/>
              <w:bottom w:val="nil"/>
              <w:right w:val="nil"/>
            </w:tcBorders>
            <w:hideMark/>
          </w:tcPr>
          <w:p w14:paraId="6BB1F8DF" w14:textId="1046AC3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16 854</w:t>
            </w:r>
          </w:p>
        </w:tc>
        <w:tc>
          <w:tcPr>
            <w:tcW w:w="612" w:type="pct"/>
            <w:tcBorders>
              <w:top w:val="nil"/>
              <w:left w:val="nil"/>
              <w:bottom w:val="nil"/>
              <w:right w:val="nil"/>
            </w:tcBorders>
            <w:hideMark/>
          </w:tcPr>
          <w:p w14:paraId="25A57A4D" w14:textId="618C8DD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16 854</w:t>
            </w:r>
          </w:p>
        </w:tc>
        <w:tc>
          <w:tcPr>
            <w:tcW w:w="612" w:type="pct"/>
            <w:tcBorders>
              <w:top w:val="nil"/>
              <w:left w:val="nil"/>
              <w:bottom w:val="nil"/>
              <w:right w:val="nil"/>
            </w:tcBorders>
          </w:tcPr>
          <w:p w14:paraId="5851960A" w14:textId="3AE5DEF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29 488</w:t>
            </w:r>
          </w:p>
        </w:tc>
        <w:tc>
          <w:tcPr>
            <w:tcW w:w="643" w:type="pct"/>
            <w:tcBorders>
              <w:top w:val="nil"/>
              <w:left w:val="nil"/>
              <w:bottom w:val="nil"/>
            </w:tcBorders>
            <w:hideMark/>
          </w:tcPr>
          <w:p w14:paraId="4CF5F511" w14:textId="5486A74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12 634</w:t>
            </w:r>
          </w:p>
        </w:tc>
      </w:tr>
      <w:tr w:rsidR="00912697" w:rsidRPr="001073E3" w14:paraId="764901F4" w14:textId="77777777" w:rsidTr="00643EC5">
        <w:trPr>
          <w:trHeight w:val="276"/>
          <w:jc w:val="center"/>
        </w:trPr>
        <w:tc>
          <w:tcPr>
            <w:tcW w:w="2521" w:type="pct"/>
            <w:tcBorders>
              <w:top w:val="nil"/>
              <w:bottom w:val="nil"/>
              <w:right w:val="nil"/>
            </w:tcBorders>
            <w:noWrap/>
            <w:hideMark/>
          </w:tcPr>
          <w:p w14:paraId="09DB72B1" w14:textId="75E44830"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Medzinárodná banka pre hospodársku spoluprácu</w:t>
            </w:r>
          </w:p>
        </w:tc>
        <w:tc>
          <w:tcPr>
            <w:tcW w:w="612" w:type="pct"/>
            <w:tcBorders>
              <w:top w:val="nil"/>
              <w:left w:val="nil"/>
              <w:bottom w:val="nil"/>
              <w:right w:val="nil"/>
            </w:tcBorders>
            <w:hideMark/>
          </w:tcPr>
          <w:p w14:paraId="42CBB90E" w14:textId="6940F50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10 658</w:t>
            </w:r>
          </w:p>
        </w:tc>
        <w:tc>
          <w:tcPr>
            <w:tcW w:w="612" w:type="pct"/>
            <w:tcBorders>
              <w:top w:val="nil"/>
              <w:left w:val="nil"/>
              <w:bottom w:val="nil"/>
              <w:right w:val="nil"/>
            </w:tcBorders>
            <w:hideMark/>
          </w:tcPr>
          <w:p w14:paraId="1C87363D" w14:textId="41D42C5F"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10 658</w:t>
            </w:r>
          </w:p>
        </w:tc>
        <w:tc>
          <w:tcPr>
            <w:tcW w:w="612" w:type="pct"/>
            <w:tcBorders>
              <w:top w:val="nil"/>
              <w:left w:val="nil"/>
              <w:bottom w:val="nil"/>
              <w:right w:val="nil"/>
            </w:tcBorders>
          </w:tcPr>
          <w:p w14:paraId="0A388812" w14:textId="2175D64D"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10 658</w:t>
            </w:r>
          </w:p>
        </w:tc>
        <w:tc>
          <w:tcPr>
            <w:tcW w:w="643" w:type="pct"/>
            <w:tcBorders>
              <w:top w:val="nil"/>
              <w:left w:val="nil"/>
              <w:bottom w:val="nil"/>
            </w:tcBorders>
            <w:hideMark/>
          </w:tcPr>
          <w:p w14:paraId="35C8E013" w14:textId="7C09EA9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17FFC8F1" w14:textId="77777777" w:rsidTr="008045C2">
        <w:trPr>
          <w:trHeight w:val="276"/>
          <w:jc w:val="center"/>
        </w:trPr>
        <w:tc>
          <w:tcPr>
            <w:tcW w:w="2521" w:type="pct"/>
            <w:tcBorders>
              <w:top w:val="nil"/>
              <w:bottom w:val="nil"/>
              <w:right w:val="nil"/>
            </w:tcBorders>
            <w:noWrap/>
            <w:hideMark/>
          </w:tcPr>
          <w:p w14:paraId="69DCF1A9" w14:textId="430E8FC6"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Fond Európskej únie pre Ukrajinu</w:t>
            </w:r>
          </w:p>
        </w:tc>
        <w:tc>
          <w:tcPr>
            <w:tcW w:w="612" w:type="pct"/>
            <w:tcBorders>
              <w:top w:val="nil"/>
              <w:left w:val="nil"/>
              <w:bottom w:val="nil"/>
              <w:right w:val="nil"/>
            </w:tcBorders>
            <w:hideMark/>
          </w:tcPr>
          <w:p w14:paraId="5C2FE2B2" w14:textId="18E238E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c>
          <w:tcPr>
            <w:tcW w:w="612" w:type="pct"/>
            <w:tcBorders>
              <w:top w:val="nil"/>
              <w:left w:val="nil"/>
              <w:bottom w:val="nil"/>
              <w:right w:val="nil"/>
            </w:tcBorders>
            <w:hideMark/>
          </w:tcPr>
          <w:p w14:paraId="34189BA2" w14:textId="5CDFAD73"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c>
          <w:tcPr>
            <w:tcW w:w="612" w:type="pct"/>
            <w:tcBorders>
              <w:top w:val="nil"/>
              <w:left w:val="nil"/>
              <w:bottom w:val="nil"/>
              <w:right w:val="nil"/>
            </w:tcBorders>
          </w:tcPr>
          <w:p w14:paraId="2F176EF1" w14:textId="0D23599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4 853</w:t>
            </w:r>
          </w:p>
        </w:tc>
        <w:tc>
          <w:tcPr>
            <w:tcW w:w="643" w:type="pct"/>
            <w:tcBorders>
              <w:top w:val="nil"/>
              <w:left w:val="nil"/>
              <w:bottom w:val="nil"/>
            </w:tcBorders>
            <w:hideMark/>
          </w:tcPr>
          <w:p w14:paraId="3107EC44" w14:textId="15A95D9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4 853</w:t>
            </w:r>
          </w:p>
        </w:tc>
      </w:tr>
      <w:tr w:rsidR="00912697" w:rsidRPr="001073E3" w14:paraId="21ED60C4" w14:textId="77777777" w:rsidTr="002241F5">
        <w:trPr>
          <w:trHeight w:val="276"/>
          <w:jc w:val="center"/>
        </w:trPr>
        <w:tc>
          <w:tcPr>
            <w:tcW w:w="2521" w:type="pct"/>
            <w:tcBorders>
              <w:top w:val="nil"/>
              <w:bottom w:val="nil"/>
              <w:right w:val="nil"/>
            </w:tcBorders>
            <w:hideMark/>
          </w:tcPr>
          <w:p w14:paraId="4ACC9007" w14:textId="4F74519F" w:rsidR="00912697" w:rsidRPr="001073E3" w:rsidRDefault="00912697" w:rsidP="00912697">
            <w:pPr>
              <w:spacing w:after="0" w:line="240" w:lineRule="auto"/>
              <w:rPr>
                <w:b/>
                <w:bCs/>
                <w:color w:val="000000"/>
                <w:sz w:val="16"/>
                <w:szCs w:val="16"/>
                <w:lang w:eastAsia="sk-SK"/>
              </w:rPr>
            </w:pPr>
            <w:r>
              <w:rPr>
                <w:color w:val="000000"/>
                <w:sz w:val="16"/>
                <w:szCs w:val="16"/>
              </w:rPr>
              <w:t xml:space="preserve">            </w:t>
            </w:r>
            <w:r w:rsidRPr="000958C8">
              <w:rPr>
                <w:color w:val="000000"/>
                <w:sz w:val="16"/>
                <w:szCs w:val="16"/>
              </w:rPr>
              <w:t xml:space="preserve">Mnohostranná agentúra pre investičné záruky </w:t>
            </w:r>
          </w:p>
        </w:tc>
        <w:tc>
          <w:tcPr>
            <w:tcW w:w="612" w:type="pct"/>
            <w:tcBorders>
              <w:top w:val="nil"/>
              <w:left w:val="nil"/>
              <w:bottom w:val="nil"/>
              <w:right w:val="nil"/>
            </w:tcBorders>
            <w:noWrap/>
            <w:hideMark/>
          </w:tcPr>
          <w:p w14:paraId="24BE4B84" w14:textId="28E6BF8E"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3 213</w:t>
            </w:r>
          </w:p>
        </w:tc>
        <w:tc>
          <w:tcPr>
            <w:tcW w:w="612" w:type="pct"/>
            <w:tcBorders>
              <w:top w:val="nil"/>
              <w:left w:val="nil"/>
              <w:bottom w:val="nil"/>
              <w:right w:val="nil"/>
            </w:tcBorders>
            <w:noWrap/>
            <w:hideMark/>
          </w:tcPr>
          <w:p w14:paraId="3363BACE" w14:textId="7D92DE0E"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3 102</w:t>
            </w:r>
          </w:p>
        </w:tc>
        <w:tc>
          <w:tcPr>
            <w:tcW w:w="612" w:type="pct"/>
            <w:tcBorders>
              <w:top w:val="nil"/>
              <w:left w:val="nil"/>
              <w:bottom w:val="nil"/>
              <w:right w:val="nil"/>
            </w:tcBorders>
            <w:noWrap/>
          </w:tcPr>
          <w:p w14:paraId="14023EFD" w14:textId="54D6B32F"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3 299</w:t>
            </w:r>
          </w:p>
        </w:tc>
        <w:tc>
          <w:tcPr>
            <w:tcW w:w="643" w:type="pct"/>
            <w:tcBorders>
              <w:top w:val="nil"/>
              <w:left w:val="nil"/>
              <w:bottom w:val="nil"/>
            </w:tcBorders>
            <w:noWrap/>
            <w:hideMark/>
          </w:tcPr>
          <w:p w14:paraId="353734B2" w14:textId="12DB4C16"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197</w:t>
            </w:r>
          </w:p>
        </w:tc>
      </w:tr>
      <w:tr w:rsidR="00912697" w:rsidRPr="001073E3" w14:paraId="0306AAC5" w14:textId="77777777" w:rsidTr="002241F5">
        <w:trPr>
          <w:trHeight w:val="276"/>
          <w:jc w:val="center"/>
        </w:trPr>
        <w:tc>
          <w:tcPr>
            <w:tcW w:w="2521" w:type="pct"/>
            <w:tcBorders>
              <w:top w:val="nil"/>
              <w:bottom w:val="nil"/>
              <w:right w:val="nil"/>
            </w:tcBorders>
            <w:hideMark/>
          </w:tcPr>
          <w:p w14:paraId="2AA5F959" w14:textId="73208D40" w:rsidR="00912697" w:rsidRPr="001073E3" w:rsidRDefault="00912697" w:rsidP="006D466B">
            <w:pPr>
              <w:spacing w:after="0" w:line="240" w:lineRule="auto"/>
              <w:rPr>
                <w:color w:val="000000"/>
                <w:sz w:val="16"/>
                <w:szCs w:val="16"/>
                <w:lang w:eastAsia="sk-SK"/>
              </w:rPr>
            </w:pPr>
            <w:r w:rsidRPr="000958C8">
              <w:rPr>
                <w:b/>
                <w:bCs/>
                <w:color w:val="000000"/>
                <w:sz w:val="16"/>
                <w:szCs w:val="16"/>
              </w:rPr>
              <w:t>Medzinárodné investičné arbitráže</w:t>
            </w:r>
          </w:p>
        </w:tc>
        <w:tc>
          <w:tcPr>
            <w:tcW w:w="612" w:type="pct"/>
            <w:tcBorders>
              <w:top w:val="nil"/>
              <w:left w:val="nil"/>
              <w:bottom w:val="nil"/>
              <w:right w:val="nil"/>
            </w:tcBorders>
            <w:hideMark/>
          </w:tcPr>
          <w:p w14:paraId="3C5BA360" w14:textId="395AF908"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28 692</w:t>
            </w:r>
          </w:p>
        </w:tc>
        <w:tc>
          <w:tcPr>
            <w:tcW w:w="612" w:type="pct"/>
            <w:tcBorders>
              <w:top w:val="nil"/>
              <w:left w:val="nil"/>
              <w:bottom w:val="nil"/>
              <w:right w:val="nil"/>
            </w:tcBorders>
            <w:hideMark/>
          </w:tcPr>
          <w:p w14:paraId="22975DC3" w14:textId="000BF105"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28 692</w:t>
            </w:r>
          </w:p>
        </w:tc>
        <w:tc>
          <w:tcPr>
            <w:tcW w:w="612" w:type="pct"/>
            <w:tcBorders>
              <w:top w:val="nil"/>
              <w:left w:val="nil"/>
              <w:bottom w:val="nil"/>
              <w:right w:val="nil"/>
            </w:tcBorders>
          </w:tcPr>
          <w:p w14:paraId="23F4CB0C" w14:textId="17EF8832"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0</w:t>
            </w:r>
          </w:p>
        </w:tc>
        <w:tc>
          <w:tcPr>
            <w:tcW w:w="643" w:type="pct"/>
            <w:tcBorders>
              <w:top w:val="nil"/>
              <w:left w:val="nil"/>
              <w:bottom w:val="nil"/>
            </w:tcBorders>
            <w:noWrap/>
            <w:hideMark/>
          </w:tcPr>
          <w:p w14:paraId="011E5099" w14:textId="0F964813"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-28 692</w:t>
            </w:r>
          </w:p>
        </w:tc>
      </w:tr>
      <w:tr w:rsidR="00912697" w:rsidRPr="001073E3" w14:paraId="31629F93" w14:textId="77777777" w:rsidTr="002241F5">
        <w:trPr>
          <w:trHeight w:val="276"/>
          <w:jc w:val="center"/>
        </w:trPr>
        <w:tc>
          <w:tcPr>
            <w:tcW w:w="2521" w:type="pct"/>
            <w:tcBorders>
              <w:top w:val="nil"/>
              <w:bottom w:val="nil"/>
              <w:right w:val="nil"/>
            </w:tcBorders>
            <w:hideMark/>
          </w:tcPr>
          <w:p w14:paraId="31D1E8FD" w14:textId="2D43D751" w:rsidR="00912697" w:rsidRPr="001073E3" w:rsidRDefault="00912697" w:rsidP="00912697">
            <w:pPr>
              <w:spacing w:after="0" w:line="240" w:lineRule="auto"/>
              <w:rPr>
                <w:b/>
                <w:bCs/>
                <w:color w:val="000000"/>
                <w:sz w:val="16"/>
                <w:szCs w:val="16"/>
                <w:lang w:eastAsia="sk-SK"/>
              </w:rPr>
            </w:pPr>
            <w:r>
              <w:rPr>
                <w:color w:val="000000"/>
                <w:sz w:val="16"/>
                <w:szCs w:val="16"/>
              </w:rPr>
              <w:t xml:space="preserve">             </w:t>
            </w:r>
            <w:r w:rsidRPr="000958C8">
              <w:rPr>
                <w:color w:val="000000"/>
                <w:sz w:val="16"/>
                <w:szCs w:val="16"/>
              </w:rPr>
              <w:t xml:space="preserve">Zdravotná poisťovňa Union, a.s. </w:t>
            </w:r>
          </w:p>
        </w:tc>
        <w:tc>
          <w:tcPr>
            <w:tcW w:w="612" w:type="pct"/>
            <w:tcBorders>
              <w:top w:val="nil"/>
              <w:left w:val="nil"/>
              <w:bottom w:val="nil"/>
              <w:right w:val="nil"/>
            </w:tcBorders>
            <w:hideMark/>
          </w:tcPr>
          <w:p w14:paraId="5CE3F155" w14:textId="2875EA7A"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28 692</w:t>
            </w:r>
          </w:p>
        </w:tc>
        <w:tc>
          <w:tcPr>
            <w:tcW w:w="612" w:type="pct"/>
            <w:tcBorders>
              <w:top w:val="nil"/>
              <w:left w:val="nil"/>
              <w:bottom w:val="nil"/>
              <w:right w:val="nil"/>
            </w:tcBorders>
            <w:hideMark/>
          </w:tcPr>
          <w:p w14:paraId="2FAE3D02" w14:textId="7CDC0987"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28 692</w:t>
            </w:r>
          </w:p>
        </w:tc>
        <w:tc>
          <w:tcPr>
            <w:tcW w:w="612" w:type="pct"/>
            <w:tcBorders>
              <w:top w:val="nil"/>
              <w:left w:val="nil"/>
              <w:bottom w:val="nil"/>
              <w:right w:val="nil"/>
            </w:tcBorders>
          </w:tcPr>
          <w:p w14:paraId="4A673FE8" w14:textId="18107A1A"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0</w:t>
            </w:r>
          </w:p>
        </w:tc>
        <w:tc>
          <w:tcPr>
            <w:tcW w:w="643" w:type="pct"/>
            <w:tcBorders>
              <w:top w:val="nil"/>
              <w:left w:val="nil"/>
              <w:bottom w:val="nil"/>
            </w:tcBorders>
            <w:hideMark/>
          </w:tcPr>
          <w:p w14:paraId="760B7A60" w14:textId="7C3F0C1A"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-28 692</w:t>
            </w:r>
          </w:p>
        </w:tc>
      </w:tr>
      <w:tr w:rsidR="00912697" w:rsidRPr="001073E3" w14:paraId="38B78ADF" w14:textId="77777777" w:rsidTr="0041715A">
        <w:trPr>
          <w:trHeight w:val="276"/>
          <w:jc w:val="center"/>
        </w:trPr>
        <w:tc>
          <w:tcPr>
            <w:tcW w:w="2521" w:type="pct"/>
            <w:tcBorders>
              <w:top w:val="nil"/>
              <w:bottom w:val="nil"/>
              <w:right w:val="nil"/>
            </w:tcBorders>
            <w:hideMark/>
          </w:tcPr>
          <w:p w14:paraId="2F90970E" w14:textId="45920031" w:rsidR="00912697" w:rsidRPr="001073E3" w:rsidRDefault="00912697" w:rsidP="006D466B">
            <w:pPr>
              <w:spacing w:after="0" w:line="240" w:lineRule="auto"/>
              <w:rPr>
                <w:color w:val="000000"/>
                <w:sz w:val="16"/>
                <w:szCs w:val="16"/>
                <w:lang w:eastAsia="sk-SK"/>
              </w:rPr>
            </w:pPr>
            <w:r w:rsidRPr="000958C8">
              <w:rPr>
                <w:b/>
                <w:bCs/>
                <w:color w:val="000000"/>
                <w:sz w:val="16"/>
                <w:szCs w:val="16"/>
              </w:rPr>
              <w:t>Hroziace alebo prebiehajúce súdne spory</w:t>
            </w:r>
          </w:p>
        </w:tc>
        <w:tc>
          <w:tcPr>
            <w:tcW w:w="612" w:type="pct"/>
            <w:tcBorders>
              <w:top w:val="nil"/>
              <w:left w:val="nil"/>
              <w:bottom w:val="nil"/>
              <w:right w:val="nil"/>
            </w:tcBorders>
          </w:tcPr>
          <w:p w14:paraId="58FFC6F5" w14:textId="4A3DB5AA"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4 014 918</w:t>
            </w:r>
          </w:p>
        </w:tc>
        <w:tc>
          <w:tcPr>
            <w:tcW w:w="612" w:type="pct"/>
            <w:tcBorders>
              <w:top w:val="nil"/>
              <w:left w:val="nil"/>
              <w:bottom w:val="nil"/>
              <w:right w:val="nil"/>
            </w:tcBorders>
          </w:tcPr>
          <w:p w14:paraId="67807ACB" w14:textId="5C574753"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4 021 743</w:t>
            </w:r>
          </w:p>
        </w:tc>
        <w:tc>
          <w:tcPr>
            <w:tcW w:w="612" w:type="pct"/>
            <w:tcBorders>
              <w:top w:val="nil"/>
              <w:left w:val="nil"/>
              <w:bottom w:val="nil"/>
              <w:right w:val="nil"/>
            </w:tcBorders>
          </w:tcPr>
          <w:p w14:paraId="46F3BD20" w14:textId="3DC0083E"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3 015 109</w:t>
            </w:r>
          </w:p>
        </w:tc>
        <w:tc>
          <w:tcPr>
            <w:tcW w:w="643" w:type="pct"/>
            <w:tcBorders>
              <w:top w:val="nil"/>
              <w:left w:val="nil"/>
              <w:bottom w:val="nil"/>
            </w:tcBorders>
          </w:tcPr>
          <w:p w14:paraId="0FAB4660" w14:textId="51F9CE4D"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-1 140 122</w:t>
            </w:r>
          </w:p>
        </w:tc>
      </w:tr>
      <w:tr w:rsidR="00912697" w:rsidRPr="001073E3" w14:paraId="2017627A" w14:textId="77777777" w:rsidTr="002241F5">
        <w:trPr>
          <w:trHeight w:val="276"/>
          <w:jc w:val="center"/>
        </w:trPr>
        <w:tc>
          <w:tcPr>
            <w:tcW w:w="2521" w:type="pct"/>
            <w:tcBorders>
              <w:top w:val="nil"/>
              <w:bottom w:val="nil"/>
              <w:right w:val="nil"/>
            </w:tcBorders>
            <w:hideMark/>
          </w:tcPr>
          <w:p w14:paraId="7457571D" w14:textId="5D403145"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Ministerstvo financií SR</w:t>
            </w:r>
          </w:p>
        </w:tc>
        <w:tc>
          <w:tcPr>
            <w:tcW w:w="612" w:type="pct"/>
            <w:tcBorders>
              <w:top w:val="nil"/>
              <w:left w:val="nil"/>
              <w:bottom w:val="nil"/>
              <w:right w:val="nil"/>
            </w:tcBorders>
            <w:hideMark/>
          </w:tcPr>
          <w:p w14:paraId="55B5E606" w14:textId="0603604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1 435 570</w:t>
            </w:r>
          </w:p>
        </w:tc>
        <w:tc>
          <w:tcPr>
            <w:tcW w:w="612" w:type="pct"/>
            <w:tcBorders>
              <w:top w:val="nil"/>
              <w:left w:val="nil"/>
              <w:bottom w:val="nil"/>
              <w:right w:val="nil"/>
            </w:tcBorders>
            <w:hideMark/>
          </w:tcPr>
          <w:p w14:paraId="3E466300" w14:textId="484B844C"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1 419 734</w:t>
            </w:r>
          </w:p>
        </w:tc>
        <w:tc>
          <w:tcPr>
            <w:tcW w:w="612" w:type="pct"/>
            <w:tcBorders>
              <w:top w:val="nil"/>
              <w:left w:val="nil"/>
              <w:bottom w:val="nil"/>
              <w:right w:val="nil"/>
            </w:tcBorders>
          </w:tcPr>
          <w:p w14:paraId="2D50C347" w14:textId="0A0F6D9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1 105 784</w:t>
            </w:r>
          </w:p>
        </w:tc>
        <w:tc>
          <w:tcPr>
            <w:tcW w:w="643" w:type="pct"/>
            <w:tcBorders>
              <w:top w:val="nil"/>
              <w:left w:val="nil"/>
              <w:bottom w:val="nil"/>
            </w:tcBorders>
          </w:tcPr>
          <w:p w14:paraId="0E605130" w14:textId="5715ACD6"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-313 950</w:t>
            </w:r>
          </w:p>
        </w:tc>
      </w:tr>
      <w:tr w:rsidR="00912697" w:rsidRPr="001073E3" w14:paraId="08240A3C" w14:textId="77777777" w:rsidTr="002241F5">
        <w:trPr>
          <w:trHeight w:val="276"/>
          <w:jc w:val="center"/>
        </w:trPr>
        <w:tc>
          <w:tcPr>
            <w:tcW w:w="2521" w:type="pct"/>
            <w:tcBorders>
              <w:top w:val="nil"/>
              <w:bottom w:val="nil"/>
              <w:right w:val="nil"/>
            </w:tcBorders>
            <w:hideMark/>
          </w:tcPr>
          <w:p w14:paraId="3C299319" w14:textId="11BC3783"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Ministerstvo práce, sociálnych vecí a rodiny SR</w:t>
            </w:r>
          </w:p>
        </w:tc>
        <w:tc>
          <w:tcPr>
            <w:tcW w:w="612" w:type="pct"/>
            <w:tcBorders>
              <w:top w:val="nil"/>
              <w:left w:val="nil"/>
              <w:bottom w:val="nil"/>
              <w:right w:val="nil"/>
            </w:tcBorders>
            <w:hideMark/>
          </w:tcPr>
          <w:p w14:paraId="21FD0970" w14:textId="5A98825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450 804</w:t>
            </w:r>
          </w:p>
        </w:tc>
        <w:tc>
          <w:tcPr>
            <w:tcW w:w="612" w:type="pct"/>
            <w:tcBorders>
              <w:top w:val="nil"/>
              <w:left w:val="nil"/>
              <w:bottom w:val="nil"/>
              <w:right w:val="nil"/>
            </w:tcBorders>
            <w:hideMark/>
          </w:tcPr>
          <w:p w14:paraId="035FE1FC" w14:textId="60377FF6"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450 780</w:t>
            </w:r>
          </w:p>
        </w:tc>
        <w:tc>
          <w:tcPr>
            <w:tcW w:w="612" w:type="pct"/>
            <w:tcBorders>
              <w:top w:val="nil"/>
              <w:left w:val="nil"/>
              <w:bottom w:val="nil"/>
              <w:right w:val="nil"/>
            </w:tcBorders>
          </w:tcPr>
          <w:p w14:paraId="106D414A" w14:textId="236D2BE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450 547</w:t>
            </w:r>
          </w:p>
        </w:tc>
        <w:tc>
          <w:tcPr>
            <w:tcW w:w="643" w:type="pct"/>
            <w:tcBorders>
              <w:top w:val="nil"/>
              <w:left w:val="nil"/>
              <w:bottom w:val="nil"/>
            </w:tcBorders>
          </w:tcPr>
          <w:p w14:paraId="4A6E64F6" w14:textId="5A3BD4D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-233</w:t>
            </w:r>
          </w:p>
        </w:tc>
      </w:tr>
      <w:tr w:rsidR="00912697" w:rsidRPr="001073E3" w14:paraId="0EEE6E6B" w14:textId="77777777" w:rsidTr="002241F5">
        <w:trPr>
          <w:trHeight w:val="276"/>
          <w:jc w:val="center"/>
        </w:trPr>
        <w:tc>
          <w:tcPr>
            <w:tcW w:w="2521" w:type="pct"/>
            <w:tcBorders>
              <w:top w:val="nil"/>
              <w:bottom w:val="nil"/>
              <w:right w:val="nil"/>
            </w:tcBorders>
          </w:tcPr>
          <w:p w14:paraId="69A9639B" w14:textId="2E1915FB"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Kancelária národnej rady SR</w:t>
            </w:r>
          </w:p>
        </w:tc>
        <w:tc>
          <w:tcPr>
            <w:tcW w:w="612" w:type="pct"/>
            <w:tcBorders>
              <w:top w:val="nil"/>
              <w:left w:val="nil"/>
              <w:bottom w:val="nil"/>
              <w:right w:val="nil"/>
            </w:tcBorders>
          </w:tcPr>
          <w:p w14:paraId="225F19E9" w14:textId="4B852F86"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225 775</w:t>
            </w:r>
          </w:p>
        </w:tc>
        <w:tc>
          <w:tcPr>
            <w:tcW w:w="612" w:type="pct"/>
            <w:tcBorders>
              <w:top w:val="nil"/>
              <w:left w:val="nil"/>
              <w:bottom w:val="nil"/>
              <w:right w:val="nil"/>
            </w:tcBorders>
          </w:tcPr>
          <w:p w14:paraId="3571C900" w14:textId="0765B76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222 090</w:t>
            </w:r>
          </w:p>
        </w:tc>
        <w:tc>
          <w:tcPr>
            <w:tcW w:w="612" w:type="pct"/>
            <w:tcBorders>
              <w:top w:val="nil"/>
              <w:left w:val="nil"/>
              <w:bottom w:val="nil"/>
              <w:right w:val="nil"/>
            </w:tcBorders>
          </w:tcPr>
          <w:p w14:paraId="6938D82B" w14:textId="689D41D5"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291 172</w:t>
            </w:r>
          </w:p>
        </w:tc>
        <w:tc>
          <w:tcPr>
            <w:tcW w:w="643" w:type="pct"/>
            <w:tcBorders>
              <w:top w:val="nil"/>
              <w:left w:val="nil"/>
              <w:bottom w:val="nil"/>
            </w:tcBorders>
          </w:tcPr>
          <w:p w14:paraId="44C9DB4A" w14:textId="5D1CB83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69 082</w:t>
            </w:r>
          </w:p>
        </w:tc>
      </w:tr>
      <w:tr w:rsidR="00912697" w:rsidRPr="001073E3" w14:paraId="26E5CDDB" w14:textId="77777777" w:rsidTr="002241F5">
        <w:trPr>
          <w:trHeight w:val="276"/>
          <w:jc w:val="center"/>
        </w:trPr>
        <w:tc>
          <w:tcPr>
            <w:tcW w:w="2521" w:type="pct"/>
            <w:tcBorders>
              <w:top w:val="nil"/>
              <w:bottom w:val="nil"/>
              <w:right w:val="nil"/>
            </w:tcBorders>
            <w:hideMark/>
          </w:tcPr>
          <w:p w14:paraId="6C0EABC0" w14:textId="57CA17AF"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Úrad pre dohľad nad zdravotnou starostlivosťou</w:t>
            </w:r>
          </w:p>
        </w:tc>
        <w:tc>
          <w:tcPr>
            <w:tcW w:w="612" w:type="pct"/>
            <w:tcBorders>
              <w:top w:val="nil"/>
              <w:left w:val="nil"/>
              <w:bottom w:val="nil"/>
              <w:right w:val="nil"/>
            </w:tcBorders>
            <w:hideMark/>
          </w:tcPr>
          <w:p w14:paraId="09DFDD63" w14:textId="31B14BBF"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280 000</w:t>
            </w:r>
          </w:p>
        </w:tc>
        <w:tc>
          <w:tcPr>
            <w:tcW w:w="612" w:type="pct"/>
            <w:tcBorders>
              <w:top w:val="nil"/>
              <w:left w:val="nil"/>
              <w:bottom w:val="nil"/>
              <w:right w:val="nil"/>
            </w:tcBorders>
            <w:hideMark/>
          </w:tcPr>
          <w:p w14:paraId="6C3CE386" w14:textId="7BF7BA0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280 000</w:t>
            </w:r>
          </w:p>
        </w:tc>
        <w:tc>
          <w:tcPr>
            <w:tcW w:w="612" w:type="pct"/>
            <w:tcBorders>
              <w:top w:val="nil"/>
              <w:left w:val="nil"/>
              <w:bottom w:val="nil"/>
              <w:right w:val="nil"/>
            </w:tcBorders>
          </w:tcPr>
          <w:p w14:paraId="76F16D3C" w14:textId="104753BE"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280 000</w:t>
            </w:r>
          </w:p>
        </w:tc>
        <w:tc>
          <w:tcPr>
            <w:tcW w:w="643" w:type="pct"/>
            <w:tcBorders>
              <w:top w:val="nil"/>
              <w:left w:val="nil"/>
              <w:bottom w:val="nil"/>
            </w:tcBorders>
          </w:tcPr>
          <w:p w14:paraId="26F883D2" w14:textId="730F453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2E55643F" w14:textId="77777777" w:rsidTr="002241F5">
        <w:trPr>
          <w:trHeight w:val="276"/>
          <w:jc w:val="center"/>
        </w:trPr>
        <w:tc>
          <w:tcPr>
            <w:tcW w:w="2521" w:type="pct"/>
            <w:tcBorders>
              <w:top w:val="nil"/>
              <w:bottom w:val="nil"/>
              <w:right w:val="nil"/>
            </w:tcBorders>
            <w:hideMark/>
          </w:tcPr>
          <w:p w14:paraId="591717BC" w14:textId="0F34E545"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Ministerstvo vnútra SR</w:t>
            </w:r>
          </w:p>
        </w:tc>
        <w:tc>
          <w:tcPr>
            <w:tcW w:w="612" w:type="pct"/>
            <w:tcBorders>
              <w:top w:val="nil"/>
              <w:left w:val="nil"/>
              <w:bottom w:val="nil"/>
              <w:right w:val="nil"/>
            </w:tcBorders>
            <w:hideMark/>
          </w:tcPr>
          <w:p w14:paraId="65F66495" w14:textId="4457902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1 095 485</w:t>
            </w:r>
          </w:p>
        </w:tc>
        <w:tc>
          <w:tcPr>
            <w:tcW w:w="612" w:type="pct"/>
            <w:tcBorders>
              <w:top w:val="nil"/>
              <w:left w:val="nil"/>
              <w:bottom w:val="nil"/>
              <w:right w:val="nil"/>
            </w:tcBorders>
            <w:hideMark/>
          </w:tcPr>
          <w:p w14:paraId="387D8770" w14:textId="658D2E1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1 094 776</w:t>
            </w:r>
          </w:p>
        </w:tc>
        <w:tc>
          <w:tcPr>
            <w:tcW w:w="612" w:type="pct"/>
            <w:tcBorders>
              <w:top w:val="nil"/>
              <w:left w:val="nil"/>
              <w:bottom w:val="nil"/>
              <w:right w:val="nil"/>
            </w:tcBorders>
          </w:tcPr>
          <w:p w14:paraId="42C1AF53" w14:textId="34DD88A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225 721</w:t>
            </w:r>
          </w:p>
        </w:tc>
        <w:tc>
          <w:tcPr>
            <w:tcW w:w="643" w:type="pct"/>
            <w:tcBorders>
              <w:top w:val="nil"/>
              <w:left w:val="nil"/>
              <w:bottom w:val="nil"/>
            </w:tcBorders>
          </w:tcPr>
          <w:p w14:paraId="1B6FE29D" w14:textId="735C6582"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-869 055</w:t>
            </w:r>
          </w:p>
        </w:tc>
      </w:tr>
      <w:tr w:rsidR="00912697" w:rsidRPr="001073E3" w14:paraId="49E75979" w14:textId="77777777" w:rsidTr="002241F5">
        <w:trPr>
          <w:trHeight w:val="276"/>
          <w:jc w:val="center"/>
        </w:trPr>
        <w:tc>
          <w:tcPr>
            <w:tcW w:w="2521" w:type="pct"/>
            <w:tcBorders>
              <w:top w:val="nil"/>
              <w:bottom w:val="nil"/>
              <w:right w:val="nil"/>
            </w:tcBorders>
            <w:hideMark/>
          </w:tcPr>
          <w:p w14:paraId="1CF39C1B" w14:textId="360B1B60"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MH Manažment, a.s.</w:t>
            </w:r>
          </w:p>
        </w:tc>
        <w:tc>
          <w:tcPr>
            <w:tcW w:w="612" w:type="pct"/>
            <w:tcBorders>
              <w:top w:val="nil"/>
              <w:left w:val="nil"/>
              <w:bottom w:val="nil"/>
              <w:right w:val="nil"/>
            </w:tcBorders>
            <w:hideMark/>
          </w:tcPr>
          <w:p w14:paraId="48B87BC5" w14:textId="6A572B9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168 185</w:t>
            </w:r>
          </w:p>
        </w:tc>
        <w:tc>
          <w:tcPr>
            <w:tcW w:w="612" w:type="pct"/>
            <w:tcBorders>
              <w:top w:val="nil"/>
              <w:left w:val="nil"/>
              <w:bottom w:val="nil"/>
              <w:right w:val="nil"/>
            </w:tcBorders>
            <w:hideMark/>
          </w:tcPr>
          <w:p w14:paraId="687104BD" w14:textId="2B255E8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176 963</w:t>
            </w:r>
          </w:p>
        </w:tc>
        <w:tc>
          <w:tcPr>
            <w:tcW w:w="612" w:type="pct"/>
            <w:tcBorders>
              <w:top w:val="nil"/>
              <w:left w:val="nil"/>
              <w:bottom w:val="nil"/>
              <w:right w:val="nil"/>
            </w:tcBorders>
          </w:tcPr>
          <w:p w14:paraId="52CFAE23" w14:textId="64E53CB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185 857</w:t>
            </w:r>
          </w:p>
        </w:tc>
        <w:tc>
          <w:tcPr>
            <w:tcW w:w="643" w:type="pct"/>
            <w:tcBorders>
              <w:top w:val="nil"/>
              <w:left w:val="nil"/>
              <w:bottom w:val="nil"/>
            </w:tcBorders>
          </w:tcPr>
          <w:p w14:paraId="045848A3" w14:textId="370E8AB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8 894</w:t>
            </w:r>
          </w:p>
        </w:tc>
      </w:tr>
      <w:tr w:rsidR="00912697" w:rsidRPr="001073E3" w14:paraId="50961421" w14:textId="77777777" w:rsidTr="002241F5">
        <w:trPr>
          <w:trHeight w:val="276"/>
          <w:jc w:val="center"/>
        </w:trPr>
        <w:tc>
          <w:tcPr>
            <w:tcW w:w="2521" w:type="pct"/>
            <w:tcBorders>
              <w:top w:val="nil"/>
              <w:bottom w:val="nil"/>
              <w:right w:val="nil"/>
            </w:tcBorders>
          </w:tcPr>
          <w:p w14:paraId="4676B353" w14:textId="77777777" w:rsidR="00912697" w:rsidRDefault="00912697" w:rsidP="00912697">
            <w:pPr>
              <w:spacing w:after="0" w:line="240" w:lineRule="auto"/>
              <w:ind w:left="391"/>
              <w:rPr>
                <w:color w:val="000000"/>
                <w:sz w:val="16"/>
                <w:szCs w:val="16"/>
              </w:rPr>
            </w:pPr>
            <w:r>
              <w:rPr>
                <w:color w:val="000000"/>
                <w:sz w:val="16"/>
                <w:szCs w:val="16"/>
              </w:rPr>
              <w:t xml:space="preserve">  Úrad podpredsedu vlády SR pre Plán obnovy  </w:t>
            </w:r>
          </w:p>
          <w:p w14:paraId="52CA4A3F" w14:textId="77777777" w:rsidR="00912697" w:rsidRDefault="00912697" w:rsidP="00912697">
            <w:pPr>
              <w:spacing w:after="0" w:line="240" w:lineRule="auto"/>
              <w:ind w:left="391"/>
              <w:rPr>
                <w:color w:val="000000"/>
                <w:sz w:val="16"/>
                <w:szCs w:val="16"/>
              </w:rPr>
            </w:pPr>
            <w:r>
              <w:rPr>
                <w:color w:val="000000"/>
                <w:sz w:val="16"/>
                <w:szCs w:val="16"/>
              </w:rPr>
              <w:t xml:space="preserve">  a znalostnú ekonomiku/</w:t>
            </w:r>
            <w:r w:rsidRPr="000958C8">
              <w:rPr>
                <w:color w:val="000000"/>
                <w:sz w:val="16"/>
                <w:szCs w:val="16"/>
              </w:rPr>
              <w:t xml:space="preserve">Ministerstvo cestovného ruchu </w:t>
            </w:r>
          </w:p>
          <w:p w14:paraId="4B606301" w14:textId="32313CF3"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a športu SR</w:t>
            </w:r>
          </w:p>
        </w:tc>
        <w:tc>
          <w:tcPr>
            <w:tcW w:w="612" w:type="pct"/>
            <w:tcBorders>
              <w:top w:val="nil"/>
              <w:left w:val="nil"/>
              <w:bottom w:val="nil"/>
              <w:right w:val="nil"/>
            </w:tcBorders>
          </w:tcPr>
          <w:p w14:paraId="4BC2F45B" w14:textId="76ABF7A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w:t>
            </w:r>
          </w:p>
        </w:tc>
        <w:tc>
          <w:tcPr>
            <w:tcW w:w="612" w:type="pct"/>
            <w:tcBorders>
              <w:top w:val="nil"/>
              <w:left w:val="nil"/>
              <w:bottom w:val="nil"/>
              <w:right w:val="nil"/>
            </w:tcBorders>
          </w:tcPr>
          <w:p w14:paraId="11251C7B" w14:textId="5D3E292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w:t>
            </w:r>
          </w:p>
        </w:tc>
        <w:tc>
          <w:tcPr>
            <w:tcW w:w="612" w:type="pct"/>
            <w:tcBorders>
              <w:top w:val="nil"/>
              <w:left w:val="nil"/>
              <w:bottom w:val="nil"/>
              <w:right w:val="nil"/>
            </w:tcBorders>
          </w:tcPr>
          <w:p w14:paraId="57C250DB" w14:textId="48D8042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138 772</w:t>
            </w:r>
          </w:p>
        </w:tc>
        <w:tc>
          <w:tcPr>
            <w:tcW w:w="643" w:type="pct"/>
            <w:tcBorders>
              <w:top w:val="nil"/>
              <w:left w:val="nil"/>
              <w:bottom w:val="nil"/>
            </w:tcBorders>
          </w:tcPr>
          <w:p w14:paraId="54A4C7E9" w14:textId="6755F5E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w:t>
            </w:r>
          </w:p>
        </w:tc>
      </w:tr>
      <w:tr w:rsidR="00912697" w:rsidRPr="001073E3" w14:paraId="2181D4EF" w14:textId="77777777" w:rsidTr="002241F5">
        <w:trPr>
          <w:trHeight w:val="276"/>
          <w:jc w:val="center"/>
        </w:trPr>
        <w:tc>
          <w:tcPr>
            <w:tcW w:w="2521" w:type="pct"/>
            <w:tcBorders>
              <w:top w:val="nil"/>
              <w:bottom w:val="nil"/>
              <w:right w:val="nil"/>
            </w:tcBorders>
          </w:tcPr>
          <w:p w14:paraId="288F11B4" w14:textId="03ED0E51"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Železnice SR</w:t>
            </w:r>
          </w:p>
        </w:tc>
        <w:tc>
          <w:tcPr>
            <w:tcW w:w="612" w:type="pct"/>
            <w:tcBorders>
              <w:top w:val="nil"/>
              <w:left w:val="nil"/>
              <w:bottom w:val="nil"/>
              <w:right w:val="nil"/>
            </w:tcBorders>
          </w:tcPr>
          <w:p w14:paraId="13A6E675" w14:textId="48A7214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54 503</w:t>
            </w:r>
          </w:p>
        </w:tc>
        <w:tc>
          <w:tcPr>
            <w:tcW w:w="612" w:type="pct"/>
            <w:tcBorders>
              <w:top w:val="nil"/>
              <w:left w:val="nil"/>
              <w:bottom w:val="nil"/>
              <w:right w:val="nil"/>
            </w:tcBorders>
          </w:tcPr>
          <w:p w14:paraId="04E3D599" w14:textId="0F557545"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79 033</w:t>
            </w:r>
          </w:p>
        </w:tc>
        <w:tc>
          <w:tcPr>
            <w:tcW w:w="612" w:type="pct"/>
            <w:tcBorders>
              <w:top w:val="nil"/>
              <w:left w:val="nil"/>
              <w:bottom w:val="nil"/>
              <w:right w:val="nil"/>
            </w:tcBorders>
          </w:tcPr>
          <w:p w14:paraId="3385FFD0" w14:textId="4998CF2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78 490</w:t>
            </w:r>
          </w:p>
        </w:tc>
        <w:tc>
          <w:tcPr>
            <w:tcW w:w="643" w:type="pct"/>
            <w:tcBorders>
              <w:top w:val="nil"/>
              <w:left w:val="nil"/>
              <w:bottom w:val="nil"/>
            </w:tcBorders>
          </w:tcPr>
          <w:p w14:paraId="36B38F00" w14:textId="1B516DB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-543</w:t>
            </w:r>
          </w:p>
        </w:tc>
      </w:tr>
      <w:tr w:rsidR="00912697" w:rsidRPr="001073E3" w14:paraId="1462C9ED" w14:textId="77777777" w:rsidTr="002241F5">
        <w:trPr>
          <w:trHeight w:val="276"/>
          <w:jc w:val="center"/>
        </w:trPr>
        <w:tc>
          <w:tcPr>
            <w:tcW w:w="2521" w:type="pct"/>
            <w:tcBorders>
              <w:top w:val="nil"/>
              <w:bottom w:val="nil"/>
              <w:right w:val="nil"/>
            </w:tcBorders>
          </w:tcPr>
          <w:p w14:paraId="0CD297D0" w14:textId="2CD3F293"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Úrad geodézie, kartografie a katastra Slovenskej republiky</w:t>
            </w:r>
          </w:p>
        </w:tc>
        <w:tc>
          <w:tcPr>
            <w:tcW w:w="612" w:type="pct"/>
            <w:tcBorders>
              <w:top w:val="nil"/>
              <w:left w:val="nil"/>
              <w:bottom w:val="nil"/>
              <w:right w:val="nil"/>
            </w:tcBorders>
          </w:tcPr>
          <w:p w14:paraId="0616C8E1" w14:textId="438F18E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46 076</w:t>
            </w:r>
          </w:p>
        </w:tc>
        <w:tc>
          <w:tcPr>
            <w:tcW w:w="612" w:type="pct"/>
            <w:tcBorders>
              <w:top w:val="nil"/>
              <w:left w:val="nil"/>
              <w:bottom w:val="nil"/>
              <w:right w:val="nil"/>
            </w:tcBorders>
          </w:tcPr>
          <w:p w14:paraId="332509B3" w14:textId="105481BC"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54 581</w:t>
            </w:r>
          </w:p>
        </w:tc>
        <w:tc>
          <w:tcPr>
            <w:tcW w:w="612" w:type="pct"/>
            <w:tcBorders>
              <w:top w:val="nil"/>
              <w:left w:val="nil"/>
              <w:bottom w:val="nil"/>
              <w:right w:val="nil"/>
            </w:tcBorders>
          </w:tcPr>
          <w:p w14:paraId="2EF1E714" w14:textId="7CD97EF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68 535</w:t>
            </w:r>
          </w:p>
        </w:tc>
        <w:tc>
          <w:tcPr>
            <w:tcW w:w="643" w:type="pct"/>
            <w:tcBorders>
              <w:top w:val="nil"/>
              <w:left w:val="nil"/>
              <w:bottom w:val="nil"/>
            </w:tcBorders>
          </w:tcPr>
          <w:p w14:paraId="113AB5F2" w14:textId="59B2EA02"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13 954</w:t>
            </w:r>
          </w:p>
        </w:tc>
      </w:tr>
      <w:tr w:rsidR="00912697" w:rsidRPr="001073E3" w14:paraId="5C33EE27" w14:textId="77777777" w:rsidTr="002241F5">
        <w:trPr>
          <w:trHeight w:val="276"/>
          <w:jc w:val="center"/>
        </w:trPr>
        <w:tc>
          <w:tcPr>
            <w:tcW w:w="2521" w:type="pct"/>
            <w:tcBorders>
              <w:top w:val="nil"/>
              <w:bottom w:val="nil"/>
              <w:right w:val="nil"/>
            </w:tcBorders>
          </w:tcPr>
          <w:p w14:paraId="2CE947BD" w14:textId="5D046929"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Národná diaľničná spoločnosť, a.s.</w:t>
            </w:r>
          </w:p>
        </w:tc>
        <w:tc>
          <w:tcPr>
            <w:tcW w:w="612" w:type="pct"/>
            <w:tcBorders>
              <w:top w:val="nil"/>
              <w:left w:val="nil"/>
              <w:bottom w:val="nil"/>
              <w:right w:val="nil"/>
            </w:tcBorders>
          </w:tcPr>
          <w:p w14:paraId="0C71F1CF" w14:textId="014400C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16 408</w:t>
            </w:r>
          </w:p>
        </w:tc>
        <w:tc>
          <w:tcPr>
            <w:tcW w:w="612" w:type="pct"/>
            <w:tcBorders>
              <w:top w:val="nil"/>
              <w:left w:val="nil"/>
              <w:bottom w:val="nil"/>
              <w:right w:val="nil"/>
            </w:tcBorders>
          </w:tcPr>
          <w:p w14:paraId="0A564501" w14:textId="2287577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w:t>
            </w:r>
            <w:r w:rsidR="008261F6">
              <w:rPr>
                <w:color w:val="000000"/>
                <w:sz w:val="16"/>
                <w:szCs w:val="16"/>
              </w:rPr>
              <w:t>9</w:t>
            </w:r>
            <w:r w:rsidRPr="000958C8">
              <w:rPr>
                <w:color w:val="000000"/>
                <w:sz w:val="16"/>
                <w:szCs w:val="16"/>
              </w:rPr>
              <w:t xml:space="preserve"> </w:t>
            </w:r>
            <w:r w:rsidR="008261F6">
              <w:rPr>
                <w:color w:val="000000"/>
                <w:sz w:val="16"/>
                <w:szCs w:val="16"/>
              </w:rPr>
              <w:t>722</w:t>
            </w:r>
          </w:p>
        </w:tc>
        <w:tc>
          <w:tcPr>
            <w:tcW w:w="612" w:type="pct"/>
            <w:tcBorders>
              <w:top w:val="nil"/>
              <w:left w:val="nil"/>
              <w:bottom w:val="nil"/>
              <w:right w:val="nil"/>
            </w:tcBorders>
          </w:tcPr>
          <w:p w14:paraId="2AA1F0AF" w14:textId="241D830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48 023</w:t>
            </w:r>
          </w:p>
        </w:tc>
        <w:tc>
          <w:tcPr>
            <w:tcW w:w="643" w:type="pct"/>
            <w:tcBorders>
              <w:top w:val="nil"/>
              <w:left w:val="nil"/>
              <w:bottom w:val="nil"/>
            </w:tcBorders>
          </w:tcPr>
          <w:p w14:paraId="219B41B1" w14:textId="39725E09" w:rsidR="00912697" w:rsidRPr="001073E3" w:rsidRDefault="008261F6" w:rsidP="00912697">
            <w:pPr>
              <w:spacing w:after="0" w:line="240" w:lineRule="auto"/>
              <w:jc w:val="right"/>
              <w:rPr>
                <w:color w:val="000000"/>
                <w:sz w:val="16"/>
                <w:szCs w:val="16"/>
                <w:lang w:eastAsia="sk-SK"/>
              </w:rPr>
            </w:pPr>
            <w:r>
              <w:rPr>
                <w:color w:val="000000"/>
                <w:sz w:val="16"/>
                <w:szCs w:val="16"/>
              </w:rPr>
              <w:t>18</w:t>
            </w:r>
            <w:r w:rsidR="00912697" w:rsidRPr="000958C8">
              <w:rPr>
                <w:color w:val="000000"/>
                <w:sz w:val="16"/>
                <w:szCs w:val="16"/>
              </w:rPr>
              <w:t xml:space="preserve"> </w:t>
            </w:r>
            <w:r>
              <w:rPr>
                <w:color w:val="000000"/>
                <w:sz w:val="16"/>
                <w:szCs w:val="16"/>
              </w:rPr>
              <w:t>301</w:t>
            </w:r>
          </w:p>
        </w:tc>
      </w:tr>
      <w:tr w:rsidR="00912697" w:rsidRPr="001073E3" w14:paraId="7611F8DF" w14:textId="77777777" w:rsidTr="002241F5">
        <w:trPr>
          <w:trHeight w:val="276"/>
          <w:jc w:val="center"/>
        </w:trPr>
        <w:tc>
          <w:tcPr>
            <w:tcW w:w="2521" w:type="pct"/>
            <w:tcBorders>
              <w:top w:val="nil"/>
              <w:bottom w:val="nil"/>
              <w:right w:val="nil"/>
            </w:tcBorders>
          </w:tcPr>
          <w:p w14:paraId="4F44399D" w14:textId="6722CDE9"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Vodohospodárska výstavba, š.p.</w:t>
            </w:r>
          </w:p>
        </w:tc>
        <w:tc>
          <w:tcPr>
            <w:tcW w:w="612" w:type="pct"/>
            <w:tcBorders>
              <w:top w:val="nil"/>
              <w:left w:val="nil"/>
              <w:bottom w:val="nil"/>
              <w:right w:val="nil"/>
            </w:tcBorders>
          </w:tcPr>
          <w:p w14:paraId="07632803" w14:textId="26F09C0E"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40 098</w:t>
            </w:r>
          </w:p>
        </w:tc>
        <w:tc>
          <w:tcPr>
            <w:tcW w:w="612" w:type="pct"/>
            <w:tcBorders>
              <w:top w:val="nil"/>
              <w:left w:val="nil"/>
              <w:bottom w:val="nil"/>
              <w:right w:val="nil"/>
            </w:tcBorders>
          </w:tcPr>
          <w:p w14:paraId="0202A4C1" w14:textId="3F47F6CD"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40 098</w:t>
            </w:r>
          </w:p>
        </w:tc>
        <w:tc>
          <w:tcPr>
            <w:tcW w:w="612" w:type="pct"/>
            <w:tcBorders>
              <w:top w:val="nil"/>
              <w:left w:val="nil"/>
              <w:bottom w:val="nil"/>
              <w:right w:val="nil"/>
            </w:tcBorders>
          </w:tcPr>
          <w:p w14:paraId="3A77334A" w14:textId="4880E3B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40 940</w:t>
            </w:r>
          </w:p>
        </w:tc>
        <w:tc>
          <w:tcPr>
            <w:tcW w:w="643" w:type="pct"/>
            <w:tcBorders>
              <w:top w:val="nil"/>
              <w:left w:val="nil"/>
              <w:bottom w:val="nil"/>
            </w:tcBorders>
          </w:tcPr>
          <w:p w14:paraId="09F77A0D" w14:textId="6EBDD32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842</w:t>
            </w:r>
          </w:p>
        </w:tc>
      </w:tr>
      <w:tr w:rsidR="00912697" w:rsidRPr="001073E3" w14:paraId="3E184DFC" w14:textId="77777777" w:rsidTr="002241F5">
        <w:trPr>
          <w:trHeight w:val="276"/>
          <w:jc w:val="center"/>
        </w:trPr>
        <w:tc>
          <w:tcPr>
            <w:tcW w:w="2521" w:type="pct"/>
            <w:tcBorders>
              <w:top w:val="nil"/>
              <w:bottom w:val="nil"/>
              <w:right w:val="nil"/>
            </w:tcBorders>
            <w:hideMark/>
          </w:tcPr>
          <w:p w14:paraId="2A856D09" w14:textId="34626B82"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MH Invest, s.r.o</w:t>
            </w:r>
          </w:p>
        </w:tc>
        <w:tc>
          <w:tcPr>
            <w:tcW w:w="612" w:type="pct"/>
            <w:tcBorders>
              <w:top w:val="nil"/>
              <w:left w:val="nil"/>
              <w:bottom w:val="nil"/>
              <w:right w:val="nil"/>
            </w:tcBorders>
            <w:hideMark/>
          </w:tcPr>
          <w:p w14:paraId="5BB4CD02" w14:textId="582D6FE6"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6 241</w:t>
            </w:r>
          </w:p>
        </w:tc>
        <w:tc>
          <w:tcPr>
            <w:tcW w:w="612" w:type="pct"/>
            <w:tcBorders>
              <w:top w:val="nil"/>
              <w:left w:val="nil"/>
              <w:bottom w:val="nil"/>
              <w:right w:val="nil"/>
            </w:tcBorders>
            <w:hideMark/>
          </w:tcPr>
          <w:p w14:paraId="42299E4B" w14:textId="1B3ECDD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34 136</w:t>
            </w:r>
          </w:p>
        </w:tc>
        <w:tc>
          <w:tcPr>
            <w:tcW w:w="612" w:type="pct"/>
            <w:tcBorders>
              <w:top w:val="nil"/>
              <w:left w:val="nil"/>
              <w:bottom w:val="nil"/>
              <w:right w:val="nil"/>
            </w:tcBorders>
          </w:tcPr>
          <w:p w14:paraId="51AA718C" w14:textId="70CC9323"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34 792</w:t>
            </w:r>
          </w:p>
        </w:tc>
        <w:tc>
          <w:tcPr>
            <w:tcW w:w="643" w:type="pct"/>
            <w:tcBorders>
              <w:top w:val="nil"/>
              <w:left w:val="nil"/>
              <w:bottom w:val="nil"/>
            </w:tcBorders>
          </w:tcPr>
          <w:p w14:paraId="12D2DA95" w14:textId="6B19E65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656</w:t>
            </w:r>
          </w:p>
        </w:tc>
      </w:tr>
      <w:tr w:rsidR="00912697" w:rsidRPr="001073E3" w14:paraId="2291C266" w14:textId="77777777" w:rsidTr="002241F5">
        <w:trPr>
          <w:trHeight w:val="276"/>
          <w:jc w:val="center"/>
        </w:trPr>
        <w:tc>
          <w:tcPr>
            <w:tcW w:w="2521" w:type="pct"/>
            <w:tcBorders>
              <w:top w:val="nil"/>
              <w:bottom w:val="nil"/>
              <w:right w:val="nil"/>
            </w:tcBorders>
            <w:hideMark/>
          </w:tcPr>
          <w:p w14:paraId="45749DCE" w14:textId="612D07CB"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Ministerstvo kultúry SR</w:t>
            </w:r>
          </w:p>
        </w:tc>
        <w:tc>
          <w:tcPr>
            <w:tcW w:w="612" w:type="pct"/>
            <w:tcBorders>
              <w:top w:val="nil"/>
              <w:left w:val="nil"/>
              <w:bottom w:val="nil"/>
              <w:right w:val="nil"/>
            </w:tcBorders>
            <w:hideMark/>
          </w:tcPr>
          <w:p w14:paraId="25D6B8D6" w14:textId="0B3B2DE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17 988</w:t>
            </w:r>
          </w:p>
        </w:tc>
        <w:tc>
          <w:tcPr>
            <w:tcW w:w="612" w:type="pct"/>
            <w:tcBorders>
              <w:top w:val="nil"/>
              <w:left w:val="nil"/>
              <w:bottom w:val="nil"/>
              <w:right w:val="nil"/>
            </w:tcBorders>
            <w:hideMark/>
          </w:tcPr>
          <w:p w14:paraId="397DAAC8" w14:textId="7039098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17 988</w:t>
            </w:r>
          </w:p>
        </w:tc>
        <w:tc>
          <w:tcPr>
            <w:tcW w:w="612" w:type="pct"/>
            <w:tcBorders>
              <w:top w:val="nil"/>
              <w:left w:val="nil"/>
              <w:bottom w:val="nil"/>
              <w:right w:val="nil"/>
            </w:tcBorders>
          </w:tcPr>
          <w:p w14:paraId="250D879C" w14:textId="68431D35"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17 988</w:t>
            </w:r>
          </w:p>
        </w:tc>
        <w:tc>
          <w:tcPr>
            <w:tcW w:w="643" w:type="pct"/>
            <w:tcBorders>
              <w:top w:val="nil"/>
              <w:left w:val="nil"/>
              <w:bottom w:val="nil"/>
            </w:tcBorders>
          </w:tcPr>
          <w:p w14:paraId="1318340E" w14:textId="1753266F"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539CEB11" w14:textId="77777777" w:rsidTr="002241F5">
        <w:trPr>
          <w:trHeight w:val="276"/>
          <w:jc w:val="center"/>
        </w:trPr>
        <w:tc>
          <w:tcPr>
            <w:tcW w:w="2521" w:type="pct"/>
            <w:tcBorders>
              <w:top w:val="nil"/>
              <w:bottom w:val="nil"/>
              <w:right w:val="nil"/>
            </w:tcBorders>
            <w:hideMark/>
          </w:tcPr>
          <w:p w14:paraId="4CDB7734" w14:textId="2EF71E9B"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Geodetický a kartografický ústav Bratislava</w:t>
            </w:r>
          </w:p>
        </w:tc>
        <w:tc>
          <w:tcPr>
            <w:tcW w:w="612" w:type="pct"/>
            <w:tcBorders>
              <w:top w:val="nil"/>
              <w:left w:val="nil"/>
              <w:bottom w:val="nil"/>
              <w:right w:val="nil"/>
            </w:tcBorders>
            <w:hideMark/>
          </w:tcPr>
          <w:p w14:paraId="1A78EFEB" w14:textId="5B9D4E9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14 518</w:t>
            </w:r>
          </w:p>
        </w:tc>
        <w:tc>
          <w:tcPr>
            <w:tcW w:w="612" w:type="pct"/>
            <w:tcBorders>
              <w:top w:val="nil"/>
              <w:left w:val="nil"/>
              <w:bottom w:val="nil"/>
              <w:right w:val="nil"/>
            </w:tcBorders>
            <w:hideMark/>
          </w:tcPr>
          <w:p w14:paraId="2C98BEAC" w14:textId="04F04143"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14 518</w:t>
            </w:r>
          </w:p>
        </w:tc>
        <w:tc>
          <w:tcPr>
            <w:tcW w:w="612" w:type="pct"/>
            <w:tcBorders>
              <w:top w:val="nil"/>
              <w:left w:val="nil"/>
              <w:bottom w:val="nil"/>
              <w:right w:val="nil"/>
            </w:tcBorders>
          </w:tcPr>
          <w:p w14:paraId="7AD79E14" w14:textId="11E917EE"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14 518</w:t>
            </w:r>
          </w:p>
        </w:tc>
        <w:tc>
          <w:tcPr>
            <w:tcW w:w="643" w:type="pct"/>
            <w:tcBorders>
              <w:top w:val="nil"/>
              <w:left w:val="nil"/>
              <w:bottom w:val="nil"/>
            </w:tcBorders>
          </w:tcPr>
          <w:p w14:paraId="3CD85E0D" w14:textId="781BA60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0BF388BD" w14:textId="77777777" w:rsidTr="002241F5">
        <w:trPr>
          <w:trHeight w:val="276"/>
          <w:jc w:val="center"/>
        </w:trPr>
        <w:tc>
          <w:tcPr>
            <w:tcW w:w="2521" w:type="pct"/>
            <w:tcBorders>
              <w:top w:val="nil"/>
              <w:bottom w:val="nil"/>
              <w:right w:val="nil"/>
            </w:tcBorders>
            <w:hideMark/>
          </w:tcPr>
          <w:p w14:paraId="45F2DCEB" w14:textId="047D9F0D"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Správa štátnych hmotných rezerv SR</w:t>
            </w:r>
          </w:p>
        </w:tc>
        <w:tc>
          <w:tcPr>
            <w:tcW w:w="612" w:type="pct"/>
            <w:tcBorders>
              <w:top w:val="nil"/>
              <w:left w:val="nil"/>
              <w:bottom w:val="nil"/>
              <w:right w:val="nil"/>
            </w:tcBorders>
            <w:hideMark/>
          </w:tcPr>
          <w:p w14:paraId="1111F2E0" w14:textId="17F2D04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15 941</w:t>
            </w:r>
          </w:p>
        </w:tc>
        <w:tc>
          <w:tcPr>
            <w:tcW w:w="612" w:type="pct"/>
            <w:tcBorders>
              <w:top w:val="nil"/>
              <w:left w:val="nil"/>
              <w:bottom w:val="nil"/>
              <w:right w:val="nil"/>
            </w:tcBorders>
            <w:hideMark/>
          </w:tcPr>
          <w:p w14:paraId="789F2422" w14:textId="0AFE60D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14 538</w:t>
            </w:r>
          </w:p>
        </w:tc>
        <w:tc>
          <w:tcPr>
            <w:tcW w:w="612" w:type="pct"/>
            <w:tcBorders>
              <w:top w:val="nil"/>
              <w:left w:val="nil"/>
              <w:bottom w:val="nil"/>
              <w:right w:val="nil"/>
            </w:tcBorders>
          </w:tcPr>
          <w:p w14:paraId="0C3A255D" w14:textId="24123B8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9 254</w:t>
            </w:r>
          </w:p>
        </w:tc>
        <w:tc>
          <w:tcPr>
            <w:tcW w:w="643" w:type="pct"/>
            <w:tcBorders>
              <w:top w:val="nil"/>
              <w:left w:val="nil"/>
              <w:bottom w:val="nil"/>
            </w:tcBorders>
          </w:tcPr>
          <w:p w14:paraId="2DB821C0" w14:textId="3BFEEF00" w:rsidR="00912697" w:rsidRPr="001073E3" w:rsidRDefault="00912697" w:rsidP="00912697">
            <w:pPr>
              <w:spacing w:after="0" w:line="240" w:lineRule="auto"/>
              <w:jc w:val="right"/>
              <w:rPr>
                <w:color w:val="000000"/>
                <w:sz w:val="16"/>
                <w:szCs w:val="16"/>
                <w:lang w:eastAsia="sk-SK"/>
              </w:rPr>
            </w:pPr>
            <w:r>
              <w:rPr>
                <w:color w:val="000000"/>
                <w:sz w:val="16"/>
                <w:szCs w:val="16"/>
              </w:rPr>
              <w:t>-5 284</w:t>
            </w:r>
            <w:r w:rsidRPr="000958C8">
              <w:rPr>
                <w:color w:val="000000"/>
                <w:sz w:val="16"/>
                <w:szCs w:val="16"/>
              </w:rPr>
              <w:t> </w:t>
            </w:r>
          </w:p>
        </w:tc>
      </w:tr>
      <w:tr w:rsidR="00912697" w:rsidRPr="001073E3" w14:paraId="0BD01A10" w14:textId="77777777" w:rsidTr="002241F5">
        <w:trPr>
          <w:trHeight w:val="276"/>
          <w:jc w:val="center"/>
        </w:trPr>
        <w:tc>
          <w:tcPr>
            <w:tcW w:w="2521" w:type="pct"/>
            <w:tcBorders>
              <w:top w:val="nil"/>
              <w:bottom w:val="nil"/>
              <w:right w:val="nil"/>
            </w:tcBorders>
          </w:tcPr>
          <w:p w14:paraId="18D160CD" w14:textId="4E1A8EE9" w:rsidR="00912697" w:rsidRPr="001073E3" w:rsidRDefault="00912697" w:rsidP="00912697">
            <w:pPr>
              <w:spacing w:after="0" w:line="240" w:lineRule="auto"/>
              <w:ind w:firstLineChars="33" w:firstLine="53"/>
              <w:rPr>
                <w:color w:val="000000"/>
                <w:sz w:val="16"/>
                <w:szCs w:val="16"/>
                <w:lang w:eastAsia="sk-SK"/>
              </w:rPr>
            </w:pPr>
            <w:r>
              <w:rPr>
                <w:color w:val="000000"/>
                <w:sz w:val="16"/>
                <w:szCs w:val="16"/>
              </w:rPr>
              <w:t xml:space="preserve">           </w:t>
            </w:r>
            <w:r w:rsidRPr="000958C8">
              <w:rPr>
                <w:color w:val="000000"/>
                <w:sz w:val="16"/>
                <w:szCs w:val="16"/>
              </w:rPr>
              <w:t>Slovenský pozemkový fond</w:t>
            </w:r>
          </w:p>
        </w:tc>
        <w:tc>
          <w:tcPr>
            <w:tcW w:w="612" w:type="pct"/>
            <w:tcBorders>
              <w:top w:val="nil"/>
              <w:left w:val="nil"/>
              <w:bottom w:val="nil"/>
              <w:right w:val="nil"/>
            </w:tcBorders>
          </w:tcPr>
          <w:p w14:paraId="337B5D68" w14:textId="7BA18F24" w:rsidR="00912697" w:rsidRPr="001073E3" w:rsidRDefault="00912697" w:rsidP="00912697">
            <w:pPr>
              <w:spacing w:after="0" w:line="240" w:lineRule="auto"/>
              <w:jc w:val="right"/>
              <w:rPr>
                <w:b/>
                <w:color w:val="000000"/>
                <w:sz w:val="16"/>
                <w:szCs w:val="16"/>
                <w:lang w:eastAsia="sk-SK"/>
              </w:rPr>
            </w:pPr>
            <w:r w:rsidRPr="000958C8">
              <w:rPr>
                <w:color w:val="000000"/>
                <w:sz w:val="16"/>
                <w:szCs w:val="16"/>
              </w:rPr>
              <w:t>64 448</w:t>
            </w:r>
          </w:p>
        </w:tc>
        <w:tc>
          <w:tcPr>
            <w:tcW w:w="612" w:type="pct"/>
            <w:tcBorders>
              <w:top w:val="nil"/>
              <w:left w:val="nil"/>
              <w:bottom w:val="nil"/>
              <w:right w:val="nil"/>
            </w:tcBorders>
          </w:tcPr>
          <w:p w14:paraId="1EBB3CD2" w14:textId="36476749" w:rsidR="00912697" w:rsidRPr="001073E3" w:rsidRDefault="00912697" w:rsidP="00912697">
            <w:pPr>
              <w:spacing w:after="0" w:line="240" w:lineRule="auto"/>
              <w:jc w:val="right"/>
              <w:rPr>
                <w:b/>
                <w:color w:val="000000"/>
                <w:sz w:val="16"/>
                <w:szCs w:val="16"/>
                <w:lang w:eastAsia="sk-SK"/>
              </w:rPr>
            </w:pPr>
            <w:r w:rsidRPr="000958C8">
              <w:rPr>
                <w:color w:val="000000"/>
                <w:sz w:val="16"/>
                <w:szCs w:val="16"/>
              </w:rPr>
              <w:t>6 681</w:t>
            </w:r>
          </w:p>
        </w:tc>
        <w:tc>
          <w:tcPr>
            <w:tcW w:w="612" w:type="pct"/>
            <w:tcBorders>
              <w:top w:val="nil"/>
              <w:left w:val="nil"/>
              <w:bottom w:val="nil"/>
              <w:right w:val="nil"/>
            </w:tcBorders>
          </w:tcPr>
          <w:p w14:paraId="1018F632" w14:textId="265D788C" w:rsidR="00912697" w:rsidRPr="001073E3" w:rsidRDefault="00912697" w:rsidP="00912697">
            <w:pPr>
              <w:spacing w:after="0" w:line="240" w:lineRule="auto"/>
              <w:jc w:val="right"/>
              <w:rPr>
                <w:b/>
                <w:color w:val="000000"/>
                <w:sz w:val="16"/>
                <w:szCs w:val="16"/>
                <w:lang w:eastAsia="sk-SK"/>
              </w:rPr>
            </w:pPr>
            <w:r w:rsidRPr="000958C8">
              <w:rPr>
                <w:color w:val="000000"/>
                <w:sz w:val="16"/>
                <w:szCs w:val="16"/>
              </w:rPr>
              <w:t>8 717</w:t>
            </w:r>
          </w:p>
        </w:tc>
        <w:tc>
          <w:tcPr>
            <w:tcW w:w="643" w:type="pct"/>
            <w:tcBorders>
              <w:top w:val="nil"/>
              <w:left w:val="nil"/>
              <w:bottom w:val="nil"/>
            </w:tcBorders>
          </w:tcPr>
          <w:p w14:paraId="28A98E98" w14:textId="22BCF988" w:rsidR="00912697" w:rsidRPr="001073E3" w:rsidRDefault="00912697" w:rsidP="00912697">
            <w:pPr>
              <w:spacing w:after="0" w:line="240" w:lineRule="auto"/>
              <w:jc w:val="right"/>
              <w:rPr>
                <w:b/>
                <w:color w:val="000000"/>
                <w:sz w:val="16"/>
                <w:szCs w:val="16"/>
                <w:lang w:eastAsia="sk-SK"/>
              </w:rPr>
            </w:pPr>
            <w:r w:rsidRPr="000958C8">
              <w:rPr>
                <w:color w:val="000000"/>
                <w:sz w:val="16"/>
                <w:szCs w:val="16"/>
              </w:rPr>
              <w:t>2 036</w:t>
            </w:r>
          </w:p>
        </w:tc>
      </w:tr>
      <w:tr w:rsidR="00912697" w:rsidRPr="001073E3" w14:paraId="6C9786D3" w14:textId="77777777" w:rsidTr="002241F5">
        <w:trPr>
          <w:trHeight w:val="276"/>
          <w:jc w:val="center"/>
        </w:trPr>
        <w:tc>
          <w:tcPr>
            <w:tcW w:w="2521" w:type="pct"/>
            <w:tcBorders>
              <w:top w:val="nil"/>
              <w:bottom w:val="nil"/>
              <w:right w:val="nil"/>
            </w:tcBorders>
          </w:tcPr>
          <w:p w14:paraId="49849E2B" w14:textId="5B551B1C"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Ministerstvo hospodárstva SR</w:t>
            </w:r>
          </w:p>
        </w:tc>
        <w:tc>
          <w:tcPr>
            <w:tcW w:w="612" w:type="pct"/>
            <w:tcBorders>
              <w:top w:val="nil"/>
              <w:left w:val="nil"/>
              <w:bottom w:val="nil"/>
              <w:right w:val="nil"/>
            </w:tcBorders>
          </w:tcPr>
          <w:p w14:paraId="7FB4C6F6" w14:textId="73EBCBE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79 086</w:t>
            </w:r>
          </w:p>
        </w:tc>
        <w:tc>
          <w:tcPr>
            <w:tcW w:w="612" w:type="pct"/>
            <w:tcBorders>
              <w:top w:val="nil"/>
              <w:left w:val="nil"/>
              <w:bottom w:val="nil"/>
              <w:right w:val="nil"/>
            </w:tcBorders>
          </w:tcPr>
          <w:p w14:paraId="5541C86C" w14:textId="1B127D2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78 328</w:t>
            </w:r>
          </w:p>
        </w:tc>
        <w:tc>
          <w:tcPr>
            <w:tcW w:w="612" w:type="pct"/>
            <w:tcBorders>
              <w:top w:val="nil"/>
              <w:left w:val="nil"/>
              <w:bottom w:val="nil"/>
              <w:right w:val="nil"/>
            </w:tcBorders>
          </w:tcPr>
          <w:p w14:paraId="57B2B737" w14:textId="7233938E"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8 222</w:t>
            </w:r>
          </w:p>
        </w:tc>
        <w:tc>
          <w:tcPr>
            <w:tcW w:w="643" w:type="pct"/>
            <w:tcBorders>
              <w:top w:val="nil"/>
              <w:left w:val="nil"/>
              <w:bottom w:val="nil"/>
            </w:tcBorders>
          </w:tcPr>
          <w:p w14:paraId="7E2BACF7" w14:textId="7603862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-70 106</w:t>
            </w:r>
          </w:p>
        </w:tc>
      </w:tr>
      <w:tr w:rsidR="00912697" w:rsidRPr="001073E3" w14:paraId="5437DF12" w14:textId="77777777" w:rsidTr="002241F5">
        <w:trPr>
          <w:trHeight w:val="276"/>
          <w:jc w:val="center"/>
        </w:trPr>
        <w:tc>
          <w:tcPr>
            <w:tcW w:w="2521" w:type="pct"/>
            <w:tcBorders>
              <w:top w:val="nil"/>
              <w:bottom w:val="nil"/>
              <w:right w:val="nil"/>
            </w:tcBorders>
          </w:tcPr>
          <w:p w14:paraId="0C1C39AD" w14:textId="28C1E883"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Slovenská elektrizačná prenosová sústava, a.s.</w:t>
            </w:r>
          </w:p>
        </w:tc>
        <w:tc>
          <w:tcPr>
            <w:tcW w:w="612" w:type="pct"/>
            <w:tcBorders>
              <w:top w:val="nil"/>
              <w:left w:val="nil"/>
              <w:bottom w:val="nil"/>
              <w:right w:val="nil"/>
            </w:tcBorders>
          </w:tcPr>
          <w:p w14:paraId="31DD606A" w14:textId="05B0D259"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3 792</w:t>
            </w:r>
          </w:p>
        </w:tc>
        <w:tc>
          <w:tcPr>
            <w:tcW w:w="612" w:type="pct"/>
            <w:tcBorders>
              <w:top w:val="nil"/>
              <w:left w:val="nil"/>
              <w:bottom w:val="nil"/>
              <w:right w:val="nil"/>
            </w:tcBorders>
          </w:tcPr>
          <w:p w14:paraId="14C88FB0" w14:textId="004C3DF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7 777</w:t>
            </w:r>
          </w:p>
        </w:tc>
        <w:tc>
          <w:tcPr>
            <w:tcW w:w="612" w:type="pct"/>
            <w:tcBorders>
              <w:top w:val="nil"/>
              <w:left w:val="nil"/>
              <w:bottom w:val="nil"/>
              <w:right w:val="nil"/>
            </w:tcBorders>
          </w:tcPr>
          <w:p w14:paraId="6D3D09DC" w14:textId="651C23F6"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7 777</w:t>
            </w:r>
          </w:p>
        </w:tc>
        <w:tc>
          <w:tcPr>
            <w:tcW w:w="643" w:type="pct"/>
            <w:tcBorders>
              <w:top w:val="nil"/>
              <w:left w:val="nil"/>
              <w:bottom w:val="nil"/>
            </w:tcBorders>
          </w:tcPr>
          <w:p w14:paraId="59B01C3B" w14:textId="24840E2C"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0</w:t>
            </w:r>
          </w:p>
        </w:tc>
      </w:tr>
      <w:tr w:rsidR="00912697" w:rsidRPr="001073E3" w14:paraId="6294A64C" w14:textId="77777777" w:rsidTr="002241F5">
        <w:trPr>
          <w:trHeight w:val="276"/>
          <w:jc w:val="center"/>
        </w:trPr>
        <w:tc>
          <w:tcPr>
            <w:tcW w:w="2521" w:type="pct"/>
            <w:tcBorders>
              <w:top w:val="nil"/>
              <w:bottom w:val="nil"/>
              <w:right w:val="nil"/>
            </w:tcBorders>
            <w:hideMark/>
          </w:tcPr>
          <w:p w14:paraId="1C532E43" w14:textId="420A754B" w:rsidR="00912697" w:rsidRPr="001073E3" w:rsidRDefault="00912697" w:rsidP="006D466B">
            <w:pPr>
              <w:spacing w:after="0" w:line="240" w:lineRule="auto"/>
              <w:rPr>
                <w:color w:val="000000"/>
                <w:sz w:val="16"/>
                <w:szCs w:val="16"/>
                <w:lang w:eastAsia="sk-SK"/>
              </w:rPr>
            </w:pPr>
            <w:r w:rsidRPr="000958C8">
              <w:rPr>
                <w:b/>
                <w:bCs/>
                <w:color w:val="000000"/>
                <w:sz w:val="16"/>
                <w:szCs w:val="16"/>
              </w:rPr>
              <w:t>Vystavené alebo poskytnuté záruky</w:t>
            </w:r>
          </w:p>
        </w:tc>
        <w:tc>
          <w:tcPr>
            <w:tcW w:w="612" w:type="pct"/>
            <w:tcBorders>
              <w:top w:val="nil"/>
              <w:left w:val="nil"/>
              <w:bottom w:val="nil"/>
              <w:right w:val="nil"/>
            </w:tcBorders>
            <w:hideMark/>
          </w:tcPr>
          <w:p w14:paraId="3E227743" w14:textId="4204D948"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868 361</w:t>
            </w:r>
          </w:p>
        </w:tc>
        <w:tc>
          <w:tcPr>
            <w:tcW w:w="612" w:type="pct"/>
            <w:tcBorders>
              <w:top w:val="nil"/>
              <w:left w:val="nil"/>
              <w:bottom w:val="nil"/>
              <w:right w:val="nil"/>
            </w:tcBorders>
            <w:hideMark/>
          </w:tcPr>
          <w:p w14:paraId="4B4624A6" w14:textId="4307C273"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962 220</w:t>
            </w:r>
          </w:p>
        </w:tc>
        <w:tc>
          <w:tcPr>
            <w:tcW w:w="612" w:type="pct"/>
            <w:tcBorders>
              <w:top w:val="nil"/>
              <w:left w:val="nil"/>
              <w:bottom w:val="nil"/>
              <w:right w:val="nil"/>
            </w:tcBorders>
          </w:tcPr>
          <w:p w14:paraId="5CF8CFF1" w14:textId="07811B0E"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751 226</w:t>
            </w:r>
          </w:p>
        </w:tc>
        <w:tc>
          <w:tcPr>
            <w:tcW w:w="643" w:type="pct"/>
            <w:tcBorders>
              <w:top w:val="nil"/>
              <w:left w:val="nil"/>
              <w:bottom w:val="nil"/>
            </w:tcBorders>
          </w:tcPr>
          <w:p w14:paraId="504E3002" w14:textId="7B543DC6" w:rsidR="00912697" w:rsidRPr="001073E3" w:rsidRDefault="00912697" w:rsidP="00912697">
            <w:pPr>
              <w:spacing w:after="0" w:line="240" w:lineRule="auto"/>
              <w:jc w:val="right"/>
              <w:rPr>
                <w:color w:val="000000"/>
                <w:sz w:val="16"/>
                <w:szCs w:val="16"/>
                <w:lang w:eastAsia="sk-SK"/>
              </w:rPr>
            </w:pPr>
            <w:r w:rsidRPr="000958C8">
              <w:rPr>
                <w:b/>
                <w:bCs/>
                <w:color w:val="000000"/>
                <w:sz w:val="16"/>
                <w:szCs w:val="16"/>
              </w:rPr>
              <w:t>-210 994</w:t>
            </w:r>
          </w:p>
        </w:tc>
      </w:tr>
      <w:tr w:rsidR="00912697" w:rsidRPr="001073E3" w14:paraId="46583CC9" w14:textId="77777777" w:rsidTr="002241F5">
        <w:trPr>
          <w:trHeight w:val="276"/>
          <w:jc w:val="center"/>
        </w:trPr>
        <w:tc>
          <w:tcPr>
            <w:tcW w:w="2521" w:type="pct"/>
            <w:tcBorders>
              <w:top w:val="nil"/>
              <w:bottom w:val="nil"/>
              <w:right w:val="nil"/>
            </w:tcBorders>
            <w:hideMark/>
          </w:tcPr>
          <w:p w14:paraId="7BBCAF30" w14:textId="614A92C3"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National Development Fund II, a.s.</w:t>
            </w:r>
          </w:p>
        </w:tc>
        <w:tc>
          <w:tcPr>
            <w:tcW w:w="612" w:type="pct"/>
            <w:tcBorders>
              <w:top w:val="nil"/>
              <w:left w:val="nil"/>
              <w:bottom w:val="nil"/>
              <w:right w:val="nil"/>
            </w:tcBorders>
            <w:hideMark/>
          </w:tcPr>
          <w:p w14:paraId="1099AEC4" w14:textId="59FC377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369 026</w:t>
            </w:r>
          </w:p>
        </w:tc>
        <w:tc>
          <w:tcPr>
            <w:tcW w:w="612" w:type="pct"/>
            <w:tcBorders>
              <w:top w:val="nil"/>
              <w:left w:val="nil"/>
              <w:bottom w:val="nil"/>
              <w:right w:val="nil"/>
            </w:tcBorders>
            <w:hideMark/>
          </w:tcPr>
          <w:p w14:paraId="72D23F16" w14:textId="4469FDF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461 226</w:t>
            </w:r>
          </w:p>
        </w:tc>
        <w:tc>
          <w:tcPr>
            <w:tcW w:w="612" w:type="pct"/>
            <w:tcBorders>
              <w:top w:val="nil"/>
              <w:left w:val="nil"/>
              <w:bottom w:val="nil"/>
              <w:right w:val="nil"/>
            </w:tcBorders>
          </w:tcPr>
          <w:p w14:paraId="06CB1D71" w14:textId="2C84CEA1"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293 437</w:t>
            </w:r>
          </w:p>
        </w:tc>
        <w:tc>
          <w:tcPr>
            <w:tcW w:w="643" w:type="pct"/>
            <w:tcBorders>
              <w:top w:val="nil"/>
              <w:left w:val="nil"/>
              <w:bottom w:val="nil"/>
            </w:tcBorders>
          </w:tcPr>
          <w:p w14:paraId="393521A3" w14:textId="276493A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-167</w:t>
            </w:r>
            <w:r>
              <w:rPr>
                <w:color w:val="000000"/>
                <w:sz w:val="16"/>
                <w:szCs w:val="16"/>
              </w:rPr>
              <w:t> </w:t>
            </w:r>
            <w:r w:rsidRPr="000958C8">
              <w:rPr>
                <w:color w:val="000000"/>
                <w:sz w:val="16"/>
                <w:szCs w:val="16"/>
              </w:rPr>
              <w:t>789</w:t>
            </w:r>
          </w:p>
        </w:tc>
      </w:tr>
      <w:tr w:rsidR="00912697" w:rsidRPr="001073E3" w14:paraId="106CA886" w14:textId="77777777" w:rsidTr="006D466B">
        <w:trPr>
          <w:trHeight w:val="276"/>
          <w:jc w:val="center"/>
        </w:trPr>
        <w:tc>
          <w:tcPr>
            <w:tcW w:w="2521" w:type="pct"/>
            <w:tcBorders>
              <w:top w:val="nil"/>
              <w:bottom w:val="nil"/>
              <w:right w:val="nil"/>
            </w:tcBorders>
            <w:hideMark/>
          </w:tcPr>
          <w:p w14:paraId="4220CB4D" w14:textId="185AE669"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Exportno-importná banka Slovenska</w:t>
            </w:r>
          </w:p>
        </w:tc>
        <w:tc>
          <w:tcPr>
            <w:tcW w:w="612" w:type="pct"/>
            <w:tcBorders>
              <w:top w:val="nil"/>
              <w:left w:val="nil"/>
              <w:bottom w:val="nil"/>
              <w:right w:val="nil"/>
            </w:tcBorders>
            <w:hideMark/>
          </w:tcPr>
          <w:p w14:paraId="7F243278" w14:textId="7F73C434"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177 924</w:t>
            </w:r>
          </w:p>
        </w:tc>
        <w:tc>
          <w:tcPr>
            <w:tcW w:w="612" w:type="pct"/>
            <w:tcBorders>
              <w:top w:val="nil"/>
              <w:left w:val="nil"/>
              <w:bottom w:val="nil"/>
              <w:right w:val="nil"/>
            </w:tcBorders>
            <w:hideMark/>
          </w:tcPr>
          <w:p w14:paraId="2AB11C35" w14:textId="4F24F8C6"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263 962</w:t>
            </w:r>
          </w:p>
        </w:tc>
        <w:tc>
          <w:tcPr>
            <w:tcW w:w="612" w:type="pct"/>
            <w:tcBorders>
              <w:top w:val="nil"/>
              <w:left w:val="nil"/>
              <w:bottom w:val="nil"/>
              <w:right w:val="nil"/>
            </w:tcBorders>
          </w:tcPr>
          <w:p w14:paraId="6793E568" w14:textId="405F816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291 479</w:t>
            </w:r>
          </w:p>
        </w:tc>
        <w:tc>
          <w:tcPr>
            <w:tcW w:w="643" w:type="pct"/>
            <w:tcBorders>
              <w:top w:val="nil"/>
              <w:left w:val="nil"/>
              <w:bottom w:val="nil"/>
            </w:tcBorders>
          </w:tcPr>
          <w:p w14:paraId="2FD4C3EA" w14:textId="732A669F"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27 517</w:t>
            </w:r>
          </w:p>
        </w:tc>
      </w:tr>
      <w:tr w:rsidR="00912697" w:rsidRPr="001073E3" w14:paraId="4449923B" w14:textId="77777777" w:rsidTr="006D466B">
        <w:trPr>
          <w:trHeight w:val="276"/>
          <w:jc w:val="center"/>
        </w:trPr>
        <w:tc>
          <w:tcPr>
            <w:tcW w:w="2521" w:type="pct"/>
            <w:tcBorders>
              <w:top w:val="nil"/>
              <w:bottom w:val="nil"/>
              <w:right w:val="nil"/>
            </w:tcBorders>
            <w:hideMark/>
          </w:tcPr>
          <w:p w14:paraId="3389DF38" w14:textId="03C61B6D" w:rsidR="00912697" w:rsidRPr="001073E3" w:rsidRDefault="00912697" w:rsidP="00912697">
            <w:pPr>
              <w:spacing w:after="0" w:line="240" w:lineRule="auto"/>
              <w:ind w:firstLineChars="300" w:firstLine="480"/>
              <w:rPr>
                <w:color w:val="000000"/>
                <w:sz w:val="16"/>
                <w:szCs w:val="16"/>
                <w:lang w:eastAsia="sk-SK"/>
              </w:rPr>
            </w:pPr>
            <w:r w:rsidRPr="000958C8">
              <w:rPr>
                <w:color w:val="000000"/>
                <w:sz w:val="16"/>
                <w:szCs w:val="16"/>
              </w:rPr>
              <w:t>Záruky MF SR</w:t>
            </w:r>
          </w:p>
        </w:tc>
        <w:tc>
          <w:tcPr>
            <w:tcW w:w="612" w:type="pct"/>
            <w:tcBorders>
              <w:top w:val="nil"/>
              <w:left w:val="nil"/>
              <w:bottom w:val="nil"/>
              <w:right w:val="nil"/>
            </w:tcBorders>
            <w:hideMark/>
          </w:tcPr>
          <w:p w14:paraId="4B452635" w14:textId="3F605660"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321 411</w:t>
            </w:r>
          </w:p>
        </w:tc>
        <w:tc>
          <w:tcPr>
            <w:tcW w:w="612" w:type="pct"/>
            <w:tcBorders>
              <w:top w:val="nil"/>
              <w:left w:val="nil"/>
              <w:bottom w:val="nil"/>
              <w:right w:val="nil"/>
            </w:tcBorders>
            <w:hideMark/>
          </w:tcPr>
          <w:p w14:paraId="36D7A84E" w14:textId="0BB4A90B"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237 032</w:t>
            </w:r>
          </w:p>
        </w:tc>
        <w:tc>
          <w:tcPr>
            <w:tcW w:w="612" w:type="pct"/>
            <w:tcBorders>
              <w:top w:val="nil"/>
              <w:left w:val="nil"/>
              <w:bottom w:val="nil"/>
              <w:right w:val="nil"/>
            </w:tcBorders>
          </w:tcPr>
          <w:p w14:paraId="0A608524" w14:textId="39A1B433"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166 310</w:t>
            </w:r>
          </w:p>
        </w:tc>
        <w:tc>
          <w:tcPr>
            <w:tcW w:w="643" w:type="pct"/>
            <w:tcBorders>
              <w:top w:val="nil"/>
              <w:left w:val="nil"/>
              <w:bottom w:val="nil"/>
            </w:tcBorders>
          </w:tcPr>
          <w:p w14:paraId="33E07086" w14:textId="6718A47A"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-70 722</w:t>
            </w:r>
          </w:p>
        </w:tc>
      </w:tr>
      <w:tr w:rsidR="00912697" w:rsidRPr="001073E3" w14:paraId="023D1C5F" w14:textId="77777777" w:rsidTr="006D466B">
        <w:trPr>
          <w:trHeight w:val="276"/>
          <w:jc w:val="center"/>
        </w:trPr>
        <w:tc>
          <w:tcPr>
            <w:tcW w:w="2521" w:type="pct"/>
            <w:tcBorders>
              <w:top w:val="nil"/>
              <w:bottom w:val="nil"/>
              <w:right w:val="nil"/>
            </w:tcBorders>
          </w:tcPr>
          <w:p w14:paraId="5FB1314A" w14:textId="756E6F7E" w:rsidR="00912697" w:rsidRPr="001073E3" w:rsidRDefault="00912697" w:rsidP="006D466B">
            <w:pPr>
              <w:spacing w:after="0" w:line="240" w:lineRule="auto"/>
              <w:rPr>
                <w:color w:val="000000"/>
                <w:sz w:val="16"/>
                <w:szCs w:val="16"/>
                <w:lang w:eastAsia="sk-SK"/>
              </w:rPr>
            </w:pPr>
            <w:r w:rsidRPr="00332C8F">
              <w:rPr>
                <w:b/>
                <w:bCs/>
                <w:color w:val="000000"/>
                <w:sz w:val="16"/>
                <w:szCs w:val="16"/>
              </w:rPr>
              <w:t xml:space="preserve">Iné podmienené záväzky </w:t>
            </w:r>
          </w:p>
        </w:tc>
        <w:tc>
          <w:tcPr>
            <w:tcW w:w="612" w:type="pct"/>
            <w:tcBorders>
              <w:top w:val="nil"/>
              <w:left w:val="nil"/>
              <w:bottom w:val="nil"/>
              <w:right w:val="nil"/>
            </w:tcBorders>
          </w:tcPr>
          <w:p w14:paraId="2BBCCBA9" w14:textId="5359B055"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5 153 367</w:t>
            </w:r>
          </w:p>
        </w:tc>
        <w:tc>
          <w:tcPr>
            <w:tcW w:w="612" w:type="pct"/>
            <w:tcBorders>
              <w:top w:val="nil"/>
              <w:left w:val="nil"/>
              <w:bottom w:val="nil"/>
              <w:right w:val="nil"/>
            </w:tcBorders>
          </w:tcPr>
          <w:p w14:paraId="04DDDBD4" w14:textId="46A4E57D"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6 397 210</w:t>
            </w:r>
          </w:p>
        </w:tc>
        <w:tc>
          <w:tcPr>
            <w:tcW w:w="612" w:type="pct"/>
            <w:tcBorders>
              <w:top w:val="nil"/>
              <w:left w:val="nil"/>
              <w:bottom w:val="nil"/>
              <w:right w:val="nil"/>
            </w:tcBorders>
          </w:tcPr>
          <w:p w14:paraId="4E4707CA" w14:textId="5264D3B4"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6 122 145</w:t>
            </w:r>
          </w:p>
        </w:tc>
        <w:tc>
          <w:tcPr>
            <w:tcW w:w="643" w:type="pct"/>
            <w:tcBorders>
              <w:top w:val="nil"/>
              <w:left w:val="nil"/>
              <w:bottom w:val="nil"/>
            </w:tcBorders>
          </w:tcPr>
          <w:p w14:paraId="1602BDEE" w14:textId="6D6BB8BD" w:rsidR="00912697" w:rsidRPr="0041715A" w:rsidRDefault="0041715A" w:rsidP="00912697">
            <w:pPr>
              <w:spacing w:after="0" w:line="240" w:lineRule="auto"/>
              <w:jc w:val="right"/>
              <w:rPr>
                <w:b/>
                <w:bCs/>
                <w:color w:val="000000"/>
                <w:sz w:val="16"/>
                <w:szCs w:val="16"/>
                <w:lang w:eastAsia="sk-SK"/>
              </w:rPr>
            </w:pPr>
            <w:r w:rsidRPr="0041715A">
              <w:rPr>
                <w:b/>
                <w:bCs/>
                <w:color w:val="000000"/>
                <w:sz w:val="16"/>
                <w:szCs w:val="16"/>
                <w:lang w:eastAsia="sk-SK"/>
              </w:rPr>
              <w:t>-275 065</w:t>
            </w:r>
          </w:p>
        </w:tc>
      </w:tr>
      <w:tr w:rsidR="00912697" w:rsidRPr="001073E3" w14:paraId="23FBD8C3" w14:textId="77777777" w:rsidTr="006D466B">
        <w:trPr>
          <w:trHeight w:val="276"/>
          <w:jc w:val="center"/>
        </w:trPr>
        <w:tc>
          <w:tcPr>
            <w:tcW w:w="2521" w:type="pct"/>
            <w:tcBorders>
              <w:top w:val="nil"/>
              <w:bottom w:val="nil"/>
              <w:right w:val="nil"/>
            </w:tcBorders>
          </w:tcPr>
          <w:p w14:paraId="3FC121DB" w14:textId="28B83713" w:rsidR="00912697" w:rsidRPr="00332C8F" w:rsidRDefault="00912697" w:rsidP="00912697">
            <w:pPr>
              <w:spacing w:after="0" w:line="240" w:lineRule="auto"/>
              <w:ind w:firstLineChars="300" w:firstLine="480"/>
              <w:rPr>
                <w:b/>
                <w:bCs/>
                <w:color w:val="000000"/>
                <w:sz w:val="16"/>
                <w:szCs w:val="16"/>
              </w:rPr>
            </w:pPr>
            <w:r w:rsidRPr="000958C8">
              <w:rPr>
                <w:color w:val="000000"/>
                <w:sz w:val="16"/>
                <w:szCs w:val="16"/>
              </w:rPr>
              <w:t>Slovenské elektrárne, a.s.</w:t>
            </w:r>
          </w:p>
        </w:tc>
        <w:tc>
          <w:tcPr>
            <w:tcW w:w="612" w:type="pct"/>
            <w:tcBorders>
              <w:top w:val="nil"/>
              <w:left w:val="nil"/>
              <w:bottom w:val="nil"/>
              <w:right w:val="nil"/>
            </w:tcBorders>
          </w:tcPr>
          <w:p w14:paraId="6F3CAA31" w14:textId="4D6C5A08"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3 341 242</w:t>
            </w:r>
          </w:p>
        </w:tc>
        <w:tc>
          <w:tcPr>
            <w:tcW w:w="612" w:type="pct"/>
            <w:tcBorders>
              <w:top w:val="nil"/>
              <w:left w:val="nil"/>
              <w:bottom w:val="nil"/>
              <w:right w:val="nil"/>
            </w:tcBorders>
          </w:tcPr>
          <w:p w14:paraId="055A1FA0" w14:textId="50C6B9CD"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3 501 046</w:t>
            </w:r>
          </w:p>
        </w:tc>
        <w:tc>
          <w:tcPr>
            <w:tcW w:w="612" w:type="pct"/>
            <w:tcBorders>
              <w:top w:val="nil"/>
              <w:left w:val="nil"/>
              <w:bottom w:val="nil"/>
              <w:right w:val="nil"/>
            </w:tcBorders>
          </w:tcPr>
          <w:p w14:paraId="6D7C007C" w14:textId="72D2BF97"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3 663 270</w:t>
            </w:r>
          </w:p>
        </w:tc>
        <w:tc>
          <w:tcPr>
            <w:tcW w:w="643" w:type="pct"/>
            <w:tcBorders>
              <w:top w:val="nil"/>
              <w:left w:val="nil"/>
              <w:bottom w:val="nil"/>
            </w:tcBorders>
          </w:tcPr>
          <w:p w14:paraId="492B7A33" w14:textId="1A0D070F" w:rsidR="00912697" w:rsidRPr="001073E3" w:rsidRDefault="00912697" w:rsidP="00912697">
            <w:pPr>
              <w:spacing w:after="0" w:line="240" w:lineRule="auto"/>
              <w:jc w:val="right"/>
              <w:rPr>
                <w:color w:val="000000"/>
                <w:sz w:val="16"/>
                <w:szCs w:val="16"/>
                <w:lang w:eastAsia="sk-SK"/>
              </w:rPr>
            </w:pPr>
            <w:r w:rsidRPr="000958C8">
              <w:rPr>
                <w:color w:val="000000"/>
                <w:sz w:val="16"/>
                <w:szCs w:val="16"/>
              </w:rPr>
              <w:t>162 224</w:t>
            </w:r>
          </w:p>
        </w:tc>
      </w:tr>
      <w:tr w:rsidR="00912697" w:rsidRPr="002746C4" w14:paraId="25A059C7" w14:textId="77777777" w:rsidTr="006D466B">
        <w:trPr>
          <w:trHeight w:val="276"/>
          <w:jc w:val="center"/>
        </w:trPr>
        <w:tc>
          <w:tcPr>
            <w:tcW w:w="2521" w:type="pct"/>
            <w:tcBorders>
              <w:top w:val="nil"/>
              <w:bottom w:val="nil"/>
              <w:right w:val="nil"/>
            </w:tcBorders>
            <w:noWrap/>
            <w:hideMark/>
          </w:tcPr>
          <w:p w14:paraId="557BBB32" w14:textId="45CF2BF9" w:rsidR="00912697" w:rsidRPr="001073E3" w:rsidRDefault="00912697" w:rsidP="00912697">
            <w:pPr>
              <w:spacing w:after="0" w:line="240" w:lineRule="auto"/>
              <w:rPr>
                <w:b/>
                <w:bCs/>
                <w:color w:val="000000"/>
                <w:sz w:val="16"/>
                <w:szCs w:val="16"/>
                <w:lang w:eastAsia="sk-SK"/>
              </w:rPr>
            </w:pPr>
            <w:r w:rsidRPr="000958C8">
              <w:rPr>
                <w:color w:val="000000"/>
                <w:sz w:val="16"/>
                <w:szCs w:val="16"/>
              </w:rPr>
              <w:t xml:space="preserve">MH Manažment, a.s. </w:t>
            </w:r>
          </w:p>
        </w:tc>
        <w:tc>
          <w:tcPr>
            <w:tcW w:w="612" w:type="pct"/>
            <w:tcBorders>
              <w:top w:val="nil"/>
              <w:left w:val="nil"/>
              <w:bottom w:val="nil"/>
              <w:right w:val="nil"/>
            </w:tcBorders>
            <w:hideMark/>
          </w:tcPr>
          <w:p w14:paraId="06C95E3C" w14:textId="73403B25"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970 650</w:t>
            </w:r>
          </w:p>
        </w:tc>
        <w:tc>
          <w:tcPr>
            <w:tcW w:w="612" w:type="pct"/>
            <w:tcBorders>
              <w:top w:val="nil"/>
              <w:left w:val="nil"/>
              <w:bottom w:val="nil"/>
              <w:right w:val="nil"/>
            </w:tcBorders>
          </w:tcPr>
          <w:p w14:paraId="7630DAF1" w14:textId="1F64AA86"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786 972</w:t>
            </w:r>
          </w:p>
        </w:tc>
        <w:tc>
          <w:tcPr>
            <w:tcW w:w="612" w:type="pct"/>
            <w:tcBorders>
              <w:top w:val="nil"/>
              <w:left w:val="nil"/>
              <w:bottom w:val="nil"/>
              <w:right w:val="nil"/>
            </w:tcBorders>
          </w:tcPr>
          <w:p w14:paraId="4B4C43C4" w14:textId="22761ADA"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786 972</w:t>
            </w:r>
          </w:p>
        </w:tc>
        <w:tc>
          <w:tcPr>
            <w:tcW w:w="643" w:type="pct"/>
            <w:tcBorders>
              <w:top w:val="nil"/>
              <w:left w:val="nil"/>
              <w:bottom w:val="nil"/>
            </w:tcBorders>
          </w:tcPr>
          <w:p w14:paraId="47D0858D" w14:textId="6144F152"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0</w:t>
            </w:r>
          </w:p>
        </w:tc>
      </w:tr>
      <w:tr w:rsidR="00912697" w:rsidRPr="002746C4" w14:paraId="45E4BF95" w14:textId="77777777" w:rsidTr="006D466B">
        <w:trPr>
          <w:trHeight w:val="276"/>
          <w:jc w:val="center"/>
        </w:trPr>
        <w:tc>
          <w:tcPr>
            <w:tcW w:w="2521" w:type="pct"/>
            <w:tcBorders>
              <w:top w:val="nil"/>
              <w:bottom w:val="nil"/>
              <w:right w:val="nil"/>
            </w:tcBorders>
            <w:noWrap/>
          </w:tcPr>
          <w:p w14:paraId="1CB9D4EA" w14:textId="73968B6C" w:rsidR="00912697" w:rsidRPr="000958C8" w:rsidRDefault="00912697" w:rsidP="00912697">
            <w:pPr>
              <w:spacing w:after="0" w:line="240" w:lineRule="auto"/>
              <w:rPr>
                <w:color w:val="000000"/>
                <w:sz w:val="16"/>
                <w:szCs w:val="16"/>
              </w:rPr>
            </w:pPr>
            <w:r w:rsidRPr="000958C8">
              <w:rPr>
                <w:color w:val="000000"/>
                <w:sz w:val="16"/>
                <w:szCs w:val="16"/>
              </w:rPr>
              <w:t>Slovenský plynárenský priemysel, a.s.</w:t>
            </w:r>
          </w:p>
        </w:tc>
        <w:tc>
          <w:tcPr>
            <w:tcW w:w="612" w:type="pct"/>
            <w:tcBorders>
              <w:top w:val="nil"/>
              <w:left w:val="nil"/>
              <w:bottom w:val="nil"/>
              <w:right w:val="nil"/>
            </w:tcBorders>
          </w:tcPr>
          <w:p w14:paraId="2029E5DC" w14:textId="2CEAC190"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767 827</w:t>
            </w:r>
          </w:p>
        </w:tc>
        <w:tc>
          <w:tcPr>
            <w:tcW w:w="612" w:type="pct"/>
            <w:tcBorders>
              <w:top w:val="nil"/>
              <w:left w:val="nil"/>
              <w:bottom w:val="nil"/>
              <w:right w:val="nil"/>
            </w:tcBorders>
          </w:tcPr>
          <w:p w14:paraId="0263DC07" w14:textId="22F7266C" w:rsidR="00912697" w:rsidRPr="001073E3" w:rsidRDefault="008261F6" w:rsidP="00912697">
            <w:pPr>
              <w:spacing w:after="0" w:line="240" w:lineRule="auto"/>
              <w:jc w:val="right"/>
              <w:rPr>
                <w:b/>
                <w:bCs/>
                <w:color w:val="000000"/>
                <w:sz w:val="16"/>
                <w:szCs w:val="16"/>
                <w:lang w:eastAsia="sk-SK"/>
              </w:rPr>
            </w:pPr>
            <w:r>
              <w:rPr>
                <w:color w:val="000000"/>
                <w:sz w:val="16"/>
                <w:szCs w:val="16"/>
              </w:rPr>
              <w:t>2 040</w:t>
            </w:r>
            <w:r w:rsidR="00912697" w:rsidRPr="000958C8">
              <w:rPr>
                <w:color w:val="000000"/>
                <w:sz w:val="16"/>
                <w:szCs w:val="16"/>
              </w:rPr>
              <w:t xml:space="preserve"> </w:t>
            </w:r>
            <w:r>
              <w:rPr>
                <w:color w:val="000000"/>
                <w:sz w:val="16"/>
                <w:szCs w:val="16"/>
              </w:rPr>
              <w:t>750</w:t>
            </w:r>
          </w:p>
        </w:tc>
        <w:tc>
          <w:tcPr>
            <w:tcW w:w="612" w:type="pct"/>
            <w:tcBorders>
              <w:top w:val="nil"/>
              <w:left w:val="nil"/>
              <w:bottom w:val="nil"/>
              <w:right w:val="nil"/>
            </w:tcBorders>
          </w:tcPr>
          <w:p w14:paraId="4BFCA75F" w14:textId="7BDFE07E" w:rsidR="00912697" w:rsidRPr="001073E3" w:rsidRDefault="008261F6" w:rsidP="00912697">
            <w:pPr>
              <w:spacing w:after="0" w:line="240" w:lineRule="auto"/>
              <w:jc w:val="right"/>
              <w:rPr>
                <w:b/>
                <w:bCs/>
                <w:color w:val="000000"/>
                <w:sz w:val="16"/>
                <w:szCs w:val="16"/>
                <w:lang w:eastAsia="sk-SK"/>
              </w:rPr>
            </w:pPr>
            <w:r>
              <w:rPr>
                <w:color w:val="000000"/>
                <w:sz w:val="16"/>
                <w:szCs w:val="16"/>
              </w:rPr>
              <w:t> </w:t>
            </w:r>
            <w:r w:rsidR="00912697" w:rsidRPr="000958C8">
              <w:rPr>
                <w:color w:val="000000"/>
                <w:sz w:val="16"/>
                <w:szCs w:val="16"/>
              </w:rPr>
              <w:t>1</w:t>
            </w:r>
            <w:r>
              <w:rPr>
                <w:color w:val="000000"/>
                <w:sz w:val="16"/>
                <w:szCs w:val="16"/>
              </w:rPr>
              <w:t> </w:t>
            </w:r>
            <w:r w:rsidR="00912697" w:rsidRPr="000958C8">
              <w:rPr>
                <w:color w:val="000000"/>
                <w:sz w:val="16"/>
                <w:szCs w:val="16"/>
              </w:rPr>
              <w:t>59</w:t>
            </w:r>
            <w:r>
              <w:rPr>
                <w:color w:val="000000"/>
                <w:sz w:val="16"/>
                <w:szCs w:val="16"/>
              </w:rPr>
              <w:t>2</w:t>
            </w:r>
            <w:r w:rsidR="00912697" w:rsidRPr="000958C8">
              <w:rPr>
                <w:color w:val="000000"/>
                <w:sz w:val="16"/>
                <w:szCs w:val="16"/>
              </w:rPr>
              <w:t xml:space="preserve"> 210</w:t>
            </w:r>
          </w:p>
        </w:tc>
        <w:tc>
          <w:tcPr>
            <w:tcW w:w="643" w:type="pct"/>
            <w:tcBorders>
              <w:top w:val="nil"/>
              <w:left w:val="nil"/>
              <w:bottom w:val="nil"/>
            </w:tcBorders>
          </w:tcPr>
          <w:p w14:paraId="36ADD582" w14:textId="4CF826A1"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w:t>
            </w:r>
            <w:r w:rsidR="008261F6">
              <w:rPr>
                <w:color w:val="000000"/>
                <w:sz w:val="16"/>
                <w:szCs w:val="16"/>
              </w:rPr>
              <w:t>448</w:t>
            </w:r>
            <w:r w:rsidRPr="000958C8">
              <w:rPr>
                <w:color w:val="000000"/>
                <w:sz w:val="16"/>
                <w:szCs w:val="16"/>
              </w:rPr>
              <w:t xml:space="preserve"> </w:t>
            </w:r>
            <w:r w:rsidR="008261F6">
              <w:rPr>
                <w:color w:val="000000"/>
                <w:sz w:val="16"/>
                <w:szCs w:val="16"/>
              </w:rPr>
              <w:t>540</w:t>
            </w:r>
          </w:p>
        </w:tc>
      </w:tr>
      <w:tr w:rsidR="00912697" w:rsidRPr="002746C4" w14:paraId="4E34B12A" w14:textId="77777777" w:rsidTr="006D466B">
        <w:trPr>
          <w:trHeight w:val="276"/>
          <w:jc w:val="center"/>
        </w:trPr>
        <w:tc>
          <w:tcPr>
            <w:tcW w:w="2521" w:type="pct"/>
            <w:tcBorders>
              <w:top w:val="nil"/>
              <w:bottom w:val="nil"/>
              <w:right w:val="nil"/>
            </w:tcBorders>
            <w:noWrap/>
          </w:tcPr>
          <w:p w14:paraId="2B75753E" w14:textId="567D7BFC" w:rsidR="00912697" w:rsidRPr="000958C8" w:rsidRDefault="00912697" w:rsidP="00912697">
            <w:pPr>
              <w:spacing w:after="0" w:line="240" w:lineRule="auto"/>
              <w:rPr>
                <w:color w:val="000000"/>
                <w:sz w:val="16"/>
                <w:szCs w:val="16"/>
              </w:rPr>
            </w:pPr>
            <w:r w:rsidRPr="000958C8">
              <w:rPr>
                <w:color w:val="000000"/>
                <w:sz w:val="16"/>
                <w:szCs w:val="16"/>
              </w:rPr>
              <w:t>Slovenská záručná a rozvojová banka, a.s.</w:t>
            </w:r>
          </w:p>
        </w:tc>
        <w:tc>
          <w:tcPr>
            <w:tcW w:w="612" w:type="pct"/>
            <w:tcBorders>
              <w:top w:val="nil"/>
              <w:left w:val="nil"/>
              <w:bottom w:val="nil"/>
              <w:right w:val="nil"/>
            </w:tcBorders>
          </w:tcPr>
          <w:p w14:paraId="541F8BE3" w14:textId="0F9D6A89"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59 754</w:t>
            </w:r>
          </w:p>
        </w:tc>
        <w:tc>
          <w:tcPr>
            <w:tcW w:w="612" w:type="pct"/>
            <w:tcBorders>
              <w:top w:val="nil"/>
              <w:left w:val="nil"/>
              <w:bottom w:val="nil"/>
              <w:right w:val="nil"/>
            </w:tcBorders>
          </w:tcPr>
          <w:p w14:paraId="59465E6D" w14:textId="250CC6EA"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54 548</w:t>
            </w:r>
          </w:p>
        </w:tc>
        <w:tc>
          <w:tcPr>
            <w:tcW w:w="612" w:type="pct"/>
            <w:tcBorders>
              <w:top w:val="nil"/>
              <w:left w:val="nil"/>
              <w:bottom w:val="nil"/>
              <w:right w:val="nil"/>
            </w:tcBorders>
          </w:tcPr>
          <w:p w14:paraId="7BA16911" w14:textId="7637BADF"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6</w:t>
            </w:r>
            <w:r>
              <w:rPr>
                <w:color w:val="000000"/>
                <w:sz w:val="16"/>
                <w:szCs w:val="16"/>
              </w:rPr>
              <w:t>9 776</w:t>
            </w:r>
          </w:p>
        </w:tc>
        <w:tc>
          <w:tcPr>
            <w:tcW w:w="643" w:type="pct"/>
            <w:tcBorders>
              <w:top w:val="nil"/>
              <w:left w:val="nil"/>
              <w:bottom w:val="nil"/>
            </w:tcBorders>
          </w:tcPr>
          <w:p w14:paraId="7A489979" w14:textId="5309023C" w:rsidR="00912697" w:rsidRPr="001073E3" w:rsidRDefault="00912697" w:rsidP="00912697">
            <w:pPr>
              <w:spacing w:after="0" w:line="240" w:lineRule="auto"/>
              <w:jc w:val="right"/>
              <w:rPr>
                <w:b/>
                <w:bCs/>
                <w:color w:val="000000"/>
                <w:sz w:val="16"/>
                <w:szCs w:val="16"/>
                <w:lang w:eastAsia="sk-SK"/>
              </w:rPr>
            </w:pPr>
            <w:r>
              <w:rPr>
                <w:color w:val="000000"/>
                <w:sz w:val="16"/>
                <w:szCs w:val="16"/>
              </w:rPr>
              <w:t>15 228</w:t>
            </w:r>
          </w:p>
        </w:tc>
      </w:tr>
      <w:tr w:rsidR="00912697" w:rsidRPr="002746C4" w14:paraId="20AB29F2" w14:textId="77777777" w:rsidTr="006D466B">
        <w:trPr>
          <w:trHeight w:val="276"/>
          <w:jc w:val="center"/>
        </w:trPr>
        <w:tc>
          <w:tcPr>
            <w:tcW w:w="2521" w:type="pct"/>
            <w:tcBorders>
              <w:top w:val="nil"/>
              <w:bottom w:val="single" w:sz="4" w:space="0" w:color="auto"/>
              <w:right w:val="nil"/>
            </w:tcBorders>
            <w:noWrap/>
          </w:tcPr>
          <w:p w14:paraId="347A70F2" w14:textId="6174F065" w:rsidR="00912697" w:rsidRPr="000958C8" w:rsidRDefault="00912697" w:rsidP="00912697">
            <w:pPr>
              <w:spacing w:after="0" w:line="240" w:lineRule="auto"/>
              <w:rPr>
                <w:color w:val="000000"/>
                <w:sz w:val="16"/>
                <w:szCs w:val="16"/>
              </w:rPr>
            </w:pPr>
            <w:r w:rsidRPr="000958C8">
              <w:rPr>
                <w:color w:val="000000"/>
                <w:sz w:val="16"/>
                <w:szCs w:val="16"/>
              </w:rPr>
              <w:t>Lesy SR, š.p.</w:t>
            </w:r>
          </w:p>
        </w:tc>
        <w:tc>
          <w:tcPr>
            <w:tcW w:w="612" w:type="pct"/>
            <w:tcBorders>
              <w:top w:val="nil"/>
              <w:left w:val="nil"/>
              <w:bottom w:val="single" w:sz="4" w:space="0" w:color="auto"/>
              <w:right w:val="nil"/>
            </w:tcBorders>
          </w:tcPr>
          <w:p w14:paraId="584BD432" w14:textId="1BA79024"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13 894</w:t>
            </w:r>
          </w:p>
        </w:tc>
        <w:tc>
          <w:tcPr>
            <w:tcW w:w="612" w:type="pct"/>
            <w:tcBorders>
              <w:top w:val="nil"/>
              <w:left w:val="nil"/>
              <w:bottom w:val="single" w:sz="4" w:space="0" w:color="auto"/>
              <w:right w:val="nil"/>
            </w:tcBorders>
          </w:tcPr>
          <w:p w14:paraId="70186BA9" w14:textId="06516E7A"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13 894</w:t>
            </w:r>
          </w:p>
        </w:tc>
        <w:tc>
          <w:tcPr>
            <w:tcW w:w="612" w:type="pct"/>
            <w:tcBorders>
              <w:top w:val="nil"/>
              <w:left w:val="nil"/>
              <w:bottom w:val="single" w:sz="4" w:space="0" w:color="auto"/>
              <w:right w:val="nil"/>
            </w:tcBorders>
          </w:tcPr>
          <w:p w14:paraId="73E72901" w14:textId="7D07F70A"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9 917</w:t>
            </w:r>
          </w:p>
        </w:tc>
        <w:tc>
          <w:tcPr>
            <w:tcW w:w="643" w:type="pct"/>
            <w:tcBorders>
              <w:top w:val="nil"/>
              <w:left w:val="nil"/>
              <w:bottom w:val="single" w:sz="4" w:space="0" w:color="auto"/>
            </w:tcBorders>
          </w:tcPr>
          <w:p w14:paraId="061CF9E3" w14:textId="359D27BB" w:rsidR="00912697" w:rsidRPr="001073E3" w:rsidRDefault="00912697" w:rsidP="00912697">
            <w:pPr>
              <w:spacing w:after="0" w:line="240" w:lineRule="auto"/>
              <w:jc w:val="right"/>
              <w:rPr>
                <w:b/>
                <w:bCs/>
                <w:color w:val="000000"/>
                <w:sz w:val="16"/>
                <w:szCs w:val="16"/>
                <w:lang w:eastAsia="sk-SK"/>
              </w:rPr>
            </w:pPr>
            <w:r w:rsidRPr="000958C8">
              <w:rPr>
                <w:color w:val="000000"/>
                <w:sz w:val="16"/>
                <w:szCs w:val="16"/>
              </w:rPr>
              <w:t>-3 977</w:t>
            </w:r>
          </w:p>
        </w:tc>
      </w:tr>
      <w:tr w:rsidR="00912697" w:rsidRPr="002746C4" w14:paraId="64954962" w14:textId="77777777" w:rsidTr="0003601C">
        <w:trPr>
          <w:trHeight w:val="276"/>
          <w:jc w:val="center"/>
        </w:trPr>
        <w:tc>
          <w:tcPr>
            <w:tcW w:w="2521" w:type="pct"/>
            <w:tcBorders>
              <w:top w:val="single" w:sz="4" w:space="0" w:color="auto"/>
              <w:bottom w:val="single" w:sz="4" w:space="0" w:color="auto"/>
              <w:right w:val="nil"/>
            </w:tcBorders>
            <w:noWrap/>
            <w:vAlign w:val="center"/>
          </w:tcPr>
          <w:p w14:paraId="31E63741" w14:textId="089AFBA4" w:rsidR="00912697" w:rsidRPr="000958C8" w:rsidRDefault="00912697" w:rsidP="00912697">
            <w:pPr>
              <w:spacing w:after="0" w:line="240" w:lineRule="auto"/>
              <w:rPr>
                <w:color w:val="000000"/>
                <w:sz w:val="16"/>
                <w:szCs w:val="16"/>
              </w:rPr>
            </w:pPr>
            <w:r w:rsidRPr="009C6CED">
              <w:rPr>
                <w:b/>
                <w:bCs/>
                <w:color w:val="000000"/>
                <w:sz w:val="16"/>
                <w:szCs w:val="16"/>
              </w:rPr>
              <w:t xml:space="preserve">Spolu  </w:t>
            </w:r>
          </w:p>
        </w:tc>
        <w:tc>
          <w:tcPr>
            <w:tcW w:w="612" w:type="pct"/>
            <w:tcBorders>
              <w:top w:val="single" w:sz="4" w:space="0" w:color="auto"/>
              <w:left w:val="nil"/>
              <w:bottom w:val="single" w:sz="4" w:space="0" w:color="auto"/>
              <w:right w:val="nil"/>
            </w:tcBorders>
            <w:vAlign w:val="center"/>
          </w:tcPr>
          <w:p w14:paraId="67E27813" w14:textId="6909F664" w:rsidR="00912697" w:rsidRPr="001073E3" w:rsidRDefault="00912697" w:rsidP="00912697">
            <w:pPr>
              <w:spacing w:after="0" w:line="240" w:lineRule="auto"/>
              <w:jc w:val="right"/>
              <w:rPr>
                <w:b/>
                <w:bCs/>
                <w:color w:val="000000"/>
                <w:sz w:val="16"/>
                <w:szCs w:val="16"/>
                <w:lang w:eastAsia="sk-SK"/>
              </w:rPr>
            </w:pPr>
            <w:r w:rsidRPr="009C6CED">
              <w:rPr>
                <w:b/>
                <w:bCs/>
                <w:color w:val="000000"/>
                <w:sz w:val="16"/>
                <w:szCs w:val="16"/>
              </w:rPr>
              <w:t>20 188 658</w:t>
            </w:r>
          </w:p>
        </w:tc>
        <w:tc>
          <w:tcPr>
            <w:tcW w:w="612" w:type="pct"/>
            <w:tcBorders>
              <w:top w:val="single" w:sz="4" w:space="0" w:color="auto"/>
              <w:left w:val="nil"/>
              <w:bottom w:val="single" w:sz="4" w:space="0" w:color="auto"/>
              <w:right w:val="nil"/>
            </w:tcBorders>
            <w:vAlign w:val="center"/>
          </w:tcPr>
          <w:p w14:paraId="76256B55" w14:textId="489D5039" w:rsidR="00912697" w:rsidRPr="001073E3" w:rsidRDefault="00912697" w:rsidP="00912697">
            <w:pPr>
              <w:spacing w:after="0" w:line="240" w:lineRule="auto"/>
              <w:jc w:val="right"/>
              <w:rPr>
                <w:b/>
                <w:bCs/>
                <w:color w:val="000000"/>
                <w:sz w:val="16"/>
                <w:szCs w:val="16"/>
                <w:lang w:eastAsia="sk-SK"/>
              </w:rPr>
            </w:pPr>
            <w:r w:rsidRPr="009C6CED">
              <w:rPr>
                <w:b/>
                <w:bCs/>
                <w:color w:val="000000"/>
                <w:sz w:val="16"/>
                <w:szCs w:val="16"/>
              </w:rPr>
              <w:t>2</w:t>
            </w:r>
            <w:r w:rsidR="008261F6">
              <w:rPr>
                <w:b/>
                <w:bCs/>
                <w:color w:val="000000"/>
                <w:sz w:val="16"/>
                <w:szCs w:val="16"/>
              </w:rPr>
              <w:t>1</w:t>
            </w:r>
            <w:r w:rsidRPr="009C6CED">
              <w:rPr>
                <w:b/>
                <w:bCs/>
                <w:color w:val="000000"/>
                <w:sz w:val="16"/>
                <w:szCs w:val="16"/>
              </w:rPr>
              <w:t xml:space="preserve"> </w:t>
            </w:r>
            <w:r w:rsidR="008261F6">
              <w:rPr>
                <w:b/>
                <w:bCs/>
                <w:color w:val="000000"/>
                <w:sz w:val="16"/>
                <w:szCs w:val="16"/>
              </w:rPr>
              <w:t>354</w:t>
            </w:r>
            <w:r w:rsidRPr="009C6CED">
              <w:rPr>
                <w:b/>
                <w:bCs/>
                <w:color w:val="000000"/>
                <w:sz w:val="16"/>
                <w:szCs w:val="16"/>
              </w:rPr>
              <w:t xml:space="preserve"> </w:t>
            </w:r>
            <w:r w:rsidR="008261F6">
              <w:rPr>
                <w:b/>
                <w:bCs/>
                <w:color w:val="000000"/>
                <w:sz w:val="16"/>
                <w:szCs w:val="16"/>
              </w:rPr>
              <w:t>988</w:t>
            </w:r>
          </w:p>
        </w:tc>
        <w:tc>
          <w:tcPr>
            <w:tcW w:w="612" w:type="pct"/>
            <w:tcBorders>
              <w:top w:val="single" w:sz="4" w:space="0" w:color="auto"/>
              <w:left w:val="nil"/>
              <w:bottom w:val="single" w:sz="4" w:space="0" w:color="auto"/>
              <w:right w:val="nil"/>
            </w:tcBorders>
            <w:vAlign w:val="center"/>
          </w:tcPr>
          <w:p w14:paraId="14939471" w14:textId="091F7B33" w:rsidR="00912697" w:rsidRPr="001073E3" w:rsidRDefault="00912697" w:rsidP="00912697">
            <w:pPr>
              <w:spacing w:after="0" w:line="240" w:lineRule="auto"/>
              <w:jc w:val="right"/>
              <w:rPr>
                <w:b/>
                <w:bCs/>
                <w:color w:val="000000"/>
                <w:sz w:val="16"/>
                <w:szCs w:val="16"/>
                <w:lang w:eastAsia="sk-SK"/>
              </w:rPr>
            </w:pPr>
            <w:r w:rsidRPr="009C6CED">
              <w:rPr>
                <w:b/>
                <w:bCs/>
                <w:color w:val="000000"/>
                <w:sz w:val="16"/>
                <w:szCs w:val="16"/>
              </w:rPr>
              <w:t>1</w:t>
            </w:r>
            <w:r w:rsidR="008261F6">
              <w:rPr>
                <w:b/>
                <w:bCs/>
                <w:color w:val="000000"/>
                <w:sz w:val="16"/>
                <w:szCs w:val="16"/>
              </w:rPr>
              <w:t>9</w:t>
            </w:r>
            <w:r>
              <w:rPr>
                <w:b/>
                <w:bCs/>
                <w:color w:val="000000"/>
                <w:sz w:val="16"/>
                <w:szCs w:val="16"/>
              </w:rPr>
              <w:t> </w:t>
            </w:r>
            <w:r w:rsidR="008261F6">
              <w:rPr>
                <w:b/>
                <w:bCs/>
                <w:color w:val="000000"/>
                <w:sz w:val="16"/>
                <w:szCs w:val="16"/>
              </w:rPr>
              <w:t>791</w:t>
            </w:r>
            <w:r>
              <w:rPr>
                <w:b/>
                <w:bCs/>
                <w:color w:val="000000"/>
                <w:sz w:val="16"/>
                <w:szCs w:val="16"/>
              </w:rPr>
              <w:t xml:space="preserve"> </w:t>
            </w:r>
            <w:r w:rsidR="008261F6">
              <w:rPr>
                <w:b/>
                <w:bCs/>
                <w:color w:val="000000"/>
                <w:sz w:val="16"/>
                <w:szCs w:val="16"/>
              </w:rPr>
              <w:t>458</w:t>
            </w:r>
          </w:p>
        </w:tc>
        <w:tc>
          <w:tcPr>
            <w:tcW w:w="643" w:type="pct"/>
            <w:tcBorders>
              <w:top w:val="single" w:sz="4" w:space="0" w:color="auto"/>
              <w:left w:val="nil"/>
              <w:bottom w:val="single" w:sz="4" w:space="0" w:color="auto"/>
            </w:tcBorders>
            <w:vAlign w:val="center"/>
          </w:tcPr>
          <w:p w14:paraId="7CB27090" w14:textId="19EB4127" w:rsidR="00912697" w:rsidRPr="001073E3" w:rsidRDefault="00912697" w:rsidP="00912697">
            <w:pPr>
              <w:spacing w:after="0" w:line="240" w:lineRule="auto"/>
              <w:jc w:val="right"/>
              <w:rPr>
                <w:b/>
                <w:bCs/>
                <w:color w:val="000000"/>
                <w:sz w:val="16"/>
                <w:szCs w:val="16"/>
                <w:lang w:eastAsia="sk-SK"/>
              </w:rPr>
            </w:pPr>
            <w:r w:rsidRPr="009C6CED">
              <w:rPr>
                <w:b/>
                <w:bCs/>
                <w:color w:val="000000"/>
                <w:sz w:val="16"/>
                <w:szCs w:val="16"/>
              </w:rPr>
              <w:t>-</w:t>
            </w:r>
            <w:r w:rsidR="008261F6">
              <w:rPr>
                <w:b/>
                <w:bCs/>
                <w:color w:val="000000"/>
                <w:sz w:val="16"/>
                <w:szCs w:val="16"/>
              </w:rPr>
              <w:t>1</w:t>
            </w:r>
            <w:r>
              <w:rPr>
                <w:b/>
                <w:bCs/>
                <w:color w:val="000000"/>
                <w:sz w:val="16"/>
                <w:szCs w:val="16"/>
              </w:rPr>
              <w:t> </w:t>
            </w:r>
            <w:r w:rsidR="008261F6">
              <w:rPr>
                <w:b/>
                <w:bCs/>
                <w:color w:val="000000"/>
                <w:sz w:val="16"/>
                <w:szCs w:val="16"/>
              </w:rPr>
              <w:t>563</w:t>
            </w:r>
            <w:r>
              <w:rPr>
                <w:b/>
                <w:bCs/>
                <w:color w:val="000000"/>
                <w:sz w:val="16"/>
                <w:szCs w:val="16"/>
              </w:rPr>
              <w:t xml:space="preserve"> </w:t>
            </w:r>
            <w:r w:rsidR="008261F6">
              <w:rPr>
                <w:b/>
                <w:bCs/>
                <w:color w:val="000000"/>
                <w:sz w:val="16"/>
                <w:szCs w:val="16"/>
              </w:rPr>
              <w:t>530</w:t>
            </w:r>
          </w:p>
        </w:tc>
      </w:tr>
    </w:tbl>
    <w:p w14:paraId="659A0AF2" w14:textId="77777777" w:rsidR="008261F6" w:rsidRDefault="008261F6" w:rsidP="008261F6">
      <w:pPr>
        <w:spacing w:after="0"/>
        <w:jc w:val="both"/>
        <w:rPr>
          <w:sz w:val="16"/>
          <w:szCs w:val="16"/>
        </w:rPr>
      </w:pPr>
      <w:r>
        <w:rPr>
          <w:sz w:val="16"/>
          <w:szCs w:val="16"/>
        </w:rPr>
        <w:t xml:space="preserve">Poznámka: Hodnota vykazovaná hroziacich alebo prebiehajúcich súdnych sporoch za NDS, a.s. a pri iných podmienených záväzkoch za SPP, a.s. za rok 2023 boli upravené s ohľadom na aktualizáciu vstupných údajov. </w:t>
      </w:r>
    </w:p>
    <w:p w14:paraId="62F9AC7C" w14:textId="35AD294F" w:rsidR="006D466B" w:rsidRPr="0057265E" w:rsidRDefault="006D466B" w:rsidP="006D466B">
      <w:pPr>
        <w:spacing w:after="0"/>
        <w:ind w:left="709" w:hanging="709"/>
        <w:jc w:val="both"/>
        <w:rPr>
          <w:sz w:val="16"/>
          <w:szCs w:val="16"/>
        </w:rPr>
      </w:pPr>
      <w:r w:rsidRPr="0057265E">
        <w:rPr>
          <w:sz w:val="16"/>
          <w:szCs w:val="16"/>
        </w:rPr>
        <w:t>Zdroj: Účtovné závierky subjektov k 31.12.20</w:t>
      </w:r>
      <w:r>
        <w:rPr>
          <w:sz w:val="16"/>
          <w:szCs w:val="16"/>
        </w:rPr>
        <w:t>22 až k 31.12.2024</w:t>
      </w:r>
      <w:r w:rsidRPr="0057265E">
        <w:rPr>
          <w:sz w:val="16"/>
          <w:szCs w:val="16"/>
        </w:rPr>
        <w:t xml:space="preserve"> zverejnené v </w:t>
      </w:r>
      <w:r w:rsidRPr="000A629A">
        <w:rPr>
          <w:sz w:val="16"/>
          <w:szCs w:val="16"/>
        </w:rPr>
        <w:t xml:space="preserve">registri </w:t>
      </w:r>
      <w:hyperlink r:id="rId20" w:history="1">
        <w:r w:rsidRPr="000A629A">
          <w:rPr>
            <w:sz w:val="16"/>
            <w:szCs w:val="16"/>
            <w:u w:val="single"/>
          </w:rPr>
          <w:t>www.registeruz.sk</w:t>
        </w:r>
      </w:hyperlink>
      <w:r w:rsidRPr="000A629A">
        <w:rPr>
          <w:sz w:val="16"/>
          <w:szCs w:val="16"/>
        </w:rPr>
        <w:t xml:space="preserve"> a databáza </w:t>
      </w:r>
      <w:r w:rsidRPr="0057265E">
        <w:rPr>
          <w:sz w:val="16"/>
          <w:szCs w:val="16"/>
        </w:rPr>
        <w:t>MF SR</w:t>
      </w:r>
    </w:p>
    <w:p w14:paraId="1F5B020B" w14:textId="75C5F938" w:rsidR="006D466B" w:rsidRPr="0057265E" w:rsidRDefault="006D466B" w:rsidP="006D466B">
      <w:pPr>
        <w:spacing w:after="0" w:line="240" w:lineRule="auto"/>
        <w:ind w:left="709" w:hanging="709"/>
        <w:jc w:val="both"/>
        <w:rPr>
          <w:sz w:val="16"/>
          <w:szCs w:val="16"/>
        </w:rPr>
      </w:pPr>
      <w:r w:rsidRPr="0057265E">
        <w:rPr>
          <w:sz w:val="16"/>
          <w:szCs w:val="16"/>
        </w:rPr>
        <w:t>Medziročn</w:t>
      </w:r>
      <w:r>
        <w:rPr>
          <w:sz w:val="16"/>
          <w:szCs w:val="16"/>
        </w:rPr>
        <w:t xml:space="preserve">á zmena </w:t>
      </w:r>
      <w:r w:rsidRPr="0057265E">
        <w:rPr>
          <w:sz w:val="16"/>
          <w:szCs w:val="16"/>
        </w:rPr>
        <w:t xml:space="preserve">v tab. </w:t>
      </w:r>
      <w:r w:rsidR="006A084A">
        <w:rPr>
          <w:sz w:val="16"/>
          <w:szCs w:val="16"/>
        </w:rPr>
        <w:t>23</w:t>
      </w:r>
      <w:r w:rsidRPr="0057265E">
        <w:rPr>
          <w:sz w:val="16"/>
          <w:szCs w:val="16"/>
        </w:rPr>
        <w:t xml:space="preserve"> predstavuje časť medziročných zmien sumárne vypočítanej v tab</w:t>
      </w:r>
      <w:r w:rsidRPr="00B17704">
        <w:rPr>
          <w:sz w:val="16"/>
          <w:szCs w:val="16"/>
        </w:rPr>
        <w:t xml:space="preserve">. </w:t>
      </w:r>
      <w:r w:rsidR="00F739C1">
        <w:rPr>
          <w:sz w:val="16"/>
          <w:szCs w:val="16"/>
        </w:rPr>
        <w:t>22</w:t>
      </w:r>
      <w:r w:rsidRPr="00B17704">
        <w:rPr>
          <w:sz w:val="16"/>
          <w:szCs w:val="16"/>
        </w:rPr>
        <w:t>.</w:t>
      </w:r>
    </w:p>
    <w:p w14:paraId="618E2223" w14:textId="77777777" w:rsidR="0015190C" w:rsidRPr="00D076BA" w:rsidRDefault="0015190C" w:rsidP="00BB1667">
      <w:pPr>
        <w:spacing w:after="0" w:line="240" w:lineRule="auto"/>
        <w:jc w:val="both"/>
        <w:rPr>
          <w:b/>
          <w:szCs w:val="22"/>
        </w:rPr>
      </w:pPr>
      <w:r w:rsidRPr="00D076BA">
        <w:rPr>
          <w:b/>
          <w:szCs w:val="22"/>
        </w:rPr>
        <w:lastRenderedPageBreak/>
        <w:t>Účasť Slovenskej republiky na európskych záchranných mechanizmoch a členstve v medzinárodných finančných inštitúciách</w:t>
      </w:r>
    </w:p>
    <w:p w14:paraId="24C0788D" w14:textId="77777777" w:rsidR="0015190C" w:rsidRPr="00D076BA" w:rsidRDefault="0015190C" w:rsidP="00BB1667">
      <w:pPr>
        <w:spacing w:after="0" w:line="240" w:lineRule="auto"/>
        <w:jc w:val="both"/>
        <w:rPr>
          <w:szCs w:val="22"/>
        </w:rPr>
      </w:pPr>
    </w:p>
    <w:p w14:paraId="06DD78EA" w14:textId="106331A8" w:rsidR="0015190C" w:rsidRPr="00D076BA" w:rsidRDefault="0015190C" w:rsidP="00F739C1">
      <w:pPr>
        <w:spacing w:after="120" w:line="240" w:lineRule="auto"/>
        <w:jc w:val="both"/>
        <w:rPr>
          <w:szCs w:val="22"/>
        </w:rPr>
      </w:pPr>
      <w:r w:rsidRPr="00D076BA">
        <w:rPr>
          <w:szCs w:val="22"/>
        </w:rPr>
        <w:t xml:space="preserve">Slovenská republika sa zaviazala poskytovať záruky za dlhové finančné inštrumenty vydávané </w:t>
      </w:r>
      <w:r w:rsidRPr="00D076BA">
        <w:rPr>
          <w:b/>
          <w:szCs w:val="22"/>
        </w:rPr>
        <w:t>Európskym nástrojom finančnej stability (EFSF)</w:t>
      </w:r>
      <w:r w:rsidRPr="00D076BA">
        <w:rPr>
          <w:szCs w:val="22"/>
        </w:rPr>
        <w:t xml:space="preserve"> v prípade žiadosti členského štátu eurozóny o finančnú podporu. V zmysle platnej a účinnej legislatívy (§</w:t>
      </w:r>
      <w:r w:rsidR="00E1792B">
        <w:rPr>
          <w:szCs w:val="22"/>
        </w:rPr>
        <w:t> </w:t>
      </w:r>
      <w:r w:rsidRPr="00D076BA">
        <w:rPr>
          <w:szCs w:val="22"/>
        </w:rPr>
        <w:t>5 zákona</w:t>
      </w:r>
      <w:r w:rsidR="00E1792B">
        <w:rPr>
          <w:szCs w:val="22"/>
        </w:rPr>
        <w:t> </w:t>
      </w:r>
      <w:r w:rsidRPr="00D076BA">
        <w:rPr>
          <w:szCs w:val="22"/>
        </w:rPr>
        <w:t>č.</w:t>
      </w:r>
      <w:r w:rsidR="00E1792B">
        <w:rPr>
          <w:szCs w:val="22"/>
        </w:rPr>
        <w:t> </w:t>
      </w:r>
      <w:r w:rsidRPr="00D076BA">
        <w:rPr>
          <w:szCs w:val="22"/>
        </w:rPr>
        <w:t>381/2010</w:t>
      </w:r>
      <w:r w:rsidR="00E1792B">
        <w:rPr>
          <w:szCs w:val="22"/>
        </w:rPr>
        <w:t> </w:t>
      </w:r>
      <w:r w:rsidRPr="00D076BA">
        <w:rPr>
          <w:szCs w:val="22"/>
        </w:rPr>
        <w:t>Z.</w:t>
      </w:r>
      <w:r w:rsidR="00E1792B">
        <w:rPr>
          <w:szCs w:val="22"/>
        </w:rPr>
        <w:t> </w:t>
      </w:r>
      <w:r w:rsidRPr="00D076BA">
        <w:rPr>
          <w:szCs w:val="22"/>
        </w:rPr>
        <w:t>z. o špecifických štátnych zárukách a o zmene a doplnení niektorých zákonov v znení neskorších predpisov) sa Slovenská republika musí podieľať na celkovej výške záruk podielom 7</w:t>
      </w:r>
      <w:r w:rsidR="00710B56">
        <w:rPr>
          <w:szCs w:val="22"/>
        </w:rPr>
        <w:t> </w:t>
      </w:r>
      <w:r w:rsidRPr="00D076BA">
        <w:rPr>
          <w:szCs w:val="22"/>
        </w:rPr>
        <w:t>727</w:t>
      </w:r>
      <w:r w:rsidR="00710B56">
        <w:rPr>
          <w:szCs w:val="22"/>
        </w:rPr>
        <w:t> </w:t>
      </w:r>
      <w:r w:rsidRPr="00D076BA">
        <w:rPr>
          <w:szCs w:val="22"/>
        </w:rPr>
        <w:t>570</w:t>
      </w:r>
      <w:r w:rsidR="00710B56">
        <w:rPr>
          <w:szCs w:val="22"/>
        </w:rPr>
        <w:t> </w:t>
      </w:r>
      <w:r w:rsidRPr="00D076BA">
        <w:rPr>
          <w:szCs w:val="22"/>
        </w:rPr>
        <w:t>tis.</w:t>
      </w:r>
      <w:r w:rsidR="00710B56">
        <w:rPr>
          <w:szCs w:val="22"/>
        </w:rPr>
        <w:t> </w:t>
      </w:r>
      <w:r w:rsidRPr="00D076BA">
        <w:rPr>
          <w:szCs w:val="22"/>
        </w:rPr>
        <w:t>eur. Zároveň sa musí podieľať na</w:t>
      </w:r>
      <w:r w:rsidR="00E1792B">
        <w:rPr>
          <w:szCs w:val="22"/>
        </w:rPr>
        <w:t> </w:t>
      </w:r>
      <w:r w:rsidRPr="00D076BA">
        <w:rPr>
          <w:szCs w:val="22"/>
        </w:rPr>
        <w:t>ďalších záručných mechanizmoch potrebných na získanie AAA ratingu pre EFSF, napríklad aj poskytnutím dodatočných záruk EFSF do výšky 165</w:t>
      </w:r>
      <w:r w:rsidR="00E1792B">
        <w:rPr>
          <w:szCs w:val="22"/>
        </w:rPr>
        <w:t> </w:t>
      </w:r>
      <w:r w:rsidRPr="00D076BA">
        <w:rPr>
          <w:szCs w:val="22"/>
        </w:rPr>
        <w:t>% svojho podielu na zárukách pre každú emisiu. K 31.</w:t>
      </w:r>
      <w:r w:rsidR="00710B56">
        <w:rPr>
          <w:szCs w:val="22"/>
        </w:rPr>
        <w:t> </w:t>
      </w:r>
      <w:r w:rsidRPr="00D076BA">
        <w:rPr>
          <w:szCs w:val="22"/>
        </w:rPr>
        <w:t>12.</w:t>
      </w:r>
      <w:r w:rsidR="00710B56">
        <w:rPr>
          <w:szCs w:val="22"/>
        </w:rPr>
        <w:t> </w:t>
      </w:r>
      <w:r w:rsidRPr="00D076BA">
        <w:rPr>
          <w:szCs w:val="22"/>
        </w:rPr>
        <w:t>2024 bol stav záruk vystavených Slovenskou republikou vo výške 2 281</w:t>
      </w:r>
      <w:r w:rsidR="00710B56">
        <w:rPr>
          <w:szCs w:val="22"/>
        </w:rPr>
        <w:t> </w:t>
      </w:r>
      <w:r w:rsidRPr="00D076BA">
        <w:rPr>
          <w:szCs w:val="22"/>
        </w:rPr>
        <w:t>365</w:t>
      </w:r>
      <w:r w:rsidR="00710B56">
        <w:rPr>
          <w:szCs w:val="22"/>
        </w:rPr>
        <w:t> </w:t>
      </w:r>
      <w:r w:rsidRPr="00D076BA">
        <w:rPr>
          <w:szCs w:val="22"/>
        </w:rPr>
        <w:t xml:space="preserve">tis. eur. </w:t>
      </w:r>
    </w:p>
    <w:p w14:paraId="79746B9E" w14:textId="3634C2BC" w:rsidR="0015190C" w:rsidRPr="00D076BA" w:rsidRDefault="0015190C" w:rsidP="00BB1667">
      <w:pPr>
        <w:spacing w:after="120"/>
        <w:jc w:val="both"/>
        <w:rPr>
          <w:szCs w:val="22"/>
        </w:rPr>
      </w:pPr>
      <w:r w:rsidRPr="00D076BA">
        <w:rPr>
          <w:szCs w:val="22"/>
        </w:rPr>
        <w:t>Európsky mechanizmus pre stabilitu (ďalej len „ESM“) tvorí súčasť druhej vlny balíka opatrení určených na</w:t>
      </w:r>
      <w:r w:rsidR="000F344D">
        <w:rPr>
          <w:szCs w:val="22"/>
        </w:rPr>
        <w:t> </w:t>
      </w:r>
      <w:r w:rsidRPr="00D076BA">
        <w:rPr>
          <w:szCs w:val="22"/>
        </w:rPr>
        <w:t>poskytovanie pomoci členským štátom eurozóny ocitávajúcich sa vo vážnych finančných problémoch s cieľom zabezpečiť stabilitu eurozóny samotnej.</w:t>
      </w:r>
    </w:p>
    <w:p w14:paraId="02517899" w14:textId="2E02D9CF" w:rsidR="0015190C" w:rsidRPr="00D076BA" w:rsidRDefault="0015190C" w:rsidP="00F739C1">
      <w:pPr>
        <w:spacing w:after="120" w:line="240" w:lineRule="auto"/>
        <w:jc w:val="both"/>
        <w:rPr>
          <w:szCs w:val="22"/>
        </w:rPr>
      </w:pPr>
      <w:r w:rsidRPr="00D076BA">
        <w:rPr>
          <w:b/>
          <w:szCs w:val="22"/>
        </w:rPr>
        <w:t>Európsky mechanizmus pre stabilitu (ESM)</w:t>
      </w:r>
      <w:r w:rsidRPr="00D076BA">
        <w:rPr>
          <w:szCs w:val="22"/>
        </w:rPr>
        <w:t xml:space="preserve"> je nasledovníkom EFSF, ktorý bol vytvorený na dobu určitú, t.</w:t>
      </w:r>
      <w:r w:rsidR="00E1792B">
        <w:rPr>
          <w:szCs w:val="22"/>
        </w:rPr>
        <w:t> </w:t>
      </w:r>
      <w:r w:rsidRPr="00D076BA">
        <w:rPr>
          <w:szCs w:val="22"/>
        </w:rPr>
        <w:t>j. do júna 2013. ESM bol založený ako medzivládna organizácia založená na základe medzivládnej zmluvy. Na</w:t>
      </w:r>
      <w:r w:rsidR="000A7A3A">
        <w:rPr>
          <w:szCs w:val="22"/>
        </w:rPr>
        <w:t> </w:t>
      </w:r>
      <w:r w:rsidRPr="00D076BA">
        <w:rPr>
          <w:szCs w:val="22"/>
        </w:rPr>
        <w:t xml:space="preserve">rozdiel od EFSF, ktorý funguje na báze záruk za dlhopisy emitované EFSF, sa do ESM prispieva priamo, a to formou upisovania akcií na základnom imaní spoločnosti. Slovenská republika splatila svoj podiel </w:t>
      </w:r>
      <w:r w:rsidRPr="000F344D">
        <w:t>na</w:t>
      </w:r>
      <w:r w:rsidR="000A7A3A">
        <w:t> </w:t>
      </w:r>
      <w:r w:rsidRPr="000F344D">
        <w:t>vlastnom</w:t>
      </w:r>
      <w:r w:rsidRPr="00D076BA">
        <w:rPr>
          <w:szCs w:val="22"/>
        </w:rPr>
        <w:t xml:space="preserve"> imaní vo výške</w:t>
      </w:r>
      <w:r w:rsidR="00710B56">
        <w:rPr>
          <w:szCs w:val="22"/>
        </w:rPr>
        <w:t> </w:t>
      </w:r>
      <w:r w:rsidRPr="00D076BA">
        <w:rPr>
          <w:szCs w:val="22"/>
        </w:rPr>
        <w:t>793</w:t>
      </w:r>
      <w:r w:rsidR="00710B56">
        <w:rPr>
          <w:szCs w:val="22"/>
        </w:rPr>
        <w:t> </w:t>
      </w:r>
      <w:r w:rsidRPr="00D076BA">
        <w:rPr>
          <w:szCs w:val="22"/>
        </w:rPr>
        <w:t>350</w:t>
      </w:r>
      <w:r w:rsidR="00710B56">
        <w:rPr>
          <w:szCs w:val="22"/>
        </w:rPr>
        <w:t> </w:t>
      </w:r>
      <w:r w:rsidRPr="00D076BA">
        <w:rPr>
          <w:szCs w:val="22"/>
        </w:rPr>
        <w:t>tis.</w:t>
      </w:r>
      <w:r w:rsidR="00710B56">
        <w:rPr>
          <w:szCs w:val="22"/>
        </w:rPr>
        <w:t> </w:t>
      </w:r>
      <w:r w:rsidRPr="00D076BA">
        <w:rPr>
          <w:szCs w:val="22"/>
        </w:rPr>
        <w:t>eur v šiestich splátkach. Slovenskej republike vypršala výnimka na</w:t>
      </w:r>
      <w:r w:rsidR="000F344D">
        <w:rPr>
          <w:szCs w:val="22"/>
        </w:rPr>
        <w:t> </w:t>
      </w:r>
      <w:r w:rsidRPr="00D076BA">
        <w:rPr>
          <w:szCs w:val="22"/>
        </w:rPr>
        <w:t>kľúči na určenie príspevkov do ESM k 1.</w:t>
      </w:r>
      <w:r w:rsidR="000A7A3A">
        <w:rPr>
          <w:szCs w:val="22"/>
        </w:rPr>
        <w:t> </w:t>
      </w:r>
      <w:r w:rsidRPr="00D076BA">
        <w:rPr>
          <w:szCs w:val="22"/>
        </w:rPr>
        <w:t>1.</w:t>
      </w:r>
      <w:r w:rsidR="000A7A3A">
        <w:rPr>
          <w:szCs w:val="22"/>
        </w:rPr>
        <w:t> </w:t>
      </w:r>
      <w:r w:rsidRPr="00D076BA">
        <w:rPr>
          <w:szCs w:val="22"/>
        </w:rPr>
        <w:t>2021, ktorá bola udelená na obdobie dvanástich rokov od</w:t>
      </w:r>
      <w:r w:rsidR="000A7A3A">
        <w:rPr>
          <w:szCs w:val="22"/>
        </w:rPr>
        <w:t> </w:t>
      </w:r>
      <w:r w:rsidRPr="00D076BA">
        <w:rPr>
          <w:szCs w:val="22"/>
        </w:rPr>
        <w:t>vstupu do eurozóny pre všetky krajiny, ktoré v čase vzniku ESM mali hodnotu HDP na obyvateľa nižšiu, ako je 75</w:t>
      </w:r>
      <w:r w:rsidR="000A7A3A">
        <w:rPr>
          <w:szCs w:val="22"/>
        </w:rPr>
        <w:t> </w:t>
      </w:r>
      <w:r w:rsidRPr="00D076BA">
        <w:rPr>
          <w:szCs w:val="22"/>
        </w:rPr>
        <w:t>% priemeru Európskej únie. Slovenská republika preto uhradila</w:t>
      </w:r>
      <w:r w:rsidR="00710B56">
        <w:rPr>
          <w:szCs w:val="22"/>
        </w:rPr>
        <w:t> </w:t>
      </w:r>
      <w:r w:rsidRPr="00D076BA">
        <w:rPr>
          <w:szCs w:val="22"/>
        </w:rPr>
        <w:t>134</w:t>
      </w:r>
      <w:r w:rsidR="00710B56">
        <w:rPr>
          <w:szCs w:val="22"/>
        </w:rPr>
        <w:t> </w:t>
      </w:r>
      <w:r w:rsidRPr="00D076BA">
        <w:rPr>
          <w:szCs w:val="22"/>
        </w:rPr>
        <w:t>150</w:t>
      </w:r>
      <w:r w:rsidR="00710B56">
        <w:rPr>
          <w:szCs w:val="22"/>
        </w:rPr>
        <w:t> </w:t>
      </w:r>
      <w:r w:rsidRPr="00D076BA">
        <w:rPr>
          <w:szCs w:val="22"/>
        </w:rPr>
        <w:t>tis.</w:t>
      </w:r>
      <w:r w:rsidR="00710B56">
        <w:rPr>
          <w:szCs w:val="22"/>
        </w:rPr>
        <w:t> </w:t>
      </w:r>
      <w:r w:rsidRPr="00D076BA">
        <w:rPr>
          <w:szCs w:val="22"/>
        </w:rPr>
        <w:t>eur v decembri 2020, čo upravilo kľúč na určenie príspevkov do ESM pre Slovenskú republiku na hodnotu 0,985</w:t>
      </w:r>
      <w:r w:rsidR="000A7A3A">
        <w:rPr>
          <w:szCs w:val="22"/>
        </w:rPr>
        <w:t> </w:t>
      </w:r>
      <w:r w:rsidRPr="00D076BA">
        <w:rPr>
          <w:szCs w:val="22"/>
        </w:rPr>
        <w:t>%. Navýšenie splatného kapitálu bolo schválené Národnou radou SR dňa 5.</w:t>
      </w:r>
      <w:r w:rsidR="00710B56">
        <w:rPr>
          <w:szCs w:val="22"/>
        </w:rPr>
        <w:t> </w:t>
      </w:r>
      <w:r w:rsidRPr="00D076BA">
        <w:rPr>
          <w:szCs w:val="22"/>
        </w:rPr>
        <w:t>11.</w:t>
      </w:r>
      <w:r w:rsidR="00710B56">
        <w:rPr>
          <w:szCs w:val="22"/>
        </w:rPr>
        <w:t> </w:t>
      </w:r>
      <w:r w:rsidRPr="00D076BA">
        <w:rPr>
          <w:szCs w:val="22"/>
        </w:rPr>
        <w:t>2020.</w:t>
      </w:r>
    </w:p>
    <w:p w14:paraId="0A8C4427" w14:textId="198F2491" w:rsidR="0015190C" w:rsidRPr="00D076BA" w:rsidRDefault="0015190C" w:rsidP="00F739C1">
      <w:pPr>
        <w:spacing w:after="120" w:line="240" w:lineRule="auto"/>
        <w:jc w:val="both"/>
        <w:rPr>
          <w:szCs w:val="22"/>
        </w:rPr>
      </w:pPr>
      <w:r w:rsidRPr="00D076BA">
        <w:rPr>
          <w:szCs w:val="22"/>
        </w:rPr>
        <w:t>Slovenská republika sa zároveň zaviazala, že v prípade, ak úroveň splateného imania klesne pod schválených 80</w:t>
      </w:r>
      <w:r w:rsidR="00710B56">
        <w:rPr>
          <w:szCs w:val="22"/>
        </w:rPr>
        <w:t> </w:t>
      </w:r>
      <w:r w:rsidRPr="00D076BA">
        <w:rPr>
          <w:szCs w:val="22"/>
        </w:rPr>
        <w:t>000</w:t>
      </w:r>
      <w:r w:rsidR="00710B56">
        <w:rPr>
          <w:szCs w:val="22"/>
        </w:rPr>
        <w:t> </w:t>
      </w:r>
      <w:r w:rsidRPr="00D076BA">
        <w:rPr>
          <w:szCs w:val="22"/>
        </w:rPr>
        <w:t>000</w:t>
      </w:r>
      <w:r w:rsidR="00710B56">
        <w:rPr>
          <w:szCs w:val="22"/>
        </w:rPr>
        <w:t> </w:t>
      </w:r>
      <w:r w:rsidRPr="00D076BA">
        <w:rPr>
          <w:szCs w:val="22"/>
        </w:rPr>
        <w:t>tis.</w:t>
      </w:r>
      <w:r w:rsidR="00710B56">
        <w:rPr>
          <w:szCs w:val="22"/>
        </w:rPr>
        <w:t> </w:t>
      </w:r>
      <w:r w:rsidRPr="00D076BA">
        <w:rPr>
          <w:szCs w:val="22"/>
        </w:rPr>
        <w:t>eur absorbovaním strát ESM, Správna rada ESM vyzve akcionárov ESM na jeho splatenie (proces sa týka iba poklesu splateného imania, ktorý by mal v prípade jeho nedoplnenia za následok stratu „AAA“ ratingu ESM), alebo ak je potrebné zabrániť omeškaniu ESM v platení povinností voči svojim veriteľom, má generálny riaditeľ ESM právo vyzvať na úhradu upísaného základného imania prostredníctvom výzvy. Súčet výziev Správnej rady ESM a/alebo generálneho riaditeľa ESM nemôže v prípade Slovenskej republiky presiahnuť sumu 6 144 110 tis. eur.</w:t>
      </w:r>
    </w:p>
    <w:p w14:paraId="421F32FC" w14:textId="468DFFF0" w:rsidR="0015190C" w:rsidRPr="00D076BA" w:rsidRDefault="0015190C" w:rsidP="00F739C1">
      <w:pPr>
        <w:spacing w:after="120" w:line="240" w:lineRule="auto"/>
        <w:jc w:val="both"/>
        <w:rPr>
          <w:szCs w:val="22"/>
        </w:rPr>
      </w:pPr>
      <w:r w:rsidRPr="00D076BA">
        <w:rPr>
          <w:szCs w:val="22"/>
        </w:rPr>
        <w:t>Podľa informácie z ESM vklad – splatené základné imanie ESM k 31.12.2024 predstavuje</w:t>
      </w:r>
      <w:r w:rsidR="00710B56">
        <w:rPr>
          <w:szCs w:val="22"/>
        </w:rPr>
        <w:t> </w:t>
      </w:r>
      <w:r w:rsidRPr="00D076BA">
        <w:rPr>
          <w:szCs w:val="22"/>
        </w:rPr>
        <w:t>792 790 tis. eur. Táto suma sa v najbližšej dobe bude meniť na základe rozhodnutia z 5. decembra 2022, kedy sa Rada guvernérov ESM dohodla, že kľúč na určenie príspevkov do ESM sa pre všetky členské štáty upraví, keď sa</w:t>
      </w:r>
      <w:r w:rsidR="000F344D">
        <w:rPr>
          <w:szCs w:val="22"/>
        </w:rPr>
        <w:t> </w:t>
      </w:r>
      <w:r w:rsidRPr="00D076BA">
        <w:rPr>
          <w:szCs w:val="22"/>
        </w:rPr>
        <w:t>členom stane ďalšia krajina, alebo najneskôr do 1. januára 2026, keď sa skončí dočasná korekcia pre</w:t>
      </w:r>
      <w:r w:rsidR="000F344D">
        <w:rPr>
          <w:szCs w:val="22"/>
        </w:rPr>
        <w:t> </w:t>
      </w:r>
      <w:r w:rsidRPr="00D076BA">
        <w:rPr>
          <w:szCs w:val="22"/>
        </w:rPr>
        <w:t>Lotyšsko. O oboch návrhoch bude Rada guvernérov hlasovať na konci roka 2025. Očakáva sa teda, že príspevok Slovenska na upísaný a splatený kapitál sa od roku 2026 zvýši.</w:t>
      </w:r>
    </w:p>
    <w:p w14:paraId="3E6B8B30" w14:textId="3E6A9B3D" w:rsidR="0015190C" w:rsidRPr="00D076BA" w:rsidRDefault="0015190C" w:rsidP="00F739C1">
      <w:pPr>
        <w:spacing w:after="120" w:line="240" w:lineRule="auto"/>
        <w:jc w:val="both"/>
        <w:rPr>
          <w:szCs w:val="22"/>
        </w:rPr>
      </w:pPr>
      <w:r w:rsidRPr="00D076BA">
        <w:rPr>
          <w:szCs w:val="22"/>
          <w:u w:val="single"/>
        </w:rPr>
        <w:t>Na základe Dohody o príspevku uzatvorenej medzi Slovenskou republikou a Európskou investičnou bankou (EIB)</w:t>
      </w:r>
      <w:r w:rsidRPr="00D076BA">
        <w:rPr>
          <w:szCs w:val="22"/>
        </w:rPr>
        <w:t xml:space="preserve"> v súvislosti s Paneurópskym záručným fondom v reakcii na COVID-19 (ďalej len „EGF“), ktorá bola schválená uznesením vlády SR č. 473 zo dňa 15. júla 2020, vznikol Slovenskej republike záväzok na úhradu záruk splatných na vyzvanie zo strany EIB. V rokoch 2021 až 2023 bolo na základe pravidelných žiadostí o platbu realizovaných osem platieb, ktoré znížili pôvodný zmluvný záväzok vo výške</w:t>
      </w:r>
      <w:r w:rsidR="00710B56">
        <w:rPr>
          <w:szCs w:val="22"/>
        </w:rPr>
        <w:t> </w:t>
      </w:r>
      <w:r w:rsidRPr="00D076BA">
        <w:rPr>
          <w:szCs w:val="22"/>
        </w:rPr>
        <w:t>75 484 tis. eur. V roku 2024 bola najskôr realizovaná ďalšia platba vo výške 172 tis. eur a následne na základe rozhodnutia Výboru prispievateľov z 20. novembra 2023 došlo k 31. januáru 2024 k zníženiu celkového objemu EGF z dôvodu nevyužitia celkových plánovaných zdrojov. Celková veľkosť fondu bola zredukovaná, a tým bol zároveň znížený aj celkový implicitný záväzok SR voči EIB z titulu EGF na úroveň 56 907 tis. eur, pričom podiel SR na EGF je identický s podielom SR na kapitále EIB (0,31</w:t>
      </w:r>
      <w:r w:rsidR="000A7A3A">
        <w:rPr>
          <w:szCs w:val="22"/>
        </w:rPr>
        <w:t> </w:t>
      </w:r>
      <w:r w:rsidRPr="00D076BA">
        <w:rPr>
          <w:szCs w:val="22"/>
        </w:rPr>
        <w:t>%). Od apríla do decembra 2024 boli na</w:t>
      </w:r>
      <w:r w:rsidR="000F344D">
        <w:rPr>
          <w:szCs w:val="22"/>
        </w:rPr>
        <w:t> </w:t>
      </w:r>
      <w:r w:rsidRPr="00D076BA">
        <w:rPr>
          <w:szCs w:val="22"/>
        </w:rPr>
        <w:t>základe žiadostí o platbu realizované ďalšie tri platby v celkovom objeme</w:t>
      </w:r>
      <w:r w:rsidR="00710B56">
        <w:rPr>
          <w:szCs w:val="22"/>
        </w:rPr>
        <w:t> </w:t>
      </w:r>
      <w:r w:rsidRPr="00D076BA">
        <w:rPr>
          <w:szCs w:val="22"/>
        </w:rPr>
        <w:t>868 tis. eur. Stav k 31. decembru 2024 bol vo výške</w:t>
      </w:r>
      <w:r w:rsidR="00710B56">
        <w:rPr>
          <w:szCs w:val="22"/>
        </w:rPr>
        <w:t> </w:t>
      </w:r>
      <w:r w:rsidRPr="00D076BA">
        <w:rPr>
          <w:szCs w:val="22"/>
        </w:rPr>
        <w:t>56 038 tis. eur.</w:t>
      </w:r>
    </w:p>
    <w:p w14:paraId="3EC78ACD" w14:textId="0EF260EB" w:rsidR="0015190C" w:rsidRPr="00D076BA" w:rsidRDefault="0015190C" w:rsidP="00F739C1">
      <w:pPr>
        <w:spacing w:after="120" w:line="240" w:lineRule="auto"/>
        <w:jc w:val="both"/>
        <w:rPr>
          <w:szCs w:val="22"/>
        </w:rPr>
      </w:pPr>
      <w:r w:rsidRPr="00D076BA">
        <w:rPr>
          <w:szCs w:val="22"/>
          <w:u w:val="single"/>
        </w:rPr>
        <w:t>Na základe Dohody o príspevku medzi Európskou investičnou bankou (EIB) a Slovenskou republikou</w:t>
      </w:r>
      <w:r w:rsidRPr="00D076BA">
        <w:rPr>
          <w:szCs w:val="22"/>
        </w:rPr>
        <w:t xml:space="preserve"> a Dohody o záruke medzi pôvodnými ručiteľmi a priebežne pristupujúcimi ručiteľmi a EIB v súvislosti s Fondom Európskej únie pre Ukrajinu (EU4U), ktoré boli schválené uznesením vlády č.</w:t>
      </w:r>
      <w:r w:rsidR="000A7A3A">
        <w:rPr>
          <w:szCs w:val="22"/>
        </w:rPr>
        <w:t> </w:t>
      </w:r>
      <w:r w:rsidRPr="00D076BA">
        <w:rPr>
          <w:szCs w:val="22"/>
        </w:rPr>
        <w:t xml:space="preserve">572/2024 </w:t>
      </w:r>
      <w:r w:rsidRPr="00D076BA">
        <w:rPr>
          <w:szCs w:val="22"/>
        </w:rPr>
        <w:lastRenderedPageBreak/>
        <w:t>z 2. októbra 2024, bol zaevidovaný podmienený záväzok vo výške 5 000 tis.</w:t>
      </w:r>
      <w:r w:rsidR="00710B56">
        <w:rPr>
          <w:szCs w:val="22"/>
        </w:rPr>
        <w:t> </w:t>
      </w:r>
      <w:r w:rsidRPr="00D076BA">
        <w:rPr>
          <w:szCs w:val="22"/>
        </w:rPr>
        <w:t>eur. Pôvodný zmluvný záväzok bol v roku 2024 znížený prvou platbou vo výške</w:t>
      </w:r>
      <w:r w:rsidR="00710B56">
        <w:rPr>
          <w:szCs w:val="22"/>
        </w:rPr>
        <w:t> </w:t>
      </w:r>
      <w:r w:rsidRPr="00D076BA">
        <w:rPr>
          <w:szCs w:val="22"/>
        </w:rPr>
        <w:t>147 tis. eur na základe žiadosti o platbu zo strany EIB. Stav k 31. decembru 2024 bol vo výške</w:t>
      </w:r>
      <w:r w:rsidR="00710B56">
        <w:rPr>
          <w:szCs w:val="22"/>
        </w:rPr>
        <w:t> </w:t>
      </w:r>
      <w:r w:rsidRPr="00D076BA">
        <w:rPr>
          <w:szCs w:val="22"/>
        </w:rPr>
        <w:t>4 853 tis.</w:t>
      </w:r>
      <w:r w:rsidR="00710B56">
        <w:rPr>
          <w:szCs w:val="22"/>
        </w:rPr>
        <w:t> </w:t>
      </w:r>
      <w:r w:rsidRPr="00D076BA">
        <w:rPr>
          <w:szCs w:val="22"/>
        </w:rPr>
        <w:t>eur.</w:t>
      </w:r>
    </w:p>
    <w:p w14:paraId="0824B690" w14:textId="682AD9B9" w:rsidR="0015190C" w:rsidRPr="00D076BA" w:rsidRDefault="0015190C" w:rsidP="00F739C1">
      <w:pPr>
        <w:spacing w:before="120" w:after="120" w:line="240" w:lineRule="auto"/>
        <w:jc w:val="both"/>
        <w:rPr>
          <w:szCs w:val="22"/>
        </w:rPr>
      </w:pPr>
      <w:r w:rsidRPr="00D076BA">
        <w:rPr>
          <w:szCs w:val="22"/>
          <w:u w:val="single"/>
        </w:rPr>
        <w:t>Kapitálová účasť v Medzinárodnej banke pre obnovu a rozvoj</w:t>
      </w:r>
      <w:r w:rsidRPr="00D076BA">
        <w:rPr>
          <w:szCs w:val="22"/>
        </w:rPr>
        <w:t xml:space="preserve"> (IBRD). Slovenská republika sa k navýšeniu základného imania IBRD zaviazala vo februári 2019, v rámci ktorého upísala do konca roku 2023 celkovo</w:t>
      </w:r>
      <w:r w:rsidR="00710B56">
        <w:rPr>
          <w:szCs w:val="22"/>
        </w:rPr>
        <w:t> </w:t>
      </w:r>
      <w:r w:rsidRPr="00D076BA">
        <w:rPr>
          <w:szCs w:val="22"/>
        </w:rPr>
        <w:t>11 827 tis. USD v piatich splátkach, pričom výška kapitálovej účasti Slovenskej republiky je celkovo 41 009 tis. USD. Oproti roku 2023 sa účasť Slovenskej republiky na základnom imaní nezmenila</w:t>
      </w:r>
      <w:r w:rsidR="00710B56">
        <w:rPr>
          <w:szCs w:val="22"/>
        </w:rPr>
        <w:t> </w:t>
      </w:r>
      <w:r w:rsidRPr="00D076BA">
        <w:rPr>
          <w:szCs w:val="22"/>
        </w:rPr>
        <w:t>(536 229 tis.</w:t>
      </w:r>
      <w:r w:rsidR="000A7A3A">
        <w:rPr>
          <w:szCs w:val="22"/>
        </w:rPr>
        <w:t> </w:t>
      </w:r>
      <w:r w:rsidRPr="00D076BA">
        <w:rPr>
          <w:szCs w:val="22"/>
        </w:rPr>
        <w:t>USD) ale zvýšila sa o kurzové rozdiely vo výške</w:t>
      </w:r>
      <w:r w:rsidR="00710B56">
        <w:rPr>
          <w:szCs w:val="22"/>
        </w:rPr>
        <w:t> </w:t>
      </w:r>
      <w:r w:rsidRPr="00D076BA">
        <w:rPr>
          <w:szCs w:val="22"/>
        </w:rPr>
        <w:t>30 876 tis. eur.</w:t>
      </w:r>
    </w:p>
    <w:p w14:paraId="57B59868" w14:textId="77777777" w:rsidR="0015190C" w:rsidRPr="00D076BA" w:rsidRDefault="0015190C" w:rsidP="00BB1667">
      <w:pPr>
        <w:spacing w:after="0" w:line="240" w:lineRule="auto"/>
        <w:jc w:val="both"/>
        <w:rPr>
          <w:b/>
          <w:szCs w:val="22"/>
        </w:rPr>
      </w:pPr>
      <w:r w:rsidRPr="00D076BA">
        <w:rPr>
          <w:b/>
          <w:szCs w:val="22"/>
        </w:rPr>
        <w:t>Arbitrážne konania</w:t>
      </w:r>
    </w:p>
    <w:p w14:paraId="03B0F116" w14:textId="1CF7A8EE" w:rsidR="0015190C" w:rsidRPr="00D076BA" w:rsidRDefault="0015190C" w:rsidP="00F739C1">
      <w:pPr>
        <w:spacing w:before="120" w:after="120" w:line="240" w:lineRule="auto"/>
        <w:jc w:val="both"/>
        <w:rPr>
          <w:szCs w:val="22"/>
        </w:rPr>
      </w:pPr>
      <w:r w:rsidRPr="00D076BA">
        <w:rPr>
          <w:szCs w:val="22"/>
          <w:lang w:eastAsia="sk-SK"/>
        </w:rPr>
        <w:t xml:space="preserve">Arbitráž je vedená so spoločnosťou Achmea B.V. z dôvodu zákazu zisku zdravotných poisťovní v roku 2007. </w:t>
      </w:r>
      <w:r w:rsidRPr="00D076BA">
        <w:rPr>
          <w:szCs w:val="22"/>
        </w:rPr>
        <w:t>V tejto arbitráži, vedenej podľa bilaterálnej investičnej dohody medzi SR a Holandským kráľovstvom, bol v decembri 2012 vydaný rozsudok, ktorým arbitrážny tribunál nariadil SR zaplatiť žalobcovi – holandskej spoločnosti Achmea B.V. – odškodnenie vo výške cca</w:t>
      </w:r>
      <w:r w:rsidR="00710B56">
        <w:rPr>
          <w:szCs w:val="22"/>
        </w:rPr>
        <w:t> </w:t>
      </w:r>
      <w:r w:rsidRPr="00D076BA">
        <w:rPr>
          <w:szCs w:val="22"/>
        </w:rPr>
        <w:t>25</w:t>
      </w:r>
      <w:r w:rsidR="00710B56">
        <w:rPr>
          <w:szCs w:val="22"/>
        </w:rPr>
        <w:t> </w:t>
      </w:r>
      <w:r w:rsidRPr="00D076BA">
        <w:rPr>
          <w:szCs w:val="22"/>
        </w:rPr>
        <w:t>200 tis.</w:t>
      </w:r>
      <w:r w:rsidR="00710B56">
        <w:rPr>
          <w:szCs w:val="22"/>
        </w:rPr>
        <w:t> </w:t>
      </w:r>
      <w:r w:rsidRPr="00D076BA">
        <w:rPr>
          <w:szCs w:val="22"/>
        </w:rPr>
        <w:t>eur plus úroky vo výške cca</w:t>
      </w:r>
      <w:r w:rsidR="00710B56">
        <w:rPr>
          <w:szCs w:val="22"/>
        </w:rPr>
        <w:t> </w:t>
      </w:r>
      <w:r w:rsidRPr="00D076BA">
        <w:rPr>
          <w:szCs w:val="22"/>
        </w:rPr>
        <w:t>2</w:t>
      </w:r>
      <w:r w:rsidR="00710B56">
        <w:rPr>
          <w:szCs w:val="22"/>
        </w:rPr>
        <w:t> </w:t>
      </w:r>
      <w:r w:rsidRPr="00D076BA">
        <w:rPr>
          <w:szCs w:val="22"/>
        </w:rPr>
        <w:t>900</w:t>
      </w:r>
      <w:r w:rsidR="00710B56">
        <w:rPr>
          <w:szCs w:val="22"/>
        </w:rPr>
        <w:t> </w:t>
      </w:r>
      <w:r w:rsidRPr="00D076BA">
        <w:rPr>
          <w:szCs w:val="22"/>
        </w:rPr>
        <w:t>tis.</w:t>
      </w:r>
      <w:r w:rsidR="00710B56">
        <w:rPr>
          <w:szCs w:val="22"/>
        </w:rPr>
        <w:t xml:space="preserve"> </w:t>
      </w:r>
      <w:r w:rsidRPr="00D076BA">
        <w:rPr>
          <w:szCs w:val="22"/>
        </w:rPr>
        <w:t>eur. Konanie o zrušení tohto rozsudku ako aj jurisdikčného rozhodnutia v tomto spore bolo právoplatne ukončené rozhodnutím Najvyššieho spolkového súdu v Nemecku dňa 31. októbra 2018, čím bol arbitrážny rozsudok ako taký zrušený. Achmea taktiež iniciovala konanie pred Luxemburským súdom o výkon rozhodnutia arbitrážneho tribunálu z decembra 2012. Súd v tomto konaní nariadil zablokovanie slovenského majetku v hodnote približne</w:t>
      </w:r>
      <w:r w:rsidR="00710B56">
        <w:rPr>
          <w:szCs w:val="22"/>
        </w:rPr>
        <w:t> </w:t>
      </w:r>
      <w:r w:rsidRPr="00D076BA">
        <w:rPr>
          <w:szCs w:val="22"/>
        </w:rPr>
        <w:t>30</w:t>
      </w:r>
      <w:r w:rsidR="00710B56">
        <w:rPr>
          <w:szCs w:val="22"/>
        </w:rPr>
        <w:t> </w:t>
      </w:r>
      <w:r w:rsidRPr="00D076BA">
        <w:rPr>
          <w:szCs w:val="22"/>
        </w:rPr>
        <w:t>000</w:t>
      </w:r>
      <w:r w:rsidR="00710B56">
        <w:rPr>
          <w:szCs w:val="22"/>
        </w:rPr>
        <w:t> </w:t>
      </w:r>
      <w:r w:rsidRPr="00D076BA">
        <w:rPr>
          <w:szCs w:val="22"/>
        </w:rPr>
        <w:t>tis. eur, pričom hodnota sporu určená Medzinárodným tribunálom bola</w:t>
      </w:r>
      <w:r w:rsidR="00710B56">
        <w:rPr>
          <w:szCs w:val="22"/>
        </w:rPr>
        <w:t> </w:t>
      </w:r>
      <w:r w:rsidRPr="00D076BA">
        <w:rPr>
          <w:szCs w:val="22"/>
        </w:rPr>
        <w:t>28 187 tis. eur. Hodnota sporu bola prehodnotená k 1. novembru 2017 na hodnotu</w:t>
      </w:r>
      <w:r w:rsidR="00710B56">
        <w:rPr>
          <w:szCs w:val="22"/>
        </w:rPr>
        <w:t> </w:t>
      </w:r>
      <w:r w:rsidRPr="00D076BA">
        <w:rPr>
          <w:szCs w:val="22"/>
        </w:rPr>
        <w:t xml:space="preserve">28 692 tis. eur. Dňa 13. septembra 2024 nemecký Ústavný súd vydal svoje uznesenie o neprípustnosti ústavnej sťažnosti, v ktorom zamietol všetky body ústavnej sťažnosti. Na základe tohto rozhodnutia Luxemburský súd odblokoval prostriedky Slovenskej republiky, ktoré boli vrátené na účet Ministerstva financií Slovenskej republiky. </w:t>
      </w:r>
      <w:r w:rsidR="00073975">
        <w:rPr>
          <w:szCs w:val="22"/>
        </w:rPr>
        <w:t>Dlhoročný a</w:t>
      </w:r>
      <w:r w:rsidRPr="00D076BA">
        <w:rPr>
          <w:szCs w:val="22"/>
        </w:rPr>
        <w:t>rbitrážny spor je týmto definitívne ukončený</w:t>
      </w:r>
      <w:r w:rsidR="00073975">
        <w:rPr>
          <w:szCs w:val="22"/>
        </w:rPr>
        <w:t>, v prospech Slovenskej republiky.</w:t>
      </w:r>
    </w:p>
    <w:p w14:paraId="2D84DDFD" w14:textId="77777777" w:rsidR="00F739C1" w:rsidRDefault="0015190C" w:rsidP="00F739C1">
      <w:pPr>
        <w:spacing w:after="120" w:line="240" w:lineRule="auto"/>
        <w:jc w:val="both"/>
        <w:rPr>
          <w:b/>
          <w:szCs w:val="22"/>
          <w:lang w:eastAsia="sk-SK"/>
        </w:rPr>
      </w:pPr>
      <w:r w:rsidRPr="00D076BA">
        <w:rPr>
          <w:b/>
          <w:szCs w:val="22"/>
          <w:lang w:eastAsia="sk-SK"/>
        </w:rPr>
        <w:t>Hroziace alebo prebiehajúce súdne spory</w:t>
      </w:r>
    </w:p>
    <w:p w14:paraId="3D4DEA9F" w14:textId="77777777" w:rsidR="00221CF7" w:rsidRDefault="0015190C" w:rsidP="00221CF7">
      <w:pPr>
        <w:spacing w:after="120" w:line="240" w:lineRule="auto"/>
        <w:jc w:val="both"/>
        <w:rPr>
          <w:szCs w:val="22"/>
          <w:lang w:eastAsia="sk-SK"/>
        </w:rPr>
      </w:pPr>
      <w:r w:rsidRPr="00D076BA">
        <w:rPr>
          <w:szCs w:val="22"/>
          <w:lang w:eastAsia="sk-SK"/>
        </w:rPr>
        <w:t xml:space="preserve">Žaloby, ktoré rieši </w:t>
      </w:r>
      <w:r w:rsidRPr="00D076BA">
        <w:rPr>
          <w:b/>
          <w:szCs w:val="22"/>
          <w:lang w:eastAsia="sk-SK"/>
        </w:rPr>
        <w:t xml:space="preserve">Ministerstvo financií SR </w:t>
      </w:r>
      <w:r w:rsidRPr="00D076BA">
        <w:rPr>
          <w:szCs w:val="22"/>
          <w:lang w:eastAsia="sk-SK"/>
        </w:rPr>
        <w:t>v úhrnnej hodnote</w:t>
      </w:r>
      <w:r w:rsidR="00710B56">
        <w:rPr>
          <w:szCs w:val="22"/>
          <w:lang w:eastAsia="sk-SK"/>
        </w:rPr>
        <w:t> </w:t>
      </w:r>
      <w:r w:rsidRPr="00D076BA">
        <w:rPr>
          <w:szCs w:val="22"/>
          <w:lang w:eastAsia="sk-SK"/>
        </w:rPr>
        <w:t>1</w:t>
      </w:r>
      <w:r w:rsidR="005B2DB0">
        <w:rPr>
          <w:szCs w:val="22"/>
          <w:lang w:eastAsia="sk-SK"/>
        </w:rPr>
        <w:t> </w:t>
      </w:r>
      <w:r w:rsidRPr="00D076BA">
        <w:rPr>
          <w:szCs w:val="22"/>
          <w:lang w:eastAsia="sk-SK"/>
        </w:rPr>
        <w:t>105</w:t>
      </w:r>
      <w:r w:rsidR="005B2DB0">
        <w:rPr>
          <w:szCs w:val="22"/>
          <w:lang w:eastAsia="sk-SK"/>
        </w:rPr>
        <w:t> </w:t>
      </w:r>
      <w:r w:rsidRPr="00D076BA">
        <w:rPr>
          <w:szCs w:val="22"/>
          <w:lang w:eastAsia="sk-SK"/>
        </w:rPr>
        <w:t>784</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 sú najmä o náhradu škody uplatňovanej podľa zákona č. 514/2003 Z. z. o zodpovednosti za škodu spôsobenú pri výkone verejnej moci a o zmene niektorých zákonov, v ktorých Ministerstvo financií SR zastupuje pred súdom aj iné orgány verejnej moci. Medziročný pokles v</w:t>
      </w:r>
      <w:r w:rsidR="005B2DB0">
        <w:rPr>
          <w:szCs w:val="22"/>
          <w:lang w:eastAsia="sk-SK"/>
        </w:rPr>
        <w:t> </w:t>
      </w:r>
      <w:r w:rsidRPr="00D076BA">
        <w:rPr>
          <w:szCs w:val="22"/>
          <w:lang w:eastAsia="sk-SK"/>
        </w:rPr>
        <w:t>hodnote</w:t>
      </w:r>
      <w:r w:rsidR="005B2DB0">
        <w:rPr>
          <w:szCs w:val="22"/>
          <w:lang w:eastAsia="sk-SK"/>
        </w:rPr>
        <w:t> </w:t>
      </w:r>
      <w:r w:rsidRPr="00D076BA">
        <w:rPr>
          <w:szCs w:val="22"/>
          <w:lang w:eastAsia="sk-SK"/>
        </w:rPr>
        <w:t>313</w:t>
      </w:r>
      <w:r w:rsidR="005B2DB0">
        <w:rPr>
          <w:szCs w:val="22"/>
          <w:lang w:eastAsia="sk-SK"/>
        </w:rPr>
        <w:t> </w:t>
      </w:r>
      <w:r w:rsidRPr="00D076BA">
        <w:rPr>
          <w:szCs w:val="22"/>
          <w:lang w:eastAsia="sk-SK"/>
        </w:rPr>
        <w:t>950</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 vyplýva z ukončených pasívnych súdnych sporov.</w:t>
      </w:r>
    </w:p>
    <w:p w14:paraId="4CB5D47B" w14:textId="77777777" w:rsidR="00221CF7" w:rsidRDefault="0015190C" w:rsidP="00221CF7">
      <w:pPr>
        <w:spacing w:after="120" w:line="240" w:lineRule="auto"/>
        <w:jc w:val="both"/>
        <w:rPr>
          <w:szCs w:val="22"/>
          <w:lang w:eastAsia="sk-SK"/>
        </w:rPr>
      </w:pPr>
      <w:r w:rsidRPr="00D076BA">
        <w:rPr>
          <w:b/>
          <w:szCs w:val="22"/>
          <w:lang w:eastAsia="sk-SK"/>
        </w:rPr>
        <w:t xml:space="preserve">Ministerstvo práce, sociálnych vecí a rodiny SR </w:t>
      </w:r>
      <w:r w:rsidRPr="00D076BA">
        <w:rPr>
          <w:szCs w:val="22"/>
          <w:lang w:eastAsia="sk-SK"/>
        </w:rPr>
        <w:t>eviduje najvýznamnejší spor s fyzickou osobou o náhradu škody vo výške</w:t>
      </w:r>
      <w:r w:rsidR="005B2DB0">
        <w:rPr>
          <w:szCs w:val="22"/>
          <w:lang w:eastAsia="sk-SK"/>
        </w:rPr>
        <w:t> </w:t>
      </w:r>
      <w:r w:rsidRPr="00D076BA">
        <w:rPr>
          <w:szCs w:val="22"/>
          <w:lang w:eastAsia="sk-SK"/>
        </w:rPr>
        <w:t>450</w:t>
      </w:r>
      <w:r w:rsidR="005B2DB0">
        <w:rPr>
          <w:szCs w:val="22"/>
          <w:lang w:eastAsia="sk-SK"/>
        </w:rPr>
        <w:t> </w:t>
      </w:r>
      <w:r w:rsidRPr="00D076BA">
        <w:rPr>
          <w:szCs w:val="22"/>
          <w:lang w:eastAsia="sk-SK"/>
        </w:rPr>
        <w:t>000</w:t>
      </w:r>
      <w:r w:rsidR="005B2DB0">
        <w:rPr>
          <w:szCs w:val="22"/>
          <w:lang w:eastAsia="sk-SK"/>
        </w:rPr>
        <w:t> </w:t>
      </w:r>
      <w:r w:rsidRPr="00D076BA">
        <w:rPr>
          <w:szCs w:val="22"/>
          <w:lang w:eastAsia="sk-SK"/>
        </w:rPr>
        <w:t>tis.</w:t>
      </w:r>
      <w:r w:rsidR="000A7A3A">
        <w:rPr>
          <w:szCs w:val="22"/>
          <w:lang w:eastAsia="sk-SK"/>
        </w:rPr>
        <w:t> </w:t>
      </w:r>
      <w:r w:rsidRPr="00D076BA">
        <w:rPr>
          <w:szCs w:val="22"/>
          <w:lang w:eastAsia="sk-SK"/>
        </w:rPr>
        <w:t>eur, ktorá mala byť spôsobená údajnou nečinnosťou a nesprávnym úradným postupom.</w:t>
      </w:r>
    </w:p>
    <w:p w14:paraId="3B0C20D2" w14:textId="24EA546E" w:rsidR="0015190C" w:rsidRPr="003F48F4" w:rsidRDefault="0015190C" w:rsidP="00221CF7">
      <w:pPr>
        <w:spacing w:after="120" w:line="240" w:lineRule="auto"/>
        <w:jc w:val="both"/>
        <w:rPr>
          <w:bCs/>
          <w:color w:val="FF0000"/>
          <w:szCs w:val="22"/>
        </w:rPr>
      </w:pPr>
      <w:r w:rsidRPr="00D076BA">
        <w:rPr>
          <w:b/>
          <w:bCs/>
          <w:szCs w:val="22"/>
        </w:rPr>
        <w:t>Kancelária Národnej rady SR</w:t>
      </w:r>
      <w:r w:rsidRPr="00D076BA">
        <w:rPr>
          <w:bCs/>
          <w:szCs w:val="22"/>
        </w:rPr>
        <w:t xml:space="preserve"> eviduje podmienené záväzky z existujúcich alebo hroziacich súdnych sporov, z čoho podstatnú časť tvoria žaloby na náhradu škody spôsobenú legislatívnou činnosťou NR SR. </w:t>
      </w:r>
      <w:r w:rsidR="001D34FE" w:rsidRPr="00E643F6">
        <w:rPr>
          <w:bCs/>
          <w:szCs w:val="22"/>
        </w:rPr>
        <w:t xml:space="preserve">Medziročné </w:t>
      </w:r>
      <w:r w:rsidR="001D34FE">
        <w:rPr>
          <w:bCs/>
          <w:szCs w:val="22"/>
        </w:rPr>
        <w:t>zvýšenie</w:t>
      </w:r>
      <w:r w:rsidR="001D34FE" w:rsidRPr="00E643F6">
        <w:rPr>
          <w:bCs/>
          <w:szCs w:val="22"/>
        </w:rPr>
        <w:t xml:space="preserve"> žalovanej sumy vychádza zo súdnych uznesení o výške žalovanej sumy</w:t>
      </w:r>
      <w:r w:rsidR="001D34FE">
        <w:rPr>
          <w:bCs/>
          <w:szCs w:val="22"/>
        </w:rPr>
        <w:t>,</w:t>
      </w:r>
      <w:r w:rsidR="001D34FE" w:rsidRPr="00E643F6">
        <w:rPr>
          <w:bCs/>
          <w:szCs w:val="22"/>
        </w:rPr>
        <w:t> zo</w:t>
      </w:r>
      <w:r w:rsidR="000A7A3A">
        <w:rPr>
          <w:bCs/>
          <w:szCs w:val="22"/>
        </w:rPr>
        <w:t> </w:t>
      </w:r>
      <w:r w:rsidR="001D34FE" w:rsidRPr="00E643F6">
        <w:rPr>
          <w:bCs/>
          <w:szCs w:val="22"/>
        </w:rPr>
        <w:t>späťvzatí niektorých žalôb</w:t>
      </w:r>
      <w:r w:rsidR="001D34FE">
        <w:rPr>
          <w:bCs/>
          <w:szCs w:val="22"/>
        </w:rPr>
        <w:t>, ako aj po prehodnotení výšky žiadaných nárokov</w:t>
      </w:r>
      <w:r w:rsidR="001D34FE" w:rsidRPr="00E643F6">
        <w:rPr>
          <w:bCs/>
          <w:szCs w:val="22"/>
        </w:rPr>
        <w:t>.</w:t>
      </w:r>
    </w:p>
    <w:p w14:paraId="5B53E038" w14:textId="2EAFA42E" w:rsidR="0015190C" w:rsidRPr="00D076BA" w:rsidRDefault="00FE22D0" w:rsidP="00221CF7">
      <w:pPr>
        <w:spacing w:after="120" w:line="240" w:lineRule="auto"/>
        <w:jc w:val="both"/>
        <w:rPr>
          <w:szCs w:val="22"/>
          <w:lang w:eastAsia="sk-SK"/>
        </w:rPr>
      </w:pPr>
      <w:r w:rsidRPr="00D076BA">
        <w:rPr>
          <w:b/>
          <w:szCs w:val="22"/>
          <w:lang w:eastAsia="sk-SK"/>
        </w:rPr>
        <w:t xml:space="preserve">Ministerstvo vnútra SR </w:t>
      </w:r>
      <w:r w:rsidR="0015190C" w:rsidRPr="00D076BA">
        <w:rPr>
          <w:szCs w:val="22"/>
          <w:lang w:eastAsia="sk-SK"/>
        </w:rPr>
        <w:t>vykazuje podmienené pasíva zo súdnych sporov najmä z titulu náhrady škody spôsobenej pri výkone verejnej moci.</w:t>
      </w:r>
    </w:p>
    <w:p w14:paraId="6A3F793F" w14:textId="5D7C12C7" w:rsidR="001D34FE" w:rsidRPr="00D076BA" w:rsidRDefault="0015190C" w:rsidP="00221CF7">
      <w:pPr>
        <w:spacing w:after="120" w:line="240" w:lineRule="auto"/>
        <w:jc w:val="both"/>
        <w:rPr>
          <w:szCs w:val="22"/>
          <w:lang w:eastAsia="sk-SK"/>
        </w:rPr>
      </w:pPr>
      <w:r w:rsidRPr="00D076BA">
        <w:rPr>
          <w:b/>
          <w:szCs w:val="22"/>
          <w:lang w:eastAsia="sk-SK"/>
        </w:rPr>
        <w:t>MH</w:t>
      </w:r>
      <w:r w:rsidR="000A7A3A">
        <w:rPr>
          <w:b/>
          <w:szCs w:val="22"/>
          <w:lang w:eastAsia="sk-SK"/>
        </w:rPr>
        <w:t> </w:t>
      </w:r>
      <w:r w:rsidRPr="00D076BA">
        <w:rPr>
          <w:b/>
          <w:szCs w:val="22"/>
          <w:lang w:eastAsia="sk-SK"/>
        </w:rPr>
        <w:t xml:space="preserve">Manažment, a. s. </w:t>
      </w:r>
      <w:r w:rsidRPr="00D076BA">
        <w:rPr>
          <w:szCs w:val="22"/>
          <w:lang w:eastAsia="sk-SK"/>
        </w:rPr>
        <w:t>je v súčasnosti účastníkom rôznych súdnych sporov, ktoré voči nemu vedú tretie osoby, uplatňujúce si nároky voči MH Manažment, a. s. Na základe vyjadrení právnych zástupcov v</w:t>
      </w:r>
      <w:r w:rsidR="005B2DB0">
        <w:rPr>
          <w:szCs w:val="22"/>
          <w:lang w:eastAsia="sk-SK"/>
        </w:rPr>
        <w:t> </w:t>
      </w:r>
      <w:r w:rsidRPr="00D076BA">
        <w:rPr>
          <w:szCs w:val="22"/>
          <w:lang w:eastAsia="sk-SK"/>
        </w:rPr>
        <w:t>príslušných sporoch spoločnosť MH Manažment, a. s. eviduje podmienené záväzky na súdne spory v</w:t>
      </w:r>
      <w:r w:rsidR="005B2DB0">
        <w:rPr>
          <w:szCs w:val="22"/>
          <w:lang w:eastAsia="sk-SK"/>
        </w:rPr>
        <w:t> </w:t>
      </w:r>
      <w:r w:rsidRPr="00D076BA">
        <w:rPr>
          <w:szCs w:val="22"/>
          <w:lang w:eastAsia="sk-SK"/>
        </w:rPr>
        <w:t>celkovej sume</w:t>
      </w:r>
      <w:r w:rsidR="005B2DB0">
        <w:rPr>
          <w:szCs w:val="22"/>
          <w:lang w:eastAsia="sk-SK"/>
        </w:rPr>
        <w:t> </w:t>
      </w:r>
      <w:r w:rsidRPr="00D076BA">
        <w:rPr>
          <w:szCs w:val="22"/>
          <w:lang w:eastAsia="sk-SK"/>
        </w:rPr>
        <w:t>185</w:t>
      </w:r>
      <w:r w:rsidR="005B2DB0">
        <w:rPr>
          <w:szCs w:val="22"/>
          <w:lang w:eastAsia="sk-SK"/>
        </w:rPr>
        <w:t> </w:t>
      </w:r>
      <w:r w:rsidRPr="00D076BA">
        <w:rPr>
          <w:szCs w:val="22"/>
          <w:lang w:eastAsia="sk-SK"/>
        </w:rPr>
        <w:t>857</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w:t>
      </w:r>
      <w:r w:rsidR="001D34FE" w:rsidRPr="00D076BA">
        <w:rPr>
          <w:szCs w:val="22"/>
          <w:lang w:eastAsia="sk-SK"/>
        </w:rPr>
        <w:t>. Spoločnosť zároveň opätovne prehodnotila súdne spory a riziko plnenia z</w:t>
      </w:r>
      <w:r w:rsidR="001D34FE">
        <w:rPr>
          <w:szCs w:val="22"/>
          <w:lang w:eastAsia="sk-SK"/>
        </w:rPr>
        <w:t> </w:t>
      </w:r>
      <w:r w:rsidR="001D34FE" w:rsidRPr="00D076BA">
        <w:rPr>
          <w:szCs w:val="22"/>
          <w:lang w:eastAsia="sk-SK"/>
        </w:rPr>
        <w:t>nic</w:t>
      </w:r>
      <w:r w:rsidR="001D34FE">
        <w:rPr>
          <w:szCs w:val="22"/>
          <w:lang w:eastAsia="sk-SK"/>
        </w:rPr>
        <w:t>h vrátane príslušenstva</w:t>
      </w:r>
      <w:r w:rsidR="001D34FE" w:rsidRPr="00D076BA">
        <w:rPr>
          <w:szCs w:val="22"/>
          <w:lang w:eastAsia="sk-SK"/>
        </w:rPr>
        <w:t>, čoho výsledkom je vykázaný medziročný nárast o</w:t>
      </w:r>
      <w:r w:rsidR="001D34FE">
        <w:rPr>
          <w:szCs w:val="22"/>
          <w:lang w:eastAsia="sk-SK"/>
        </w:rPr>
        <w:t> </w:t>
      </w:r>
      <w:r w:rsidR="001D34FE" w:rsidRPr="00D076BA">
        <w:rPr>
          <w:szCs w:val="22"/>
          <w:lang w:eastAsia="sk-SK"/>
        </w:rPr>
        <w:t>8</w:t>
      </w:r>
      <w:r w:rsidR="001D34FE">
        <w:rPr>
          <w:szCs w:val="22"/>
          <w:lang w:eastAsia="sk-SK"/>
        </w:rPr>
        <w:t> </w:t>
      </w:r>
      <w:r w:rsidR="001D34FE" w:rsidRPr="00D076BA">
        <w:rPr>
          <w:szCs w:val="22"/>
          <w:lang w:eastAsia="sk-SK"/>
        </w:rPr>
        <w:t>894</w:t>
      </w:r>
      <w:r w:rsidR="001D34FE">
        <w:rPr>
          <w:szCs w:val="22"/>
          <w:lang w:eastAsia="sk-SK"/>
        </w:rPr>
        <w:t> </w:t>
      </w:r>
      <w:r w:rsidR="001D34FE" w:rsidRPr="00D076BA">
        <w:rPr>
          <w:szCs w:val="22"/>
          <w:lang w:eastAsia="sk-SK"/>
        </w:rPr>
        <w:t>tis.</w:t>
      </w:r>
      <w:r w:rsidR="001D34FE">
        <w:rPr>
          <w:szCs w:val="22"/>
          <w:lang w:eastAsia="sk-SK"/>
        </w:rPr>
        <w:t> </w:t>
      </w:r>
      <w:r w:rsidR="001D34FE" w:rsidRPr="00D076BA">
        <w:rPr>
          <w:szCs w:val="22"/>
          <w:lang w:eastAsia="sk-SK"/>
        </w:rPr>
        <w:t>eur.</w:t>
      </w:r>
    </w:p>
    <w:p w14:paraId="32BF3173" w14:textId="1D7D00FA" w:rsidR="0015190C" w:rsidRPr="00D076BA" w:rsidRDefault="0015190C" w:rsidP="00BB1667">
      <w:pPr>
        <w:spacing w:after="0" w:line="240" w:lineRule="auto"/>
        <w:contextualSpacing/>
        <w:jc w:val="both"/>
        <w:rPr>
          <w:bCs/>
          <w:szCs w:val="22"/>
          <w:lang w:eastAsia="sk-SK"/>
        </w:rPr>
      </w:pPr>
      <w:bookmarkStart w:id="97" w:name="_Hlk176875301"/>
      <w:r w:rsidRPr="00D076BA">
        <w:rPr>
          <w:b/>
          <w:szCs w:val="22"/>
          <w:lang w:eastAsia="sk-SK"/>
        </w:rPr>
        <w:t xml:space="preserve">Úrad podpredsedu vlády SR pre Plán obnovy a znalostnú ekonomiku/Ministerstvo cestovného ruchu a športu SR </w:t>
      </w:r>
      <w:r w:rsidRPr="00D076BA">
        <w:rPr>
          <w:bCs/>
          <w:szCs w:val="22"/>
          <w:lang w:eastAsia="sk-SK"/>
        </w:rPr>
        <w:t>vystupuje ako účastník konania, resp. strana sporu a zároveň ako zástupca Slovenskej republiky v štyroch súdnych konaniach (z toho pri jednom súdnom spore vystupuje ako žalobca, t.</w:t>
      </w:r>
      <w:r w:rsidR="000A7A3A">
        <w:rPr>
          <w:bCs/>
          <w:szCs w:val="22"/>
          <w:lang w:eastAsia="sk-SK"/>
        </w:rPr>
        <w:t> </w:t>
      </w:r>
      <w:r w:rsidRPr="00D076BA">
        <w:rPr>
          <w:bCs/>
          <w:szCs w:val="22"/>
          <w:lang w:eastAsia="sk-SK"/>
        </w:rPr>
        <w:t xml:space="preserve">j. ide o aktívny súdny spor, ktorého hodnota je vykazovaná medzi inými aktívami účtovnej jednotky) týkajúcich sa výstavby Národného futbalového štadióna v Bratislave. </w:t>
      </w:r>
    </w:p>
    <w:p w14:paraId="6BD8E2EA" w14:textId="77777777" w:rsidR="0015190C" w:rsidRPr="00D076BA" w:rsidRDefault="0015190C" w:rsidP="00BB1667">
      <w:pPr>
        <w:spacing w:after="0" w:line="240" w:lineRule="auto"/>
        <w:contextualSpacing/>
        <w:jc w:val="both"/>
        <w:rPr>
          <w:b/>
          <w:szCs w:val="22"/>
          <w:lang w:eastAsia="sk-SK"/>
        </w:rPr>
      </w:pPr>
    </w:p>
    <w:p w14:paraId="6A54DBCD" w14:textId="77777777" w:rsidR="00221CF7" w:rsidRDefault="0015190C" w:rsidP="00221CF7">
      <w:pPr>
        <w:spacing w:after="120" w:line="240" w:lineRule="auto"/>
        <w:jc w:val="both"/>
        <w:rPr>
          <w:b/>
          <w:szCs w:val="22"/>
          <w:lang w:eastAsia="sk-SK"/>
        </w:rPr>
      </w:pPr>
      <w:r w:rsidRPr="00D076BA">
        <w:rPr>
          <w:b/>
          <w:szCs w:val="22"/>
          <w:lang w:eastAsia="sk-SK"/>
        </w:rPr>
        <w:lastRenderedPageBreak/>
        <w:t xml:space="preserve">Národná diaľničná spoločnosť, a. s. </w:t>
      </w:r>
      <w:r w:rsidRPr="00D076BA">
        <w:rPr>
          <w:bCs/>
          <w:szCs w:val="22"/>
          <w:lang w:eastAsia="sk-SK"/>
        </w:rPr>
        <w:t>je účastníkom rozhodcovského konania, predmetom ktorého je uplatňovanie nárokov v súvislosti s ukončením zmluvy o dielo týkajúcej sa výstavby úseku diaľnice</w:t>
      </w:r>
      <w:r w:rsidR="000A7A3A">
        <w:rPr>
          <w:bCs/>
          <w:szCs w:val="22"/>
          <w:lang w:eastAsia="sk-SK"/>
        </w:rPr>
        <w:t> </w:t>
      </w:r>
      <w:r w:rsidRPr="00D076BA">
        <w:rPr>
          <w:bCs/>
          <w:szCs w:val="22"/>
          <w:lang w:eastAsia="sk-SK"/>
        </w:rPr>
        <w:t>D1.</w:t>
      </w:r>
      <w:r w:rsidR="003F48F4">
        <w:rPr>
          <w:b/>
          <w:szCs w:val="22"/>
          <w:lang w:eastAsia="sk-SK"/>
        </w:rPr>
        <w:t xml:space="preserve"> </w:t>
      </w:r>
      <w:r w:rsidR="003F48F4" w:rsidRPr="003937A1">
        <w:rPr>
          <w:bCs/>
          <w:szCs w:val="22"/>
          <w:lang w:eastAsia="sk-SK"/>
        </w:rPr>
        <w:t>Medziročný nárast súvisí s aktualizáciou prehodnotenia žiadaných nárokov v rámci rozhodcovského konania.</w:t>
      </w:r>
    </w:p>
    <w:p w14:paraId="1FE61951" w14:textId="7D957921" w:rsidR="0015190C" w:rsidRPr="00221CF7" w:rsidRDefault="0015190C" w:rsidP="00221CF7">
      <w:pPr>
        <w:spacing w:after="120" w:line="240" w:lineRule="auto"/>
        <w:jc w:val="both"/>
        <w:rPr>
          <w:b/>
          <w:szCs w:val="22"/>
          <w:lang w:eastAsia="sk-SK"/>
        </w:rPr>
      </w:pPr>
      <w:r w:rsidRPr="00D076BA">
        <w:rPr>
          <w:b/>
          <w:szCs w:val="22"/>
          <w:lang w:eastAsia="sk-SK"/>
        </w:rPr>
        <w:t xml:space="preserve">Ministerstvo hospodárstva SR </w:t>
      </w:r>
      <w:r w:rsidRPr="00D076BA">
        <w:rPr>
          <w:bCs/>
          <w:szCs w:val="22"/>
          <w:lang w:eastAsia="sk-SK"/>
        </w:rPr>
        <w:t>zaznamenalo výrazný medziročný pokles v súvislosti so súdnym sporom o náhrade škody v hodnote 64 385 tis.</w:t>
      </w:r>
      <w:r w:rsidR="000A7A3A">
        <w:rPr>
          <w:bCs/>
          <w:szCs w:val="22"/>
          <w:lang w:eastAsia="sk-SK"/>
        </w:rPr>
        <w:t> </w:t>
      </w:r>
      <w:r w:rsidRPr="00D076BA">
        <w:rPr>
          <w:bCs/>
          <w:szCs w:val="22"/>
          <w:lang w:eastAsia="sk-SK"/>
        </w:rPr>
        <w:t>eur z titulu nesprávneho úradného postupu podriadeného úradu za</w:t>
      </w:r>
      <w:r w:rsidR="000F344D">
        <w:rPr>
          <w:bCs/>
          <w:szCs w:val="22"/>
          <w:lang w:eastAsia="sk-SK"/>
        </w:rPr>
        <w:t> </w:t>
      </w:r>
      <w:r w:rsidRPr="00D076BA">
        <w:rPr>
          <w:bCs/>
          <w:szCs w:val="22"/>
          <w:lang w:eastAsia="sk-SK"/>
        </w:rPr>
        <w:t>roky 2004 až 2006, ktoré bolo právoplatne ukončené uznesením o zastavení konania.</w:t>
      </w:r>
      <w:bookmarkEnd w:id="97"/>
    </w:p>
    <w:p w14:paraId="376DDF33" w14:textId="5ECB9A9B" w:rsidR="0015190C" w:rsidRPr="00D076BA" w:rsidRDefault="0015190C" w:rsidP="00BB1667">
      <w:pPr>
        <w:spacing w:after="0" w:line="240" w:lineRule="auto"/>
        <w:contextualSpacing/>
        <w:jc w:val="both"/>
        <w:rPr>
          <w:b/>
          <w:szCs w:val="22"/>
          <w:lang w:eastAsia="sk-SK"/>
        </w:rPr>
      </w:pPr>
      <w:r w:rsidRPr="00D076BA">
        <w:rPr>
          <w:b/>
          <w:szCs w:val="22"/>
          <w:lang w:eastAsia="sk-SK"/>
        </w:rPr>
        <w:t>Vodohospodárska výstavba,</w:t>
      </w:r>
      <w:r w:rsidR="000A7A3A">
        <w:rPr>
          <w:b/>
          <w:szCs w:val="22"/>
          <w:lang w:eastAsia="sk-SK"/>
        </w:rPr>
        <w:t> </w:t>
      </w:r>
      <w:r w:rsidRPr="00D076BA">
        <w:rPr>
          <w:b/>
          <w:szCs w:val="22"/>
          <w:lang w:eastAsia="sk-SK"/>
        </w:rPr>
        <w:t>š.</w:t>
      </w:r>
      <w:r w:rsidR="000A7A3A">
        <w:rPr>
          <w:b/>
          <w:szCs w:val="22"/>
          <w:lang w:eastAsia="sk-SK"/>
        </w:rPr>
        <w:t> </w:t>
      </w:r>
      <w:r w:rsidRPr="00D076BA">
        <w:rPr>
          <w:b/>
          <w:szCs w:val="22"/>
          <w:lang w:eastAsia="sk-SK"/>
        </w:rPr>
        <w:t>p.</w:t>
      </w:r>
      <w:r w:rsidRPr="00D076BA">
        <w:rPr>
          <w:szCs w:val="22"/>
          <w:lang w:eastAsia="sk-SK"/>
        </w:rPr>
        <w:t xml:space="preserve"> eviduje viaceré súdne spory, pričom väčšinu  z uvedenej sumy tvorí spor o náhradu škody z dôvodu údajného porušenia nájomnej zmluvy a spory so Slovenskými elektrárňami o úhradu platieb podľa zmluvy o prevádzke Vodnej elektrárne Gabčíkovo. Vodohospodárska výstavba,</w:t>
      </w:r>
      <w:r w:rsidR="000A7A3A">
        <w:rPr>
          <w:szCs w:val="22"/>
          <w:lang w:eastAsia="sk-SK"/>
        </w:rPr>
        <w:t> </w:t>
      </w:r>
      <w:r w:rsidRPr="00D076BA">
        <w:rPr>
          <w:szCs w:val="22"/>
          <w:lang w:eastAsia="sk-SK"/>
        </w:rPr>
        <w:t>š.</w:t>
      </w:r>
      <w:r w:rsidR="000A7A3A">
        <w:rPr>
          <w:szCs w:val="22"/>
          <w:lang w:eastAsia="sk-SK"/>
        </w:rPr>
        <w:t> </w:t>
      </w:r>
      <w:r w:rsidRPr="00D076BA">
        <w:rPr>
          <w:szCs w:val="22"/>
          <w:lang w:eastAsia="sk-SK"/>
        </w:rPr>
        <w:t>p. vykazuje voči Slovenským elektrárňam aj podmienené aktíva, z titulu bezdôvodného obohatenia, ktoré malo vzniknúť úhradou platieb Slovenským elektrárňam,</w:t>
      </w:r>
      <w:r w:rsidR="000A7A3A">
        <w:rPr>
          <w:szCs w:val="22"/>
          <w:lang w:eastAsia="sk-SK"/>
        </w:rPr>
        <w:t> </w:t>
      </w:r>
      <w:r w:rsidRPr="00D076BA">
        <w:rPr>
          <w:szCs w:val="22"/>
          <w:lang w:eastAsia="sk-SK"/>
        </w:rPr>
        <w:t>a.</w:t>
      </w:r>
      <w:r w:rsidR="000A7A3A">
        <w:rPr>
          <w:szCs w:val="22"/>
          <w:lang w:eastAsia="sk-SK"/>
        </w:rPr>
        <w:t> </w:t>
      </w:r>
      <w:r w:rsidRPr="00D076BA">
        <w:rPr>
          <w:szCs w:val="22"/>
          <w:lang w:eastAsia="sk-SK"/>
        </w:rPr>
        <w:t>s. podľa neplatnej zmluvy o prevádzke Vodnej elektrárne Gabčíkovo. V súdnych sporoch sa naďalej pokračuje.</w:t>
      </w:r>
    </w:p>
    <w:p w14:paraId="0D18893D" w14:textId="77777777" w:rsidR="0015190C" w:rsidRPr="00D076BA" w:rsidRDefault="0015190C" w:rsidP="00BB1667">
      <w:pPr>
        <w:spacing w:after="0" w:line="240" w:lineRule="auto"/>
        <w:ind w:firstLine="360"/>
        <w:contextualSpacing/>
        <w:jc w:val="both"/>
        <w:rPr>
          <w:szCs w:val="22"/>
          <w:lang w:eastAsia="sk-SK"/>
        </w:rPr>
      </w:pPr>
    </w:p>
    <w:p w14:paraId="0155973F" w14:textId="77777777" w:rsidR="0015190C" w:rsidRPr="00D076BA" w:rsidRDefault="0015190C" w:rsidP="00221CF7">
      <w:pPr>
        <w:spacing w:after="120" w:line="240" w:lineRule="auto"/>
        <w:jc w:val="both"/>
        <w:rPr>
          <w:b/>
          <w:szCs w:val="22"/>
          <w:lang w:eastAsia="sk-SK"/>
        </w:rPr>
      </w:pPr>
      <w:r w:rsidRPr="00D076BA">
        <w:rPr>
          <w:b/>
          <w:szCs w:val="22"/>
          <w:lang w:eastAsia="sk-SK"/>
        </w:rPr>
        <w:t>Iné podmienené záväzky</w:t>
      </w:r>
    </w:p>
    <w:p w14:paraId="56E3214A" w14:textId="41E6C303" w:rsidR="00FE22D0" w:rsidRPr="00D076BA" w:rsidRDefault="00FE22D0" w:rsidP="00221CF7">
      <w:pPr>
        <w:spacing w:after="120" w:line="240" w:lineRule="auto"/>
        <w:jc w:val="both"/>
        <w:rPr>
          <w:szCs w:val="22"/>
          <w:lang w:eastAsia="sk-SK"/>
        </w:rPr>
      </w:pPr>
      <w:r w:rsidRPr="00D076BA">
        <w:rPr>
          <w:szCs w:val="22"/>
          <w:lang w:eastAsia="sk-SK"/>
        </w:rPr>
        <w:t>Do podmienených záväzkov bola zaradená aj hodnota založeného majetku</w:t>
      </w:r>
      <w:r w:rsidRPr="00D076BA">
        <w:rPr>
          <w:b/>
          <w:szCs w:val="22"/>
          <w:lang w:eastAsia="sk-SK"/>
        </w:rPr>
        <w:t xml:space="preserve"> Slovenských elektrární,</w:t>
      </w:r>
      <w:r w:rsidR="000A7A3A">
        <w:rPr>
          <w:b/>
          <w:szCs w:val="22"/>
          <w:lang w:eastAsia="sk-SK"/>
        </w:rPr>
        <w:t> </w:t>
      </w:r>
      <w:r w:rsidRPr="00D076BA">
        <w:rPr>
          <w:b/>
          <w:szCs w:val="22"/>
          <w:lang w:eastAsia="sk-SK"/>
        </w:rPr>
        <w:t>a.</w:t>
      </w:r>
      <w:r w:rsidR="000A7A3A">
        <w:rPr>
          <w:b/>
          <w:szCs w:val="22"/>
          <w:lang w:eastAsia="sk-SK"/>
        </w:rPr>
        <w:t> </w:t>
      </w:r>
      <w:r w:rsidRPr="00D076BA">
        <w:rPr>
          <w:b/>
          <w:szCs w:val="22"/>
          <w:lang w:eastAsia="sk-SK"/>
        </w:rPr>
        <w:t>s.</w:t>
      </w:r>
      <w:r w:rsidRPr="00D076BA">
        <w:rPr>
          <w:szCs w:val="22"/>
          <w:lang w:eastAsia="sk-SK"/>
        </w:rPr>
        <w:t xml:space="preserve"> v prospech banky. Hodnota záložného práva sa medziročne zvýšila o</w:t>
      </w:r>
      <w:r>
        <w:rPr>
          <w:szCs w:val="22"/>
          <w:lang w:eastAsia="sk-SK"/>
        </w:rPr>
        <w:t> </w:t>
      </w:r>
      <w:r w:rsidRPr="00D076BA">
        <w:rPr>
          <w:szCs w:val="22"/>
          <w:lang w:eastAsia="sk-SK"/>
        </w:rPr>
        <w:t>162</w:t>
      </w:r>
      <w:r>
        <w:rPr>
          <w:szCs w:val="22"/>
          <w:lang w:eastAsia="sk-SK"/>
        </w:rPr>
        <w:t> </w:t>
      </w:r>
      <w:r w:rsidRPr="00D076BA">
        <w:rPr>
          <w:szCs w:val="22"/>
          <w:lang w:eastAsia="sk-SK"/>
        </w:rPr>
        <w:t>224</w:t>
      </w:r>
      <w:r>
        <w:rPr>
          <w:szCs w:val="22"/>
          <w:lang w:eastAsia="sk-SK"/>
        </w:rPr>
        <w:t> </w:t>
      </w:r>
      <w:r w:rsidRPr="00D076BA">
        <w:rPr>
          <w:szCs w:val="22"/>
          <w:lang w:eastAsia="sk-SK"/>
        </w:rPr>
        <w:t>tis.</w:t>
      </w:r>
      <w:r w:rsidR="000A7A3A">
        <w:rPr>
          <w:szCs w:val="22"/>
          <w:lang w:eastAsia="sk-SK"/>
        </w:rPr>
        <w:t> </w:t>
      </w:r>
      <w:r w:rsidRPr="00D076BA">
        <w:rPr>
          <w:szCs w:val="22"/>
          <w:lang w:eastAsia="sk-SK"/>
        </w:rPr>
        <w:t>eur.</w:t>
      </w:r>
      <w:r w:rsidR="00DF4C5E">
        <w:rPr>
          <w:szCs w:val="22"/>
          <w:lang w:eastAsia="sk-SK"/>
        </w:rPr>
        <w:t xml:space="preserve"> </w:t>
      </w:r>
      <w:r w:rsidR="000C2093" w:rsidRPr="00D076BA">
        <w:rPr>
          <w:szCs w:val="22"/>
          <w:lang w:eastAsia="sk-SK"/>
        </w:rPr>
        <w:t xml:space="preserve">Hodnota podmienených pasív </w:t>
      </w:r>
      <w:r w:rsidR="000C2093">
        <w:rPr>
          <w:szCs w:val="22"/>
          <w:lang w:eastAsia="sk-SK"/>
        </w:rPr>
        <w:t>ku</w:t>
      </w:r>
      <w:r w:rsidR="000A7A3A">
        <w:rPr>
          <w:szCs w:val="22"/>
          <w:lang w:eastAsia="sk-SK"/>
        </w:rPr>
        <w:t> </w:t>
      </w:r>
      <w:r w:rsidR="000C2093">
        <w:rPr>
          <w:szCs w:val="22"/>
          <w:lang w:eastAsia="sk-SK"/>
        </w:rPr>
        <w:t xml:space="preserve">koncu roka 2024 </w:t>
      </w:r>
      <w:r w:rsidR="000C2093" w:rsidRPr="00D076BA">
        <w:rPr>
          <w:szCs w:val="22"/>
          <w:lang w:eastAsia="sk-SK"/>
        </w:rPr>
        <w:t>reprezentuje 34</w:t>
      </w:r>
      <w:r w:rsidR="000C2093">
        <w:rPr>
          <w:szCs w:val="22"/>
          <w:lang w:eastAsia="sk-SK"/>
        </w:rPr>
        <w:t> </w:t>
      </w:r>
      <w:r w:rsidR="000C2093" w:rsidRPr="00D076BA">
        <w:rPr>
          <w:szCs w:val="22"/>
          <w:lang w:eastAsia="sk-SK"/>
        </w:rPr>
        <w:t xml:space="preserve">% podiel štátu na základnom imaní spoločnosti. </w:t>
      </w:r>
      <w:r w:rsidR="00DF4C5E">
        <w:rPr>
          <w:szCs w:val="22"/>
          <w:lang w:eastAsia="sk-SK"/>
        </w:rPr>
        <w:t>Začiatkom roka 2025 účtovná jednotka splatila existujúce úvery, v dôsledku čoho sa zároveň uvoľnilo zabezpečenie prostredníctvom záložného práva na vyššie uvedený založený majetok.</w:t>
      </w:r>
      <w:r w:rsidR="00DF4C5E" w:rsidRPr="00D076BA">
        <w:rPr>
          <w:szCs w:val="22"/>
          <w:lang w:eastAsia="sk-SK"/>
        </w:rPr>
        <w:t xml:space="preserve"> </w:t>
      </w:r>
      <w:r w:rsidRPr="00D076BA">
        <w:rPr>
          <w:szCs w:val="22"/>
          <w:lang w:eastAsia="sk-SK"/>
        </w:rPr>
        <w:t xml:space="preserve"> </w:t>
      </w:r>
    </w:p>
    <w:p w14:paraId="7B99FE6A" w14:textId="2A4B82AF" w:rsidR="0015190C" w:rsidRPr="00D076BA" w:rsidRDefault="0015190C" w:rsidP="00221CF7">
      <w:pPr>
        <w:spacing w:after="120" w:line="240" w:lineRule="auto"/>
        <w:jc w:val="both"/>
        <w:rPr>
          <w:szCs w:val="22"/>
          <w:lang w:eastAsia="sk-SK"/>
        </w:rPr>
      </w:pPr>
      <w:r w:rsidRPr="00D076BA">
        <w:rPr>
          <w:b/>
          <w:szCs w:val="22"/>
          <w:lang w:eastAsia="sk-SK"/>
        </w:rPr>
        <w:t>MH Manažment,</w:t>
      </w:r>
      <w:r w:rsidR="000A7A3A">
        <w:rPr>
          <w:b/>
          <w:szCs w:val="22"/>
          <w:lang w:eastAsia="sk-SK"/>
        </w:rPr>
        <w:t> </w:t>
      </w:r>
      <w:r w:rsidRPr="00D076BA">
        <w:rPr>
          <w:b/>
          <w:szCs w:val="22"/>
          <w:lang w:eastAsia="sk-SK"/>
        </w:rPr>
        <w:t>a.</w:t>
      </w:r>
      <w:r w:rsidR="000A7A3A">
        <w:rPr>
          <w:b/>
          <w:szCs w:val="22"/>
          <w:lang w:eastAsia="sk-SK"/>
        </w:rPr>
        <w:t> </w:t>
      </w:r>
      <w:r w:rsidRPr="00D076BA">
        <w:rPr>
          <w:b/>
          <w:szCs w:val="22"/>
          <w:lang w:eastAsia="sk-SK"/>
        </w:rPr>
        <w:t xml:space="preserve">s. </w:t>
      </w:r>
      <w:r w:rsidRPr="00D076BA">
        <w:rPr>
          <w:szCs w:val="22"/>
          <w:lang w:eastAsia="sk-SK"/>
        </w:rPr>
        <w:t>eviduje významnú hodnotu podmienených záväzkov z ručenia za splnenie záväzkov vyplývajúcich z niektorých privatizačných zmlúv uzavretých bývalým Fondom národného majetku. FNM sa zaviazal uhradiť nadobúdateľom privatizovaných spoločností určité straty na majetku, ktoré im môžu v</w:t>
      </w:r>
      <w:r w:rsidR="000F344D">
        <w:rPr>
          <w:szCs w:val="22"/>
          <w:lang w:eastAsia="sk-SK"/>
        </w:rPr>
        <w:t> </w:t>
      </w:r>
      <w:r w:rsidRPr="00D076BA">
        <w:rPr>
          <w:szCs w:val="22"/>
          <w:lang w:eastAsia="sk-SK"/>
        </w:rPr>
        <w:t xml:space="preserve">budúcnosti vzniknúť v dôsledku </w:t>
      </w:r>
      <w:r w:rsidRPr="00D076BA">
        <w:rPr>
          <w:bCs/>
          <w:iCs/>
          <w:szCs w:val="22"/>
          <w:lang w:eastAsia="sk-SK"/>
        </w:rPr>
        <w:t>určitých rizík definovaných v privatizačných zmluvách</w:t>
      </w:r>
      <w:r w:rsidRPr="00D076BA">
        <w:rPr>
          <w:szCs w:val="22"/>
          <w:lang w:eastAsia="sk-SK"/>
        </w:rPr>
        <w:t xml:space="preserve">. </w:t>
      </w:r>
    </w:p>
    <w:p w14:paraId="7BE8A823" w14:textId="5901F690" w:rsidR="0015190C" w:rsidRPr="00D076BA" w:rsidRDefault="0015190C" w:rsidP="00221CF7">
      <w:pPr>
        <w:spacing w:after="120" w:line="240" w:lineRule="auto"/>
        <w:jc w:val="both"/>
        <w:rPr>
          <w:szCs w:val="22"/>
          <w:lang w:eastAsia="sk-SK"/>
        </w:rPr>
      </w:pPr>
      <w:r w:rsidRPr="00D076BA">
        <w:rPr>
          <w:b/>
          <w:bCs/>
          <w:szCs w:val="22"/>
          <w:lang w:eastAsia="sk-SK"/>
        </w:rPr>
        <w:t>Slovenský plynárenský priemysel,</w:t>
      </w:r>
      <w:r w:rsidR="000A7A3A">
        <w:rPr>
          <w:b/>
          <w:bCs/>
          <w:szCs w:val="22"/>
          <w:lang w:eastAsia="sk-SK"/>
        </w:rPr>
        <w:t> </w:t>
      </w:r>
      <w:r w:rsidRPr="00D076BA">
        <w:rPr>
          <w:b/>
          <w:bCs/>
          <w:szCs w:val="22"/>
          <w:lang w:eastAsia="sk-SK"/>
        </w:rPr>
        <w:t>a.</w:t>
      </w:r>
      <w:r w:rsidR="000A7A3A">
        <w:rPr>
          <w:b/>
          <w:bCs/>
          <w:szCs w:val="22"/>
          <w:lang w:eastAsia="sk-SK"/>
        </w:rPr>
        <w:t> </w:t>
      </w:r>
      <w:r w:rsidRPr="00D076BA">
        <w:rPr>
          <w:b/>
          <w:bCs/>
          <w:szCs w:val="22"/>
          <w:lang w:eastAsia="sk-SK"/>
        </w:rPr>
        <w:t>s.</w:t>
      </w:r>
      <w:r w:rsidRPr="00D076BA">
        <w:rPr>
          <w:szCs w:val="22"/>
          <w:lang w:eastAsia="sk-SK"/>
        </w:rPr>
        <w:t xml:space="preserve"> vykazuje podmienené pasíva z dôvodu uzatvorených komoditných derivátových transakcií s protistranami, pričom zmena hodnoty súvisí najmä </w:t>
      </w:r>
      <w:r w:rsidR="00C16FF1">
        <w:rPr>
          <w:szCs w:val="22"/>
          <w:lang w:eastAsia="sk-SK"/>
        </w:rPr>
        <w:t>so znížením trhových cien komodít pri približne rovnakom objeme uzatvorených komoditných derivátových transakciách</w:t>
      </w:r>
      <w:r w:rsidR="00125CA4">
        <w:rPr>
          <w:szCs w:val="22"/>
          <w:lang w:eastAsia="sk-SK"/>
        </w:rPr>
        <w:t>.</w:t>
      </w:r>
    </w:p>
    <w:p w14:paraId="0BFA9439" w14:textId="3152FBF2" w:rsidR="0015190C" w:rsidRPr="00D076BA" w:rsidRDefault="0015190C" w:rsidP="00221CF7">
      <w:pPr>
        <w:spacing w:after="120" w:line="240" w:lineRule="auto"/>
        <w:jc w:val="both"/>
        <w:rPr>
          <w:szCs w:val="22"/>
          <w:lang w:eastAsia="sk-SK"/>
        </w:rPr>
      </w:pPr>
      <w:bookmarkStart w:id="98" w:name="_Hlk176875854"/>
      <w:r w:rsidRPr="00D076BA">
        <w:rPr>
          <w:szCs w:val="22"/>
          <w:lang w:eastAsia="sk-SK"/>
        </w:rPr>
        <w:t xml:space="preserve">Poskytnuté záruky </w:t>
      </w:r>
      <w:r w:rsidRPr="00D076BA">
        <w:rPr>
          <w:b/>
          <w:szCs w:val="22"/>
          <w:lang w:eastAsia="sk-SK"/>
        </w:rPr>
        <w:t>Ministerstvom financií SR</w:t>
      </w:r>
      <w:r w:rsidRPr="00D076BA">
        <w:rPr>
          <w:szCs w:val="22"/>
          <w:lang w:eastAsia="sk-SK"/>
        </w:rPr>
        <w:t xml:space="preserve"> boli vykázané vo výške</w:t>
      </w:r>
      <w:r w:rsidR="005B2DB0">
        <w:rPr>
          <w:szCs w:val="22"/>
          <w:lang w:eastAsia="sk-SK"/>
        </w:rPr>
        <w:t> </w:t>
      </w:r>
      <w:r w:rsidRPr="00D076BA">
        <w:rPr>
          <w:szCs w:val="22"/>
          <w:lang w:eastAsia="sk-SK"/>
        </w:rPr>
        <w:t>162</w:t>
      </w:r>
      <w:r w:rsidR="005B2DB0">
        <w:rPr>
          <w:szCs w:val="22"/>
          <w:lang w:eastAsia="sk-SK"/>
        </w:rPr>
        <w:t> </w:t>
      </w:r>
      <w:r w:rsidRPr="00D076BA">
        <w:rPr>
          <w:szCs w:val="22"/>
          <w:lang w:eastAsia="sk-SK"/>
        </w:rPr>
        <w:t>789</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 a medziročne sa znížili o</w:t>
      </w:r>
      <w:r w:rsidR="005B2DB0">
        <w:rPr>
          <w:szCs w:val="22"/>
          <w:lang w:eastAsia="sk-SK"/>
        </w:rPr>
        <w:t> </w:t>
      </w:r>
      <w:r w:rsidRPr="00D076BA">
        <w:rPr>
          <w:szCs w:val="22"/>
          <w:lang w:eastAsia="sk-SK"/>
        </w:rPr>
        <w:t>69</w:t>
      </w:r>
      <w:r w:rsidR="005B2DB0">
        <w:rPr>
          <w:szCs w:val="22"/>
          <w:lang w:eastAsia="sk-SK"/>
        </w:rPr>
        <w:t> </w:t>
      </w:r>
      <w:r w:rsidRPr="00D076BA">
        <w:rPr>
          <w:szCs w:val="22"/>
          <w:lang w:eastAsia="sk-SK"/>
        </w:rPr>
        <w:t>778</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 Zníženie spôsobili záruky podľa zákona</w:t>
      </w:r>
      <w:r w:rsidR="00125CA4">
        <w:rPr>
          <w:szCs w:val="22"/>
          <w:lang w:eastAsia="sk-SK"/>
        </w:rPr>
        <w:t> </w:t>
      </w:r>
      <w:r w:rsidRPr="00D076BA">
        <w:rPr>
          <w:szCs w:val="22"/>
          <w:lang w:eastAsia="sk-SK"/>
        </w:rPr>
        <w:t>č.</w:t>
      </w:r>
      <w:r w:rsidR="000A7A3A">
        <w:rPr>
          <w:szCs w:val="22"/>
          <w:lang w:eastAsia="sk-SK"/>
        </w:rPr>
        <w:t> </w:t>
      </w:r>
      <w:r w:rsidRPr="00D076BA">
        <w:rPr>
          <w:szCs w:val="22"/>
          <w:lang w:eastAsia="sk-SK"/>
        </w:rPr>
        <w:t>67/2020</w:t>
      </w:r>
      <w:r w:rsidR="000A7A3A">
        <w:rPr>
          <w:szCs w:val="22"/>
          <w:lang w:eastAsia="sk-SK"/>
        </w:rPr>
        <w:t> </w:t>
      </w:r>
      <w:r w:rsidRPr="00D076BA">
        <w:rPr>
          <w:szCs w:val="22"/>
          <w:lang w:eastAsia="sk-SK"/>
        </w:rPr>
        <w:t>Z.</w:t>
      </w:r>
      <w:r w:rsidR="000A7A3A">
        <w:rPr>
          <w:szCs w:val="22"/>
          <w:lang w:eastAsia="sk-SK"/>
        </w:rPr>
        <w:t> </w:t>
      </w:r>
      <w:r w:rsidRPr="00D076BA">
        <w:rPr>
          <w:szCs w:val="22"/>
          <w:lang w:eastAsia="sk-SK"/>
        </w:rPr>
        <w:t xml:space="preserve">z. o niektorých mimoriadnych opatreniach vo finančnej oblasti v súvislosti so šírením nebezpečnej nákazlivej ľudskej choroby  COVID-19 v platnom znení, v prospech finančných inštitúcií (SZRB, Eximbanka a NDF I.), ktoré poskytli úvery, resp. záruky za úvery na podporu podnikateľom v čase pandémie COVID-19. Zmenu stavu záruk ovplyvňuje najmä postupné splácanie úverov zo strany dlžníkov a v menšej miere hotovostné plnenie záruk na základe zlyhaných úverov. </w:t>
      </w:r>
      <w:bookmarkEnd w:id="98"/>
    </w:p>
    <w:p w14:paraId="1FC5B695" w14:textId="6FA71117" w:rsidR="003759A6" w:rsidRDefault="0015190C" w:rsidP="00221CF7">
      <w:pPr>
        <w:spacing w:after="0" w:line="240" w:lineRule="auto"/>
        <w:contextualSpacing/>
        <w:jc w:val="both"/>
        <w:rPr>
          <w:b/>
          <w:iCs/>
          <w:color w:val="548DD4" w:themeColor="text2" w:themeTint="99"/>
          <w:sz w:val="20"/>
          <w:szCs w:val="18"/>
        </w:rPr>
      </w:pPr>
      <w:r w:rsidRPr="00D076BA">
        <w:rPr>
          <w:b/>
          <w:szCs w:val="22"/>
          <w:lang w:eastAsia="sk-SK"/>
        </w:rPr>
        <w:t>National Development Fund II,</w:t>
      </w:r>
      <w:r w:rsidR="000A7A3A">
        <w:rPr>
          <w:b/>
          <w:szCs w:val="22"/>
          <w:lang w:eastAsia="sk-SK"/>
        </w:rPr>
        <w:t> </w:t>
      </w:r>
      <w:r w:rsidRPr="00D076BA">
        <w:rPr>
          <w:b/>
          <w:szCs w:val="22"/>
          <w:lang w:eastAsia="sk-SK"/>
        </w:rPr>
        <w:t>a.</w:t>
      </w:r>
      <w:r w:rsidR="000A7A3A">
        <w:rPr>
          <w:b/>
          <w:szCs w:val="22"/>
          <w:lang w:eastAsia="sk-SK"/>
        </w:rPr>
        <w:t> </w:t>
      </w:r>
      <w:r w:rsidRPr="00D076BA">
        <w:rPr>
          <w:b/>
          <w:szCs w:val="22"/>
          <w:lang w:eastAsia="sk-SK"/>
        </w:rPr>
        <w:t xml:space="preserve">s. </w:t>
      </w:r>
      <w:r w:rsidRPr="00D076BA">
        <w:rPr>
          <w:szCs w:val="22"/>
          <w:lang w:eastAsia="sk-SK"/>
        </w:rPr>
        <w:t xml:space="preserve">vykazuje portfóliové záruky za úvery komerčných bánk poskytované v rámci opatrení na zmiernenie dopadov pandémie COVID-19 na podnikateľský sektor. Krytie týchto záruk je najmä z prostriedkov rozpočtu EÚ. </w:t>
      </w:r>
    </w:p>
    <w:p w14:paraId="0EE005C5" w14:textId="72669635" w:rsidR="00076866" w:rsidRDefault="00076866" w:rsidP="00D162A9">
      <w:pPr>
        <w:pStyle w:val="Popis"/>
      </w:pPr>
      <w:bookmarkStart w:id="99" w:name="_Toc212124643"/>
      <w:r>
        <w:t xml:space="preserve">Tabuľka </w:t>
      </w:r>
      <w:r>
        <w:fldChar w:fldCharType="begin"/>
      </w:r>
      <w:r>
        <w:instrText xml:space="preserve"> SEQ Tabuľka \* ARABIC </w:instrText>
      </w:r>
      <w:r>
        <w:fldChar w:fldCharType="separate"/>
      </w:r>
      <w:r>
        <w:rPr>
          <w:noProof/>
        </w:rPr>
        <w:t>22</w:t>
      </w:r>
      <w:r>
        <w:fldChar w:fldCharType="end"/>
      </w:r>
      <w:r>
        <w:t xml:space="preserve"> - </w:t>
      </w:r>
      <w:r w:rsidRPr="00214AC9">
        <w:t>Stav covid záruk poskytnutých na základe zákona č. 67/2020 Z. z.</w:t>
      </w:r>
      <w:bookmarkEnd w:id="99"/>
    </w:p>
    <w:tbl>
      <w:tblPr>
        <w:tblW w:w="5000" w:type="pct"/>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8"/>
        <w:gridCol w:w="1162"/>
        <w:gridCol w:w="1162"/>
        <w:gridCol w:w="1162"/>
        <w:gridCol w:w="1221"/>
      </w:tblGrid>
      <w:tr w:rsidR="00AC392E" w:rsidRPr="00DD3807" w14:paraId="13CF7D28" w14:textId="77777777" w:rsidTr="0015190C">
        <w:trPr>
          <w:trHeight w:val="276"/>
          <w:tblHeader/>
          <w:jc w:val="center"/>
        </w:trPr>
        <w:tc>
          <w:tcPr>
            <w:tcW w:w="2521" w:type="pct"/>
            <w:tcBorders>
              <w:right w:val="nil"/>
            </w:tcBorders>
            <w:vAlign w:val="center"/>
            <w:hideMark/>
          </w:tcPr>
          <w:p w14:paraId="58E44B6D" w14:textId="714694EA" w:rsidR="00AC392E" w:rsidRPr="00DD3807" w:rsidRDefault="00125CA4" w:rsidP="00AC392E">
            <w:pPr>
              <w:spacing w:after="0" w:line="240" w:lineRule="auto"/>
              <w:rPr>
                <w:color w:val="000000"/>
                <w:sz w:val="18"/>
                <w:szCs w:val="18"/>
                <w:lang w:eastAsia="sk-SK"/>
              </w:rPr>
            </w:pPr>
            <w:r w:rsidRPr="00DD3807">
              <w:rPr>
                <w:color w:val="000000"/>
                <w:sz w:val="18"/>
                <w:szCs w:val="18"/>
                <w:lang w:eastAsia="sk-SK"/>
              </w:rPr>
              <w:t xml:space="preserve">            (v tis. eur)</w:t>
            </w:r>
          </w:p>
        </w:tc>
        <w:tc>
          <w:tcPr>
            <w:tcW w:w="612" w:type="pct"/>
            <w:tcBorders>
              <w:left w:val="nil"/>
              <w:right w:val="nil"/>
            </w:tcBorders>
            <w:vAlign w:val="bottom"/>
            <w:hideMark/>
          </w:tcPr>
          <w:p w14:paraId="492E8597" w14:textId="0C3A9151" w:rsidR="00AC392E" w:rsidRPr="00DD3807" w:rsidRDefault="00AC392E" w:rsidP="00AC392E">
            <w:pPr>
              <w:spacing w:after="0" w:line="240" w:lineRule="auto"/>
              <w:jc w:val="right"/>
              <w:rPr>
                <w:b/>
                <w:bCs/>
                <w:sz w:val="18"/>
                <w:szCs w:val="18"/>
                <w:lang w:eastAsia="sk-SK"/>
              </w:rPr>
            </w:pPr>
            <w:r w:rsidRPr="00DD3807">
              <w:rPr>
                <w:b/>
                <w:bCs/>
                <w:sz w:val="18"/>
                <w:szCs w:val="18"/>
                <w:lang w:eastAsia="sk-SK"/>
              </w:rPr>
              <w:t>202</w:t>
            </w:r>
            <w:r w:rsidR="0015190C" w:rsidRPr="00DD3807">
              <w:rPr>
                <w:b/>
                <w:bCs/>
                <w:sz w:val="18"/>
                <w:szCs w:val="18"/>
                <w:lang w:eastAsia="sk-SK"/>
              </w:rPr>
              <w:t>2</w:t>
            </w:r>
          </w:p>
        </w:tc>
        <w:tc>
          <w:tcPr>
            <w:tcW w:w="612" w:type="pct"/>
            <w:tcBorders>
              <w:left w:val="nil"/>
              <w:right w:val="nil"/>
            </w:tcBorders>
            <w:vAlign w:val="bottom"/>
            <w:hideMark/>
          </w:tcPr>
          <w:p w14:paraId="18C7C866" w14:textId="291EC54C" w:rsidR="00AC392E" w:rsidRPr="00DD3807" w:rsidRDefault="00AC392E" w:rsidP="00AC392E">
            <w:pPr>
              <w:spacing w:after="0" w:line="240" w:lineRule="auto"/>
              <w:jc w:val="right"/>
              <w:rPr>
                <w:b/>
                <w:bCs/>
                <w:sz w:val="18"/>
                <w:szCs w:val="18"/>
                <w:lang w:eastAsia="sk-SK"/>
              </w:rPr>
            </w:pPr>
            <w:r w:rsidRPr="00DD3807">
              <w:rPr>
                <w:b/>
                <w:bCs/>
                <w:sz w:val="18"/>
                <w:szCs w:val="18"/>
                <w:lang w:eastAsia="sk-SK"/>
              </w:rPr>
              <w:t>202</w:t>
            </w:r>
            <w:r w:rsidR="0015190C" w:rsidRPr="00DD3807">
              <w:rPr>
                <w:b/>
                <w:bCs/>
                <w:sz w:val="18"/>
                <w:szCs w:val="18"/>
                <w:lang w:eastAsia="sk-SK"/>
              </w:rPr>
              <w:t>3</w:t>
            </w:r>
          </w:p>
        </w:tc>
        <w:tc>
          <w:tcPr>
            <w:tcW w:w="612" w:type="pct"/>
            <w:tcBorders>
              <w:left w:val="nil"/>
              <w:right w:val="nil"/>
            </w:tcBorders>
            <w:vAlign w:val="bottom"/>
            <w:hideMark/>
          </w:tcPr>
          <w:p w14:paraId="435FC307" w14:textId="752308C5" w:rsidR="00AC392E" w:rsidRPr="00DD3807" w:rsidRDefault="00AC392E" w:rsidP="00AC392E">
            <w:pPr>
              <w:spacing w:after="0" w:line="240" w:lineRule="auto"/>
              <w:jc w:val="right"/>
              <w:rPr>
                <w:b/>
                <w:bCs/>
                <w:sz w:val="18"/>
                <w:szCs w:val="18"/>
                <w:lang w:eastAsia="sk-SK"/>
              </w:rPr>
            </w:pPr>
            <w:r w:rsidRPr="00DD3807">
              <w:rPr>
                <w:b/>
                <w:bCs/>
                <w:sz w:val="18"/>
                <w:szCs w:val="18"/>
                <w:lang w:eastAsia="sk-SK"/>
              </w:rPr>
              <w:t>20</w:t>
            </w:r>
            <w:r w:rsidR="00EE6302" w:rsidRPr="00DD3807">
              <w:rPr>
                <w:b/>
                <w:bCs/>
                <w:sz w:val="18"/>
                <w:szCs w:val="18"/>
                <w:lang w:eastAsia="sk-SK"/>
              </w:rPr>
              <w:t>2</w:t>
            </w:r>
            <w:r w:rsidR="0015190C" w:rsidRPr="00DD3807">
              <w:rPr>
                <w:b/>
                <w:bCs/>
                <w:sz w:val="18"/>
                <w:szCs w:val="18"/>
                <w:lang w:eastAsia="sk-SK"/>
              </w:rPr>
              <w:t>4</w:t>
            </w:r>
          </w:p>
        </w:tc>
        <w:tc>
          <w:tcPr>
            <w:tcW w:w="643" w:type="pct"/>
            <w:tcBorders>
              <w:left w:val="nil"/>
            </w:tcBorders>
            <w:vAlign w:val="bottom"/>
            <w:hideMark/>
          </w:tcPr>
          <w:p w14:paraId="4BC9B271" w14:textId="11D40904" w:rsidR="00AC392E" w:rsidRPr="00DD3807" w:rsidRDefault="00AC392E" w:rsidP="00AC392E">
            <w:pPr>
              <w:spacing w:after="0" w:line="240" w:lineRule="auto"/>
              <w:jc w:val="right"/>
              <w:rPr>
                <w:b/>
                <w:bCs/>
                <w:sz w:val="18"/>
                <w:szCs w:val="18"/>
                <w:lang w:eastAsia="sk-SK"/>
              </w:rPr>
            </w:pPr>
            <w:r w:rsidRPr="00DD3807">
              <w:rPr>
                <w:b/>
                <w:bCs/>
                <w:sz w:val="18"/>
                <w:szCs w:val="18"/>
                <w:lang w:eastAsia="sk-SK"/>
              </w:rPr>
              <w:t>Δ20</w:t>
            </w:r>
            <w:r w:rsidR="0015190C" w:rsidRPr="00DD3807">
              <w:rPr>
                <w:b/>
                <w:bCs/>
                <w:sz w:val="18"/>
                <w:szCs w:val="18"/>
                <w:lang w:eastAsia="sk-SK"/>
              </w:rPr>
              <w:t>24</w:t>
            </w:r>
            <w:r w:rsidRPr="00DD3807">
              <w:rPr>
                <w:b/>
                <w:bCs/>
                <w:sz w:val="18"/>
                <w:szCs w:val="18"/>
                <w:lang w:eastAsia="sk-SK"/>
              </w:rPr>
              <w:t>-202</w:t>
            </w:r>
            <w:r w:rsidR="0015190C" w:rsidRPr="00DD3807">
              <w:rPr>
                <w:b/>
                <w:bCs/>
                <w:sz w:val="18"/>
                <w:szCs w:val="18"/>
                <w:lang w:eastAsia="sk-SK"/>
              </w:rPr>
              <w:t>3</w:t>
            </w:r>
          </w:p>
        </w:tc>
      </w:tr>
      <w:tr w:rsidR="00125CA4" w:rsidRPr="00DD3807" w14:paraId="66FD55BF" w14:textId="77777777" w:rsidTr="008338EF">
        <w:trPr>
          <w:trHeight w:val="276"/>
          <w:jc w:val="center"/>
        </w:trPr>
        <w:tc>
          <w:tcPr>
            <w:tcW w:w="2521" w:type="pct"/>
            <w:tcBorders>
              <w:bottom w:val="nil"/>
              <w:right w:val="nil"/>
            </w:tcBorders>
            <w:vAlign w:val="center"/>
          </w:tcPr>
          <w:p w14:paraId="1A0134C9" w14:textId="2F7588B5" w:rsidR="00125CA4" w:rsidRPr="00DD3807" w:rsidRDefault="00125CA4" w:rsidP="00125CA4">
            <w:pPr>
              <w:spacing w:after="0" w:line="240" w:lineRule="auto"/>
              <w:ind w:firstLineChars="300" w:firstLine="540"/>
              <w:rPr>
                <w:color w:val="000000"/>
                <w:sz w:val="18"/>
                <w:szCs w:val="18"/>
                <w:highlight w:val="yellow"/>
                <w:lang w:eastAsia="sk-SK"/>
              </w:rPr>
            </w:pPr>
            <w:r w:rsidRPr="00DD3807">
              <w:rPr>
                <w:color w:val="000000"/>
                <w:sz w:val="18"/>
                <w:szCs w:val="18"/>
              </w:rPr>
              <w:t>NDF II v prospech tretích strán (§25a)</w:t>
            </w:r>
          </w:p>
        </w:tc>
        <w:tc>
          <w:tcPr>
            <w:tcW w:w="612" w:type="pct"/>
            <w:tcBorders>
              <w:left w:val="nil"/>
              <w:bottom w:val="nil"/>
              <w:right w:val="nil"/>
            </w:tcBorders>
            <w:vAlign w:val="center"/>
          </w:tcPr>
          <w:p w14:paraId="3B52C0E9" w14:textId="63808D3D"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365 392</w:t>
            </w:r>
          </w:p>
        </w:tc>
        <w:tc>
          <w:tcPr>
            <w:tcW w:w="612" w:type="pct"/>
            <w:tcBorders>
              <w:left w:val="nil"/>
              <w:bottom w:val="nil"/>
              <w:right w:val="nil"/>
            </w:tcBorders>
            <w:vAlign w:val="center"/>
          </w:tcPr>
          <w:p w14:paraId="70BF85D4" w14:textId="7651CCC8"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461 226</w:t>
            </w:r>
          </w:p>
        </w:tc>
        <w:tc>
          <w:tcPr>
            <w:tcW w:w="612" w:type="pct"/>
            <w:tcBorders>
              <w:left w:val="nil"/>
              <w:bottom w:val="nil"/>
              <w:right w:val="nil"/>
            </w:tcBorders>
            <w:vAlign w:val="center"/>
          </w:tcPr>
          <w:p w14:paraId="7E7E1863" w14:textId="57FC12D7"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290 387</w:t>
            </w:r>
          </w:p>
        </w:tc>
        <w:tc>
          <w:tcPr>
            <w:tcW w:w="643" w:type="pct"/>
            <w:tcBorders>
              <w:left w:val="nil"/>
              <w:bottom w:val="nil"/>
            </w:tcBorders>
            <w:vAlign w:val="center"/>
          </w:tcPr>
          <w:p w14:paraId="467A9044" w14:textId="49F965AD"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-170 839</w:t>
            </w:r>
          </w:p>
        </w:tc>
      </w:tr>
      <w:tr w:rsidR="00125CA4" w:rsidRPr="00DD3807" w14:paraId="1D28C5F0" w14:textId="77777777" w:rsidTr="008338EF">
        <w:trPr>
          <w:trHeight w:val="276"/>
          <w:jc w:val="center"/>
        </w:trPr>
        <w:tc>
          <w:tcPr>
            <w:tcW w:w="2521" w:type="pct"/>
            <w:tcBorders>
              <w:top w:val="nil"/>
              <w:bottom w:val="nil"/>
              <w:right w:val="nil"/>
            </w:tcBorders>
            <w:vAlign w:val="center"/>
          </w:tcPr>
          <w:p w14:paraId="1FCF6072" w14:textId="4AD417A9" w:rsidR="00125CA4" w:rsidRPr="00DD3807" w:rsidRDefault="00125CA4" w:rsidP="00125CA4">
            <w:pPr>
              <w:spacing w:after="0" w:line="240" w:lineRule="auto"/>
              <w:ind w:firstLineChars="300" w:firstLine="540"/>
              <w:rPr>
                <w:color w:val="000000"/>
                <w:sz w:val="18"/>
                <w:szCs w:val="18"/>
                <w:highlight w:val="yellow"/>
                <w:lang w:eastAsia="sk-SK"/>
              </w:rPr>
            </w:pPr>
            <w:r w:rsidRPr="00DD3807">
              <w:rPr>
                <w:color w:val="000000"/>
                <w:sz w:val="18"/>
                <w:szCs w:val="18"/>
              </w:rPr>
              <w:t>MF SR v prospech NDF I (§25a)</w:t>
            </w:r>
          </w:p>
        </w:tc>
        <w:tc>
          <w:tcPr>
            <w:tcW w:w="612" w:type="pct"/>
            <w:tcBorders>
              <w:top w:val="nil"/>
              <w:left w:val="nil"/>
              <w:bottom w:val="nil"/>
              <w:right w:val="nil"/>
            </w:tcBorders>
            <w:vAlign w:val="center"/>
          </w:tcPr>
          <w:p w14:paraId="71B3CA01" w14:textId="1EC1D2E3"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238 506</w:t>
            </w:r>
          </w:p>
        </w:tc>
        <w:tc>
          <w:tcPr>
            <w:tcW w:w="612" w:type="pct"/>
            <w:tcBorders>
              <w:top w:val="nil"/>
              <w:left w:val="nil"/>
              <w:bottom w:val="nil"/>
              <w:right w:val="nil"/>
            </w:tcBorders>
            <w:vAlign w:val="center"/>
          </w:tcPr>
          <w:p w14:paraId="19598B57" w14:textId="5AEC59C9"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163 666</w:t>
            </w:r>
          </w:p>
        </w:tc>
        <w:tc>
          <w:tcPr>
            <w:tcW w:w="612" w:type="pct"/>
            <w:tcBorders>
              <w:top w:val="nil"/>
              <w:left w:val="nil"/>
              <w:bottom w:val="nil"/>
              <w:right w:val="nil"/>
            </w:tcBorders>
            <w:vAlign w:val="center"/>
          </w:tcPr>
          <w:p w14:paraId="1B434F91" w14:textId="236ABC63"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101 346</w:t>
            </w:r>
          </w:p>
        </w:tc>
        <w:tc>
          <w:tcPr>
            <w:tcW w:w="643" w:type="pct"/>
            <w:tcBorders>
              <w:top w:val="nil"/>
              <w:left w:val="nil"/>
              <w:bottom w:val="nil"/>
            </w:tcBorders>
            <w:vAlign w:val="center"/>
          </w:tcPr>
          <w:p w14:paraId="005021AE" w14:textId="6ED6AAA1"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-62 320</w:t>
            </w:r>
          </w:p>
        </w:tc>
      </w:tr>
      <w:tr w:rsidR="00125CA4" w:rsidRPr="00DD3807" w14:paraId="734D2FE9" w14:textId="77777777" w:rsidTr="008338EF">
        <w:trPr>
          <w:trHeight w:val="276"/>
          <w:jc w:val="center"/>
        </w:trPr>
        <w:tc>
          <w:tcPr>
            <w:tcW w:w="2521" w:type="pct"/>
            <w:tcBorders>
              <w:top w:val="nil"/>
              <w:bottom w:val="nil"/>
              <w:right w:val="nil"/>
            </w:tcBorders>
            <w:noWrap/>
            <w:vAlign w:val="center"/>
          </w:tcPr>
          <w:p w14:paraId="403E44BB" w14:textId="4DFF2543" w:rsidR="00125CA4" w:rsidRPr="00DD3807" w:rsidRDefault="00125CA4" w:rsidP="00125CA4">
            <w:pPr>
              <w:spacing w:after="0" w:line="240" w:lineRule="auto"/>
              <w:ind w:firstLineChars="300" w:firstLine="540"/>
              <w:rPr>
                <w:color w:val="000000"/>
                <w:sz w:val="18"/>
                <w:szCs w:val="18"/>
                <w:highlight w:val="yellow"/>
                <w:lang w:eastAsia="sk-SK"/>
              </w:rPr>
            </w:pPr>
            <w:r w:rsidRPr="00DD3807">
              <w:rPr>
                <w:color w:val="000000"/>
                <w:sz w:val="18"/>
                <w:szCs w:val="18"/>
              </w:rPr>
              <w:t>MF SR v prospech SZRB, a.s. (§5)</w:t>
            </w:r>
          </w:p>
        </w:tc>
        <w:tc>
          <w:tcPr>
            <w:tcW w:w="612" w:type="pct"/>
            <w:tcBorders>
              <w:top w:val="nil"/>
              <w:left w:val="nil"/>
              <w:bottom w:val="nil"/>
              <w:right w:val="nil"/>
            </w:tcBorders>
            <w:vAlign w:val="center"/>
          </w:tcPr>
          <w:p w14:paraId="2FDF992B" w14:textId="0D354AA8"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25 919</w:t>
            </w:r>
          </w:p>
        </w:tc>
        <w:tc>
          <w:tcPr>
            <w:tcW w:w="612" w:type="pct"/>
            <w:tcBorders>
              <w:top w:val="nil"/>
              <w:left w:val="nil"/>
              <w:bottom w:val="nil"/>
              <w:right w:val="nil"/>
            </w:tcBorders>
            <w:vAlign w:val="center"/>
          </w:tcPr>
          <w:p w14:paraId="3003DB4B" w14:textId="0393274A"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24 803</w:t>
            </w:r>
          </w:p>
        </w:tc>
        <w:tc>
          <w:tcPr>
            <w:tcW w:w="612" w:type="pct"/>
            <w:tcBorders>
              <w:top w:val="nil"/>
              <w:left w:val="nil"/>
              <w:bottom w:val="nil"/>
              <w:right w:val="nil"/>
            </w:tcBorders>
            <w:vAlign w:val="center"/>
          </w:tcPr>
          <w:p w14:paraId="1F008977" w14:textId="07D8A789"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24 723</w:t>
            </w:r>
          </w:p>
        </w:tc>
        <w:tc>
          <w:tcPr>
            <w:tcW w:w="643" w:type="pct"/>
            <w:tcBorders>
              <w:top w:val="nil"/>
              <w:left w:val="nil"/>
              <w:bottom w:val="nil"/>
            </w:tcBorders>
            <w:vAlign w:val="center"/>
          </w:tcPr>
          <w:p w14:paraId="72A65D10" w14:textId="19C9B6A4"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-80</w:t>
            </w:r>
          </w:p>
        </w:tc>
      </w:tr>
      <w:tr w:rsidR="00125CA4" w:rsidRPr="00DD3807" w14:paraId="58F04BF7" w14:textId="77777777" w:rsidTr="008338EF">
        <w:trPr>
          <w:trHeight w:val="276"/>
          <w:jc w:val="center"/>
        </w:trPr>
        <w:tc>
          <w:tcPr>
            <w:tcW w:w="2521" w:type="pct"/>
            <w:tcBorders>
              <w:top w:val="nil"/>
              <w:bottom w:val="nil"/>
              <w:right w:val="nil"/>
            </w:tcBorders>
            <w:vAlign w:val="center"/>
          </w:tcPr>
          <w:p w14:paraId="7333FCA5" w14:textId="7518394C" w:rsidR="00125CA4" w:rsidRPr="00DD3807" w:rsidRDefault="00125CA4" w:rsidP="00125CA4">
            <w:pPr>
              <w:spacing w:after="0" w:line="240" w:lineRule="auto"/>
              <w:ind w:firstLineChars="300" w:firstLine="540"/>
              <w:rPr>
                <w:color w:val="000000"/>
                <w:sz w:val="18"/>
                <w:szCs w:val="18"/>
                <w:highlight w:val="yellow"/>
                <w:lang w:eastAsia="sk-SK"/>
              </w:rPr>
            </w:pPr>
            <w:r w:rsidRPr="00DD3807">
              <w:rPr>
                <w:color w:val="000000"/>
                <w:sz w:val="18"/>
                <w:szCs w:val="18"/>
              </w:rPr>
              <w:t>MF SR v prospech EXIMBANKY (§25)</w:t>
            </w:r>
          </w:p>
        </w:tc>
        <w:tc>
          <w:tcPr>
            <w:tcW w:w="612" w:type="pct"/>
            <w:tcBorders>
              <w:top w:val="nil"/>
              <w:left w:val="nil"/>
              <w:bottom w:val="nil"/>
              <w:right w:val="nil"/>
            </w:tcBorders>
            <w:vAlign w:val="center"/>
          </w:tcPr>
          <w:p w14:paraId="2C7041A6" w14:textId="6A8618B9"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21 760</w:t>
            </w:r>
          </w:p>
        </w:tc>
        <w:tc>
          <w:tcPr>
            <w:tcW w:w="612" w:type="pct"/>
            <w:tcBorders>
              <w:top w:val="nil"/>
              <w:left w:val="nil"/>
              <w:bottom w:val="nil"/>
              <w:right w:val="nil"/>
            </w:tcBorders>
            <w:vAlign w:val="center"/>
          </w:tcPr>
          <w:p w14:paraId="699352F2" w14:textId="0EBAC231"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19 304</w:t>
            </w:r>
          </w:p>
        </w:tc>
        <w:tc>
          <w:tcPr>
            <w:tcW w:w="612" w:type="pct"/>
            <w:tcBorders>
              <w:top w:val="nil"/>
              <w:left w:val="nil"/>
              <w:bottom w:val="nil"/>
              <w:right w:val="nil"/>
            </w:tcBorders>
            <w:vAlign w:val="center"/>
          </w:tcPr>
          <w:p w14:paraId="53E1FF5B" w14:textId="1B819F19"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18 904</w:t>
            </w:r>
          </w:p>
        </w:tc>
        <w:tc>
          <w:tcPr>
            <w:tcW w:w="643" w:type="pct"/>
            <w:tcBorders>
              <w:top w:val="nil"/>
              <w:left w:val="nil"/>
              <w:bottom w:val="nil"/>
            </w:tcBorders>
            <w:vAlign w:val="center"/>
          </w:tcPr>
          <w:p w14:paraId="200E200D" w14:textId="4C6A298B"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-400</w:t>
            </w:r>
          </w:p>
        </w:tc>
      </w:tr>
      <w:tr w:rsidR="00125CA4" w:rsidRPr="00DD3807" w14:paraId="36101F1F" w14:textId="77777777" w:rsidTr="008338EF">
        <w:trPr>
          <w:trHeight w:val="276"/>
          <w:jc w:val="center"/>
        </w:trPr>
        <w:tc>
          <w:tcPr>
            <w:tcW w:w="2521" w:type="pct"/>
            <w:tcBorders>
              <w:top w:val="nil"/>
              <w:right w:val="nil"/>
            </w:tcBorders>
            <w:vAlign w:val="center"/>
          </w:tcPr>
          <w:p w14:paraId="159F3A3E" w14:textId="6F166166" w:rsidR="00125CA4" w:rsidRPr="00DD3807" w:rsidRDefault="00125CA4" w:rsidP="00125CA4">
            <w:pPr>
              <w:spacing w:after="0" w:line="240" w:lineRule="auto"/>
              <w:ind w:firstLineChars="300" w:firstLine="540"/>
              <w:rPr>
                <w:color w:val="000000"/>
                <w:sz w:val="18"/>
                <w:szCs w:val="18"/>
                <w:highlight w:val="yellow"/>
                <w:lang w:eastAsia="sk-SK"/>
              </w:rPr>
            </w:pPr>
            <w:r w:rsidRPr="00DD3807">
              <w:rPr>
                <w:color w:val="000000"/>
                <w:sz w:val="18"/>
                <w:szCs w:val="18"/>
              </w:rPr>
              <w:t>MF SR v prospech EXIMBANKY (§25a)</w:t>
            </w:r>
          </w:p>
        </w:tc>
        <w:tc>
          <w:tcPr>
            <w:tcW w:w="612" w:type="pct"/>
            <w:tcBorders>
              <w:top w:val="nil"/>
              <w:left w:val="nil"/>
              <w:right w:val="nil"/>
            </w:tcBorders>
            <w:vAlign w:val="center"/>
          </w:tcPr>
          <w:p w14:paraId="188A2B80" w14:textId="443185FF"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30 116</w:t>
            </w:r>
          </w:p>
        </w:tc>
        <w:tc>
          <w:tcPr>
            <w:tcW w:w="612" w:type="pct"/>
            <w:tcBorders>
              <w:top w:val="nil"/>
              <w:left w:val="nil"/>
              <w:right w:val="nil"/>
            </w:tcBorders>
            <w:vAlign w:val="center"/>
          </w:tcPr>
          <w:p w14:paraId="07B39237" w14:textId="6723EB39"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24 794</w:t>
            </w:r>
          </w:p>
        </w:tc>
        <w:tc>
          <w:tcPr>
            <w:tcW w:w="612" w:type="pct"/>
            <w:tcBorders>
              <w:top w:val="nil"/>
              <w:left w:val="nil"/>
              <w:right w:val="nil"/>
            </w:tcBorders>
            <w:vAlign w:val="center"/>
          </w:tcPr>
          <w:p w14:paraId="0EFCEAC0" w14:textId="74AAF56F"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17 816</w:t>
            </w:r>
          </w:p>
        </w:tc>
        <w:tc>
          <w:tcPr>
            <w:tcW w:w="643" w:type="pct"/>
            <w:tcBorders>
              <w:top w:val="nil"/>
              <w:left w:val="nil"/>
            </w:tcBorders>
            <w:vAlign w:val="center"/>
          </w:tcPr>
          <w:p w14:paraId="17C68605" w14:textId="72E79395" w:rsidR="00125CA4" w:rsidRPr="00DD3807" w:rsidRDefault="00125CA4" w:rsidP="00125CA4">
            <w:pPr>
              <w:spacing w:after="0" w:line="240" w:lineRule="auto"/>
              <w:jc w:val="right"/>
              <w:rPr>
                <w:color w:val="000000"/>
                <w:sz w:val="18"/>
                <w:szCs w:val="18"/>
                <w:highlight w:val="yellow"/>
                <w:lang w:eastAsia="sk-SK"/>
              </w:rPr>
            </w:pPr>
            <w:r w:rsidRPr="00DD3807">
              <w:rPr>
                <w:color w:val="000000"/>
                <w:sz w:val="18"/>
                <w:szCs w:val="18"/>
              </w:rPr>
              <w:t>-6 978</w:t>
            </w:r>
          </w:p>
        </w:tc>
      </w:tr>
      <w:tr w:rsidR="00125CA4" w:rsidRPr="00DD3807" w14:paraId="2EC9B047" w14:textId="77777777" w:rsidTr="008338EF">
        <w:trPr>
          <w:trHeight w:val="276"/>
          <w:jc w:val="center"/>
        </w:trPr>
        <w:tc>
          <w:tcPr>
            <w:tcW w:w="2521" w:type="pct"/>
            <w:tcBorders>
              <w:right w:val="nil"/>
            </w:tcBorders>
            <w:vAlign w:val="center"/>
          </w:tcPr>
          <w:p w14:paraId="2386AFAC" w14:textId="11B21E5A" w:rsidR="00125CA4" w:rsidRPr="00DD3807" w:rsidRDefault="00125CA4" w:rsidP="00125CA4">
            <w:pPr>
              <w:spacing w:after="0" w:line="240" w:lineRule="auto"/>
              <w:rPr>
                <w:b/>
                <w:bCs/>
                <w:color w:val="000000"/>
                <w:sz w:val="18"/>
                <w:szCs w:val="18"/>
                <w:highlight w:val="yellow"/>
                <w:lang w:eastAsia="sk-SK"/>
              </w:rPr>
            </w:pPr>
            <w:r w:rsidRPr="00DD3807">
              <w:rPr>
                <w:b/>
                <w:bCs/>
                <w:color w:val="000000"/>
                <w:sz w:val="18"/>
                <w:szCs w:val="18"/>
              </w:rPr>
              <w:t xml:space="preserve">Spolu  </w:t>
            </w:r>
          </w:p>
        </w:tc>
        <w:tc>
          <w:tcPr>
            <w:tcW w:w="612" w:type="pct"/>
            <w:tcBorders>
              <w:left w:val="nil"/>
              <w:right w:val="nil"/>
            </w:tcBorders>
            <w:vAlign w:val="center"/>
          </w:tcPr>
          <w:p w14:paraId="010E10EF" w14:textId="1D128F08" w:rsidR="00125CA4" w:rsidRPr="00DD3807" w:rsidRDefault="00125CA4" w:rsidP="00125CA4">
            <w:pPr>
              <w:spacing w:after="0" w:line="240" w:lineRule="auto"/>
              <w:jc w:val="right"/>
              <w:rPr>
                <w:b/>
                <w:bCs/>
                <w:color w:val="000000"/>
                <w:sz w:val="18"/>
                <w:szCs w:val="18"/>
                <w:highlight w:val="yellow"/>
                <w:lang w:eastAsia="sk-SK"/>
              </w:rPr>
            </w:pPr>
            <w:r w:rsidRPr="00DD3807">
              <w:rPr>
                <w:b/>
                <w:bCs/>
                <w:color w:val="000000"/>
                <w:sz w:val="18"/>
                <w:szCs w:val="18"/>
              </w:rPr>
              <w:t>681 693</w:t>
            </w:r>
          </w:p>
        </w:tc>
        <w:tc>
          <w:tcPr>
            <w:tcW w:w="612" w:type="pct"/>
            <w:tcBorders>
              <w:left w:val="nil"/>
              <w:right w:val="nil"/>
            </w:tcBorders>
            <w:vAlign w:val="center"/>
          </w:tcPr>
          <w:p w14:paraId="13AC6430" w14:textId="38180EC6" w:rsidR="00125CA4" w:rsidRPr="00DD3807" w:rsidRDefault="00125CA4" w:rsidP="00125CA4">
            <w:pPr>
              <w:spacing w:after="0" w:line="240" w:lineRule="auto"/>
              <w:jc w:val="right"/>
              <w:rPr>
                <w:b/>
                <w:bCs/>
                <w:color w:val="000000"/>
                <w:sz w:val="18"/>
                <w:szCs w:val="18"/>
                <w:highlight w:val="yellow"/>
                <w:lang w:eastAsia="sk-SK"/>
              </w:rPr>
            </w:pPr>
            <w:r w:rsidRPr="00DD3807">
              <w:rPr>
                <w:b/>
                <w:bCs/>
                <w:color w:val="000000"/>
                <w:sz w:val="18"/>
                <w:szCs w:val="18"/>
              </w:rPr>
              <w:t>693 793</w:t>
            </w:r>
          </w:p>
        </w:tc>
        <w:tc>
          <w:tcPr>
            <w:tcW w:w="612" w:type="pct"/>
            <w:tcBorders>
              <w:left w:val="nil"/>
              <w:right w:val="nil"/>
            </w:tcBorders>
            <w:vAlign w:val="center"/>
          </w:tcPr>
          <w:p w14:paraId="578C443A" w14:textId="2BA854FC" w:rsidR="00125CA4" w:rsidRPr="00DD3807" w:rsidRDefault="009249C0" w:rsidP="00125CA4">
            <w:pPr>
              <w:spacing w:after="0" w:line="240" w:lineRule="auto"/>
              <w:jc w:val="right"/>
              <w:rPr>
                <w:b/>
                <w:bCs/>
                <w:color w:val="000000"/>
                <w:sz w:val="18"/>
                <w:szCs w:val="18"/>
                <w:highlight w:val="yellow"/>
                <w:lang w:eastAsia="sk-SK"/>
              </w:rPr>
            </w:pPr>
            <w:r w:rsidRPr="00DD3807">
              <w:rPr>
                <w:b/>
                <w:bCs/>
                <w:color w:val="000000"/>
                <w:sz w:val="18"/>
                <w:szCs w:val="18"/>
              </w:rPr>
              <w:t>453</w:t>
            </w:r>
            <w:r w:rsidR="00125CA4" w:rsidRPr="00DD3807">
              <w:rPr>
                <w:b/>
                <w:bCs/>
                <w:color w:val="000000"/>
                <w:sz w:val="18"/>
                <w:szCs w:val="18"/>
              </w:rPr>
              <w:t xml:space="preserve"> </w:t>
            </w:r>
            <w:r w:rsidRPr="00DD3807">
              <w:rPr>
                <w:b/>
                <w:bCs/>
                <w:color w:val="000000"/>
                <w:sz w:val="18"/>
                <w:szCs w:val="18"/>
              </w:rPr>
              <w:t>176</w:t>
            </w:r>
          </w:p>
        </w:tc>
        <w:tc>
          <w:tcPr>
            <w:tcW w:w="643" w:type="pct"/>
            <w:tcBorders>
              <w:left w:val="nil"/>
            </w:tcBorders>
            <w:vAlign w:val="center"/>
          </w:tcPr>
          <w:p w14:paraId="3B2252A7" w14:textId="00CEBC12" w:rsidR="00125CA4" w:rsidRPr="00DD3807" w:rsidRDefault="00125CA4" w:rsidP="00125CA4">
            <w:pPr>
              <w:spacing w:after="0" w:line="240" w:lineRule="auto"/>
              <w:jc w:val="right"/>
              <w:rPr>
                <w:b/>
                <w:bCs/>
                <w:color w:val="000000"/>
                <w:sz w:val="18"/>
                <w:szCs w:val="18"/>
                <w:highlight w:val="yellow"/>
                <w:lang w:eastAsia="sk-SK"/>
              </w:rPr>
            </w:pPr>
            <w:r w:rsidRPr="00DD3807">
              <w:rPr>
                <w:b/>
                <w:bCs/>
                <w:color w:val="000000"/>
                <w:sz w:val="18"/>
                <w:szCs w:val="18"/>
              </w:rPr>
              <w:t>-</w:t>
            </w:r>
            <w:r w:rsidR="009249C0" w:rsidRPr="00DD3807">
              <w:rPr>
                <w:b/>
                <w:bCs/>
                <w:color w:val="000000"/>
                <w:sz w:val="18"/>
                <w:szCs w:val="18"/>
              </w:rPr>
              <w:t>240</w:t>
            </w:r>
            <w:r w:rsidRPr="00DD3807">
              <w:rPr>
                <w:b/>
                <w:bCs/>
                <w:color w:val="000000"/>
                <w:sz w:val="18"/>
                <w:szCs w:val="18"/>
              </w:rPr>
              <w:t xml:space="preserve"> </w:t>
            </w:r>
            <w:r w:rsidR="009249C0" w:rsidRPr="00DD3807">
              <w:rPr>
                <w:b/>
                <w:bCs/>
                <w:color w:val="000000"/>
                <w:sz w:val="18"/>
                <w:szCs w:val="18"/>
              </w:rPr>
              <w:t>617</w:t>
            </w:r>
          </w:p>
        </w:tc>
      </w:tr>
    </w:tbl>
    <w:p w14:paraId="0A7C64F2" w14:textId="236DA60F" w:rsidR="001768B9" w:rsidRPr="00EE6302" w:rsidRDefault="00AC392E" w:rsidP="00AC392E">
      <w:pPr>
        <w:spacing w:after="0" w:line="240" w:lineRule="auto"/>
        <w:ind w:left="7090" w:firstLine="709"/>
        <w:jc w:val="both"/>
        <w:rPr>
          <w:sz w:val="16"/>
          <w:szCs w:val="16"/>
        </w:rPr>
      </w:pPr>
      <w:r w:rsidRPr="00EE6302">
        <w:rPr>
          <w:sz w:val="16"/>
          <w:szCs w:val="16"/>
        </w:rPr>
        <w:t xml:space="preserve">  Zdroj: databáza MFSR</w:t>
      </w:r>
    </w:p>
    <w:p w14:paraId="31E95025" w14:textId="77777777" w:rsidR="00AC392E" w:rsidRPr="00174C84" w:rsidRDefault="00AC392E" w:rsidP="001768B9">
      <w:pPr>
        <w:spacing w:after="0" w:line="240" w:lineRule="auto"/>
        <w:jc w:val="both"/>
        <w:rPr>
          <w:b/>
          <w:bCs/>
          <w:szCs w:val="22"/>
          <w:highlight w:val="yellow"/>
        </w:rPr>
      </w:pPr>
    </w:p>
    <w:p w14:paraId="28546192" w14:textId="45A17C7E" w:rsidR="0015190C" w:rsidRPr="00D076BA" w:rsidRDefault="0015190C" w:rsidP="00D0242C">
      <w:pPr>
        <w:spacing w:after="120" w:line="240" w:lineRule="auto"/>
        <w:jc w:val="both"/>
        <w:rPr>
          <w:bCs/>
          <w:szCs w:val="22"/>
        </w:rPr>
      </w:pPr>
      <w:bookmarkStart w:id="100" w:name="_Toc495990500"/>
      <w:r w:rsidRPr="00D076BA">
        <w:rPr>
          <w:bCs/>
          <w:szCs w:val="22"/>
        </w:rPr>
        <w:t>Po abstrahovaní záruk vystavených Ministerstvom financií SR v prospech iných subjektov verejnej správy (Eximbanka, SZRB a NDF I) je hodnota covid záruk k 31.</w:t>
      </w:r>
      <w:r w:rsidR="005B2DB0">
        <w:rPr>
          <w:bCs/>
          <w:szCs w:val="22"/>
        </w:rPr>
        <w:t> </w:t>
      </w:r>
      <w:r w:rsidRPr="00D076BA">
        <w:rPr>
          <w:bCs/>
          <w:szCs w:val="22"/>
        </w:rPr>
        <w:t>12.</w:t>
      </w:r>
      <w:r w:rsidR="005B2DB0">
        <w:rPr>
          <w:bCs/>
          <w:szCs w:val="22"/>
        </w:rPr>
        <w:t> </w:t>
      </w:r>
      <w:r w:rsidRPr="00D076BA">
        <w:rPr>
          <w:bCs/>
          <w:szCs w:val="22"/>
        </w:rPr>
        <w:t>2024 na úrovni</w:t>
      </w:r>
      <w:r w:rsidR="005B2DB0">
        <w:rPr>
          <w:bCs/>
          <w:szCs w:val="22"/>
        </w:rPr>
        <w:t> </w:t>
      </w:r>
      <w:r w:rsidRPr="00D076BA">
        <w:rPr>
          <w:bCs/>
          <w:szCs w:val="22"/>
        </w:rPr>
        <w:t>290</w:t>
      </w:r>
      <w:r w:rsidR="005B2DB0">
        <w:rPr>
          <w:bCs/>
          <w:szCs w:val="22"/>
        </w:rPr>
        <w:t> </w:t>
      </w:r>
      <w:r w:rsidRPr="00D076BA">
        <w:rPr>
          <w:bCs/>
          <w:szCs w:val="22"/>
        </w:rPr>
        <w:t>387</w:t>
      </w:r>
      <w:r w:rsidR="005B2DB0">
        <w:rPr>
          <w:bCs/>
          <w:szCs w:val="22"/>
        </w:rPr>
        <w:t> </w:t>
      </w:r>
      <w:r w:rsidRPr="00D076BA">
        <w:rPr>
          <w:bCs/>
          <w:szCs w:val="22"/>
        </w:rPr>
        <w:t>tis.</w:t>
      </w:r>
      <w:r w:rsidR="005B2DB0">
        <w:rPr>
          <w:bCs/>
          <w:szCs w:val="22"/>
        </w:rPr>
        <w:t> </w:t>
      </w:r>
      <w:r w:rsidRPr="00D076BA">
        <w:rPr>
          <w:bCs/>
          <w:szCs w:val="22"/>
        </w:rPr>
        <w:t>eur.</w:t>
      </w:r>
    </w:p>
    <w:p w14:paraId="72FA87C5" w14:textId="3D83D147" w:rsidR="0015190C" w:rsidRPr="00D076BA" w:rsidRDefault="0015190C" w:rsidP="00D0242C">
      <w:pPr>
        <w:spacing w:after="120" w:line="240" w:lineRule="auto"/>
        <w:jc w:val="both"/>
        <w:rPr>
          <w:szCs w:val="22"/>
          <w:lang w:eastAsia="sk-SK"/>
        </w:rPr>
      </w:pPr>
      <w:r w:rsidRPr="00D076BA">
        <w:rPr>
          <w:szCs w:val="22"/>
          <w:lang w:eastAsia="sk-SK"/>
        </w:rPr>
        <w:lastRenderedPageBreak/>
        <w:t>Obdobne aj</w:t>
      </w:r>
      <w:r w:rsidRPr="00D076BA">
        <w:rPr>
          <w:b/>
          <w:szCs w:val="22"/>
          <w:lang w:eastAsia="sk-SK"/>
        </w:rPr>
        <w:t xml:space="preserve"> Exportno-importná banka Slovenska</w:t>
      </w:r>
      <w:r w:rsidRPr="00D076BA">
        <w:rPr>
          <w:szCs w:val="22"/>
          <w:lang w:eastAsia="sk-SK"/>
        </w:rPr>
        <w:t xml:space="preserve"> vykazuje v iných pasívach hodnotu poskytnutých záruk</w:t>
      </w:r>
      <w:r w:rsidR="005B2DB0">
        <w:rPr>
          <w:szCs w:val="22"/>
          <w:lang w:eastAsia="sk-SK"/>
        </w:rPr>
        <w:t> </w:t>
      </w:r>
      <w:r w:rsidRPr="00D076BA">
        <w:rPr>
          <w:szCs w:val="22"/>
          <w:lang w:eastAsia="sk-SK"/>
        </w:rPr>
        <w:t>291</w:t>
      </w:r>
      <w:r w:rsidR="005B2DB0">
        <w:rPr>
          <w:szCs w:val="22"/>
          <w:lang w:eastAsia="sk-SK"/>
        </w:rPr>
        <w:t> </w:t>
      </w:r>
      <w:r w:rsidRPr="00D076BA">
        <w:rPr>
          <w:szCs w:val="22"/>
          <w:lang w:eastAsia="sk-SK"/>
        </w:rPr>
        <w:t>479</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 v tom záruky v súvislosti s opatreniami na zmiernenie dopadov pandémie COVID-</w:t>
      </w:r>
      <w:r w:rsidR="005B2DB0">
        <w:rPr>
          <w:szCs w:val="22"/>
          <w:lang w:eastAsia="sk-SK"/>
        </w:rPr>
        <w:t> 1</w:t>
      </w:r>
      <w:r w:rsidRPr="00D076BA">
        <w:rPr>
          <w:szCs w:val="22"/>
          <w:lang w:eastAsia="sk-SK"/>
        </w:rPr>
        <w:t>9 v</w:t>
      </w:r>
      <w:r w:rsidR="005B2DB0">
        <w:rPr>
          <w:szCs w:val="22"/>
          <w:lang w:eastAsia="sk-SK"/>
        </w:rPr>
        <w:t> </w:t>
      </w:r>
      <w:r w:rsidRPr="00D076BA">
        <w:rPr>
          <w:szCs w:val="22"/>
          <w:lang w:eastAsia="sk-SK"/>
        </w:rPr>
        <w:t>sume</w:t>
      </w:r>
      <w:r w:rsidR="005B2DB0">
        <w:rPr>
          <w:szCs w:val="22"/>
          <w:lang w:eastAsia="sk-SK"/>
        </w:rPr>
        <w:t> </w:t>
      </w:r>
      <w:r w:rsidRPr="00D076BA">
        <w:rPr>
          <w:szCs w:val="22"/>
          <w:lang w:eastAsia="sk-SK"/>
        </w:rPr>
        <w:t>17</w:t>
      </w:r>
      <w:r w:rsidR="005B2DB0">
        <w:rPr>
          <w:szCs w:val="22"/>
          <w:lang w:eastAsia="sk-SK"/>
        </w:rPr>
        <w:t> </w:t>
      </w:r>
      <w:r w:rsidRPr="00D076BA">
        <w:rPr>
          <w:szCs w:val="22"/>
          <w:lang w:eastAsia="sk-SK"/>
        </w:rPr>
        <w:t>816</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w:t>
      </w:r>
    </w:p>
    <w:p w14:paraId="3D77B5CC" w14:textId="5CCC1C9E" w:rsidR="0015190C" w:rsidRPr="00D076BA" w:rsidRDefault="0015190C" w:rsidP="00D0242C">
      <w:pPr>
        <w:spacing w:after="120" w:line="240" w:lineRule="auto"/>
        <w:jc w:val="both"/>
        <w:rPr>
          <w:szCs w:val="22"/>
          <w:lang w:eastAsia="sk-SK"/>
        </w:rPr>
      </w:pPr>
      <w:r w:rsidRPr="00D076BA">
        <w:rPr>
          <w:b/>
          <w:szCs w:val="22"/>
          <w:lang w:eastAsia="sk-SK"/>
        </w:rPr>
        <w:t>Slovenská záručná a rozvojová banka Slovenska, a.s.</w:t>
      </w:r>
      <w:r w:rsidRPr="00D076BA">
        <w:rPr>
          <w:szCs w:val="22"/>
          <w:lang w:eastAsia="sk-SK"/>
        </w:rPr>
        <w:t xml:space="preserve"> vykazuje podmienené záväzky z titulu poskytnutých záruk v</w:t>
      </w:r>
      <w:r w:rsidR="005B2DB0">
        <w:rPr>
          <w:szCs w:val="22"/>
          <w:lang w:eastAsia="sk-SK"/>
        </w:rPr>
        <w:t> </w:t>
      </w:r>
      <w:r w:rsidRPr="00D076BA">
        <w:rPr>
          <w:szCs w:val="22"/>
          <w:lang w:eastAsia="sk-SK"/>
        </w:rPr>
        <w:t>hodnote</w:t>
      </w:r>
      <w:r w:rsidR="005B2DB0">
        <w:rPr>
          <w:szCs w:val="22"/>
          <w:lang w:eastAsia="sk-SK"/>
        </w:rPr>
        <w:t> </w:t>
      </w:r>
      <w:r w:rsidRPr="00D076BA">
        <w:rPr>
          <w:szCs w:val="22"/>
          <w:lang w:eastAsia="sk-SK"/>
        </w:rPr>
        <w:t>23</w:t>
      </w:r>
      <w:r w:rsidR="005B2DB0">
        <w:rPr>
          <w:szCs w:val="22"/>
          <w:lang w:eastAsia="sk-SK"/>
        </w:rPr>
        <w:t> </w:t>
      </w:r>
      <w:r w:rsidRPr="00D076BA">
        <w:rPr>
          <w:szCs w:val="22"/>
          <w:lang w:eastAsia="sk-SK"/>
        </w:rPr>
        <w:t>171</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 a úverových prísľubov vo výške</w:t>
      </w:r>
      <w:r w:rsidR="005B2DB0">
        <w:rPr>
          <w:szCs w:val="22"/>
          <w:lang w:eastAsia="sk-SK"/>
        </w:rPr>
        <w:t> </w:t>
      </w:r>
      <w:r w:rsidRPr="00D076BA">
        <w:rPr>
          <w:szCs w:val="22"/>
          <w:lang w:eastAsia="sk-SK"/>
        </w:rPr>
        <w:t>46</w:t>
      </w:r>
      <w:r w:rsidR="005B2DB0">
        <w:rPr>
          <w:szCs w:val="22"/>
          <w:lang w:eastAsia="sk-SK"/>
        </w:rPr>
        <w:t> </w:t>
      </w:r>
      <w:r w:rsidRPr="00D076BA">
        <w:rPr>
          <w:szCs w:val="22"/>
          <w:lang w:eastAsia="sk-SK"/>
        </w:rPr>
        <w:t>605</w:t>
      </w:r>
      <w:r w:rsidR="005B2DB0">
        <w:rPr>
          <w:szCs w:val="22"/>
          <w:lang w:eastAsia="sk-SK"/>
        </w:rPr>
        <w:t> </w:t>
      </w:r>
      <w:r w:rsidRPr="00D076BA">
        <w:rPr>
          <w:szCs w:val="22"/>
          <w:lang w:eastAsia="sk-SK"/>
        </w:rPr>
        <w:t>tis.</w:t>
      </w:r>
      <w:r w:rsidR="005B2DB0">
        <w:rPr>
          <w:szCs w:val="22"/>
          <w:lang w:eastAsia="sk-SK"/>
        </w:rPr>
        <w:t> </w:t>
      </w:r>
      <w:r w:rsidRPr="00D076BA">
        <w:rPr>
          <w:szCs w:val="22"/>
          <w:lang w:eastAsia="sk-SK"/>
        </w:rPr>
        <w:t>eur.</w:t>
      </w:r>
    </w:p>
    <w:p w14:paraId="43A3B11A" w14:textId="3DBE12E7" w:rsidR="00DC54F9" w:rsidRPr="00174C84" w:rsidRDefault="0015190C" w:rsidP="00FE22D0">
      <w:pPr>
        <w:jc w:val="both"/>
        <w:rPr>
          <w:rFonts w:eastAsiaTheme="majorEastAsia"/>
          <w:b/>
          <w:szCs w:val="22"/>
          <w:highlight w:val="yellow"/>
        </w:rPr>
      </w:pPr>
      <w:r w:rsidRPr="00D076BA">
        <w:rPr>
          <w:b/>
          <w:szCs w:val="22"/>
          <w:lang w:eastAsia="sk-SK"/>
        </w:rPr>
        <w:t>Lesy Slovenskej republiky, š. p.</w:t>
      </w:r>
      <w:r w:rsidRPr="00D076BA">
        <w:rPr>
          <w:szCs w:val="22"/>
          <w:lang w:eastAsia="sk-SK"/>
        </w:rPr>
        <w:t xml:space="preserve"> dlhodobo vykazujú hodnotu majetku, ktorá je právne nevysporiadaná (napr. pozemky a stavby), a ktoré môžu byť predmetom vrátenia pôvodným vlastníkom</w:t>
      </w:r>
      <w:r w:rsidR="00FE22D0">
        <w:rPr>
          <w:szCs w:val="22"/>
          <w:lang w:eastAsia="sk-SK"/>
        </w:rPr>
        <w:t>.</w:t>
      </w:r>
    </w:p>
    <w:p w14:paraId="58D9F60E" w14:textId="4B2ACA67" w:rsidR="001768B9" w:rsidRPr="0015190C" w:rsidRDefault="001768B9" w:rsidP="00BB0220">
      <w:pPr>
        <w:pStyle w:val="Nadpis3"/>
        <w:numPr>
          <w:ilvl w:val="2"/>
          <w:numId w:val="7"/>
        </w:numPr>
      </w:pPr>
      <w:bookmarkStart w:id="101" w:name="_Toc212461614"/>
      <w:r w:rsidRPr="0015190C">
        <w:t xml:space="preserve">Iné aktíva </w:t>
      </w:r>
      <w:bookmarkEnd w:id="100"/>
      <w:r w:rsidRPr="0015190C">
        <w:t>ako súčasť čistého bohatstva</w:t>
      </w:r>
      <w:bookmarkEnd w:id="101"/>
    </w:p>
    <w:p w14:paraId="315ABD1F" w14:textId="0F9D524F" w:rsidR="001D70BF" w:rsidRPr="00174C84" w:rsidRDefault="0015190C" w:rsidP="00B6141B">
      <w:pPr>
        <w:spacing w:after="120" w:line="240" w:lineRule="auto"/>
        <w:jc w:val="both"/>
        <w:rPr>
          <w:highlight w:val="yellow"/>
        </w:rPr>
      </w:pPr>
      <w:r w:rsidRPr="004666B7">
        <w:t>Pod inými aktívami ako súčasť čistého bohatstva sa k 31. 12. 2024 vykazovali najmä podsúvahové ocenenie štátnych lesov a odpísané pohľadávky po lehote splatnosti v štádiu ich vymáhania. Iné aktíva dosiahli v súhrnnej výške</w:t>
      </w:r>
      <w:r w:rsidR="005B2DB0">
        <w:t> </w:t>
      </w:r>
      <w:r w:rsidRPr="004666B7">
        <w:t>9</w:t>
      </w:r>
      <w:r w:rsidR="005B2DB0">
        <w:t> </w:t>
      </w:r>
      <w:r w:rsidRPr="004666B7">
        <w:t>517</w:t>
      </w:r>
      <w:r w:rsidR="005B2DB0">
        <w:t xml:space="preserve"> </w:t>
      </w:r>
      <w:r w:rsidRPr="004666B7">
        <w:t>881 tis. eur pred vnútornou konsolidácio</w:t>
      </w:r>
      <w:r w:rsidRPr="00EE6302">
        <w:t>u</w:t>
      </w:r>
      <w:r w:rsidR="001D70BF" w:rsidRPr="00EE6302">
        <w:t>.</w:t>
      </w:r>
    </w:p>
    <w:p w14:paraId="12D35903" w14:textId="27827EDC" w:rsidR="00BC1839" w:rsidRPr="00BC1839" w:rsidRDefault="0015190C" w:rsidP="00B6141B">
      <w:pPr>
        <w:spacing w:after="120" w:line="240" w:lineRule="auto"/>
        <w:jc w:val="both"/>
      </w:pPr>
      <w:r w:rsidRPr="004666B7">
        <w:t>Od roku 2017 je súčasťou podmienených aktív aj hodnota lesných porastov uvedená v poznámkach účtovnej závierky štátneho podniku Lesy Slovenskej republiky, š. p., ktorá je pravidelne aktualizovaná znalcom Národného lesníckeho centra. Toto iné aktívum tvorí 34,2 % doteraz identifikovaných mimobilančných aktív verejnej správy. Druhým najväčším podmieneným aktívom – 30,8 %, sú pohľadávky postúpené z bankových inštitúcií alebo verejných inštitúcií na vymáhanie Slovenskej konsolidačnej, a. s., ktorá ich na</w:t>
      </w:r>
      <w:r w:rsidR="000A7A3A">
        <w:t> </w:t>
      </w:r>
      <w:r w:rsidRPr="004666B7">
        <w:t>základe príslušnej legislatívy vymáha a uplatňuje si z nich exekučné nároky</w:t>
      </w:r>
      <w:r w:rsidR="00BC1839">
        <w:t>.</w:t>
      </w:r>
    </w:p>
    <w:p w14:paraId="604F8785" w14:textId="4CBAC621" w:rsidR="00076866" w:rsidRDefault="00076866" w:rsidP="00D162A9">
      <w:pPr>
        <w:pStyle w:val="Popis"/>
      </w:pPr>
      <w:bookmarkStart w:id="102" w:name="_Toc212124644"/>
      <w:r>
        <w:t xml:space="preserve">Tabuľka </w:t>
      </w:r>
      <w:r>
        <w:fldChar w:fldCharType="begin"/>
      </w:r>
      <w:r>
        <w:instrText xml:space="preserve"> SEQ Tabuľka \* ARABIC </w:instrText>
      </w:r>
      <w:r>
        <w:fldChar w:fldCharType="separate"/>
      </w:r>
      <w:r>
        <w:rPr>
          <w:noProof/>
        </w:rPr>
        <w:t>23</w:t>
      </w:r>
      <w:r>
        <w:fldChar w:fldCharType="end"/>
      </w:r>
      <w:r>
        <w:t xml:space="preserve"> - </w:t>
      </w:r>
      <w:r w:rsidRPr="00B943BF">
        <w:t>Podmienené aktíva (v tis. eur</w:t>
      </w:r>
      <w:r>
        <w:t>)</w:t>
      </w:r>
      <w:bookmarkEnd w:id="102"/>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98"/>
        <w:gridCol w:w="1022"/>
        <w:gridCol w:w="1270"/>
        <w:gridCol w:w="1200"/>
        <w:gridCol w:w="1305"/>
      </w:tblGrid>
      <w:tr w:rsidR="0015190C" w:rsidRPr="00174C84" w14:paraId="2757ED74" w14:textId="77777777" w:rsidTr="008A6A1F">
        <w:trPr>
          <w:trHeight w:val="345"/>
          <w:tblHeader/>
          <w:jc w:val="center"/>
        </w:trPr>
        <w:tc>
          <w:tcPr>
            <w:tcW w:w="2474" w:type="pct"/>
            <w:tcBorders>
              <w:right w:val="nil"/>
            </w:tcBorders>
            <w:vAlign w:val="center"/>
            <w:hideMark/>
          </w:tcPr>
          <w:p w14:paraId="4AA0BE78" w14:textId="31891034" w:rsidR="0015190C" w:rsidRPr="00174C84" w:rsidRDefault="0015190C" w:rsidP="0015190C">
            <w:pPr>
              <w:spacing w:after="0" w:line="240" w:lineRule="auto"/>
              <w:rPr>
                <w:b/>
                <w:sz w:val="18"/>
                <w:szCs w:val="18"/>
                <w:highlight w:val="yellow"/>
                <w:lang w:eastAsia="sk-SK"/>
              </w:rPr>
            </w:pPr>
            <w:r w:rsidRPr="004666B7">
              <w:rPr>
                <w:b/>
                <w:sz w:val="18"/>
                <w:szCs w:val="18"/>
                <w:lang w:eastAsia="sk-SK"/>
              </w:rPr>
              <w:t>Subjekty</w:t>
            </w:r>
          </w:p>
        </w:tc>
        <w:tc>
          <w:tcPr>
            <w:tcW w:w="538" w:type="pct"/>
            <w:tcBorders>
              <w:left w:val="nil"/>
              <w:right w:val="nil"/>
            </w:tcBorders>
            <w:vAlign w:val="center"/>
          </w:tcPr>
          <w:p w14:paraId="13B7EC85" w14:textId="04408035" w:rsidR="0015190C" w:rsidRPr="00174C84" w:rsidRDefault="0015190C" w:rsidP="0015190C">
            <w:pPr>
              <w:spacing w:after="0" w:line="240" w:lineRule="auto"/>
              <w:jc w:val="right"/>
              <w:rPr>
                <w:b/>
                <w:sz w:val="18"/>
                <w:szCs w:val="18"/>
                <w:highlight w:val="yellow"/>
                <w:lang w:eastAsia="sk-SK"/>
              </w:rPr>
            </w:pPr>
            <w:r w:rsidRPr="004666B7">
              <w:rPr>
                <w:b/>
                <w:sz w:val="18"/>
                <w:szCs w:val="18"/>
                <w:lang w:eastAsia="sk-SK"/>
              </w:rPr>
              <w:t>2022</w:t>
            </w:r>
          </w:p>
        </w:tc>
        <w:tc>
          <w:tcPr>
            <w:tcW w:w="669" w:type="pct"/>
            <w:tcBorders>
              <w:left w:val="nil"/>
              <w:right w:val="nil"/>
            </w:tcBorders>
            <w:vAlign w:val="center"/>
          </w:tcPr>
          <w:p w14:paraId="11F96583" w14:textId="7963D1BD" w:rsidR="0015190C" w:rsidRPr="00174C84" w:rsidRDefault="0015190C" w:rsidP="0015190C">
            <w:pPr>
              <w:spacing w:after="0" w:line="240" w:lineRule="auto"/>
              <w:jc w:val="right"/>
              <w:rPr>
                <w:b/>
                <w:sz w:val="18"/>
                <w:szCs w:val="18"/>
                <w:highlight w:val="yellow"/>
                <w:lang w:eastAsia="sk-SK"/>
              </w:rPr>
            </w:pPr>
            <w:r w:rsidRPr="004666B7">
              <w:rPr>
                <w:b/>
                <w:sz w:val="18"/>
                <w:szCs w:val="18"/>
                <w:lang w:eastAsia="sk-SK"/>
              </w:rPr>
              <w:t>2023</w:t>
            </w:r>
          </w:p>
        </w:tc>
        <w:tc>
          <w:tcPr>
            <w:tcW w:w="632" w:type="pct"/>
            <w:tcBorders>
              <w:left w:val="nil"/>
              <w:right w:val="nil"/>
            </w:tcBorders>
            <w:vAlign w:val="center"/>
          </w:tcPr>
          <w:p w14:paraId="27B81919" w14:textId="082EB3E2" w:rsidR="0015190C" w:rsidRPr="00174C84" w:rsidRDefault="0015190C" w:rsidP="0015190C">
            <w:pPr>
              <w:spacing w:after="0" w:line="240" w:lineRule="auto"/>
              <w:jc w:val="right"/>
              <w:rPr>
                <w:b/>
                <w:sz w:val="18"/>
                <w:szCs w:val="18"/>
                <w:highlight w:val="yellow"/>
                <w:lang w:eastAsia="sk-SK"/>
              </w:rPr>
            </w:pPr>
            <w:r w:rsidRPr="004666B7">
              <w:rPr>
                <w:b/>
                <w:sz w:val="18"/>
                <w:szCs w:val="18"/>
                <w:lang w:eastAsia="sk-SK"/>
              </w:rPr>
              <w:t>202</w:t>
            </w:r>
            <w:r>
              <w:rPr>
                <w:b/>
                <w:sz w:val="18"/>
                <w:szCs w:val="18"/>
                <w:lang w:eastAsia="sk-SK"/>
              </w:rPr>
              <w:t>4</w:t>
            </w:r>
          </w:p>
        </w:tc>
        <w:tc>
          <w:tcPr>
            <w:tcW w:w="687" w:type="pct"/>
            <w:tcBorders>
              <w:left w:val="nil"/>
            </w:tcBorders>
            <w:vAlign w:val="center"/>
          </w:tcPr>
          <w:p w14:paraId="5CA7AAFF" w14:textId="5B02F94E" w:rsidR="0015190C" w:rsidRPr="00174C84" w:rsidRDefault="0015190C" w:rsidP="0015190C">
            <w:pPr>
              <w:spacing w:after="0" w:line="240" w:lineRule="auto"/>
              <w:jc w:val="right"/>
              <w:rPr>
                <w:b/>
                <w:bCs/>
                <w:sz w:val="18"/>
                <w:szCs w:val="18"/>
                <w:highlight w:val="yellow"/>
                <w:lang w:eastAsia="sk-SK"/>
              </w:rPr>
            </w:pPr>
            <w:r w:rsidRPr="004666B7">
              <w:rPr>
                <w:b/>
                <w:sz w:val="18"/>
                <w:szCs w:val="18"/>
                <w:lang w:eastAsia="sk-SK"/>
              </w:rPr>
              <w:t>Δ 202</w:t>
            </w:r>
            <w:r>
              <w:rPr>
                <w:b/>
                <w:sz w:val="18"/>
                <w:szCs w:val="18"/>
                <w:lang w:eastAsia="sk-SK"/>
              </w:rPr>
              <w:t>4</w:t>
            </w:r>
            <w:r w:rsidRPr="004666B7">
              <w:rPr>
                <w:b/>
                <w:sz w:val="18"/>
                <w:szCs w:val="18"/>
                <w:lang w:eastAsia="sk-SK"/>
              </w:rPr>
              <w:t>-202</w:t>
            </w:r>
            <w:r>
              <w:rPr>
                <w:b/>
                <w:sz w:val="18"/>
                <w:szCs w:val="18"/>
                <w:lang w:eastAsia="sk-SK"/>
              </w:rPr>
              <w:t>3</w:t>
            </w:r>
          </w:p>
        </w:tc>
      </w:tr>
      <w:tr w:rsidR="0015190C" w:rsidRPr="00174C84" w14:paraId="08463DF8" w14:textId="77777777" w:rsidTr="008A6A1F">
        <w:trPr>
          <w:trHeight w:val="330"/>
          <w:jc w:val="center"/>
        </w:trPr>
        <w:tc>
          <w:tcPr>
            <w:tcW w:w="2474" w:type="pct"/>
            <w:tcBorders>
              <w:bottom w:val="nil"/>
              <w:right w:val="nil"/>
            </w:tcBorders>
            <w:vAlign w:val="bottom"/>
          </w:tcPr>
          <w:p w14:paraId="733D356F" w14:textId="368D941E" w:rsidR="0015190C" w:rsidRPr="00174C84" w:rsidRDefault="0015190C" w:rsidP="0015190C">
            <w:pPr>
              <w:spacing w:after="0" w:line="240" w:lineRule="auto"/>
              <w:rPr>
                <w:sz w:val="18"/>
                <w:szCs w:val="18"/>
                <w:highlight w:val="yellow"/>
                <w:lang w:eastAsia="sk-SK"/>
              </w:rPr>
            </w:pPr>
            <w:r w:rsidRPr="004666B7">
              <w:rPr>
                <w:sz w:val="18"/>
                <w:szCs w:val="18"/>
                <w:lang w:eastAsia="sk-SK"/>
              </w:rPr>
              <w:t>Ústredná správa a podniky štátnej správy</w:t>
            </w:r>
          </w:p>
        </w:tc>
        <w:tc>
          <w:tcPr>
            <w:tcW w:w="538" w:type="pct"/>
            <w:tcBorders>
              <w:left w:val="nil"/>
              <w:bottom w:val="nil"/>
              <w:right w:val="nil"/>
            </w:tcBorders>
            <w:vAlign w:val="bottom"/>
          </w:tcPr>
          <w:p w14:paraId="0E37C94E" w14:textId="4B498C74" w:rsidR="0015190C" w:rsidRPr="00174C84" w:rsidRDefault="0015190C" w:rsidP="0015190C">
            <w:pPr>
              <w:spacing w:after="0" w:line="240" w:lineRule="auto"/>
              <w:jc w:val="right"/>
              <w:rPr>
                <w:sz w:val="18"/>
                <w:szCs w:val="18"/>
                <w:highlight w:val="yellow"/>
                <w:lang w:eastAsia="sk-SK"/>
              </w:rPr>
            </w:pPr>
            <w:r w:rsidRPr="004666B7">
              <w:rPr>
                <w:sz w:val="18"/>
                <w:szCs w:val="18"/>
                <w:lang w:eastAsia="sk-SK"/>
              </w:rPr>
              <w:t>8 415 216</w:t>
            </w:r>
          </w:p>
        </w:tc>
        <w:tc>
          <w:tcPr>
            <w:tcW w:w="669" w:type="pct"/>
            <w:tcBorders>
              <w:left w:val="nil"/>
              <w:bottom w:val="nil"/>
              <w:right w:val="nil"/>
            </w:tcBorders>
            <w:vAlign w:val="bottom"/>
          </w:tcPr>
          <w:p w14:paraId="0D32710F" w14:textId="4DB1D960" w:rsidR="0015190C" w:rsidRPr="00174C84" w:rsidRDefault="0015190C" w:rsidP="0015190C">
            <w:pPr>
              <w:spacing w:after="0" w:line="240" w:lineRule="auto"/>
              <w:jc w:val="right"/>
              <w:rPr>
                <w:sz w:val="18"/>
                <w:szCs w:val="18"/>
                <w:highlight w:val="yellow"/>
                <w:lang w:eastAsia="sk-SK"/>
              </w:rPr>
            </w:pPr>
            <w:r w:rsidRPr="004666B7">
              <w:rPr>
                <w:sz w:val="18"/>
                <w:szCs w:val="18"/>
                <w:lang w:eastAsia="sk-SK"/>
              </w:rPr>
              <w:t>8 774 967</w:t>
            </w:r>
          </w:p>
        </w:tc>
        <w:tc>
          <w:tcPr>
            <w:tcW w:w="632" w:type="pct"/>
            <w:tcBorders>
              <w:left w:val="nil"/>
              <w:bottom w:val="nil"/>
              <w:right w:val="nil"/>
            </w:tcBorders>
            <w:vAlign w:val="bottom"/>
          </w:tcPr>
          <w:p w14:paraId="6327F702" w14:textId="331B332C" w:rsidR="0015190C" w:rsidRPr="00174C84" w:rsidRDefault="0015190C" w:rsidP="0015190C">
            <w:pPr>
              <w:spacing w:after="0" w:line="240" w:lineRule="auto"/>
              <w:jc w:val="right"/>
              <w:rPr>
                <w:sz w:val="18"/>
                <w:szCs w:val="18"/>
                <w:highlight w:val="yellow"/>
                <w:lang w:eastAsia="sk-SK"/>
              </w:rPr>
            </w:pPr>
            <w:r>
              <w:rPr>
                <w:sz w:val="18"/>
                <w:szCs w:val="18"/>
                <w:lang w:eastAsia="sk-SK"/>
              </w:rPr>
              <w:t>8 402 335</w:t>
            </w:r>
          </w:p>
        </w:tc>
        <w:tc>
          <w:tcPr>
            <w:tcW w:w="687" w:type="pct"/>
            <w:tcBorders>
              <w:left w:val="nil"/>
              <w:bottom w:val="nil"/>
            </w:tcBorders>
            <w:vAlign w:val="bottom"/>
          </w:tcPr>
          <w:p w14:paraId="0F3BE82A" w14:textId="13FF1F9B" w:rsidR="0015190C" w:rsidRPr="00174C84" w:rsidRDefault="0015190C" w:rsidP="0015190C">
            <w:pPr>
              <w:spacing w:after="0" w:line="240" w:lineRule="auto"/>
              <w:jc w:val="right"/>
              <w:rPr>
                <w:sz w:val="18"/>
                <w:szCs w:val="18"/>
                <w:highlight w:val="yellow"/>
                <w:lang w:eastAsia="sk-SK"/>
              </w:rPr>
            </w:pPr>
            <w:r>
              <w:rPr>
                <w:sz w:val="18"/>
                <w:szCs w:val="18"/>
                <w:lang w:eastAsia="sk-SK"/>
              </w:rPr>
              <w:t>-372 632</w:t>
            </w:r>
          </w:p>
        </w:tc>
      </w:tr>
      <w:tr w:rsidR="0015190C" w:rsidRPr="00174C84" w14:paraId="6358F589" w14:textId="77777777" w:rsidTr="008A6A1F">
        <w:trPr>
          <w:trHeight w:val="620"/>
          <w:jc w:val="center"/>
        </w:trPr>
        <w:tc>
          <w:tcPr>
            <w:tcW w:w="2474" w:type="pct"/>
            <w:tcBorders>
              <w:top w:val="nil"/>
              <w:bottom w:val="nil"/>
              <w:right w:val="nil"/>
            </w:tcBorders>
            <w:vAlign w:val="bottom"/>
          </w:tcPr>
          <w:p w14:paraId="09C41B1A" w14:textId="7C758B38" w:rsidR="0015190C" w:rsidRPr="00174C84" w:rsidRDefault="0015190C" w:rsidP="0015190C">
            <w:pPr>
              <w:spacing w:after="0" w:line="240" w:lineRule="auto"/>
              <w:rPr>
                <w:sz w:val="18"/>
                <w:szCs w:val="18"/>
                <w:highlight w:val="yellow"/>
                <w:lang w:eastAsia="sk-SK"/>
              </w:rPr>
            </w:pPr>
            <w:r w:rsidRPr="004666B7">
              <w:rPr>
                <w:sz w:val="18"/>
                <w:szCs w:val="18"/>
                <w:lang w:eastAsia="sk-SK"/>
              </w:rPr>
              <w:t>Obce a ich rozpočtové a príspevkové organizácie a podniky územnej samosprávy</w:t>
            </w:r>
          </w:p>
        </w:tc>
        <w:tc>
          <w:tcPr>
            <w:tcW w:w="538" w:type="pct"/>
            <w:tcBorders>
              <w:top w:val="nil"/>
              <w:left w:val="nil"/>
              <w:bottom w:val="nil"/>
              <w:right w:val="nil"/>
            </w:tcBorders>
            <w:vAlign w:val="center"/>
          </w:tcPr>
          <w:p w14:paraId="43507D47" w14:textId="548E3942" w:rsidR="0015190C" w:rsidRPr="00174C84" w:rsidRDefault="0015190C" w:rsidP="0015190C">
            <w:pPr>
              <w:spacing w:after="0" w:line="240" w:lineRule="auto"/>
              <w:jc w:val="right"/>
              <w:rPr>
                <w:sz w:val="18"/>
                <w:szCs w:val="18"/>
                <w:highlight w:val="yellow"/>
                <w:lang w:eastAsia="sk-SK"/>
              </w:rPr>
            </w:pPr>
            <w:r w:rsidRPr="004666B7">
              <w:rPr>
                <w:sz w:val="18"/>
                <w:szCs w:val="18"/>
                <w:lang w:eastAsia="sk-SK"/>
              </w:rPr>
              <w:t>44 871</w:t>
            </w:r>
          </w:p>
        </w:tc>
        <w:tc>
          <w:tcPr>
            <w:tcW w:w="669" w:type="pct"/>
            <w:tcBorders>
              <w:top w:val="nil"/>
              <w:left w:val="nil"/>
              <w:bottom w:val="nil"/>
              <w:right w:val="nil"/>
            </w:tcBorders>
            <w:vAlign w:val="center"/>
          </w:tcPr>
          <w:p w14:paraId="01E2D58D" w14:textId="408C8772" w:rsidR="0015190C" w:rsidRPr="00174C84" w:rsidRDefault="0015190C" w:rsidP="0015190C">
            <w:pPr>
              <w:spacing w:after="0" w:line="240" w:lineRule="auto"/>
              <w:jc w:val="right"/>
              <w:rPr>
                <w:sz w:val="18"/>
                <w:szCs w:val="18"/>
                <w:highlight w:val="yellow"/>
                <w:lang w:eastAsia="sk-SK"/>
              </w:rPr>
            </w:pPr>
            <w:r>
              <w:rPr>
                <w:sz w:val="18"/>
                <w:szCs w:val="18"/>
                <w:lang w:eastAsia="sk-SK"/>
              </w:rPr>
              <w:t>670 297</w:t>
            </w:r>
          </w:p>
        </w:tc>
        <w:tc>
          <w:tcPr>
            <w:tcW w:w="632" w:type="pct"/>
            <w:tcBorders>
              <w:top w:val="nil"/>
              <w:left w:val="nil"/>
              <w:bottom w:val="nil"/>
              <w:right w:val="nil"/>
            </w:tcBorders>
            <w:vAlign w:val="center"/>
          </w:tcPr>
          <w:p w14:paraId="76274402" w14:textId="0F2C0D5F" w:rsidR="0015190C" w:rsidRPr="00174C84" w:rsidRDefault="0015190C" w:rsidP="0015190C">
            <w:pPr>
              <w:spacing w:after="0" w:line="240" w:lineRule="auto"/>
              <w:jc w:val="right"/>
              <w:rPr>
                <w:sz w:val="18"/>
                <w:szCs w:val="18"/>
                <w:highlight w:val="yellow"/>
                <w:lang w:eastAsia="sk-SK"/>
              </w:rPr>
            </w:pPr>
            <w:r>
              <w:rPr>
                <w:sz w:val="18"/>
                <w:szCs w:val="18"/>
                <w:lang w:eastAsia="sk-SK"/>
              </w:rPr>
              <w:t>900 408</w:t>
            </w:r>
          </w:p>
        </w:tc>
        <w:tc>
          <w:tcPr>
            <w:tcW w:w="687" w:type="pct"/>
            <w:tcBorders>
              <w:top w:val="nil"/>
              <w:left w:val="nil"/>
              <w:bottom w:val="nil"/>
            </w:tcBorders>
            <w:vAlign w:val="center"/>
          </w:tcPr>
          <w:p w14:paraId="5B68ED00" w14:textId="18342619" w:rsidR="0015190C" w:rsidRPr="00174C84" w:rsidRDefault="0015190C" w:rsidP="0015190C">
            <w:pPr>
              <w:spacing w:after="0" w:line="240" w:lineRule="auto"/>
              <w:jc w:val="right"/>
              <w:rPr>
                <w:sz w:val="18"/>
                <w:szCs w:val="18"/>
                <w:highlight w:val="yellow"/>
                <w:lang w:eastAsia="sk-SK"/>
              </w:rPr>
            </w:pPr>
            <w:r>
              <w:rPr>
                <w:sz w:val="18"/>
                <w:szCs w:val="18"/>
                <w:lang w:eastAsia="sk-SK"/>
              </w:rPr>
              <w:t>230 111</w:t>
            </w:r>
          </w:p>
        </w:tc>
      </w:tr>
      <w:tr w:rsidR="0015190C" w:rsidRPr="00174C84" w14:paraId="717254AC" w14:textId="77777777" w:rsidTr="008A6A1F">
        <w:trPr>
          <w:trHeight w:val="558"/>
          <w:jc w:val="center"/>
        </w:trPr>
        <w:tc>
          <w:tcPr>
            <w:tcW w:w="2474" w:type="pct"/>
            <w:tcBorders>
              <w:top w:val="nil"/>
              <w:right w:val="nil"/>
            </w:tcBorders>
            <w:vAlign w:val="bottom"/>
          </w:tcPr>
          <w:p w14:paraId="66D06F1F" w14:textId="3EE19EC6" w:rsidR="0015190C" w:rsidRPr="00174C84" w:rsidRDefault="0015190C" w:rsidP="0015190C">
            <w:pPr>
              <w:spacing w:after="0" w:line="240" w:lineRule="auto"/>
              <w:rPr>
                <w:sz w:val="18"/>
                <w:szCs w:val="18"/>
                <w:highlight w:val="yellow"/>
                <w:lang w:eastAsia="sk-SK"/>
              </w:rPr>
            </w:pPr>
            <w:r w:rsidRPr="004666B7">
              <w:rPr>
                <w:sz w:val="18"/>
                <w:szCs w:val="18"/>
                <w:lang w:eastAsia="sk-SK"/>
              </w:rPr>
              <w:t>Vyššie územné celky a ich rozpočtové a príspevkové organizácie a podniky územnej samosprávy</w:t>
            </w:r>
          </w:p>
        </w:tc>
        <w:tc>
          <w:tcPr>
            <w:tcW w:w="538" w:type="pct"/>
            <w:tcBorders>
              <w:top w:val="nil"/>
              <w:left w:val="nil"/>
              <w:right w:val="nil"/>
            </w:tcBorders>
            <w:vAlign w:val="center"/>
          </w:tcPr>
          <w:p w14:paraId="6543D6BF" w14:textId="1A70C9E6" w:rsidR="0015190C" w:rsidRPr="00174C84" w:rsidRDefault="0015190C" w:rsidP="0015190C">
            <w:pPr>
              <w:spacing w:after="0" w:line="240" w:lineRule="auto"/>
              <w:jc w:val="right"/>
              <w:rPr>
                <w:sz w:val="18"/>
                <w:szCs w:val="18"/>
                <w:highlight w:val="yellow"/>
                <w:lang w:eastAsia="sk-SK"/>
              </w:rPr>
            </w:pPr>
            <w:r w:rsidRPr="004666B7">
              <w:rPr>
                <w:sz w:val="18"/>
                <w:szCs w:val="18"/>
                <w:lang w:eastAsia="sk-SK"/>
              </w:rPr>
              <w:t>12 972</w:t>
            </w:r>
          </w:p>
        </w:tc>
        <w:tc>
          <w:tcPr>
            <w:tcW w:w="669" w:type="pct"/>
            <w:tcBorders>
              <w:top w:val="nil"/>
              <w:left w:val="nil"/>
              <w:right w:val="nil"/>
            </w:tcBorders>
            <w:vAlign w:val="center"/>
          </w:tcPr>
          <w:p w14:paraId="76923919" w14:textId="72153157" w:rsidR="0015190C" w:rsidRPr="00174C84" w:rsidRDefault="00FE22D0" w:rsidP="0015190C">
            <w:pPr>
              <w:spacing w:after="0" w:line="240" w:lineRule="auto"/>
              <w:jc w:val="right"/>
              <w:rPr>
                <w:sz w:val="18"/>
                <w:szCs w:val="18"/>
                <w:highlight w:val="yellow"/>
                <w:lang w:eastAsia="sk-SK"/>
              </w:rPr>
            </w:pPr>
            <w:r>
              <w:rPr>
                <w:sz w:val="18"/>
                <w:szCs w:val="18"/>
                <w:lang w:eastAsia="sk-SK"/>
              </w:rPr>
              <w:t>120 821</w:t>
            </w:r>
          </w:p>
        </w:tc>
        <w:tc>
          <w:tcPr>
            <w:tcW w:w="632" w:type="pct"/>
            <w:tcBorders>
              <w:top w:val="nil"/>
              <w:left w:val="nil"/>
              <w:right w:val="nil"/>
            </w:tcBorders>
            <w:vAlign w:val="center"/>
          </w:tcPr>
          <w:p w14:paraId="62A55A82" w14:textId="6EC6335C" w:rsidR="0015190C" w:rsidRPr="00174C84" w:rsidRDefault="0015190C" w:rsidP="0015190C">
            <w:pPr>
              <w:spacing w:after="0" w:line="240" w:lineRule="auto"/>
              <w:jc w:val="right"/>
              <w:rPr>
                <w:sz w:val="18"/>
                <w:szCs w:val="18"/>
                <w:highlight w:val="yellow"/>
                <w:lang w:eastAsia="sk-SK"/>
              </w:rPr>
            </w:pPr>
            <w:r>
              <w:rPr>
                <w:sz w:val="18"/>
                <w:szCs w:val="18"/>
                <w:lang w:eastAsia="sk-SK"/>
              </w:rPr>
              <w:t>215 138</w:t>
            </w:r>
          </w:p>
        </w:tc>
        <w:tc>
          <w:tcPr>
            <w:tcW w:w="687" w:type="pct"/>
            <w:tcBorders>
              <w:top w:val="nil"/>
              <w:left w:val="nil"/>
            </w:tcBorders>
            <w:vAlign w:val="center"/>
          </w:tcPr>
          <w:p w14:paraId="7C8E12C0" w14:textId="48179A94" w:rsidR="0015190C" w:rsidRPr="00174C84" w:rsidRDefault="0015190C" w:rsidP="0015190C">
            <w:pPr>
              <w:spacing w:after="0" w:line="240" w:lineRule="auto"/>
              <w:jc w:val="right"/>
              <w:rPr>
                <w:sz w:val="18"/>
                <w:szCs w:val="18"/>
                <w:highlight w:val="yellow"/>
                <w:lang w:eastAsia="sk-SK"/>
              </w:rPr>
            </w:pPr>
            <w:r>
              <w:rPr>
                <w:sz w:val="18"/>
                <w:szCs w:val="18"/>
                <w:lang w:eastAsia="sk-SK"/>
              </w:rPr>
              <w:t>94 317</w:t>
            </w:r>
          </w:p>
        </w:tc>
      </w:tr>
      <w:tr w:rsidR="0015190C" w:rsidRPr="00174C84" w14:paraId="7C3FBDFC" w14:textId="77777777" w:rsidTr="008A6A1F">
        <w:trPr>
          <w:trHeight w:hRule="exact" w:val="346"/>
          <w:jc w:val="center"/>
        </w:trPr>
        <w:tc>
          <w:tcPr>
            <w:tcW w:w="2474" w:type="pct"/>
            <w:tcBorders>
              <w:right w:val="nil"/>
            </w:tcBorders>
            <w:noWrap/>
            <w:vAlign w:val="center"/>
            <w:hideMark/>
          </w:tcPr>
          <w:p w14:paraId="4A272D51" w14:textId="4CEF3D36" w:rsidR="0015190C" w:rsidRPr="00174C84" w:rsidRDefault="0015190C" w:rsidP="0015190C">
            <w:pPr>
              <w:spacing w:after="0" w:line="240" w:lineRule="auto"/>
              <w:rPr>
                <w:b/>
                <w:bCs/>
                <w:sz w:val="18"/>
                <w:szCs w:val="18"/>
                <w:highlight w:val="yellow"/>
                <w:lang w:eastAsia="sk-SK"/>
              </w:rPr>
            </w:pPr>
            <w:r w:rsidRPr="004666B7">
              <w:rPr>
                <w:b/>
                <w:bCs/>
                <w:sz w:val="18"/>
                <w:szCs w:val="18"/>
                <w:lang w:eastAsia="sk-SK"/>
              </w:rPr>
              <w:t>Spolu  (nekonsolidované)</w:t>
            </w:r>
          </w:p>
        </w:tc>
        <w:tc>
          <w:tcPr>
            <w:tcW w:w="538" w:type="pct"/>
            <w:tcBorders>
              <w:left w:val="nil"/>
              <w:right w:val="nil"/>
            </w:tcBorders>
            <w:vAlign w:val="center"/>
          </w:tcPr>
          <w:p w14:paraId="5C024661" w14:textId="1A59B56B" w:rsidR="0015190C" w:rsidRPr="00174C84" w:rsidRDefault="0015190C" w:rsidP="0015190C">
            <w:pPr>
              <w:spacing w:after="0" w:line="240" w:lineRule="auto"/>
              <w:jc w:val="right"/>
              <w:rPr>
                <w:b/>
                <w:bCs/>
                <w:sz w:val="18"/>
                <w:szCs w:val="18"/>
                <w:highlight w:val="yellow"/>
                <w:lang w:eastAsia="sk-SK"/>
              </w:rPr>
            </w:pPr>
            <w:r w:rsidRPr="004666B7">
              <w:rPr>
                <w:b/>
                <w:bCs/>
                <w:sz w:val="18"/>
                <w:szCs w:val="18"/>
              </w:rPr>
              <w:t>8 473 059</w:t>
            </w:r>
          </w:p>
        </w:tc>
        <w:tc>
          <w:tcPr>
            <w:tcW w:w="669" w:type="pct"/>
            <w:tcBorders>
              <w:left w:val="nil"/>
              <w:right w:val="nil"/>
            </w:tcBorders>
            <w:vAlign w:val="center"/>
          </w:tcPr>
          <w:p w14:paraId="5E52DBCA" w14:textId="2EFB4B93" w:rsidR="0015190C" w:rsidRPr="00174C84" w:rsidRDefault="0015190C" w:rsidP="0015190C">
            <w:pPr>
              <w:spacing w:after="0" w:line="240" w:lineRule="auto"/>
              <w:jc w:val="right"/>
              <w:rPr>
                <w:b/>
                <w:bCs/>
                <w:sz w:val="18"/>
                <w:szCs w:val="18"/>
                <w:highlight w:val="yellow"/>
                <w:lang w:eastAsia="sk-SK"/>
              </w:rPr>
            </w:pPr>
            <w:r>
              <w:rPr>
                <w:b/>
                <w:bCs/>
                <w:sz w:val="18"/>
                <w:szCs w:val="18"/>
              </w:rPr>
              <w:t>9 566 085</w:t>
            </w:r>
          </w:p>
        </w:tc>
        <w:tc>
          <w:tcPr>
            <w:tcW w:w="632" w:type="pct"/>
            <w:tcBorders>
              <w:left w:val="nil"/>
              <w:right w:val="nil"/>
            </w:tcBorders>
            <w:vAlign w:val="center"/>
          </w:tcPr>
          <w:p w14:paraId="2BC6CB72" w14:textId="7FD25EDA" w:rsidR="0015190C" w:rsidRPr="00174C84" w:rsidRDefault="0015190C" w:rsidP="0015190C">
            <w:pPr>
              <w:pStyle w:val="Odsekzoznamu"/>
              <w:ind w:left="139"/>
              <w:jc w:val="center"/>
              <w:rPr>
                <w:b/>
                <w:bCs/>
                <w:sz w:val="18"/>
                <w:szCs w:val="18"/>
                <w:highlight w:val="yellow"/>
              </w:rPr>
            </w:pPr>
            <w:r>
              <w:rPr>
                <w:b/>
                <w:bCs/>
                <w:sz w:val="18"/>
                <w:szCs w:val="18"/>
              </w:rPr>
              <w:t>9 517 881</w:t>
            </w:r>
          </w:p>
        </w:tc>
        <w:tc>
          <w:tcPr>
            <w:tcW w:w="687" w:type="pct"/>
            <w:tcBorders>
              <w:left w:val="nil"/>
            </w:tcBorders>
            <w:vAlign w:val="center"/>
          </w:tcPr>
          <w:p w14:paraId="04779FF2" w14:textId="0E65164A" w:rsidR="0015190C" w:rsidRPr="00174C84" w:rsidRDefault="0015190C" w:rsidP="0015190C">
            <w:pPr>
              <w:spacing w:after="0"/>
              <w:jc w:val="right"/>
              <w:rPr>
                <w:b/>
                <w:bCs/>
                <w:sz w:val="18"/>
                <w:szCs w:val="18"/>
                <w:highlight w:val="yellow"/>
                <w:lang w:eastAsia="sk-SK"/>
              </w:rPr>
            </w:pPr>
            <w:r>
              <w:rPr>
                <w:b/>
                <w:bCs/>
                <w:sz w:val="18"/>
                <w:szCs w:val="18"/>
                <w:lang w:eastAsia="sk-SK"/>
              </w:rPr>
              <w:t>-48 204</w:t>
            </w:r>
          </w:p>
        </w:tc>
      </w:tr>
      <w:tr w:rsidR="0015190C" w:rsidRPr="004666B7" w14:paraId="57A57F74" w14:textId="77777777" w:rsidTr="00BB1667">
        <w:trPr>
          <w:trHeight w:hRule="exact" w:val="346"/>
          <w:jc w:val="center"/>
        </w:trPr>
        <w:tc>
          <w:tcPr>
            <w:tcW w:w="2474" w:type="pct"/>
            <w:tcBorders>
              <w:right w:val="nil"/>
            </w:tcBorders>
            <w:noWrap/>
            <w:vAlign w:val="center"/>
          </w:tcPr>
          <w:p w14:paraId="597FB14A" w14:textId="77777777" w:rsidR="0015190C" w:rsidRPr="004666B7" w:rsidRDefault="0015190C" w:rsidP="00BB1667">
            <w:pPr>
              <w:spacing w:after="0" w:line="240" w:lineRule="auto"/>
              <w:rPr>
                <w:bCs/>
                <w:sz w:val="18"/>
                <w:szCs w:val="18"/>
                <w:lang w:eastAsia="sk-SK"/>
              </w:rPr>
            </w:pPr>
            <w:r w:rsidRPr="004666B7">
              <w:rPr>
                <w:bCs/>
                <w:sz w:val="18"/>
                <w:szCs w:val="18"/>
                <w:lang w:eastAsia="sk-SK"/>
              </w:rPr>
              <w:t>Objem konsolidácie</w:t>
            </w:r>
          </w:p>
        </w:tc>
        <w:tc>
          <w:tcPr>
            <w:tcW w:w="538" w:type="pct"/>
            <w:tcBorders>
              <w:left w:val="nil"/>
              <w:right w:val="nil"/>
            </w:tcBorders>
            <w:vAlign w:val="center"/>
          </w:tcPr>
          <w:p w14:paraId="12C142BF" w14:textId="77777777" w:rsidR="0015190C" w:rsidRPr="004666B7" w:rsidRDefault="0015190C" w:rsidP="00BB1667">
            <w:pPr>
              <w:spacing w:after="0" w:line="240" w:lineRule="auto"/>
              <w:jc w:val="right"/>
              <w:rPr>
                <w:bCs/>
                <w:sz w:val="18"/>
                <w:szCs w:val="18"/>
                <w:lang w:eastAsia="sk-SK"/>
              </w:rPr>
            </w:pPr>
            <w:r w:rsidRPr="004666B7">
              <w:rPr>
                <w:bCs/>
                <w:sz w:val="18"/>
                <w:szCs w:val="18"/>
              </w:rPr>
              <w:t>3 526 564</w:t>
            </w:r>
          </w:p>
        </w:tc>
        <w:tc>
          <w:tcPr>
            <w:tcW w:w="669" w:type="pct"/>
            <w:tcBorders>
              <w:left w:val="nil"/>
              <w:right w:val="nil"/>
            </w:tcBorders>
            <w:vAlign w:val="center"/>
          </w:tcPr>
          <w:p w14:paraId="1B2A4B37" w14:textId="77777777" w:rsidR="0015190C" w:rsidRPr="004666B7" w:rsidRDefault="0015190C" w:rsidP="00BB1667">
            <w:pPr>
              <w:spacing w:after="0" w:line="240" w:lineRule="auto"/>
              <w:jc w:val="right"/>
              <w:rPr>
                <w:bCs/>
                <w:sz w:val="18"/>
                <w:szCs w:val="18"/>
                <w:lang w:eastAsia="sk-SK"/>
              </w:rPr>
            </w:pPr>
            <w:r>
              <w:rPr>
                <w:bCs/>
                <w:sz w:val="18"/>
                <w:szCs w:val="18"/>
              </w:rPr>
              <w:t>3 755 742</w:t>
            </w:r>
          </w:p>
        </w:tc>
        <w:tc>
          <w:tcPr>
            <w:tcW w:w="632" w:type="pct"/>
            <w:tcBorders>
              <w:left w:val="nil"/>
              <w:right w:val="nil"/>
            </w:tcBorders>
            <w:vAlign w:val="center"/>
          </w:tcPr>
          <w:p w14:paraId="40944ECD" w14:textId="77777777" w:rsidR="0015190C" w:rsidRPr="004666B7" w:rsidRDefault="0015190C" w:rsidP="00BB1667">
            <w:pPr>
              <w:pStyle w:val="Odsekzoznamu"/>
              <w:ind w:left="139"/>
              <w:jc w:val="center"/>
              <w:rPr>
                <w:bCs/>
                <w:sz w:val="18"/>
                <w:szCs w:val="18"/>
              </w:rPr>
            </w:pPr>
            <w:r>
              <w:rPr>
                <w:bCs/>
                <w:sz w:val="18"/>
                <w:szCs w:val="18"/>
              </w:rPr>
              <w:t>3 568 237</w:t>
            </w:r>
          </w:p>
        </w:tc>
        <w:tc>
          <w:tcPr>
            <w:tcW w:w="687" w:type="pct"/>
            <w:tcBorders>
              <w:left w:val="nil"/>
            </w:tcBorders>
            <w:vAlign w:val="center"/>
          </w:tcPr>
          <w:p w14:paraId="149FF5CD" w14:textId="77777777" w:rsidR="0015190C" w:rsidRPr="004666B7" w:rsidRDefault="0015190C" w:rsidP="00BB1667">
            <w:pPr>
              <w:spacing w:after="0"/>
              <w:jc w:val="right"/>
              <w:rPr>
                <w:bCs/>
                <w:sz w:val="18"/>
                <w:szCs w:val="18"/>
                <w:lang w:eastAsia="sk-SK"/>
              </w:rPr>
            </w:pPr>
            <w:r>
              <w:rPr>
                <w:bCs/>
                <w:sz w:val="18"/>
                <w:szCs w:val="18"/>
                <w:lang w:eastAsia="sk-SK"/>
              </w:rPr>
              <w:t>-187 505</w:t>
            </w:r>
          </w:p>
        </w:tc>
      </w:tr>
      <w:tr w:rsidR="0015190C" w:rsidRPr="004666B7" w14:paraId="61357E90" w14:textId="77777777" w:rsidTr="00BB1667">
        <w:trPr>
          <w:trHeight w:hRule="exact" w:val="346"/>
          <w:jc w:val="center"/>
        </w:trPr>
        <w:tc>
          <w:tcPr>
            <w:tcW w:w="2474" w:type="pct"/>
            <w:tcBorders>
              <w:right w:val="nil"/>
            </w:tcBorders>
            <w:noWrap/>
            <w:vAlign w:val="center"/>
            <w:hideMark/>
          </w:tcPr>
          <w:p w14:paraId="03177802" w14:textId="77777777" w:rsidR="0015190C" w:rsidRPr="004666B7" w:rsidRDefault="0015190C" w:rsidP="00BB1667">
            <w:pPr>
              <w:spacing w:after="0" w:line="240" w:lineRule="auto"/>
              <w:rPr>
                <w:b/>
                <w:bCs/>
                <w:sz w:val="18"/>
                <w:szCs w:val="18"/>
                <w:lang w:eastAsia="sk-SK"/>
              </w:rPr>
            </w:pPr>
            <w:r w:rsidRPr="004666B7">
              <w:rPr>
                <w:b/>
                <w:bCs/>
                <w:sz w:val="18"/>
                <w:szCs w:val="18"/>
                <w:lang w:eastAsia="sk-SK"/>
              </w:rPr>
              <w:t>Spolu  (konsolidované)</w:t>
            </w:r>
          </w:p>
        </w:tc>
        <w:tc>
          <w:tcPr>
            <w:tcW w:w="538" w:type="pct"/>
            <w:tcBorders>
              <w:left w:val="nil"/>
              <w:right w:val="nil"/>
            </w:tcBorders>
            <w:vAlign w:val="center"/>
          </w:tcPr>
          <w:p w14:paraId="3663A9A9" w14:textId="77777777" w:rsidR="0015190C" w:rsidRPr="004666B7" w:rsidRDefault="0015190C" w:rsidP="00BB1667">
            <w:pPr>
              <w:spacing w:after="0" w:line="240" w:lineRule="auto"/>
              <w:jc w:val="right"/>
              <w:rPr>
                <w:b/>
                <w:bCs/>
                <w:sz w:val="18"/>
                <w:szCs w:val="18"/>
                <w:lang w:eastAsia="sk-SK"/>
              </w:rPr>
            </w:pPr>
            <w:r w:rsidRPr="004666B7">
              <w:rPr>
                <w:b/>
                <w:bCs/>
                <w:sz w:val="18"/>
                <w:szCs w:val="18"/>
                <w:lang w:eastAsia="sk-SK"/>
              </w:rPr>
              <w:t>4 946 495</w:t>
            </w:r>
          </w:p>
        </w:tc>
        <w:tc>
          <w:tcPr>
            <w:tcW w:w="669" w:type="pct"/>
            <w:tcBorders>
              <w:left w:val="nil"/>
              <w:right w:val="nil"/>
            </w:tcBorders>
            <w:vAlign w:val="center"/>
          </w:tcPr>
          <w:p w14:paraId="2870966F" w14:textId="77777777" w:rsidR="0015190C" w:rsidRPr="004666B7" w:rsidRDefault="0015190C" w:rsidP="00BB1667">
            <w:pPr>
              <w:spacing w:after="0" w:line="240" w:lineRule="auto"/>
              <w:jc w:val="right"/>
              <w:rPr>
                <w:b/>
                <w:bCs/>
                <w:sz w:val="18"/>
                <w:szCs w:val="18"/>
                <w:lang w:eastAsia="sk-SK"/>
              </w:rPr>
            </w:pPr>
            <w:r>
              <w:rPr>
                <w:b/>
                <w:bCs/>
                <w:sz w:val="18"/>
                <w:szCs w:val="18"/>
                <w:lang w:eastAsia="sk-SK"/>
              </w:rPr>
              <w:t>5 810 343</w:t>
            </w:r>
          </w:p>
        </w:tc>
        <w:tc>
          <w:tcPr>
            <w:tcW w:w="632" w:type="pct"/>
            <w:tcBorders>
              <w:left w:val="nil"/>
              <w:right w:val="nil"/>
            </w:tcBorders>
            <w:vAlign w:val="center"/>
          </w:tcPr>
          <w:p w14:paraId="0247E93C" w14:textId="77777777" w:rsidR="0015190C" w:rsidRPr="004666B7" w:rsidRDefault="0015190C" w:rsidP="00BB1667">
            <w:pPr>
              <w:spacing w:after="0" w:line="240" w:lineRule="auto"/>
              <w:jc w:val="right"/>
              <w:rPr>
                <w:b/>
                <w:bCs/>
                <w:sz w:val="18"/>
                <w:szCs w:val="18"/>
                <w:lang w:eastAsia="sk-SK"/>
              </w:rPr>
            </w:pPr>
            <w:r>
              <w:rPr>
                <w:b/>
                <w:bCs/>
                <w:sz w:val="18"/>
                <w:szCs w:val="18"/>
                <w:lang w:eastAsia="sk-SK"/>
              </w:rPr>
              <w:t>5 949 644</w:t>
            </w:r>
          </w:p>
        </w:tc>
        <w:tc>
          <w:tcPr>
            <w:tcW w:w="687" w:type="pct"/>
            <w:tcBorders>
              <w:left w:val="nil"/>
            </w:tcBorders>
            <w:vAlign w:val="center"/>
          </w:tcPr>
          <w:p w14:paraId="1BCB4C29" w14:textId="77777777" w:rsidR="0015190C" w:rsidRPr="004666B7" w:rsidRDefault="0015190C" w:rsidP="00BB1667">
            <w:pPr>
              <w:spacing w:after="0"/>
              <w:jc w:val="right"/>
              <w:rPr>
                <w:b/>
                <w:bCs/>
                <w:sz w:val="18"/>
                <w:szCs w:val="18"/>
                <w:lang w:eastAsia="sk-SK"/>
              </w:rPr>
            </w:pPr>
            <w:r>
              <w:rPr>
                <w:b/>
                <w:bCs/>
                <w:sz w:val="18"/>
                <w:szCs w:val="18"/>
                <w:lang w:eastAsia="sk-SK"/>
              </w:rPr>
              <w:t>139 301</w:t>
            </w:r>
          </w:p>
        </w:tc>
      </w:tr>
    </w:tbl>
    <w:p w14:paraId="5C453799" w14:textId="77777777" w:rsidR="0015190C" w:rsidRDefault="0015190C" w:rsidP="0015190C">
      <w:pPr>
        <w:spacing w:after="0" w:line="240" w:lineRule="auto"/>
        <w:jc w:val="both"/>
        <w:rPr>
          <w:sz w:val="16"/>
          <w:szCs w:val="16"/>
        </w:rPr>
      </w:pPr>
      <w:r w:rsidRPr="00E0522F">
        <w:rPr>
          <w:sz w:val="16"/>
          <w:szCs w:val="16"/>
        </w:rPr>
        <w:t>Poznámka: Hodnoty za obce a VÚC a ich ROPO, ako aj objem konsolidácie za rok 2023 boli upravené z dôvodu aktualizácie vstupných údajov</w:t>
      </w:r>
    </w:p>
    <w:p w14:paraId="6672C7E4" w14:textId="77777777" w:rsidR="0015190C" w:rsidRPr="004666B7" w:rsidRDefault="0015190C" w:rsidP="0015190C">
      <w:pPr>
        <w:spacing w:after="0" w:line="240" w:lineRule="auto"/>
        <w:ind w:left="4963"/>
        <w:jc w:val="both"/>
        <w:rPr>
          <w:sz w:val="16"/>
          <w:szCs w:val="16"/>
        </w:rPr>
      </w:pPr>
      <w:r w:rsidRPr="004666B7">
        <w:rPr>
          <w:sz w:val="16"/>
          <w:szCs w:val="16"/>
        </w:rPr>
        <w:t xml:space="preserve">                      Zdroj: Účtovné závierky subjektov a databáza MF SR</w:t>
      </w:r>
    </w:p>
    <w:p w14:paraId="46A26846" w14:textId="0D1E388D" w:rsidR="0015190C" w:rsidRDefault="0015190C" w:rsidP="00BB1667">
      <w:pPr>
        <w:spacing w:before="120" w:line="240" w:lineRule="auto"/>
        <w:jc w:val="both"/>
        <w:rPr>
          <w:szCs w:val="22"/>
        </w:rPr>
      </w:pPr>
      <w:r w:rsidRPr="00696A58">
        <w:rPr>
          <w:szCs w:val="22"/>
        </w:rPr>
        <w:t>Medziročný pokles nekonsolidovanej hodnoty iných aktív dosiahol</w:t>
      </w:r>
      <w:r>
        <w:rPr>
          <w:szCs w:val="22"/>
        </w:rPr>
        <w:t xml:space="preserve"> hodnotu</w:t>
      </w:r>
      <w:r w:rsidR="005B2DB0">
        <w:rPr>
          <w:szCs w:val="22"/>
        </w:rPr>
        <w:t> </w:t>
      </w:r>
      <w:r w:rsidRPr="00696A58">
        <w:rPr>
          <w:szCs w:val="22"/>
        </w:rPr>
        <w:t>48</w:t>
      </w:r>
      <w:r w:rsidR="005B2DB0">
        <w:rPr>
          <w:szCs w:val="22"/>
        </w:rPr>
        <w:t> </w:t>
      </w:r>
      <w:r w:rsidRPr="00696A58">
        <w:rPr>
          <w:szCs w:val="22"/>
        </w:rPr>
        <w:t>204 tis. eur a bol zaznamenaný najmä v organizáciách štátnej správy (372</w:t>
      </w:r>
      <w:r w:rsidR="005B2DB0">
        <w:rPr>
          <w:szCs w:val="22"/>
        </w:rPr>
        <w:t> </w:t>
      </w:r>
      <w:r w:rsidRPr="00696A58">
        <w:rPr>
          <w:szCs w:val="22"/>
        </w:rPr>
        <w:t>336</w:t>
      </w:r>
      <w:r w:rsidR="005B2DB0">
        <w:rPr>
          <w:szCs w:val="22"/>
        </w:rPr>
        <w:t> </w:t>
      </w:r>
      <w:r w:rsidRPr="00696A58">
        <w:rPr>
          <w:szCs w:val="22"/>
        </w:rPr>
        <w:t xml:space="preserve">tis. eur). Zmena súvisí najmä s aktualizáciou (spresňovaním) hodnoty </w:t>
      </w:r>
      <w:r w:rsidRPr="00CD0097">
        <w:rPr>
          <w:szCs w:val="22"/>
        </w:rPr>
        <w:t>lesných pozemkov vo vlastníctve štátu, ktoré spravujú Lesy Slovenskej republiky,</w:t>
      </w:r>
      <w:r w:rsidR="000A7A3A">
        <w:rPr>
          <w:szCs w:val="22"/>
        </w:rPr>
        <w:t> </w:t>
      </w:r>
      <w:r w:rsidRPr="00CD0097">
        <w:rPr>
          <w:szCs w:val="22"/>
        </w:rPr>
        <w:t>š.</w:t>
      </w:r>
      <w:r w:rsidR="000A7A3A">
        <w:rPr>
          <w:szCs w:val="22"/>
        </w:rPr>
        <w:t> </w:t>
      </w:r>
      <w:r w:rsidRPr="00CD0097">
        <w:rPr>
          <w:szCs w:val="22"/>
        </w:rPr>
        <w:t xml:space="preserve">p. </w:t>
      </w:r>
      <w:r w:rsidRPr="00696A58">
        <w:rPr>
          <w:szCs w:val="22"/>
        </w:rPr>
        <w:t>Zároveň v porovnaní s rokom 2023 došlo aj k poklesu aktívnych súdnych sporov u niektorých účtovných jednotiek ústrednej správy. Územná samospráva vykázala iné aktíva vyššie o</w:t>
      </w:r>
      <w:r w:rsidR="005B2DB0">
        <w:rPr>
          <w:szCs w:val="22"/>
        </w:rPr>
        <w:t> </w:t>
      </w:r>
      <w:r w:rsidRPr="00696A58">
        <w:rPr>
          <w:szCs w:val="22"/>
        </w:rPr>
        <w:t>230</w:t>
      </w:r>
      <w:r w:rsidR="005B2DB0">
        <w:rPr>
          <w:szCs w:val="22"/>
        </w:rPr>
        <w:t> </w:t>
      </w:r>
      <w:r w:rsidRPr="00696A58">
        <w:rPr>
          <w:szCs w:val="22"/>
        </w:rPr>
        <w:t>111 tis. eur, najmä v súvislosti s hodnotou majetku evidovaného na podsúvahe (iného ako súdne spory, záruky, ručenie v prospech jednotky).</w:t>
      </w:r>
    </w:p>
    <w:p w14:paraId="5F872BA1" w14:textId="0A31AD32" w:rsidR="0015190C" w:rsidRPr="00CD0097" w:rsidRDefault="0015190C" w:rsidP="00BB1667">
      <w:pPr>
        <w:spacing w:after="120" w:line="240" w:lineRule="auto"/>
        <w:jc w:val="both"/>
        <w:rPr>
          <w:highlight w:val="cyan"/>
        </w:rPr>
      </w:pPr>
      <w:r w:rsidRPr="00CD0097">
        <w:rPr>
          <w:szCs w:val="22"/>
        </w:rPr>
        <w:t xml:space="preserve">Štátny podnik </w:t>
      </w:r>
      <w:r w:rsidRPr="00CD0097">
        <w:rPr>
          <w:szCs w:val="22"/>
          <w:u w:val="single"/>
        </w:rPr>
        <w:t>Lesy SR,</w:t>
      </w:r>
      <w:r w:rsidR="000A7A3A">
        <w:rPr>
          <w:szCs w:val="22"/>
          <w:u w:val="single"/>
        </w:rPr>
        <w:t> </w:t>
      </w:r>
      <w:r w:rsidRPr="00CD0097">
        <w:rPr>
          <w:szCs w:val="22"/>
          <w:u w:val="single"/>
        </w:rPr>
        <w:t>š.</w:t>
      </w:r>
      <w:r w:rsidR="000A7A3A">
        <w:rPr>
          <w:szCs w:val="22"/>
          <w:u w:val="single"/>
        </w:rPr>
        <w:t> </w:t>
      </w:r>
      <w:r w:rsidRPr="00CD0097">
        <w:rPr>
          <w:szCs w:val="22"/>
          <w:u w:val="single"/>
        </w:rPr>
        <w:t xml:space="preserve">p., </w:t>
      </w:r>
      <w:r w:rsidRPr="00CD0097">
        <w:rPr>
          <w:szCs w:val="22"/>
        </w:rPr>
        <w:t>vykazuje najvyššiu hodnotu z podmienených aktív z dôvodu ocenenia lesných porastov, ktoré podnik obhospodaruje na pozemkoch vo vlastníctve štátu, ktoré boli k 1.1.2010 jednotne ocenené podľa vyhlášky MS SR č. 492/2004 Z. z. o stanovení všeobecnej hodnoty podniku. Hodnota lesných porastov bola od 1.1.2010 evidovaná na podsúvahovom účte, pričom každoročne je táto hodnota aktualizovaná spolu so spresňovaním hodnoty lesných porastov vo vlastníctve štátu. Hlavným dôvodom a podkladom na zníženie hodnoty porastov je obnova programu starostlivosti o les po spracovaní veternej kalamity na niektorých odštepných závodoch, ale aj vplyv odovzdania lesných pozemkov s lesnými porastami do správy Správ národných parkov</w:t>
      </w:r>
      <w:r w:rsidRPr="00CD0097">
        <w:t xml:space="preserve">. </w:t>
      </w:r>
    </w:p>
    <w:p w14:paraId="5FA1B666" w14:textId="57CAC2F9" w:rsidR="0015190C" w:rsidRPr="00AA021A" w:rsidRDefault="0015190C" w:rsidP="00BB1667">
      <w:pPr>
        <w:spacing w:before="120" w:after="0" w:line="240" w:lineRule="auto"/>
        <w:jc w:val="both"/>
        <w:rPr>
          <w:szCs w:val="22"/>
        </w:rPr>
      </w:pPr>
      <w:r w:rsidRPr="00CD0097">
        <w:rPr>
          <w:szCs w:val="22"/>
          <w:u w:val="single"/>
        </w:rPr>
        <w:t>Slovenská konsolidačná, a. s.</w:t>
      </w:r>
      <w:r w:rsidRPr="00CD0097">
        <w:rPr>
          <w:szCs w:val="22"/>
        </w:rPr>
        <w:t xml:space="preserve"> (SKo, a. s.), ktorá je zo zákona č. 374/2014 Z. z. o pohľadávkach štátu a o zmene a doplnení niektorých zákonov poverenou osobou pre konsolidáciu pohľadávok verejného sektora vykazuje druhú najväčšiu hodnotu podmienených aktív v</w:t>
      </w:r>
      <w:r w:rsidR="005B2DB0">
        <w:rPr>
          <w:szCs w:val="22"/>
        </w:rPr>
        <w:t> </w:t>
      </w:r>
      <w:r w:rsidRPr="00CD0097">
        <w:rPr>
          <w:szCs w:val="22"/>
        </w:rPr>
        <w:t>hodnote</w:t>
      </w:r>
      <w:r w:rsidR="005B2DB0">
        <w:rPr>
          <w:szCs w:val="22"/>
        </w:rPr>
        <w:t> </w:t>
      </w:r>
      <w:r w:rsidRPr="00CD0097">
        <w:rPr>
          <w:szCs w:val="22"/>
        </w:rPr>
        <w:t>2</w:t>
      </w:r>
      <w:r w:rsidR="005B2DB0">
        <w:rPr>
          <w:szCs w:val="22"/>
        </w:rPr>
        <w:t> </w:t>
      </w:r>
      <w:r w:rsidRPr="00CD0097">
        <w:rPr>
          <w:szCs w:val="22"/>
        </w:rPr>
        <w:t>932</w:t>
      </w:r>
      <w:r w:rsidR="005B2DB0">
        <w:rPr>
          <w:szCs w:val="22"/>
        </w:rPr>
        <w:t> </w:t>
      </w:r>
      <w:r w:rsidRPr="00CD0097">
        <w:rPr>
          <w:szCs w:val="22"/>
        </w:rPr>
        <w:t xml:space="preserve">630 tis. eur. Časť nominálnej </w:t>
      </w:r>
      <w:r w:rsidRPr="00CD0097">
        <w:rPr>
          <w:szCs w:val="22"/>
        </w:rPr>
        <w:lastRenderedPageBreak/>
        <w:t>hodnoty pohľadávok SKo, a. s. (2</w:t>
      </w:r>
      <w:r w:rsidR="005B2DB0">
        <w:rPr>
          <w:szCs w:val="22"/>
        </w:rPr>
        <w:t> </w:t>
      </w:r>
      <w:r w:rsidRPr="00CD0097">
        <w:rPr>
          <w:szCs w:val="22"/>
        </w:rPr>
        <w:t>378</w:t>
      </w:r>
      <w:r w:rsidR="005B2DB0">
        <w:rPr>
          <w:szCs w:val="22"/>
        </w:rPr>
        <w:t> </w:t>
      </w:r>
      <w:r w:rsidRPr="00CD0097">
        <w:rPr>
          <w:szCs w:val="22"/>
        </w:rPr>
        <w:t>555 tis. eur) je pre účely konsolidovanej účtovnej závierky ústrednej správy eliminovaná, čo zabezpečuje vykázanie pohľadávok len jednou hodnotou, a to priamo v súvahe spolu s prislúchajúci</w:t>
      </w:r>
      <w:r w:rsidRPr="00AA021A">
        <w:rPr>
          <w:szCs w:val="22"/>
        </w:rPr>
        <w:t>mi opravnými položkami (takmer na 100,0 % hodnoty).</w:t>
      </w:r>
    </w:p>
    <w:p w14:paraId="59DF4B02" w14:textId="333E52F2" w:rsidR="0015190C" w:rsidRPr="00AA021A" w:rsidRDefault="0015190C" w:rsidP="00BB1667">
      <w:pPr>
        <w:spacing w:before="120" w:after="0" w:line="240" w:lineRule="auto"/>
        <w:jc w:val="both"/>
        <w:rPr>
          <w:szCs w:val="22"/>
        </w:rPr>
      </w:pPr>
      <w:r w:rsidRPr="00AA021A">
        <w:rPr>
          <w:b/>
          <w:szCs w:val="22"/>
        </w:rPr>
        <w:t>Zo súdnych sporov a iných právnych úkonov</w:t>
      </w:r>
      <w:r w:rsidRPr="00AA021A">
        <w:rPr>
          <w:szCs w:val="22"/>
        </w:rPr>
        <w:t xml:space="preserve"> boli významné súdne konania, ktorých účastníkom je </w:t>
      </w:r>
      <w:r w:rsidRPr="00AA021A">
        <w:rPr>
          <w:szCs w:val="22"/>
          <w:u w:val="single"/>
        </w:rPr>
        <w:t>Vodohospodárska výstavba, š. p.</w:t>
      </w:r>
      <w:r w:rsidRPr="00AA021A">
        <w:rPr>
          <w:szCs w:val="22"/>
        </w:rPr>
        <w:t xml:space="preserve"> v</w:t>
      </w:r>
      <w:r w:rsidR="005B2DB0">
        <w:rPr>
          <w:szCs w:val="22"/>
        </w:rPr>
        <w:t> </w:t>
      </w:r>
      <w:r w:rsidRPr="00AA021A">
        <w:rPr>
          <w:szCs w:val="22"/>
        </w:rPr>
        <w:t>sume</w:t>
      </w:r>
      <w:r w:rsidR="005B2DB0">
        <w:rPr>
          <w:szCs w:val="22"/>
        </w:rPr>
        <w:t> </w:t>
      </w:r>
      <w:r w:rsidRPr="00AA021A">
        <w:rPr>
          <w:szCs w:val="22"/>
        </w:rPr>
        <w:t>411</w:t>
      </w:r>
      <w:r w:rsidR="005B2DB0">
        <w:rPr>
          <w:szCs w:val="22"/>
        </w:rPr>
        <w:t> </w:t>
      </w:r>
      <w:r w:rsidRPr="00AA021A">
        <w:rPr>
          <w:szCs w:val="22"/>
        </w:rPr>
        <w:t>180 tis. eur, pričom ide najmä o aktívny súdny spor o bezdôvodné obohatenie voči Slovenským elektrárňam, a. s. Spor sa týka platieb, ktoré</w:t>
      </w:r>
      <w:r w:rsidR="000A7A3A">
        <w:rPr>
          <w:szCs w:val="22"/>
        </w:rPr>
        <w:t> </w:t>
      </w:r>
      <w:r w:rsidRPr="00AA021A">
        <w:rPr>
          <w:szCs w:val="22"/>
        </w:rPr>
        <w:t>platila Vodohospodárska výstavba, š. p. elektrárňam od roku 2006 na základe zmlúv na užívanie Vodnej elektrárne Gabčíkovo, ktoré sú podľa štátneho podniku neplatné.</w:t>
      </w:r>
    </w:p>
    <w:p w14:paraId="664D7167" w14:textId="779319F1" w:rsidR="0015190C" w:rsidRPr="00AA021A" w:rsidRDefault="0015190C" w:rsidP="00BB1667">
      <w:pPr>
        <w:spacing w:before="120" w:after="120" w:line="240" w:lineRule="auto"/>
        <w:jc w:val="both"/>
        <w:rPr>
          <w:szCs w:val="22"/>
        </w:rPr>
      </w:pPr>
      <w:r w:rsidRPr="00AA021A">
        <w:rPr>
          <w:szCs w:val="22"/>
        </w:rPr>
        <w:t xml:space="preserve">V prípade súdnych sporov vedených v prospech </w:t>
      </w:r>
      <w:r w:rsidRPr="00AA021A">
        <w:rPr>
          <w:szCs w:val="22"/>
          <w:u w:val="single"/>
        </w:rPr>
        <w:t>MH Manažmentu, a. s.</w:t>
      </w:r>
      <w:r w:rsidRPr="00AA021A">
        <w:rPr>
          <w:szCs w:val="22"/>
        </w:rPr>
        <w:t xml:space="preserve"> bola zaznamenaná medziročne vyššia hodnota o 2 449 tis. eur vrátane príslušenstva a tým podmienené aktíva zo súdnych sporov z titulu bezdôvodného obohatenia dosiahli hodnotu</w:t>
      </w:r>
      <w:r w:rsidR="005B2DB0">
        <w:rPr>
          <w:szCs w:val="22"/>
        </w:rPr>
        <w:t> </w:t>
      </w:r>
      <w:r w:rsidRPr="00AA021A">
        <w:rPr>
          <w:szCs w:val="22"/>
        </w:rPr>
        <w:t>48 058 tis. eur.</w:t>
      </w:r>
    </w:p>
    <w:p w14:paraId="440468EA" w14:textId="689F0F4E" w:rsidR="0015190C" w:rsidRPr="00AA021A" w:rsidRDefault="0015190C" w:rsidP="00BB1667">
      <w:pPr>
        <w:spacing w:before="120" w:after="120" w:line="240" w:lineRule="auto"/>
        <w:jc w:val="both"/>
        <w:rPr>
          <w:szCs w:val="22"/>
        </w:rPr>
      </w:pPr>
      <w:r w:rsidRPr="00AA021A">
        <w:rPr>
          <w:szCs w:val="22"/>
          <w:u w:val="single"/>
        </w:rPr>
        <w:t>Finančné riaditeľstvo SR</w:t>
      </w:r>
      <w:r w:rsidRPr="00AA021A">
        <w:rPr>
          <w:szCs w:val="22"/>
        </w:rPr>
        <w:t xml:space="preserve"> je žalobcom v troch súdnych sporoch o náhradu škody, úhrnom za 4 092 tis.</w:t>
      </w:r>
      <w:r w:rsidR="005B2DB0">
        <w:rPr>
          <w:szCs w:val="22"/>
        </w:rPr>
        <w:t> </w:t>
      </w:r>
      <w:r w:rsidRPr="00AA021A">
        <w:rPr>
          <w:szCs w:val="22"/>
        </w:rPr>
        <w:t>eur.</w:t>
      </w:r>
    </w:p>
    <w:p w14:paraId="7839B371" w14:textId="4535CD31" w:rsidR="0015190C" w:rsidRPr="00F8062A" w:rsidRDefault="0015190C" w:rsidP="00BB1667">
      <w:pPr>
        <w:spacing w:before="120" w:after="120" w:line="240" w:lineRule="auto"/>
        <w:jc w:val="both"/>
        <w:rPr>
          <w:szCs w:val="22"/>
          <w:highlight w:val="cyan"/>
        </w:rPr>
      </w:pPr>
      <w:r w:rsidRPr="00AA021A">
        <w:rPr>
          <w:szCs w:val="22"/>
          <w:u w:val="single"/>
        </w:rPr>
        <w:t>Ministerstvo vnútra SR</w:t>
      </w:r>
      <w:r w:rsidRPr="00AA021A">
        <w:rPr>
          <w:szCs w:val="22"/>
        </w:rPr>
        <w:t xml:space="preserve"> vykazuje aktívne súdne spory v celkovej sume</w:t>
      </w:r>
      <w:r w:rsidR="005B2DB0">
        <w:rPr>
          <w:szCs w:val="22"/>
        </w:rPr>
        <w:t> </w:t>
      </w:r>
      <w:r w:rsidRPr="00AA021A">
        <w:rPr>
          <w:szCs w:val="22"/>
        </w:rPr>
        <w:t>1</w:t>
      </w:r>
      <w:r w:rsidR="005B2DB0">
        <w:rPr>
          <w:szCs w:val="22"/>
        </w:rPr>
        <w:t> </w:t>
      </w:r>
      <w:r w:rsidRPr="00AA021A">
        <w:rPr>
          <w:szCs w:val="22"/>
        </w:rPr>
        <w:t>340 tis. eur, čo je v porovnaní z bezprostredne predchádzajúcim účtovným obdobím pokles o</w:t>
      </w:r>
      <w:r w:rsidR="005B2DB0">
        <w:rPr>
          <w:szCs w:val="22"/>
        </w:rPr>
        <w:t> </w:t>
      </w:r>
      <w:r w:rsidRPr="00AA021A">
        <w:rPr>
          <w:szCs w:val="22"/>
        </w:rPr>
        <w:t>2</w:t>
      </w:r>
      <w:r w:rsidR="005B2DB0">
        <w:rPr>
          <w:szCs w:val="22"/>
        </w:rPr>
        <w:t> </w:t>
      </w:r>
      <w:r w:rsidRPr="00AA021A">
        <w:rPr>
          <w:szCs w:val="22"/>
        </w:rPr>
        <w:t xml:space="preserve">644 tis. eur. Predmetom súdnych sporov bolo napr. </w:t>
      </w:r>
      <w:r w:rsidRPr="00AA021A">
        <w:rPr>
          <w:bCs/>
          <w:szCs w:val="22"/>
        </w:rPr>
        <w:t>zaplatenie sumy, vydanie bezdôvodného obohatenia, náhrada škody, vypratanie bytu, vysporiadanie nehnuteľnosti, nárok na regres a iné</w:t>
      </w:r>
      <w:r w:rsidRPr="00AA021A">
        <w:rPr>
          <w:szCs w:val="22"/>
        </w:rPr>
        <w:t>.</w:t>
      </w:r>
    </w:p>
    <w:p w14:paraId="6DC4A031" w14:textId="481E2704" w:rsidR="00BC1839" w:rsidRDefault="0015190C" w:rsidP="0015190C">
      <w:pPr>
        <w:spacing w:after="120" w:line="240" w:lineRule="auto"/>
        <w:jc w:val="both"/>
        <w:rPr>
          <w:szCs w:val="22"/>
        </w:rPr>
      </w:pPr>
      <w:r w:rsidRPr="00AA021A">
        <w:rPr>
          <w:szCs w:val="22"/>
          <w:u w:val="single"/>
        </w:rPr>
        <w:t>Ministerstvo financií SR</w:t>
      </w:r>
      <w:r w:rsidRPr="00AA021A">
        <w:rPr>
          <w:szCs w:val="22"/>
        </w:rPr>
        <w:t xml:space="preserve"> vystupuje ako žalobca v 6 súdnych sporoch. Hodnota aktívnych súdnych sporov je</w:t>
      </w:r>
      <w:r w:rsidR="005B2DB0">
        <w:rPr>
          <w:szCs w:val="22"/>
        </w:rPr>
        <w:t> </w:t>
      </w:r>
      <w:r w:rsidRPr="00AA021A">
        <w:rPr>
          <w:szCs w:val="22"/>
        </w:rPr>
        <w:t>3 910 tis. eur a týkajú sa žalôb o náhradu škody spôsobenej orgánmi verejnej moci pri výkone verejnej moci podľa zákona č. 58/1969 Zb. o zodpovednosti za škodu spôsobenú rozhodnutím orgánu štátu alebo jeho nesprávnym úradným postupom resp. zákon č. 514/2003</w:t>
      </w:r>
      <w:r w:rsidR="000A7A3A">
        <w:rPr>
          <w:szCs w:val="22"/>
        </w:rPr>
        <w:t> </w:t>
      </w:r>
      <w:r w:rsidRPr="00AA021A">
        <w:rPr>
          <w:szCs w:val="22"/>
        </w:rPr>
        <w:t>Z. z. o zodpovednosti za škodu spôsobenú pri</w:t>
      </w:r>
      <w:r w:rsidR="000A7A3A">
        <w:rPr>
          <w:szCs w:val="22"/>
        </w:rPr>
        <w:t> </w:t>
      </w:r>
      <w:r w:rsidRPr="00AA021A">
        <w:rPr>
          <w:szCs w:val="22"/>
        </w:rPr>
        <w:t>výkone verejnej moci a o zmene niektorých zákonov, reštitučné nároky podľa príslušných reštitučných predpisov, žaloby o preskúmanie zákonnosti rozhodnutia orgánu verejnej moci a uplatňovania náhrady škody, ktorá vznikla ministerstvu ako poškodenému v trestnom konaní.</w:t>
      </w:r>
    </w:p>
    <w:p w14:paraId="1B8BDBD2" w14:textId="0E420101" w:rsidR="00076866" w:rsidRDefault="00076866" w:rsidP="00D162A9">
      <w:pPr>
        <w:pStyle w:val="Popis"/>
      </w:pPr>
      <w:bookmarkStart w:id="103" w:name="_Toc212124645"/>
      <w:r>
        <w:t xml:space="preserve">Tabuľka </w:t>
      </w:r>
      <w:r>
        <w:fldChar w:fldCharType="begin"/>
      </w:r>
      <w:r>
        <w:instrText xml:space="preserve"> SEQ Tabuľka \* ARABIC </w:instrText>
      </w:r>
      <w:r>
        <w:fldChar w:fldCharType="separate"/>
      </w:r>
      <w:r>
        <w:rPr>
          <w:noProof/>
        </w:rPr>
        <w:t>24</w:t>
      </w:r>
      <w:r>
        <w:fldChar w:fldCharType="end"/>
      </w:r>
      <w:r>
        <w:t xml:space="preserve"> - </w:t>
      </w:r>
      <w:r w:rsidRPr="00A40F1D">
        <w:t>Vybrané podmienené aktíva – nekonsolidované (v tis. eur)</w:t>
      </w:r>
      <w:bookmarkEnd w:id="103"/>
    </w:p>
    <w:tbl>
      <w:tblPr>
        <w:tblW w:w="5000" w:type="pct"/>
        <w:tblCellMar>
          <w:left w:w="70" w:type="dxa"/>
          <w:right w:w="70" w:type="dxa"/>
        </w:tblCellMar>
        <w:tblLook w:val="04A0" w:firstRow="1" w:lastRow="0" w:firstColumn="1" w:lastColumn="0" w:noHBand="0" w:noVBand="1"/>
      </w:tblPr>
      <w:tblGrid>
        <w:gridCol w:w="4599"/>
        <w:gridCol w:w="1039"/>
        <w:gridCol w:w="1187"/>
        <w:gridCol w:w="1335"/>
        <w:gridCol w:w="1335"/>
      </w:tblGrid>
      <w:tr w:rsidR="0015190C" w:rsidRPr="00174C84" w14:paraId="264A8F7F" w14:textId="77777777" w:rsidTr="008A6A1F">
        <w:trPr>
          <w:trHeight w:val="284"/>
          <w:tblHeader/>
        </w:trPr>
        <w:tc>
          <w:tcPr>
            <w:tcW w:w="2422" w:type="pct"/>
            <w:tcBorders>
              <w:top w:val="single" w:sz="4" w:space="0" w:color="auto"/>
              <w:left w:val="nil"/>
              <w:bottom w:val="single" w:sz="4" w:space="0" w:color="auto"/>
              <w:right w:val="nil"/>
            </w:tcBorders>
            <w:vAlign w:val="center"/>
            <w:hideMark/>
          </w:tcPr>
          <w:p w14:paraId="08533683" w14:textId="23164B8C" w:rsidR="0015190C" w:rsidRPr="00174C84" w:rsidRDefault="0015190C" w:rsidP="0015190C">
            <w:pPr>
              <w:spacing w:after="0" w:line="240" w:lineRule="auto"/>
              <w:rPr>
                <w:color w:val="FF0000"/>
                <w:sz w:val="18"/>
                <w:szCs w:val="18"/>
                <w:highlight w:val="yellow"/>
                <w:lang w:eastAsia="sk-SK"/>
              </w:rPr>
            </w:pPr>
          </w:p>
        </w:tc>
        <w:tc>
          <w:tcPr>
            <w:tcW w:w="547" w:type="pct"/>
            <w:tcBorders>
              <w:top w:val="single" w:sz="4" w:space="0" w:color="auto"/>
              <w:left w:val="nil"/>
              <w:bottom w:val="single" w:sz="4" w:space="0" w:color="auto"/>
              <w:right w:val="nil"/>
            </w:tcBorders>
            <w:vAlign w:val="center"/>
          </w:tcPr>
          <w:p w14:paraId="7B5EFDDA" w14:textId="772A6F1C" w:rsidR="0015190C" w:rsidRPr="00174C84" w:rsidRDefault="0015190C" w:rsidP="0015190C">
            <w:pPr>
              <w:spacing w:after="0" w:line="240" w:lineRule="auto"/>
              <w:jc w:val="center"/>
              <w:rPr>
                <w:b/>
                <w:bCs/>
                <w:sz w:val="18"/>
                <w:szCs w:val="18"/>
                <w:highlight w:val="yellow"/>
                <w:lang w:eastAsia="sk-SK"/>
              </w:rPr>
            </w:pPr>
            <w:r w:rsidRPr="00AA021A">
              <w:rPr>
                <w:b/>
                <w:bCs/>
                <w:sz w:val="18"/>
                <w:szCs w:val="18"/>
                <w:lang w:eastAsia="sk-SK"/>
              </w:rPr>
              <w:t xml:space="preserve">           2022</w:t>
            </w:r>
          </w:p>
        </w:tc>
        <w:tc>
          <w:tcPr>
            <w:tcW w:w="625" w:type="pct"/>
            <w:tcBorders>
              <w:top w:val="single" w:sz="4" w:space="0" w:color="auto"/>
              <w:left w:val="nil"/>
              <w:bottom w:val="single" w:sz="4" w:space="0" w:color="auto"/>
              <w:right w:val="nil"/>
            </w:tcBorders>
            <w:vAlign w:val="center"/>
          </w:tcPr>
          <w:p w14:paraId="063D923B" w14:textId="317817BB" w:rsidR="0015190C" w:rsidRPr="00174C84" w:rsidRDefault="0015190C" w:rsidP="0015190C">
            <w:pPr>
              <w:spacing w:after="0" w:line="240" w:lineRule="auto"/>
              <w:jc w:val="center"/>
              <w:rPr>
                <w:b/>
                <w:bCs/>
                <w:sz w:val="18"/>
                <w:szCs w:val="18"/>
                <w:highlight w:val="yellow"/>
                <w:lang w:eastAsia="sk-SK"/>
              </w:rPr>
            </w:pPr>
            <w:r w:rsidRPr="00AA021A">
              <w:rPr>
                <w:b/>
                <w:bCs/>
                <w:sz w:val="18"/>
                <w:szCs w:val="18"/>
                <w:lang w:eastAsia="sk-SK"/>
              </w:rPr>
              <w:t xml:space="preserve">             2023</w:t>
            </w:r>
          </w:p>
        </w:tc>
        <w:tc>
          <w:tcPr>
            <w:tcW w:w="703" w:type="pct"/>
            <w:tcBorders>
              <w:top w:val="single" w:sz="4" w:space="0" w:color="auto"/>
              <w:left w:val="nil"/>
              <w:bottom w:val="single" w:sz="4" w:space="0" w:color="auto"/>
              <w:right w:val="nil"/>
            </w:tcBorders>
            <w:vAlign w:val="center"/>
          </w:tcPr>
          <w:p w14:paraId="031F82A2" w14:textId="2ED663FB" w:rsidR="0015190C" w:rsidRPr="00174C84" w:rsidRDefault="0015190C" w:rsidP="0015190C">
            <w:pPr>
              <w:spacing w:after="0" w:line="240" w:lineRule="auto"/>
              <w:jc w:val="center"/>
              <w:rPr>
                <w:b/>
                <w:bCs/>
                <w:sz w:val="18"/>
                <w:szCs w:val="18"/>
                <w:highlight w:val="yellow"/>
                <w:lang w:eastAsia="sk-SK"/>
              </w:rPr>
            </w:pPr>
            <w:r w:rsidRPr="00A07005">
              <w:rPr>
                <w:b/>
                <w:bCs/>
                <w:sz w:val="18"/>
                <w:szCs w:val="18"/>
                <w:lang w:eastAsia="sk-SK"/>
              </w:rPr>
              <w:t xml:space="preserve">             2024</w:t>
            </w:r>
          </w:p>
        </w:tc>
        <w:tc>
          <w:tcPr>
            <w:tcW w:w="703" w:type="pct"/>
            <w:tcBorders>
              <w:top w:val="single" w:sz="4" w:space="0" w:color="auto"/>
              <w:left w:val="nil"/>
              <w:bottom w:val="single" w:sz="4" w:space="0" w:color="auto"/>
              <w:right w:val="nil"/>
            </w:tcBorders>
            <w:vAlign w:val="center"/>
            <w:hideMark/>
          </w:tcPr>
          <w:p w14:paraId="6AE31FDF" w14:textId="618F2F58" w:rsidR="0015190C" w:rsidRPr="00174C84" w:rsidRDefault="0015190C" w:rsidP="0015190C">
            <w:pPr>
              <w:spacing w:after="0" w:line="240" w:lineRule="auto"/>
              <w:jc w:val="right"/>
              <w:rPr>
                <w:b/>
                <w:bCs/>
                <w:sz w:val="18"/>
                <w:szCs w:val="18"/>
                <w:highlight w:val="yellow"/>
                <w:lang w:eastAsia="sk-SK"/>
              </w:rPr>
            </w:pPr>
            <w:r w:rsidRPr="00A07005">
              <w:rPr>
                <w:b/>
                <w:bCs/>
                <w:sz w:val="18"/>
                <w:szCs w:val="18"/>
                <w:lang w:eastAsia="sk-SK"/>
              </w:rPr>
              <w:t>Δ 2024-2023</w:t>
            </w:r>
          </w:p>
        </w:tc>
      </w:tr>
      <w:tr w:rsidR="0015190C" w:rsidRPr="00174C84" w14:paraId="0EEAA276" w14:textId="77777777" w:rsidTr="008A6A1F">
        <w:trPr>
          <w:trHeight w:val="284"/>
        </w:trPr>
        <w:tc>
          <w:tcPr>
            <w:tcW w:w="2422" w:type="pct"/>
            <w:tcBorders>
              <w:top w:val="nil"/>
              <w:left w:val="nil"/>
              <w:bottom w:val="nil"/>
              <w:right w:val="nil"/>
            </w:tcBorders>
            <w:vAlign w:val="center"/>
          </w:tcPr>
          <w:p w14:paraId="156FD1AF" w14:textId="68361BFB" w:rsidR="0015190C" w:rsidRPr="00174C84" w:rsidRDefault="0015190C" w:rsidP="0015190C">
            <w:pPr>
              <w:spacing w:after="0" w:line="240" w:lineRule="auto"/>
              <w:rPr>
                <w:b/>
                <w:color w:val="FF0000"/>
                <w:sz w:val="18"/>
                <w:szCs w:val="18"/>
                <w:highlight w:val="yellow"/>
                <w:lang w:eastAsia="sk-SK"/>
              </w:rPr>
            </w:pPr>
            <w:r w:rsidRPr="00AA021A">
              <w:rPr>
                <w:b/>
                <w:sz w:val="18"/>
                <w:szCs w:val="18"/>
                <w:lang w:eastAsia="sk-SK"/>
              </w:rPr>
              <w:t>Súdne spory a konania</w:t>
            </w:r>
          </w:p>
        </w:tc>
        <w:tc>
          <w:tcPr>
            <w:tcW w:w="547" w:type="pct"/>
            <w:tcBorders>
              <w:top w:val="nil"/>
              <w:left w:val="nil"/>
              <w:bottom w:val="nil"/>
              <w:right w:val="nil"/>
            </w:tcBorders>
            <w:vAlign w:val="center"/>
          </w:tcPr>
          <w:p w14:paraId="7DCBD22E" w14:textId="676AF854" w:rsidR="0015190C" w:rsidRPr="00174C84" w:rsidRDefault="0015190C" w:rsidP="0015190C">
            <w:pPr>
              <w:spacing w:after="0" w:line="240" w:lineRule="auto"/>
              <w:jc w:val="right"/>
              <w:rPr>
                <w:b/>
                <w:sz w:val="18"/>
                <w:szCs w:val="18"/>
                <w:highlight w:val="yellow"/>
                <w:lang w:eastAsia="sk-SK"/>
              </w:rPr>
            </w:pPr>
            <w:r w:rsidRPr="00BD0C7F">
              <w:rPr>
                <w:b/>
                <w:sz w:val="18"/>
                <w:szCs w:val="18"/>
                <w:lang w:eastAsia="sk-SK"/>
              </w:rPr>
              <w:t>4</w:t>
            </w:r>
            <w:r>
              <w:rPr>
                <w:b/>
                <w:sz w:val="18"/>
                <w:szCs w:val="18"/>
                <w:lang w:eastAsia="sk-SK"/>
              </w:rPr>
              <w:t>77</w:t>
            </w:r>
            <w:r w:rsidRPr="00BD0C7F">
              <w:rPr>
                <w:b/>
                <w:sz w:val="18"/>
                <w:szCs w:val="18"/>
                <w:lang w:eastAsia="sk-SK"/>
              </w:rPr>
              <w:t xml:space="preserve"> 0</w:t>
            </w:r>
            <w:r>
              <w:rPr>
                <w:b/>
                <w:sz w:val="18"/>
                <w:szCs w:val="18"/>
                <w:lang w:eastAsia="sk-SK"/>
              </w:rPr>
              <w:t>98</w:t>
            </w:r>
          </w:p>
        </w:tc>
        <w:tc>
          <w:tcPr>
            <w:tcW w:w="625" w:type="pct"/>
            <w:tcBorders>
              <w:top w:val="nil"/>
              <w:left w:val="nil"/>
              <w:bottom w:val="nil"/>
              <w:right w:val="nil"/>
            </w:tcBorders>
            <w:vAlign w:val="center"/>
          </w:tcPr>
          <w:p w14:paraId="0F4B23FA" w14:textId="6F1550D4" w:rsidR="0015190C" w:rsidRPr="00174C84" w:rsidRDefault="0015190C" w:rsidP="0015190C">
            <w:pPr>
              <w:spacing w:after="0" w:line="240" w:lineRule="auto"/>
              <w:jc w:val="right"/>
              <w:rPr>
                <w:b/>
                <w:sz w:val="18"/>
                <w:szCs w:val="18"/>
                <w:highlight w:val="yellow"/>
                <w:lang w:eastAsia="sk-SK"/>
              </w:rPr>
            </w:pPr>
            <w:r w:rsidRPr="00AA021A">
              <w:rPr>
                <w:b/>
                <w:sz w:val="18"/>
                <w:szCs w:val="18"/>
                <w:lang w:eastAsia="sk-SK"/>
              </w:rPr>
              <w:t>4</w:t>
            </w:r>
            <w:r>
              <w:rPr>
                <w:b/>
                <w:sz w:val="18"/>
                <w:szCs w:val="18"/>
                <w:lang w:eastAsia="sk-SK"/>
              </w:rPr>
              <w:t>73 999</w:t>
            </w:r>
          </w:p>
        </w:tc>
        <w:tc>
          <w:tcPr>
            <w:tcW w:w="703" w:type="pct"/>
            <w:tcBorders>
              <w:top w:val="nil"/>
              <w:left w:val="nil"/>
              <w:bottom w:val="nil"/>
              <w:right w:val="nil"/>
            </w:tcBorders>
            <w:vAlign w:val="center"/>
          </w:tcPr>
          <w:p w14:paraId="50AFEBA3" w14:textId="43FDD01B" w:rsidR="0015190C" w:rsidRPr="00174C84" w:rsidRDefault="0015190C" w:rsidP="0015190C">
            <w:pPr>
              <w:spacing w:after="0" w:line="240" w:lineRule="auto"/>
              <w:jc w:val="right"/>
              <w:rPr>
                <w:b/>
                <w:sz w:val="18"/>
                <w:szCs w:val="18"/>
                <w:highlight w:val="yellow"/>
                <w:lang w:eastAsia="sk-SK"/>
              </w:rPr>
            </w:pPr>
            <w:r w:rsidRPr="00A07005">
              <w:rPr>
                <w:b/>
                <w:sz w:val="18"/>
                <w:szCs w:val="18"/>
                <w:lang w:eastAsia="sk-SK"/>
              </w:rPr>
              <w:t>473 226</w:t>
            </w:r>
          </w:p>
        </w:tc>
        <w:tc>
          <w:tcPr>
            <w:tcW w:w="703" w:type="pct"/>
            <w:tcBorders>
              <w:top w:val="nil"/>
              <w:left w:val="nil"/>
              <w:bottom w:val="nil"/>
              <w:right w:val="nil"/>
            </w:tcBorders>
            <w:vAlign w:val="center"/>
          </w:tcPr>
          <w:p w14:paraId="07EFA070" w14:textId="693E7A88" w:rsidR="0015190C" w:rsidRPr="00174C84" w:rsidRDefault="0015190C" w:rsidP="0015190C">
            <w:pPr>
              <w:spacing w:after="0" w:line="240" w:lineRule="auto"/>
              <w:jc w:val="right"/>
              <w:rPr>
                <w:b/>
                <w:sz w:val="18"/>
                <w:szCs w:val="18"/>
                <w:highlight w:val="yellow"/>
                <w:lang w:eastAsia="sk-SK"/>
              </w:rPr>
            </w:pPr>
            <w:r w:rsidRPr="00A07005">
              <w:rPr>
                <w:b/>
                <w:sz w:val="18"/>
                <w:szCs w:val="18"/>
                <w:lang w:eastAsia="sk-SK"/>
              </w:rPr>
              <w:t>-773</w:t>
            </w:r>
          </w:p>
        </w:tc>
      </w:tr>
      <w:tr w:rsidR="0015190C" w:rsidRPr="00174C84" w14:paraId="3C3F7552" w14:textId="77777777" w:rsidTr="008A6A1F">
        <w:trPr>
          <w:trHeight w:val="284"/>
        </w:trPr>
        <w:tc>
          <w:tcPr>
            <w:tcW w:w="2422" w:type="pct"/>
            <w:tcBorders>
              <w:top w:val="nil"/>
              <w:left w:val="nil"/>
              <w:bottom w:val="nil"/>
              <w:right w:val="nil"/>
            </w:tcBorders>
            <w:vAlign w:val="center"/>
          </w:tcPr>
          <w:p w14:paraId="5A673E11" w14:textId="30FE4E09" w:rsidR="0015190C" w:rsidRPr="00174C84" w:rsidRDefault="0015190C" w:rsidP="0015190C">
            <w:pPr>
              <w:spacing w:after="0" w:line="240" w:lineRule="auto"/>
              <w:ind w:firstLineChars="178" w:firstLine="320"/>
              <w:rPr>
                <w:sz w:val="18"/>
                <w:szCs w:val="18"/>
                <w:highlight w:val="yellow"/>
                <w:lang w:eastAsia="sk-SK"/>
              </w:rPr>
            </w:pPr>
            <w:r w:rsidRPr="00AA021A">
              <w:rPr>
                <w:sz w:val="18"/>
                <w:szCs w:val="18"/>
                <w:lang w:eastAsia="sk-SK"/>
              </w:rPr>
              <w:t>Vodohospodárska výstavba, š. p.</w:t>
            </w:r>
          </w:p>
        </w:tc>
        <w:tc>
          <w:tcPr>
            <w:tcW w:w="547" w:type="pct"/>
            <w:tcBorders>
              <w:top w:val="nil"/>
              <w:left w:val="nil"/>
              <w:bottom w:val="nil"/>
              <w:right w:val="nil"/>
            </w:tcBorders>
            <w:vAlign w:val="center"/>
          </w:tcPr>
          <w:p w14:paraId="45C4EAAB" w14:textId="750F7D34"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410 499</w:t>
            </w:r>
          </w:p>
        </w:tc>
        <w:tc>
          <w:tcPr>
            <w:tcW w:w="625" w:type="pct"/>
            <w:tcBorders>
              <w:top w:val="nil"/>
              <w:left w:val="nil"/>
              <w:bottom w:val="nil"/>
              <w:right w:val="nil"/>
            </w:tcBorders>
            <w:vAlign w:val="center"/>
          </w:tcPr>
          <w:p w14:paraId="2E6B6974" w14:textId="1F49FB79"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407 466</w:t>
            </w:r>
          </w:p>
        </w:tc>
        <w:tc>
          <w:tcPr>
            <w:tcW w:w="703" w:type="pct"/>
            <w:tcBorders>
              <w:top w:val="nil"/>
              <w:left w:val="nil"/>
              <w:bottom w:val="nil"/>
              <w:right w:val="nil"/>
            </w:tcBorders>
            <w:vAlign w:val="center"/>
          </w:tcPr>
          <w:p w14:paraId="69B95DFB" w14:textId="00844346"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411 130</w:t>
            </w:r>
          </w:p>
        </w:tc>
        <w:tc>
          <w:tcPr>
            <w:tcW w:w="703" w:type="pct"/>
            <w:tcBorders>
              <w:top w:val="nil"/>
              <w:left w:val="nil"/>
              <w:bottom w:val="nil"/>
              <w:right w:val="nil"/>
            </w:tcBorders>
            <w:vAlign w:val="center"/>
          </w:tcPr>
          <w:p w14:paraId="07575408" w14:textId="6B14C318"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3 664</w:t>
            </w:r>
          </w:p>
        </w:tc>
      </w:tr>
      <w:tr w:rsidR="0015190C" w:rsidRPr="00174C84" w14:paraId="2333A25E" w14:textId="77777777" w:rsidTr="008A6A1F">
        <w:trPr>
          <w:trHeight w:val="284"/>
        </w:trPr>
        <w:tc>
          <w:tcPr>
            <w:tcW w:w="2422" w:type="pct"/>
            <w:tcBorders>
              <w:top w:val="nil"/>
              <w:left w:val="nil"/>
              <w:bottom w:val="nil"/>
              <w:right w:val="nil"/>
            </w:tcBorders>
            <w:vAlign w:val="center"/>
          </w:tcPr>
          <w:p w14:paraId="6984B064" w14:textId="490619C2" w:rsidR="0015190C" w:rsidRPr="00174C84" w:rsidRDefault="0015190C" w:rsidP="0015190C">
            <w:pPr>
              <w:spacing w:after="0" w:line="240" w:lineRule="auto"/>
              <w:ind w:firstLineChars="178" w:firstLine="320"/>
              <w:rPr>
                <w:color w:val="FF0000"/>
                <w:sz w:val="18"/>
                <w:szCs w:val="18"/>
                <w:highlight w:val="yellow"/>
                <w:lang w:eastAsia="sk-SK"/>
              </w:rPr>
            </w:pPr>
            <w:r w:rsidRPr="00AA021A">
              <w:rPr>
                <w:sz w:val="18"/>
                <w:szCs w:val="18"/>
                <w:lang w:eastAsia="sk-SK"/>
              </w:rPr>
              <w:t xml:space="preserve">MH Manažment, a. s. </w:t>
            </w:r>
          </w:p>
        </w:tc>
        <w:tc>
          <w:tcPr>
            <w:tcW w:w="547" w:type="pct"/>
            <w:tcBorders>
              <w:top w:val="nil"/>
              <w:left w:val="nil"/>
              <w:bottom w:val="nil"/>
              <w:right w:val="nil"/>
            </w:tcBorders>
            <w:vAlign w:val="center"/>
          </w:tcPr>
          <w:p w14:paraId="226FD1DC" w14:textId="3282D09A"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43 657</w:t>
            </w:r>
          </w:p>
        </w:tc>
        <w:tc>
          <w:tcPr>
            <w:tcW w:w="625" w:type="pct"/>
            <w:tcBorders>
              <w:top w:val="nil"/>
              <w:left w:val="nil"/>
              <w:bottom w:val="nil"/>
              <w:right w:val="nil"/>
            </w:tcBorders>
            <w:vAlign w:val="center"/>
          </w:tcPr>
          <w:p w14:paraId="36D29D1E" w14:textId="399FAEB3"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46 059</w:t>
            </w:r>
          </w:p>
        </w:tc>
        <w:tc>
          <w:tcPr>
            <w:tcW w:w="703" w:type="pct"/>
            <w:tcBorders>
              <w:top w:val="nil"/>
              <w:left w:val="nil"/>
              <w:bottom w:val="nil"/>
              <w:right w:val="nil"/>
            </w:tcBorders>
            <w:vAlign w:val="center"/>
          </w:tcPr>
          <w:p w14:paraId="48E26A94" w14:textId="4F2359C3"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48 508</w:t>
            </w:r>
          </w:p>
        </w:tc>
        <w:tc>
          <w:tcPr>
            <w:tcW w:w="703" w:type="pct"/>
            <w:tcBorders>
              <w:top w:val="nil"/>
              <w:left w:val="nil"/>
              <w:bottom w:val="nil"/>
              <w:right w:val="nil"/>
            </w:tcBorders>
            <w:vAlign w:val="center"/>
          </w:tcPr>
          <w:p w14:paraId="311F9213" w14:textId="59973B22"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2 449</w:t>
            </w:r>
          </w:p>
        </w:tc>
      </w:tr>
      <w:tr w:rsidR="0015190C" w:rsidRPr="00174C84" w14:paraId="5F68A06E" w14:textId="77777777" w:rsidTr="008A6A1F">
        <w:trPr>
          <w:trHeight w:val="284"/>
        </w:trPr>
        <w:tc>
          <w:tcPr>
            <w:tcW w:w="2422" w:type="pct"/>
            <w:tcBorders>
              <w:top w:val="nil"/>
              <w:left w:val="nil"/>
              <w:bottom w:val="nil"/>
              <w:right w:val="nil"/>
            </w:tcBorders>
            <w:vAlign w:val="center"/>
          </w:tcPr>
          <w:p w14:paraId="0EE8C439" w14:textId="1FBCF05C" w:rsidR="0015190C" w:rsidRPr="00174C84" w:rsidRDefault="0015190C" w:rsidP="0015190C">
            <w:pPr>
              <w:spacing w:after="0" w:line="240" w:lineRule="auto"/>
              <w:ind w:firstLineChars="178" w:firstLine="320"/>
              <w:rPr>
                <w:sz w:val="18"/>
                <w:szCs w:val="18"/>
                <w:highlight w:val="yellow"/>
                <w:lang w:eastAsia="sk-SK"/>
              </w:rPr>
            </w:pPr>
            <w:r>
              <w:rPr>
                <w:sz w:val="18"/>
                <w:szCs w:val="18"/>
                <w:lang w:eastAsia="sk-SK"/>
              </w:rPr>
              <w:t>Finančné riaditeľstvo SR</w:t>
            </w:r>
          </w:p>
        </w:tc>
        <w:tc>
          <w:tcPr>
            <w:tcW w:w="547" w:type="pct"/>
            <w:tcBorders>
              <w:top w:val="nil"/>
              <w:left w:val="nil"/>
              <w:bottom w:val="nil"/>
              <w:right w:val="nil"/>
            </w:tcBorders>
            <w:vAlign w:val="center"/>
          </w:tcPr>
          <w:p w14:paraId="12BC6A8B" w14:textId="5E4DFC3B" w:rsidR="0015190C" w:rsidRPr="00174C84" w:rsidRDefault="0015190C" w:rsidP="0015190C">
            <w:pPr>
              <w:spacing w:after="0" w:line="240" w:lineRule="auto"/>
              <w:jc w:val="right"/>
              <w:rPr>
                <w:sz w:val="18"/>
                <w:szCs w:val="18"/>
                <w:highlight w:val="yellow"/>
                <w:lang w:eastAsia="sk-SK"/>
              </w:rPr>
            </w:pPr>
            <w:r>
              <w:rPr>
                <w:sz w:val="18"/>
                <w:szCs w:val="18"/>
                <w:lang w:eastAsia="sk-SK"/>
              </w:rPr>
              <w:t>4 077</w:t>
            </w:r>
          </w:p>
        </w:tc>
        <w:tc>
          <w:tcPr>
            <w:tcW w:w="625" w:type="pct"/>
            <w:tcBorders>
              <w:top w:val="nil"/>
              <w:left w:val="nil"/>
              <w:bottom w:val="nil"/>
              <w:right w:val="nil"/>
            </w:tcBorders>
            <w:vAlign w:val="center"/>
          </w:tcPr>
          <w:p w14:paraId="615013F0" w14:textId="4C269C5E"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4 077</w:t>
            </w:r>
          </w:p>
        </w:tc>
        <w:tc>
          <w:tcPr>
            <w:tcW w:w="703" w:type="pct"/>
            <w:tcBorders>
              <w:top w:val="nil"/>
              <w:left w:val="nil"/>
              <w:bottom w:val="nil"/>
              <w:right w:val="nil"/>
            </w:tcBorders>
            <w:vAlign w:val="center"/>
          </w:tcPr>
          <w:p w14:paraId="5819B5ED" w14:textId="2605A726"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4 092</w:t>
            </w:r>
          </w:p>
        </w:tc>
        <w:tc>
          <w:tcPr>
            <w:tcW w:w="703" w:type="pct"/>
            <w:tcBorders>
              <w:top w:val="nil"/>
              <w:left w:val="nil"/>
              <w:bottom w:val="nil"/>
              <w:right w:val="nil"/>
            </w:tcBorders>
            <w:vAlign w:val="center"/>
          </w:tcPr>
          <w:p w14:paraId="6D6539D5" w14:textId="4EAFD57C"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15</w:t>
            </w:r>
          </w:p>
        </w:tc>
      </w:tr>
      <w:tr w:rsidR="0015190C" w:rsidRPr="00174C84" w14:paraId="7B298964" w14:textId="77777777" w:rsidTr="008A6A1F">
        <w:trPr>
          <w:trHeight w:val="284"/>
        </w:trPr>
        <w:tc>
          <w:tcPr>
            <w:tcW w:w="2422" w:type="pct"/>
            <w:tcBorders>
              <w:top w:val="nil"/>
              <w:left w:val="nil"/>
              <w:bottom w:val="nil"/>
              <w:right w:val="nil"/>
            </w:tcBorders>
            <w:vAlign w:val="center"/>
          </w:tcPr>
          <w:p w14:paraId="4BDF8622" w14:textId="2548319A" w:rsidR="0015190C" w:rsidRPr="00174C84" w:rsidRDefault="0015190C" w:rsidP="0015190C">
            <w:pPr>
              <w:spacing w:after="0" w:line="240" w:lineRule="auto"/>
              <w:ind w:firstLineChars="178" w:firstLine="320"/>
              <w:rPr>
                <w:color w:val="FF0000"/>
                <w:sz w:val="18"/>
                <w:szCs w:val="18"/>
                <w:highlight w:val="yellow"/>
                <w:lang w:eastAsia="sk-SK"/>
              </w:rPr>
            </w:pPr>
            <w:r w:rsidRPr="00AA021A">
              <w:rPr>
                <w:sz w:val="18"/>
                <w:szCs w:val="18"/>
                <w:lang w:eastAsia="sk-SK"/>
              </w:rPr>
              <w:t>Ministerstvo financií SR</w:t>
            </w:r>
          </w:p>
        </w:tc>
        <w:tc>
          <w:tcPr>
            <w:tcW w:w="547" w:type="pct"/>
            <w:tcBorders>
              <w:top w:val="nil"/>
              <w:left w:val="nil"/>
              <w:bottom w:val="nil"/>
              <w:right w:val="nil"/>
            </w:tcBorders>
            <w:vAlign w:val="center"/>
          </w:tcPr>
          <w:p w14:paraId="5929AEF3" w14:textId="6A05A7EF"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3 910</w:t>
            </w:r>
          </w:p>
        </w:tc>
        <w:tc>
          <w:tcPr>
            <w:tcW w:w="625" w:type="pct"/>
            <w:tcBorders>
              <w:top w:val="nil"/>
              <w:left w:val="nil"/>
              <w:bottom w:val="nil"/>
              <w:right w:val="nil"/>
            </w:tcBorders>
            <w:vAlign w:val="center"/>
          </w:tcPr>
          <w:p w14:paraId="2F298FFF" w14:textId="3E1DAF21"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3 910</w:t>
            </w:r>
          </w:p>
        </w:tc>
        <w:tc>
          <w:tcPr>
            <w:tcW w:w="703" w:type="pct"/>
            <w:tcBorders>
              <w:top w:val="nil"/>
              <w:left w:val="nil"/>
              <w:bottom w:val="nil"/>
              <w:right w:val="nil"/>
            </w:tcBorders>
            <w:vAlign w:val="center"/>
          </w:tcPr>
          <w:p w14:paraId="6885FCCE" w14:textId="55AE3808"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3 910</w:t>
            </w:r>
          </w:p>
        </w:tc>
        <w:tc>
          <w:tcPr>
            <w:tcW w:w="703" w:type="pct"/>
            <w:tcBorders>
              <w:top w:val="nil"/>
              <w:left w:val="nil"/>
              <w:bottom w:val="nil"/>
              <w:right w:val="nil"/>
            </w:tcBorders>
            <w:vAlign w:val="center"/>
          </w:tcPr>
          <w:p w14:paraId="77405C80" w14:textId="32DFFD0B"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0</w:t>
            </w:r>
          </w:p>
        </w:tc>
      </w:tr>
      <w:tr w:rsidR="0015190C" w:rsidRPr="00174C84" w14:paraId="4700D783" w14:textId="77777777" w:rsidTr="008A6A1F">
        <w:trPr>
          <w:trHeight w:val="284"/>
        </w:trPr>
        <w:tc>
          <w:tcPr>
            <w:tcW w:w="2422" w:type="pct"/>
            <w:tcBorders>
              <w:top w:val="nil"/>
              <w:left w:val="nil"/>
              <w:bottom w:val="nil"/>
              <w:right w:val="nil"/>
            </w:tcBorders>
            <w:vAlign w:val="center"/>
          </w:tcPr>
          <w:p w14:paraId="0388BAF1" w14:textId="2514D7E7" w:rsidR="0015190C" w:rsidRPr="00174C84" w:rsidRDefault="0015190C" w:rsidP="0015190C">
            <w:pPr>
              <w:spacing w:after="0" w:line="240" w:lineRule="auto"/>
              <w:ind w:firstLineChars="178" w:firstLine="320"/>
              <w:rPr>
                <w:color w:val="FF0000"/>
                <w:sz w:val="18"/>
                <w:szCs w:val="18"/>
                <w:highlight w:val="yellow"/>
                <w:lang w:eastAsia="sk-SK"/>
              </w:rPr>
            </w:pPr>
            <w:r>
              <w:rPr>
                <w:sz w:val="18"/>
                <w:szCs w:val="18"/>
                <w:lang w:eastAsia="sk-SK"/>
              </w:rPr>
              <w:t xml:space="preserve">Environmentálny fond </w:t>
            </w:r>
          </w:p>
        </w:tc>
        <w:tc>
          <w:tcPr>
            <w:tcW w:w="547" w:type="pct"/>
            <w:tcBorders>
              <w:top w:val="nil"/>
              <w:left w:val="nil"/>
              <w:bottom w:val="nil"/>
              <w:right w:val="nil"/>
            </w:tcBorders>
            <w:vAlign w:val="center"/>
          </w:tcPr>
          <w:p w14:paraId="2F785B89" w14:textId="6FD3B207" w:rsidR="0015190C" w:rsidRPr="00174C84" w:rsidRDefault="0015190C" w:rsidP="0015190C">
            <w:pPr>
              <w:spacing w:after="0" w:line="240" w:lineRule="auto"/>
              <w:jc w:val="right"/>
              <w:rPr>
                <w:sz w:val="18"/>
                <w:szCs w:val="18"/>
                <w:highlight w:val="yellow"/>
                <w:lang w:eastAsia="sk-SK"/>
              </w:rPr>
            </w:pPr>
            <w:r>
              <w:rPr>
                <w:sz w:val="18"/>
                <w:szCs w:val="18"/>
                <w:lang w:eastAsia="sk-SK"/>
              </w:rPr>
              <w:t>5 006</w:t>
            </w:r>
          </w:p>
        </w:tc>
        <w:tc>
          <w:tcPr>
            <w:tcW w:w="625" w:type="pct"/>
            <w:tcBorders>
              <w:top w:val="nil"/>
              <w:left w:val="nil"/>
              <w:bottom w:val="nil"/>
              <w:right w:val="nil"/>
            </w:tcBorders>
            <w:vAlign w:val="center"/>
          </w:tcPr>
          <w:p w14:paraId="375C6226" w14:textId="66234361" w:rsidR="0015190C" w:rsidRPr="00174C84" w:rsidRDefault="0015190C" w:rsidP="0015190C">
            <w:pPr>
              <w:spacing w:after="0" w:line="240" w:lineRule="auto"/>
              <w:jc w:val="right"/>
              <w:rPr>
                <w:sz w:val="18"/>
                <w:szCs w:val="18"/>
                <w:highlight w:val="yellow"/>
                <w:lang w:eastAsia="sk-SK"/>
              </w:rPr>
            </w:pPr>
            <w:r>
              <w:rPr>
                <w:sz w:val="18"/>
                <w:szCs w:val="18"/>
                <w:lang w:eastAsia="sk-SK"/>
              </w:rPr>
              <w:t>10 168</w:t>
            </w:r>
          </w:p>
        </w:tc>
        <w:tc>
          <w:tcPr>
            <w:tcW w:w="703" w:type="pct"/>
            <w:tcBorders>
              <w:top w:val="nil"/>
              <w:left w:val="nil"/>
              <w:bottom w:val="nil"/>
              <w:right w:val="nil"/>
            </w:tcBorders>
            <w:vAlign w:val="center"/>
          </w:tcPr>
          <w:p w14:paraId="6E2E1B4D" w14:textId="3F1FDD4E"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3 766</w:t>
            </w:r>
          </w:p>
        </w:tc>
        <w:tc>
          <w:tcPr>
            <w:tcW w:w="703" w:type="pct"/>
            <w:tcBorders>
              <w:top w:val="nil"/>
              <w:left w:val="nil"/>
              <w:bottom w:val="nil"/>
              <w:right w:val="nil"/>
            </w:tcBorders>
            <w:vAlign w:val="center"/>
          </w:tcPr>
          <w:p w14:paraId="79DA4E75" w14:textId="0F1A88DF"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-6 402</w:t>
            </w:r>
          </w:p>
        </w:tc>
      </w:tr>
      <w:tr w:rsidR="0015190C" w:rsidRPr="00174C84" w14:paraId="60830C00" w14:textId="77777777" w:rsidTr="008A6A1F">
        <w:trPr>
          <w:trHeight w:val="284"/>
        </w:trPr>
        <w:tc>
          <w:tcPr>
            <w:tcW w:w="2422" w:type="pct"/>
            <w:tcBorders>
              <w:top w:val="nil"/>
              <w:left w:val="nil"/>
              <w:bottom w:val="nil"/>
              <w:right w:val="nil"/>
            </w:tcBorders>
            <w:vAlign w:val="center"/>
          </w:tcPr>
          <w:p w14:paraId="0658A3EB" w14:textId="3C7D477F" w:rsidR="0015190C" w:rsidRPr="00174C84" w:rsidRDefault="0015190C" w:rsidP="006F120B">
            <w:pPr>
              <w:spacing w:after="0" w:line="240" w:lineRule="auto"/>
              <w:ind w:left="492" w:hanging="141"/>
              <w:rPr>
                <w:b/>
                <w:sz w:val="18"/>
                <w:szCs w:val="18"/>
                <w:highlight w:val="yellow"/>
                <w:lang w:eastAsia="sk-SK"/>
              </w:rPr>
            </w:pPr>
            <w:r>
              <w:rPr>
                <w:sz w:val="18"/>
                <w:szCs w:val="18"/>
                <w:lang w:eastAsia="sk-SK"/>
              </w:rPr>
              <w:t>Železničná spoločnosť Slovensko, a.s.</w:t>
            </w:r>
          </w:p>
        </w:tc>
        <w:tc>
          <w:tcPr>
            <w:tcW w:w="547" w:type="pct"/>
            <w:tcBorders>
              <w:top w:val="nil"/>
              <w:left w:val="nil"/>
              <w:bottom w:val="nil"/>
              <w:right w:val="nil"/>
            </w:tcBorders>
            <w:vAlign w:val="center"/>
          </w:tcPr>
          <w:p w14:paraId="1195345B" w14:textId="27AF7094" w:rsidR="0015190C" w:rsidRPr="00174C84" w:rsidRDefault="0015190C" w:rsidP="0015190C">
            <w:pPr>
              <w:spacing w:after="0" w:line="240" w:lineRule="auto"/>
              <w:jc w:val="right"/>
              <w:rPr>
                <w:b/>
                <w:sz w:val="18"/>
                <w:szCs w:val="18"/>
                <w:highlight w:val="yellow"/>
                <w:lang w:eastAsia="sk-SK"/>
              </w:rPr>
            </w:pPr>
            <w:r>
              <w:rPr>
                <w:sz w:val="18"/>
                <w:szCs w:val="18"/>
                <w:lang w:eastAsia="sk-SK"/>
              </w:rPr>
              <w:t>6 010</w:t>
            </w:r>
          </w:p>
        </w:tc>
        <w:tc>
          <w:tcPr>
            <w:tcW w:w="625" w:type="pct"/>
            <w:tcBorders>
              <w:top w:val="nil"/>
              <w:left w:val="nil"/>
              <w:bottom w:val="nil"/>
              <w:right w:val="nil"/>
            </w:tcBorders>
            <w:vAlign w:val="center"/>
          </w:tcPr>
          <w:p w14:paraId="24065390" w14:textId="65262BB5" w:rsidR="0015190C" w:rsidRPr="00174C84" w:rsidRDefault="0015190C" w:rsidP="0015190C">
            <w:pPr>
              <w:spacing w:after="0" w:line="240" w:lineRule="auto"/>
              <w:jc w:val="right"/>
              <w:rPr>
                <w:b/>
                <w:sz w:val="18"/>
                <w:szCs w:val="18"/>
                <w:highlight w:val="yellow"/>
                <w:lang w:eastAsia="sk-SK"/>
              </w:rPr>
            </w:pPr>
            <w:r>
              <w:rPr>
                <w:sz w:val="18"/>
                <w:szCs w:val="18"/>
                <w:lang w:eastAsia="sk-SK"/>
              </w:rPr>
              <w:t>2 319</w:t>
            </w:r>
          </w:p>
        </w:tc>
        <w:tc>
          <w:tcPr>
            <w:tcW w:w="703" w:type="pct"/>
            <w:tcBorders>
              <w:top w:val="nil"/>
              <w:left w:val="nil"/>
              <w:bottom w:val="nil"/>
              <w:right w:val="nil"/>
            </w:tcBorders>
            <w:vAlign w:val="center"/>
          </w:tcPr>
          <w:p w14:paraId="21C08040" w14:textId="182FF00B" w:rsidR="0015190C" w:rsidRPr="00174C84" w:rsidRDefault="0015190C" w:rsidP="0015190C">
            <w:pPr>
              <w:spacing w:after="0" w:line="240" w:lineRule="auto"/>
              <w:jc w:val="right"/>
              <w:rPr>
                <w:b/>
                <w:sz w:val="18"/>
                <w:szCs w:val="18"/>
                <w:highlight w:val="yellow"/>
                <w:lang w:eastAsia="sk-SK"/>
              </w:rPr>
            </w:pPr>
            <w:r w:rsidRPr="00B63F3E">
              <w:rPr>
                <w:sz w:val="18"/>
                <w:szCs w:val="18"/>
                <w:lang w:eastAsia="sk-SK"/>
              </w:rPr>
              <w:t>1 820</w:t>
            </w:r>
          </w:p>
        </w:tc>
        <w:tc>
          <w:tcPr>
            <w:tcW w:w="703" w:type="pct"/>
            <w:tcBorders>
              <w:top w:val="nil"/>
              <w:left w:val="nil"/>
              <w:bottom w:val="nil"/>
              <w:right w:val="nil"/>
            </w:tcBorders>
            <w:vAlign w:val="center"/>
          </w:tcPr>
          <w:p w14:paraId="7104CEEB" w14:textId="06698A13" w:rsidR="0015190C" w:rsidRPr="00174C84" w:rsidRDefault="0015190C" w:rsidP="0015190C">
            <w:pPr>
              <w:spacing w:after="0" w:line="240" w:lineRule="auto"/>
              <w:jc w:val="right"/>
              <w:rPr>
                <w:b/>
                <w:sz w:val="18"/>
                <w:szCs w:val="18"/>
                <w:highlight w:val="yellow"/>
                <w:lang w:eastAsia="sk-SK"/>
              </w:rPr>
            </w:pPr>
            <w:r w:rsidRPr="00B63F3E">
              <w:rPr>
                <w:sz w:val="18"/>
                <w:szCs w:val="18"/>
                <w:lang w:eastAsia="sk-SK"/>
              </w:rPr>
              <w:t>-499</w:t>
            </w:r>
          </w:p>
        </w:tc>
      </w:tr>
      <w:tr w:rsidR="0015190C" w:rsidRPr="00174C84" w14:paraId="3D1E8E2C" w14:textId="77777777" w:rsidTr="008A6A1F">
        <w:trPr>
          <w:trHeight w:val="284"/>
        </w:trPr>
        <w:tc>
          <w:tcPr>
            <w:tcW w:w="2422" w:type="pct"/>
            <w:tcBorders>
              <w:top w:val="nil"/>
              <w:left w:val="nil"/>
              <w:bottom w:val="nil"/>
              <w:right w:val="nil"/>
            </w:tcBorders>
            <w:vAlign w:val="center"/>
          </w:tcPr>
          <w:p w14:paraId="1E7034F1" w14:textId="2A1A52F4" w:rsidR="0015190C" w:rsidRPr="00174C84" w:rsidRDefault="0015190C" w:rsidP="0015190C">
            <w:pPr>
              <w:spacing w:after="0" w:line="240" w:lineRule="auto"/>
              <w:ind w:firstLineChars="178" w:firstLine="320"/>
              <w:rPr>
                <w:color w:val="FF0000"/>
                <w:sz w:val="18"/>
                <w:szCs w:val="18"/>
                <w:highlight w:val="yellow"/>
                <w:lang w:eastAsia="sk-SK"/>
              </w:rPr>
            </w:pPr>
            <w:r w:rsidRPr="00AA021A">
              <w:rPr>
                <w:sz w:val="18"/>
                <w:szCs w:val="18"/>
                <w:lang w:eastAsia="sk-SK"/>
              </w:rPr>
              <w:t>Ministerstvo vnútra SR</w:t>
            </w:r>
          </w:p>
        </w:tc>
        <w:tc>
          <w:tcPr>
            <w:tcW w:w="547" w:type="pct"/>
            <w:tcBorders>
              <w:top w:val="nil"/>
              <w:left w:val="nil"/>
              <w:bottom w:val="nil"/>
              <w:right w:val="nil"/>
            </w:tcBorders>
            <w:vAlign w:val="center"/>
          </w:tcPr>
          <w:p w14:paraId="51ABCC54" w14:textId="7CBCB785"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3 939</w:t>
            </w:r>
          </w:p>
        </w:tc>
        <w:tc>
          <w:tcPr>
            <w:tcW w:w="625" w:type="pct"/>
            <w:tcBorders>
              <w:top w:val="nil"/>
              <w:left w:val="nil"/>
              <w:bottom w:val="nil"/>
              <w:right w:val="nil"/>
            </w:tcBorders>
            <w:vAlign w:val="center"/>
          </w:tcPr>
          <w:p w14:paraId="46CA96FF" w14:textId="26613D1A"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3 984</w:t>
            </w:r>
          </w:p>
        </w:tc>
        <w:tc>
          <w:tcPr>
            <w:tcW w:w="703" w:type="pct"/>
            <w:tcBorders>
              <w:top w:val="nil"/>
              <w:left w:val="nil"/>
              <w:bottom w:val="nil"/>
              <w:right w:val="nil"/>
            </w:tcBorders>
            <w:vAlign w:val="center"/>
          </w:tcPr>
          <w:p w14:paraId="650F7E5D" w14:textId="58AD2F70"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1 340</w:t>
            </w:r>
          </w:p>
        </w:tc>
        <w:tc>
          <w:tcPr>
            <w:tcW w:w="703" w:type="pct"/>
            <w:tcBorders>
              <w:top w:val="nil"/>
              <w:left w:val="nil"/>
              <w:bottom w:val="nil"/>
              <w:right w:val="nil"/>
            </w:tcBorders>
            <w:vAlign w:val="center"/>
          </w:tcPr>
          <w:p w14:paraId="1E6FABCD" w14:textId="6736525E"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-2 644</w:t>
            </w:r>
          </w:p>
        </w:tc>
      </w:tr>
      <w:tr w:rsidR="0015190C" w:rsidRPr="00174C84" w14:paraId="756F509D" w14:textId="77777777" w:rsidTr="008A6A1F">
        <w:trPr>
          <w:trHeight w:val="284"/>
        </w:trPr>
        <w:tc>
          <w:tcPr>
            <w:tcW w:w="2422" w:type="pct"/>
            <w:tcBorders>
              <w:top w:val="nil"/>
              <w:left w:val="nil"/>
              <w:bottom w:val="nil"/>
              <w:right w:val="nil"/>
            </w:tcBorders>
            <w:vAlign w:val="center"/>
          </w:tcPr>
          <w:p w14:paraId="5840F863" w14:textId="4A90F7F0" w:rsidR="0015190C" w:rsidRPr="00174C84" w:rsidRDefault="0015190C" w:rsidP="006F120B">
            <w:pPr>
              <w:spacing w:after="0" w:line="240" w:lineRule="auto"/>
              <w:ind w:leftChars="-34" w:left="-1" w:hangingChars="41" w:hanging="74"/>
              <w:rPr>
                <w:sz w:val="18"/>
                <w:szCs w:val="18"/>
                <w:highlight w:val="yellow"/>
                <w:lang w:eastAsia="sk-SK"/>
              </w:rPr>
            </w:pPr>
            <w:r w:rsidRPr="005408D7">
              <w:rPr>
                <w:b/>
                <w:sz w:val="18"/>
                <w:szCs w:val="18"/>
                <w:lang w:eastAsia="sk-SK"/>
              </w:rPr>
              <w:t>Iné (štátne podniky)</w:t>
            </w:r>
          </w:p>
        </w:tc>
        <w:tc>
          <w:tcPr>
            <w:tcW w:w="547" w:type="pct"/>
            <w:tcBorders>
              <w:top w:val="nil"/>
              <w:left w:val="nil"/>
              <w:bottom w:val="nil"/>
              <w:right w:val="nil"/>
            </w:tcBorders>
            <w:vAlign w:val="center"/>
          </w:tcPr>
          <w:p w14:paraId="4F85D5F7" w14:textId="15A0BE5B" w:rsidR="0015190C" w:rsidRPr="00174C84" w:rsidRDefault="0015190C" w:rsidP="0015190C">
            <w:pPr>
              <w:spacing w:after="0" w:line="240" w:lineRule="auto"/>
              <w:jc w:val="right"/>
              <w:rPr>
                <w:sz w:val="18"/>
                <w:szCs w:val="18"/>
                <w:highlight w:val="yellow"/>
                <w:lang w:eastAsia="sk-SK"/>
              </w:rPr>
            </w:pPr>
            <w:r w:rsidRPr="005408D7">
              <w:rPr>
                <w:b/>
                <w:sz w:val="18"/>
                <w:szCs w:val="18"/>
                <w:lang w:eastAsia="sk-SK"/>
              </w:rPr>
              <w:t>7</w:t>
            </w:r>
            <w:r>
              <w:rPr>
                <w:b/>
                <w:sz w:val="18"/>
                <w:szCs w:val="18"/>
                <w:lang w:eastAsia="sk-SK"/>
              </w:rPr>
              <w:t> 895 360</w:t>
            </w:r>
          </w:p>
        </w:tc>
        <w:tc>
          <w:tcPr>
            <w:tcW w:w="625" w:type="pct"/>
            <w:tcBorders>
              <w:top w:val="nil"/>
              <w:left w:val="nil"/>
              <w:bottom w:val="nil"/>
              <w:right w:val="nil"/>
            </w:tcBorders>
            <w:vAlign w:val="center"/>
          </w:tcPr>
          <w:p w14:paraId="5C6E4310" w14:textId="48646940" w:rsidR="0015190C" w:rsidRPr="00174C84" w:rsidRDefault="0015190C" w:rsidP="0015190C">
            <w:pPr>
              <w:spacing w:after="0" w:line="240" w:lineRule="auto"/>
              <w:jc w:val="right"/>
              <w:rPr>
                <w:sz w:val="18"/>
                <w:szCs w:val="18"/>
                <w:highlight w:val="yellow"/>
                <w:lang w:eastAsia="sk-SK"/>
              </w:rPr>
            </w:pPr>
            <w:r w:rsidRPr="00AA021A">
              <w:rPr>
                <w:b/>
                <w:sz w:val="18"/>
                <w:szCs w:val="18"/>
                <w:lang w:eastAsia="sk-SK"/>
              </w:rPr>
              <w:t>7</w:t>
            </w:r>
            <w:r>
              <w:rPr>
                <w:b/>
                <w:sz w:val="18"/>
                <w:szCs w:val="18"/>
                <w:lang w:eastAsia="sk-SK"/>
              </w:rPr>
              <w:t> 492 116</w:t>
            </w:r>
          </w:p>
        </w:tc>
        <w:tc>
          <w:tcPr>
            <w:tcW w:w="703" w:type="pct"/>
            <w:tcBorders>
              <w:top w:val="nil"/>
              <w:left w:val="nil"/>
              <w:bottom w:val="nil"/>
              <w:right w:val="nil"/>
            </w:tcBorders>
            <w:vAlign w:val="center"/>
          </w:tcPr>
          <w:p w14:paraId="0D0FB0F4" w14:textId="13E05E7B" w:rsidR="0015190C" w:rsidRPr="00174C84" w:rsidRDefault="0015190C" w:rsidP="0015190C">
            <w:pPr>
              <w:spacing w:after="0" w:line="240" w:lineRule="auto"/>
              <w:jc w:val="right"/>
              <w:rPr>
                <w:sz w:val="18"/>
                <w:szCs w:val="18"/>
                <w:highlight w:val="yellow"/>
                <w:lang w:eastAsia="sk-SK"/>
              </w:rPr>
            </w:pPr>
            <w:r w:rsidRPr="00A07005">
              <w:rPr>
                <w:b/>
                <w:sz w:val="18"/>
                <w:szCs w:val="18"/>
                <w:lang w:eastAsia="sk-SK"/>
              </w:rPr>
              <w:t>7</w:t>
            </w:r>
            <w:r>
              <w:rPr>
                <w:b/>
                <w:sz w:val="18"/>
                <w:szCs w:val="18"/>
                <w:lang w:eastAsia="sk-SK"/>
              </w:rPr>
              <w:t> 186 992</w:t>
            </w:r>
          </w:p>
        </w:tc>
        <w:tc>
          <w:tcPr>
            <w:tcW w:w="703" w:type="pct"/>
            <w:tcBorders>
              <w:top w:val="nil"/>
              <w:left w:val="nil"/>
              <w:bottom w:val="nil"/>
              <w:right w:val="nil"/>
            </w:tcBorders>
            <w:vAlign w:val="center"/>
          </w:tcPr>
          <w:p w14:paraId="2E0448F3" w14:textId="7A903570" w:rsidR="0015190C" w:rsidRPr="00174C84" w:rsidRDefault="0015190C" w:rsidP="0015190C">
            <w:pPr>
              <w:spacing w:after="0" w:line="240" w:lineRule="auto"/>
              <w:jc w:val="right"/>
              <w:rPr>
                <w:sz w:val="18"/>
                <w:szCs w:val="18"/>
                <w:highlight w:val="yellow"/>
                <w:lang w:eastAsia="sk-SK"/>
              </w:rPr>
            </w:pPr>
            <w:r w:rsidRPr="00A07005">
              <w:rPr>
                <w:b/>
                <w:sz w:val="18"/>
                <w:szCs w:val="18"/>
                <w:lang w:eastAsia="sk-SK"/>
              </w:rPr>
              <w:t>-305 124</w:t>
            </w:r>
          </w:p>
        </w:tc>
      </w:tr>
      <w:tr w:rsidR="0015190C" w:rsidRPr="00174C84" w14:paraId="2F940983" w14:textId="77777777" w:rsidTr="008A6A1F">
        <w:trPr>
          <w:trHeight w:val="284"/>
        </w:trPr>
        <w:tc>
          <w:tcPr>
            <w:tcW w:w="2422" w:type="pct"/>
            <w:tcBorders>
              <w:top w:val="nil"/>
              <w:left w:val="nil"/>
              <w:bottom w:val="nil"/>
              <w:right w:val="nil"/>
            </w:tcBorders>
            <w:vAlign w:val="center"/>
          </w:tcPr>
          <w:p w14:paraId="4A749C08" w14:textId="1D0E4CF5" w:rsidR="0015190C" w:rsidRPr="00174C84" w:rsidRDefault="0015190C" w:rsidP="0015190C">
            <w:pPr>
              <w:spacing w:after="0" w:line="240" w:lineRule="auto"/>
              <w:ind w:firstLineChars="178" w:firstLine="320"/>
              <w:rPr>
                <w:sz w:val="18"/>
                <w:szCs w:val="18"/>
                <w:highlight w:val="yellow"/>
                <w:lang w:eastAsia="sk-SK"/>
              </w:rPr>
            </w:pPr>
            <w:r w:rsidRPr="00AA021A">
              <w:rPr>
                <w:sz w:val="18"/>
                <w:szCs w:val="18"/>
                <w:lang w:eastAsia="sk-SK"/>
              </w:rPr>
              <w:t>Lesy SR, š. p. (hodnota lesných porastov)</w:t>
            </w:r>
          </w:p>
        </w:tc>
        <w:tc>
          <w:tcPr>
            <w:tcW w:w="547" w:type="pct"/>
            <w:tcBorders>
              <w:top w:val="nil"/>
              <w:left w:val="nil"/>
              <w:bottom w:val="nil"/>
              <w:right w:val="nil"/>
            </w:tcBorders>
            <w:vAlign w:val="center"/>
          </w:tcPr>
          <w:p w14:paraId="7692C8A1" w14:textId="67B96519"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3 814 721</w:t>
            </w:r>
          </w:p>
        </w:tc>
        <w:tc>
          <w:tcPr>
            <w:tcW w:w="625" w:type="pct"/>
            <w:tcBorders>
              <w:top w:val="nil"/>
              <w:left w:val="nil"/>
              <w:bottom w:val="nil"/>
              <w:right w:val="nil"/>
            </w:tcBorders>
            <w:vAlign w:val="center"/>
          </w:tcPr>
          <w:p w14:paraId="7827ADA3" w14:textId="160D64B0"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3 492 264</w:t>
            </w:r>
          </w:p>
        </w:tc>
        <w:tc>
          <w:tcPr>
            <w:tcW w:w="703" w:type="pct"/>
            <w:tcBorders>
              <w:top w:val="nil"/>
              <w:left w:val="nil"/>
              <w:bottom w:val="nil"/>
              <w:right w:val="nil"/>
            </w:tcBorders>
            <w:vAlign w:val="center"/>
          </w:tcPr>
          <w:p w14:paraId="253D4ED0" w14:textId="167AA808"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3 253 447</w:t>
            </w:r>
          </w:p>
        </w:tc>
        <w:tc>
          <w:tcPr>
            <w:tcW w:w="703" w:type="pct"/>
            <w:tcBorders>
              <w:top w:val="nil"/>
              <w:left w:val="nil"/>
              <w:bottom w:val="nil"/>
              <w:right w:val="nil"/>
            </w:tcBorders>
            <w:vAlign w:val="center"/>
          </w:tcPr>
          <w:p w14:paraId="3C053A22" w14:textId="100024F8"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-238 817</w:t>
            </w:r>
          </w:p>
        </w:tc>
      </w:tr>
      <w:tr w:rsidR="0015190C" w:rsidRPr="00174C84" w14:paraId="1592AF18" w14:textId="77777777" w:rsidTr="008A6A1F">
        <w:trPr>
          <w:trHeight w:val="284"/>
        </w:trPr>
        <w:tc>
          <w:tcPr>
            <w:tcW w:w="2422" w:type="pct"/>
            <w:tcBorders>
              <w:top w:val="nil"/>
              <w:left w:val="nil"/>
              <w:bottom w:val="nil"/>
              <w:right w:val="nil"/>
            </w:tcBorders>
            <w:vAlign w:val="center"/>
          </w:tcPr>
          <w:p w14:paraId="313899F8" w14:textId="6AE93242" w:rsidR="0015190C" w:rsidRPr="00174C84" w:rsidRDefault="0015190C" w:rsidP="0015190C">
            <w:pPr>
              <w:spacing w:after="0" w:line="240" w:lineRule="auto"/>
              <w:ind w:firstLineChars="178" w:firstLine="320"/>
              <w:rPr>
                <w:sz w:val="18"/>
                <w:szCs w:val="18"/>
                <w:highlight w:val="yellow"/>
                <w:lang w:eastAsia="sk-SK"/>
              </w:rPr>
            </w:pPr>
            <w:r w:rsidRPr="00AA021A">
              <w:rPr>
                <w:sz w:val="18"/>
                <w:szCs w:val="18"/>
                <w:lang w:eastAsia="sk-SK"/>
              </w:rPr>
              <w:t>SKo, a. s.  (pohľadávky na podsúvahe)</w:t>
            </w:r>
          </w:p>
        </w:tc>
        <w:tc>
          <w:tcPr>
            <w:tcW w:w="547" w:type="pct"/>
            <w:tcBorders>
              <w:top w:val="nil"/>
              <w:left w:val="nil"/>
              <w:bottom w:val="nil"/>
              <w:right w:val="nil"/>
            </w:tcBorders>
            <w:vAlign w:val="center"/>
          </w:tcPr>
          <w:p w14:paraId="63777AF6" w14:textId="4036585B"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2 920 022</w:t>
            </w:r>
          </w:p>
        </w:tc>
        <w:tc>
          <w:tcPr>
            <w:tcW w:w="625" w:type="pct"/>
            <w:tcBorders>
              <w:top w:val="nil"/>
              <w:left w:val="nil"/>
              <w:bottom w:val="nil"/>
              <w:right w:val="nil"/>
            </w:tcBorders>
            <w:vAlign w:val="center"/>
          </w:tcPr>
          <w:p w14:paraId="79B50E39" w14:textId="142709BD"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2 917 450</w:t>
            </w:r>
          </w:p>
        </w:tc>
        <w:tc>
          <w:tcPr>
            <w:tcW w:w="703" w:type="pct"/>
            <w:tcBorders>
              <w:top w:val="nil"/>
              <w:left w:val="nil"/>
              <w:bottom w:val="nil"/>
              <w:right w:val="nil"/>
            </w:tcBorders>
            <w:vAlign w:val="center"/>
          </w:tcPr>
          <w:p w14:paraId="31EF9F43" w14:textId="6BAC896F"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2 932 630</w:t>
            </w:r>
          </w:p>
        </w:tc>
        <w:tc>
          <w:tcPr>
            <w:tcW w:w="703" w:type="pct"/>
            <w:tcBorders>
              <w:top w:val="nil"/>
              <w:left w:val="nil"/>
              <w:bottom w:val="nil"/>
              <w:right w:val="nil"/>
            </w:tcBorders>
            <w:vAlign w:val="center"/>
          </w:tcPr>
          <w:p w14:paraId="50BD9F3C" w14:textId="7DD274AF"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15 180</w:t>
            </w:r>
          </w:p>
        </w:tc>
      </w:tr>
      <w:tr w:rsidR="0015190C" w:rsidRPr="00174C84" w14:paraId="60987C54" w14:textId="77777777" w:rsidTr="008A6A1F">
        <w:trPr>
          <w:trHeight w:val="284"/>
        </w:trPr>
        <w:tc>
          <w:tcPr>
            <w:tcW w:w="2422" w:type="pct"/>
            <w:tcBorders>
              <w:top w:val="nil"/>
              <w:left w:val="nil"/>
              <w:bottom w:val="nil"/>
              <w:right w:val="nil"/>
            </w:tcBorders>
            <w:vAlign w:val="center"/>
          </w:tcPr>
          <w:p w14:paraId="3753ED95" w14:textId="7E68A824" w:rsidR="0015190C" w:rsidRPr="00174C84" w:rsidRDefault="0015190C" w:rsidP="0015190C">
            <w:pPr>
              <w:spacing w:after="0" w:line="240" w:lineRule="auto"/>
              <w:ind w:firstLineChars="178" w:firstLine="320"/>
              <w:rPr>
                <w:sz w:val="18"/>
                <w:szCs w:val="18"/>
                <w:highlight w:val="yellow"/>
                <w:lang w:eastAsia="sk-SK"/>
              </w:rPr>
            </w:pPr>
            <w:r w:rsidRPr="00AA021A">
              <w:rPr>
                <w:sz w:val="18"/>
                <w:szCs w:val="18"/>
                <w:lang w:eastAsia="sk-SK"/>
              </w:rPr>
              <w:t>Exportno-importná banka SR (záruky)</w:t>
            </w:r>
          </w:p>
        </w:tc>
        <w:tc>
          <w:tcPr>
            <w:tcW w:w="547" w:type="pct"/>
            <w:tcBorders>
              <w:top w:val="nil"/>
              <w:left w:val="nil"/>
              <w:bottom w:val="nil"/>
              <w:right w:val="nil"/>
            </w:tcBorders>
            <w:vAlign w:val="center"/>
          </w:tcPr>
          <w:p w14:paraId="29CE3A02" w14:textId="06D5E20B"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369 968</w:t>
            </w:r>
          </w:p>
        </w:tc>
        <w:tc>
          <w:tcPr>
            <w:tcW w:w="625" w:type="pct"/>
            <w:tcBorders>
              <w:top w:val="nil"/>
              <w:left w:val="nil"/>
              <w:bottom w:val="nil"/>
              <w:right w:val="nil"/>
            </w:tcBorders>
            <w:vAlign w:val="center"/>
          </w:tcPr>
          <w:p w14:paraId="67942023" w14:textId="757BCD4E"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359 246</w:t>
            </w:r>
          </w:p>
        </w:tc>
        <w:tc>
          <w:tcPr>
            <w:tcW w:w="703" w:type="pct"/>
            <w:tcBorders>
              <w:top w:val="nil"/>
              <w:left w:val="nil"/>
              <w:bottom w:val="nil"/>
              <w:right w:val="nil"/>
            </w:tcBorders>
            <w:vAlign w:val="center"/>
          </w:tcPr>
          <w:p w14:paraId="38A1CE82" w14:textId="345649D9"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374 423</w:t>
            </w:r>
          </w:p>
        </w:tc>
        <w:tc>
          <w:tcPr>
            <w:tcW w:w="703" w:type="pct"/>
            <w:tcBorders>
              <w:top w:val="nil"/>
              <w:left w:val="nil"/>
              <w:bottom w:val="nil"/>
              <w:right w:val="nil"/>
            </w:tcBorders>
            <w:vAlign w:val="center"/>
          </w:tcPr>
          <w:p w14:paraId="327C2B5E" w14:textId="7A3FA362"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15 177</w:t>
            </w:r>
          </w:p>
        </w:tc>
      </w:tr>
      <w:tr w:rsidR="0015190C" w:rsidRPr="00174C84" w14:paraId="3D28A87F" w14:textId="77777777" w:rsidTr="008A6A1F">
        <w:trPr>
          <w:trHeight w:val="284"/>
        </w:trPr>
        <w:tc>
          <w:tcPr>
            <w:tcW w:w="2422" w:type="pct"/>
            <w:tcBorders>
              <w:top w:val="nil"/>
              <w:left w:val="nil"/>
              <w:bottom w:val="nil"/>
              <w:right w:val="nil"/>
            </w:tcBorders>
            <w:vAlign w:val="center"/>
          </w:tcPr>
          <w:p w14:paraId="54E691C8" w14:textId="25BE705C" w:rsidR="0015190C" w:rsidRPr="00174C84" w:rsidRDefault="0015190C" w:rsidP="0015190C">
            <w:pPr>
              <w:spacing w:after="0" w:line="240" w:lineRule="auto"/>
              <w:ind w:firstLineChars="178" w:firstLine="320"/>
              <w:rPr>
                <w:sz w:val="18"/>
                <w:szCs w:val="18"/>
                <w:highlight w:val="yellow"/>
                <w:lang w:eastAsia="sk-SK"/>
              </w:rPr>
            </w:pPr>
            <w:r w:rsidRPr="00AA021A">
              <w:rPr>
                <w:sz w:val="18"/>
                <w:szCs w:val="18"/>
                <w:lang w:eastAsia="sk-SK"/>
              </w:rPr>
              <w:t>Slovenská elektrizačná prenosová sústava, a. s.  (záruky)</w:t>
            </w:r>
          </w:p>
        </w:tc>
        <w:tc>
          <w:tcPr>
            <w:tcW w:w="547" w:type="pct"/>
            <w:tcBorders>
              <w:top w:val="nil"/>
              <w:left w:val="nil"/>
              <w:bottom w:val="nil"/>
              <w:right w:val="nil"/>
            </w:tcBorders>
            <w:vAlign w:val="center"/>
          </w:tcPr>
          <w:p w14:paraId="2C739BBF" w14:textId="2F776DB1"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317 912</w:t>
            </w:r>
          </w:p>
        </w:tc>
        <w:tc>
          <w:tcPr>
            <w:tcW w:w="625" w:type="pct"/>
            <w:tcBorders>
              <w:top w:val="nil"/>
              <w:left w:val="nil"/>
              <w:bottom w:val="nil"/>
              <w:right w:val="nil"/>
            </w:tcBorders>
            <w:vAlign w:val="center"/>
          </w:tcPr>
          <w:p w14:paraId="6A2AAC0D" w14:textId="10A1D100"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283 113</w:t>
            </w:r>
          </w:p>
        </w:tc>
        <w:tc>
          <w:tcPr>
            <w:tcW w:w="703" w:type="pct"/>
            <w:tcBorders>
              <w:top w:val="nil"/>
              <w:left w:val="nil"/>
              <w:bottom w:val="nil"/>
              <w:right w:val="nil"/>
            </w:tcBorders>
            <w:vAlign w:val="center"/>
          </w:tcPr>
          <w:p w14:paraId="02175B5F" w14:textId="463AFEE8"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237 547</w:t>
            </w:r>
          </w:p>
        </w:tc>
        <w:tc>
          <w:tcPr>
            <w:tcW w:w="703" w:type="pct"/>
            <w:tcBorders>
              <w:top w:val="nil"/>
              <w:left w:val="nil"/>
              <w:bottom w:val="nil"/>
              <w:right w:val="nil"/>
            </w:tcBorders>
            <w:vAlign w:val="center"/>
          </w:tcPr>
          <w:p w14:paraId="55190D86" w14:textId="4110C647" w:rsidR="0015190C" w:rsidRPr="00174C84" w:rsidRDefault="0015190C" w:rsidP="0015190C">
            <w:pPr>
              <w:spacing w:after="0" w:line="240" w:lineRule="auto"/>
              <w:jc w:val="right"/>
              <w:rPr>
                <w:sz w:val="18"/>
                <w:szCs w:val="18"/>
                <w:highlight w:val="yellow"/>
                <w:lang w:eastAsia="sk-SK"/>
              </w:rPr>
            </w:pPr>
            <w:r w:rsidRPr="00B63F3E">
              <w:rPr>
                <w:sz w:val="18"/>
                <w:szCs w:val="18"/>
                <w:lang w:eastAsia="sk-SK"/>
              </w:rPr>
              <w:t>-45 566</w:t>
            </w:r>
          </w:p>
        </w:tc>
      </w:tr>
      <w:tr w:rsidR="0015190C" w:rsidRPr="00174C84" w14:paraId="43B08986" w14:textId="77777777" w:rsidTr="006F120B">
        <w:trPr>
          <w:trHeight w:val="284"/>
        </w:trPr>
        <w:tc>
          <w:tcPr>
            <w:tcW w:w="2422" w:type="pct"/>
            <w:tcBorders>
              <w:top w:val="nil"/>
              <w:left w:val="nil"/>
              <w:right w:val="nil"/>
            </w:tcBorders>
            <w:vAlign w:val="center"/>
          </w:tcPr>
          <w:p w14:paraId="5BD4E04F" w14:textId="22472F82" w:rsidR="0015190C" w:rsidRPr="00174C84" w:rsidRDefault="0015190C" w:rsidP="0015190C">
            <w:pPr>
              <w:spacing w:after="0" w:line="240" w:lineRule="auto"/>
              <w:ind w:firstLineChars="178" w:firstLine="320"/>
              <w:rPr>
                <w:sz w:val="18"/>
                <w:szCs w:val="18"/>
                <w:highlight w:val="yellow"/>
                <w:lang w:eastAsia="sk-SK"/>
              </w:rPr>
            </w:pPr>
            <w:r w:rsidRPr="00AA021A">
              <w:rPr>
                <w:sz w:val="18"/>
                <w:szCs w:val="18"/>
                <w:lang w:eastAsia="sk-SK"/>
              </w:rPr>
              <w:t>Slovenský plynárenský priemysel (záruky)</w:t>
            </w:r>
          </w:p>
        </w:tc>
        <w:tc>
          <w:tcPr>
            <w:tcW w:w="547" w:type="pct"/>
            <w:tcBorders>
              <w:top w:val="nil"/>
              <w:left w:val="nil"/>
              <w:right w:val="nil"/>
            </w:tcBorders>
            <w:vAlign w:val="center"/>
          </w:tcPr>
          <w:p w14:paraId="10AE1E2E" w14:textId="47265256"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254 379</w:t>
            </w:r>
          </w:p>
        </w:tc>
        <w:tc>
          <w:tcPr>
            <w:tcW w:w="625" w:type="pct"/>
            <w:tcBorders>
              <w:top w:val="nil"/>
              <w:left w:val="nil"/>
              <w:right w:val="nil"/>
            </w:tcBorders>
            <w:vAlign w:val="center"/>
          </w:tcPr>
          <w:p w14:paraId="02C87845" w14:textId="1AC1C62F" w:rsidR="0015190C" w:rsidRPr="00174C84" w:rsidRDefault="0015190C" w:rsidP="0015190C">
            <w:pPr>
              <w:spacing w:after="0" w:line="240" w:lineRule="auto"/>
              <w:jc w:val="right"/>
              <w:rPr>
                <w:sz w:val="18"/>
                <w:szCs w:val="18"/>
                <w:highlight w:val="yellow"/>
                <w:lang w:eastAsia="sk-SK"/>
              </w:rPr>
            </w:pPr>
            <w:r w:rsidRPr="00AA021A">
              <w:rPr>
                <w:sz w:val="18"/>
                <w:szCs w:val="18"/>
                <w:lang w:eastAsia="sk-SK"/>
              </w:rPr>
              <w:t>242 656</w:t>
            </w:r>
          </w:p>
        </w:tc>
        <w:tc>
          <w:tcPr>
            <w:tcW w:w="703" w:type="pct"/>
            <w:tcBorders>
              <w:top w:val="nil"/>
              <w:left w:val="nil"/>
              <w:right w:val="nil"/>
            </w:tcBorders>
            <w:vAlign w:val="center"/>
          </w:tcPr>
          <w:p w14:paraId="5FBAB353" w14:textId="2C0AE0EE" w:rsidR="0015190C" w:rsidRPr="00174C84" w:rsidRDefault="0015190C" w:rsidP="0015190C">
            <w:pPr>
              <w:spacing w:after="0" w:line="240" w:lineRule="auto"/>
              <w:jc w:val="right"/>
              <w:rPr>
                <w:sz w:val="18"/>
                <w:szCs w:val="18"/>
                <w:highlight w:val="yellow"/>
                <w:lang w:eastAsia="sk-SK"/>
              </w:rPr>
            </w:pPr>
            <w:r w:rsidRPr="00A07005">
              <w:rPr>
                <w:sz w:val="18"/>
                <w:szCs w:val="18"/>
                <w:lang w:eastAsia="sk-SK"/>
              </w:rPr>
              <w:t>218 470</w:t>
            </w:r>
          </w:p>
        </w:tc>
        <w:tc>
          <w:tcPr>
            <w:tcW w:w="703" w:type="pct"/>
            <w:tcBorders>
              <w:top w:val="nil"/>
              <w:left w:val="nil"/>
              <w:right w:val="nil"/>
            </w:tcBorders>
            <w:vAlign w:val="center"/>
          </w:tcPr>
          <w:p w14:paraId="187E6334" w14:textId="67B39840" w:rsidR="0015190C" w:rsidRPr="00174C84" w:rsidRDefault="0015190C" w:rsidP="0015190C">
            <w:pPr>
              <w:spacing w:after="0" w:line="240" w:lineRule="auto"/>
              <w:jc w:val="right"/>
              <w:rPr>
                <w:sz w:val="18"/>
                <w:szCs w:val="18"/>
                <w:highlight w:val="yellow"/>
                <w:lang w:eastAsia="sk-SK"/>
              </w:rPr>
            </w:pPr>
            <w:r w:rsidRPr="00A07005">
              <w:rPr>
                <w:sz w:val="18"/>
                <w:szCs w:val="18"/>
                <w:lang w:eastAsia="sk-SK"/>
              </w:rPr>
              <w:t>-24 186</w:t>
            </w:r>
          </w:p>
        </w:tc>
      </w:tr>
      <w:tr w:rsidR="0015190C" w:rsidRPr="00174C84" w14:paraId="5E0EC7F9" w14:textId="77777777" w:rsidTr="006F120B">
        <w:trPr>
          <w:trHeight w:val="284"/>
        </w:trPr>
        <w:tc>
          <w:tcPr>
            <w:tcW w:w="2422" w:type="pct"/>
            <w:tcBorders>
              <w:left w:val="nil"/>
              <w:bottom w:val="single" w:sz="4" w:space="0" w:color="auto"/>
              <w:right w:val="nil"/>
            </w:tcBorders>
            <w:noWrap/>
            <w:vAlign w:val="center"/>
            <w:hideMark/>
          </w:tcPr>
          <w:p w14:paraId="6698A608" w14:textId="36597970" w:rsidR="0015190C" w:rsidRPr="00174C84" w:rsidRDefault="0015190C" w:rsidP="006F120B">
            <w:pPr>
              <w:spacing w:after="0" w:line="240" w:lineRule="auto"/>
              <w:ind w:firstLine="351"/>
              <w:rPr>
                <w:b/>
                <w:bCs/>
                <w:color w:val="FF0000"/>
                <w:sz w:val="18"/>
                <w:szCs w:val="18"/>
                <w:highlight w:val="yellow"/>
                <w:lang w:eastAsia="sk-SK"/>
              </w:rPr>
            </w:pPr>
            <w:r>
              <w:rPr>
                <w:sz w:val="18"/>
                <w:szCs w:val="18"/>
                <w:lang w:eastAsia="sk-SK"/>
              </w:rPr>
              <w:t>Slovenská záručná a rozvojová banka, a.s. (záruky)</w:t>
            </w:r>
          </w:p>
        </w:tc>
        <w:tc>
          <w:tcPr>
            <w:tcW w:w="547" w:type="pct"/>
            <w:tcBorders>
              <w:left w:val="nil"/>
              <w:bottom w:val="single" w:sz="4" w:space="0" w:color="auto"/>
              <w:right w:val="nil"/>
            </w:tcBorders>
            <w:vAlign w:val="center"/>
          </w:tcPr>
          <w:p w14:paraId="09265E45" w14:textId="596C8B68" w:rsidR="0015190C" w:rsidRPr="00174C84" w:rsidRDefault="0015190C" w:rsidP="0015190C">
            <w:pPr>
              <w:spacing w:after="0" w:line="240" w:lineRule="auto"/>
              <w:jc w:val="right"/>
              <w:rPr>
                <w:b/>
                <w:bCs/>
                <w:sz w:val="18"/>
                <w:szCs w:val="18"/>
                <w:highlight w:val="yellow"/>
                <w:lang w:eastAsia="sk-SK"/>
              </w:rPr>
            </w:pPr>
            <w:r w:rsidRPr="005408D7">
              <w:rPr>
                <w:sz w:val="18"/>
                <w:szCs w:val="18"/>
                <w:lang w:eastAsia="sk-SK"/>
              </w:rPr>
              <w:t>102 402</w:t>
            </w:r>
          </w:p>
        </w:tc>
        <w:tc>
          <w:tcPr>
            <w:tcW w:w="625" w:type="pct"/>
            <w:tcBorders>
              <w:left w:val="nil"/>
              <w:bottom w:val="single" w:sz="4" w:space="0" w:color="auto"/>
              <w:right w:val="nil"/>
            </w:tcBorders>
            <w:vAlign w:val="center"/>
          </w:tcPr>
          <w:p w14:paraId="1FFB3CFC" w14:textId="3E743146" w:rsidR="0015190C" w:rsidRPr="00174C84" w:rsidRDefault="0015190C" w:rsidP="0015190C">
            <w:pPr>
              <w:spacing w:after="0" w:line="240" w:lineRule="auto"/>
              <w:jc w:val="right"/>
              <w:rPr>
                <w:b/>
                <w:bCs/>
                <w:sz w:val="18"/>
                <w:szCs w:val="18"/>
                <w:highlight w:val="yellow"/>
                <w:lang w:eastAsia="sk-SK"/>
              </w:rPr>
            </w:pPr>
            <w:r w:rsidRPr="00A07005">
              <w:rPr>
                <w:sz w:val="18"/>
                <w:szCs w:val="18"/>
                <w:lang w:eastAsia="sk-SK"/>
              </w:rPr>
              <w:t>97 369</w:t>
            </w:r>
          </w:p>
        </w:tc>
        <w:tc>
          <w:tcPr>
            <w:tcW w:w="703" w:type="pct"/>
            <w:tcBorders>
              <w:left w:val="nil"/>
              <w:bottom w:val="single" w:sz="4" w:space="0" w:color="auto"/>
              <w:right w:val="nil"/>
            </w:tcBorders>
            <w:vAlign w:val="center"/>
          </w:tcPr>
          <w:p w14:paraId="045F40B4" w14:textId="49B53ECF" w:rsidR="0015190C" w:rsidRPr="00174C84" w:rsidRDefault="0015190C" w:rsidP="0015190C">
            <w:pPr>
              <w:spacing w:after="0" w:line="240" w:lineRule="auto"/>
              <w:jc w:val="right"/>
              <w:rPr>
                <w:b/>
                <w:bCs/>
                <w:sz w:val="18"/>
                <w:szCs w:val="18"/>
                <w:highlight w:val="yellow"/>
                <w:lang w:eastAsia="sk-SK"/>
              </w:rPr>
            </w:pPr>
            <w:r w:rsidRPr="00A07005">
              <w:rPr>
                <w:sz w:val="18"/>
                <w:szCs w:val="18"/>
                <w:lang w:eastAsia="sk-SK"/>
              </w:rPr>
              <w:t>72 780</w:t>
            </w:r>
          </w:p>
        </w:tc>
        <w:tc>
          <w:tcPr>
            <w:tcW w:w="703" w:type="pct"/>
            <w:tcBorders>
              <w:left w:val="nil"/>
              <w:bottom w:val="single" w:sz="4" w:space="0" w:color="auto"/>
              <w:right w:val="nil"/>
            </w:tcBorders>
            <w:vAlign w:val="center"/>
          </w:tcPr>
          <w:p w14:paraId="5541F2DC" w14:textId="6B7CD5B4" w:rsidR="0015190C" w:rsidRPr="00174C84" w:rsidRDefault="0015190C" w:rsidP="0015190C">
            <w:pPr>
              <w:spacing w:after="0" w:line="240" w:lineRule="auto"/>
              <w:jc w:val="right"/>
              <w:rPr>
                <w:b/>
                <w:bCs/>
                <w:sz w:val="18"/>
                <w:szCs w:val="18"/>
                <w:highlight w:val="yellow"/>
                <w:lang w:eastAsia="sk-SK"/>
              </w:rPr>
            </w:pPr>
            <w:r w:rsidRPr="00A07005">
              <w:rPr>
                <w:sz w:val="18"/>
                <w:szCs w:val="18"/>
                <w:lang w:eastAsia="sk-SK"/>
              </w:rPr>
              <w:t>-24 589</w:t>
            </w:r>
          </w:p>
        </w:tc>
      </w:tr>
    </w:tbl>
    <w:p w14:paraId="781A846E" w14:textId="77777777" w:rsidR="00FC0A41" w:rsidRPr="0015190C" w:rsidRDefault="00FC0A41" w:rsidP="00FC0A41">
      <w:pPr>
        <w:spacing w:after="120" w:line="240" w:lineRule="auto"/>
        <w:jc w:val="right"/>
        <w:rPr>
          <w:sz w:val="16"/>
          <w:szCs w:val="16"/>
        </w:rPr>
      </w:pPr>
      <w:r w:rsidRPr="0015190C">
        <w:rPr>
          <w:sz w:val="16"/>
          <w:szCs w:val="16"/>
        </w:rPr>
        <w:t xml:space="preserve">Zdroj: Účtovné závierky subjektov, Centrálny konsolidačný systém a databáza MF SR </w:t>
      </w:r>
    </w:p>
    <w:p w14:paraId="23618B67" w14:textId="48D5DAAB" w:rsidR="0015190C" w:rsidRPr="00B63F3E" w:rsidRDefault="0015190C" w:rsidP="00582166">
      <w:pPr>
        <w:spacing w:after="120" w:line="240" w:lineRule="auto"/>
        <w:jc w:val="both"/>
      </w:pPr>
      <w:r w:rsidRPr="00B63F3E">
        <w:rPr>
          <w:b/>
        </w:rPr>
        <w:t>Z ostatných položiek podmienených aktív</w:t>
      </w:r>
      <w:r w:rsidRPr="00B63F3E">
        <w:t xml:space="preserve"> je významná hodnota zabezpečenia pohľadávok z poskytnutých úverov a poskytnutých záruk </w:t>
      </w:r>
      <w:r w:rsidR="00FE22D0" w:rsidRPr="00B63F3E">
        <w:rPr>
          <w:u w:val="single"/>
        </w:rPr>
        <w:t>Eximbanky SR</w:t>
      </w:r>
      <w:r w:rsidR="00FE22D0" w:rsidRPr="00B63F3E">
        <w:t xml:space="preserve"> v hodnote 374 423 tis. eur. Prijaté záruky a ručenie tvorilo 47 366 tis. eur, záruky na nehnuteľnosti 244 964 tis. eur, ostatné záruky 82 093 tis. eur. Na</w:t>
      </w:r>
      <w:r w:rsidR="000F344D">
        <w:t> </w:t>
      </w:r>
      <w:r w:rsidR="00FE22D0" w:rsidRPr="00B63F3E">
        <w:t>zvýšenie medziročného objemu ostatných iných aktív mal vplyv predovšetkým nárast prijatých záruk na</w:t>
      </w:r>
      <w:r w:rsidR="000F344D">
        <w:t> </w:t>
      </w:r>
      <w:r w:rsidR="00FE22D0" w:rsidRPr="00B63F3E">
        <w:t>nehnuteľnosti o 28 432 </w:t>
      </w:r>
      <w:r w:rsidR="00FE22D0">
        <w:t>tis. eur</w:t>
      </w:r>
      <w:r w:rsidR="00FE22D0" w:rsidRPr="00B63F3E">
        <w:t xml:space="preserve"> a nárast ostatných </w:t>
      </w:r>
      <w:r w:rsidRPr="00B63F3E">
        <w:t>prijatých záruk o 9 58</w:t>
      </w:r>
      <w:r>
        <w:t>1</w:t>
      </w:r>
      <w:r w:rsidRPr="00B63F3E">
        <w:t> </w:t>
      </w:r>
      <w:r>
        <w:t>tis.</w:t>
      </w:r>
      <w:r w:rsidRPr="00B63F3E">
        <w:t> eur so súčasným poklesom prijatých záruk a ručení o 22 836 </w:t>
      </w:r>
      <w:r>
        <w:t>tis.</w:t>
      </w:r>
      <w:r w:rsidRPr="00B63F3E">
        <w:t> eur.</w:t>
      </w:r>
    </w:p>
    <w:p w14:paraId="702DBFF0" w14:textId="776EE9F7" w:rsidR="0015190C" w:rsidRPr="00AA021A" w:rsidRDefault="0015190C" w:rsidP="00582166">
      <w:pPr>
        <w:spacing w:after="120" w:line="240" w:lineRule="auto"/>
        <w:jc w:val="both"/>
        <w:rPr>
          <w:szCs w:val="22"/>
        </w:rPr>
      </w:pPr>
      <w:r w:rsidRPr="00AA021A">
        <w:rPr>
          <w:szCs w:val="22"/>
          <w:u w:val="single"/>
        </w:rPr>
        <w:lastRenderedPageBreak/>
        <w:t>SEPS</w:t>
      </w:r>
      <w:r w:rsidRPr="00AA021A">
        <w:rPr>
          <w:szCs w:val="22"/>
        </w:rPr>
        <w:t xml:space="preserve"> vykázala v konsolidovanej účtovnej závierke ako podmienené aktíva sumu prijatých bankových záruk vo výške</w:t>
      </w:r>
      <w:r w:rsidR="005B2DB0">
        <w:rPr>
          <w:szCs w:val="22"/>
        </w:rPr>
        <w:t> </w:t>
      </w:r>
      <w:r w:rsidRPr="00AA021A">
        <w:rPr>
          <w:szCs w:val="22"/>
        </w:rPr>
        <w:t>237 547 tis. eur. Bankové záruky sú uzatvárané v prospech skupiny SEPS účastníkmi krátkodobého trhu s elektrickou energiou, ktoré chránia skupinu pred ich prípadnou platobnou neschopnosťou.</w:t>
      </w:r>
    </w:p>
    <w:p w14:paraId="26294C01" w14:textId="680905FD" w:rsidR="0015190C" w:rsidRPr="00AA021A" w:rsidRDefault="0015190C" w:rsidP="0015190C">
      <w:pPr>
        <w:spacing w:after="120" w:line="240" w:lineRule="auto"/>
        <w:jc w:val="both"/>
        <w:rPr>
          <w:szCs w:val="22"/>
        </w:rPr>
      </w:pPr>
      <w:r w:rsidRPr="00AA021A">
        <w:rPr>
          <w:szCs w:val="22"/>
          <w:u w:val="single"/>
        </w:rPr>
        <w:t>SPP</w:t>
      </w:r>
      <w:r w:rsidRPr="00AA021A">
        <w:rPr>
          <w:szCs w:val="22"/>
        </w:rPr>
        <w:t xml:space="preserve"> vykazuje poskytnuté záruky, ktoré vystavili materské spoločnosti zákazníkov. SPP si tak v</w:t>
      </w:r>
      <w:r w:rsidR="000A7A3A">
        <w:rPr>
          <w:szCs w:val="22"/>
        </w:rPr>
        <w:t> </w:t>
      </w:r>
      <w:r w:rsidRPr="00AA021A">
        <w:rPr>
          <w:szCs w:val="22"/>
        </w:rPr>
        <w:t>prípade neplnenia povinností zo strany zákazníkov môže uplatňovať plnenie u ich materských spoločností.</w:t>
      </w:r>
    </w:p>
    <w:p w14:paraId="195598E8" w14:textId="64445478" w:rsidR="0015190C" w:rsidRPr="00AA021A" w:rsidRDefault="0015190C" w:rsidP="0015190C">
      <w:pPr>
        <w:spacing w:after="120" w:line="240" w:lineRule="auto"/>
        <w:jc w:val="both"/>
        <w:rPr>
          <w:szCs w:val="22"/>
          <w:u w:val="single"/>
        </w:rPr>
      </w:pPr>
      <w:r w:rsidRPr="00AA021A">
        <w:rPr>
          <w:szCs w:val="22"/>
          <w:u w:val="single"/>
        </w:rPr>
        <w:t>MH Manažment, a. s.</w:t>
      </w:r>
      <w:r w:rsidRPr="00AA021A">
        <w:rPr>
          <w:szCs w:val="22"/>
        </w:rPr>
        <w:t xml:space="preserve"> vykazuje podmienené aktívum zo zmluvy o predaji štátneho podielu v Slovak Telekom, a. s. Platba vo výške</w:t>
      </w:r>
      <w:r w:rsidR="005B2DB0">
        <w:rPr>
          <w:szCs w:val="22"/>
        </w:rPr>
        <w:t> </w:t>
      </w:r>
      <w:r w:rsidRPr="00AA021A">
        <w:rPr>
          <w:szCs w:val="22"/>
        </w:rPr>
        <w:t>70 262 tis. eur je uložená a viazaná na účte, pričom vyplatenie týchto prostriedkov závisí od ukončenia Sporu vo veci hlasových služieb a Sporu s Európskou komisiou.</w:t>
      </w:r>
    </w:p>
    <w:p w14:paraId="03D7CE42" w14:textId="77777777" w:rsidR="0015190C" w:rsidRPr="00AA021A" w:rsidRDefault="0015190C" w:rsidP="0015190C">
      <w:pPr>
        <w:spacing w:after="120" w:line="240" w:lineRule="auto"/>
        <w:jc w:val="both"/>
        <w:rPr>
          <w:szCs w:val="22"/>
        </w:rPr>
      </w:pPr>
      <w:r w:rsidRPr="00AA021A">
        <w:rPr>
          <w:szCs w:val="22"/>
          <w:u w:val="single"/>
        </w:rPr>
        <w:t>Environmentálny fond</w:t>
      </w:r>
      <w:r w:rsidRPr="00AA021A">
        <w:rPr>
          <w:szCs w:val="22"/>
        </w:rPr>
        <w:t xml:space="preserve"> eviduje potenciálne plnenie zo záložných zmlúv uzavretých bývalým Recyklačným fondom, ktorého činnosť prešla na Environmentálny fond v decembri 2017. Recyklačný fond poskytoval subjektom dotácie napríklad na separáciu odpadov (plastov, železa a podobne) na viacročné obdobie a v prípade, že subjekt nesplnil podmienky pre dotáciu, bol povinný vrátiť dotáciu aj so zmluvnou pokutou. Vo výške dotácie a možnej pokuty boli uzatvárané záložné zmluvy a ručiteľské vyhlásenia.</w:t>
      </w:r>
    </w:p>
    <w:p w14:paraId="06A3F98D" w14:textId="77777777" w:rsidR="007A3FF8" w:rsidRPr="00174C84" w:rsidRDefault="007A3FF8">
      <w:pPr>
        <w:rPr>
          <w:color w:val="BFBFBF" w:themeColor="background1" w:themeShade="BF"/>
          <w:szCs w:val="22"/>
          <w:highlight w:val="yellow"/>
        </w:rPr>
        <w:sectPr w:rsidR="007A3FF8" w:rsidRPr="00174C84" w:rsidSect="004B62BA">
          <w:headerReference w:type="default" r:id="rId21"/>
          <w:footerReference w:type="default" r:id="rId22"/>
          <w:pgSz w:w="11906" w:h="16838" w:code="9"/>
          <w:pgMar w:top="1418" w:right="851" w:bottom="1418" w:left="993" w:header="709" w:footer="709" w:gutter="567"/>
          <w:pgNumType w:start="1"/>
          <w:cols w:space="708"/>
          <w:docGrid w:linePitch="360"/>
        </w:sectPr>
      </w:pPr>
      <w:bookmarkStart w:id="104" w:name="_Toc370908644"/>
      <w:bookmarkStart w:id="105" w:name="_Toc401920038"/>
      <w:bookmarkEnd w:id="80"/>
      <w:bookmarkEnd w:id="81"/>
      <w:bookmarkEnd w:id="82"/>
      <w:bookmarkEnd w:id="83"/>
      <w:bookmarkEnd w:id="84"/>
      <w:bookmarkEnd w:id="85"/>
    </w:p>
    <w:p w14:paraId="3C0F3458" w14:textId="77777777" w:rsidR="00857F52" w:rsidRDefault="00857F52" w:rsidP="009D1F21">
      <w:pPr>
        <w:pStyle w:val="Nadpis1"/>
        <w:numPr>
          <w:ilvl w:val="0"/>
          <w:numId w:val="0"/>
        </w:numPr>
        <w:ind w:left="714" w:hanging="714"/>
      </w:pPr>
      <w:bookmarkStart w:id="106" w:name="_Toc465255058"/>
      <w:bookmarkStart w:id="107" w:name="_Toc495990501"/>
      <w:bookmarkStart w:id="108" w:name="_Toc212461615"/>
      <w:bookmarkEnd w:id="104"/>
      <w:bookmarkEnd w:id="105"/>
      <w:r w:rsidRPr="008B5781">
        <w:lastRenderedPageBreak/>
        <w:t>Zoznam skratiek</w:t>
      </w:r>
      <w:bookmarkEnd w:id="106"/>
      <w:bookmarkEnd w:id="107"/>
      <w:bookmarkEnd w:id="108"/>
    </w:p>
    <w:p w14:paraId="2E57E052" w14:textId="77777777" w:rsidR="00857F52" w:rsidRPr="009D1F21" w:rsidRDefault="00857F52" w:rsidP="00857F52">
      <w:pPr>
        <w:spacing w:after="0" w:line="312" w:lineRule="auto"/>
        <w:jc w:val="both"/>
        <w:rPr>
          <w:b/>
          <w:bCs/>
          <w:sz w:val="19"/>
          <w:szCs w:val="19"/>
        </w:rPr>
      </w:pPr>
      <w:r w:rsidRPr="009D1F21">
        <w:rPr>
          <w:b/>
          <w:bCs/>
          <w:sz w:val="19"/>
          <w:szCs w:val="19"/>
        </w:rPr>
        <w:t xml:space="preserve">BNC - </w:t>
      </w:r>
      <w:r w:rsidRPr="009D1F21">
        <w:rPr>
          <w:sz w:val="19"/>
          <w:szCs w:val="19"/>
        </w:rPr>
        <w:t>Národná banka Kuby</w:t>
      </w:r>
    </w:p>
    <w:p w14:paraId="7C458725" w14:textId="77777777" w:rsidR="00857F52" w:rsidRPr="009D1F21" w:rsidRDefault="00857F52" w:rsidP="00857F52">
      <w:pPr>
        <w:spacing w:after="0" w:line="312" w:lineRule="auto"/>
        <w:jc w:val="both"/>
        <w:rPr>
          <w:sz w:val="19"/>
          <w:szCs w:val="19"/>
        </w:rPr>
      </w:pPr>
      <w:r w:rsidRPr="009D1F21">
        <w:rPr>
          <w:b/>
          <w:bCs/>
          <w:sz w:val="19"/>
          <w:szCs w:val="19"/>
        </w:rPr>
        <w:t>CHF</w:t>
      </w:r>
      <w:r w:rsidRPr="009D1F21">
        <w:rPr>
          <w:sz w:val="19"/>
          <w:szCs w:val="19"/>
        </w:rPr>
        <w:t xml:space="preserve"> - Švajčiarsky frank</w:t>
      </w:r>
    </w:p>
    <w:p w14:paraId="125EA316" w14:textId="77777777" w:rsidR="00857F52" w:rsidRPr="009D1F21" w:rsidRDefault="00857F52" w:rsidP="00857F52">
      <w:pPr>
        <w:spacing w:after="0" w:line="312" w:lineRule="auto"/>
        <w:jc w:val="both"/>
        <w:rPr>
          <w:sz w:val="19"/>
          <w:szCs w:val="19"/>
        </w:rPr>
      </w:pPr>
      <w:r w:rsidRPr="009D1F21">
        <w:rPr>
          <w:b/>
          <w:sz w:val="19"/>
          <w:szCs w:val="19"/>
        </w:rPr>
        <w:t>COVID-19</w:t>
      </w:r>
      <w:r w:rsidRPr="009D1F21">
        <w:rPr>
          <w:sz w:val="19"/>
          <w:szCs w:val="19"/>
        </w:rPr>
        <w:t xml:space="preserve"> </w:t>
      </w:r>
      <w:r w:rsidRPr="009D1F21">
        <w:rPr>
          <w:b/>
          <w:sz w:val="19"/>
          <w:szCs w:val="19"/>
        </w:rPr>
        <w:t>-</w:t>
      </w:r>
      <w:r w:rsidRPr="009D1F21">
        <w:rPr>
          <w:sz w:val="19"/>
          <w:szCs w:val="19"/>
        </w:rPr>
        <w:t xml:space="preserve"> Corona Virus Disease 2019</w:t>
      </w:r>
    </w:p>
    <w:p w14:paraId="53A33438" w14:textId="77777777" w:rsidR="00857F52" w:rsidRPr="009D1F21" w:rsidRDefault="00857F52" w:rsidP="00857F52">
      <w:pPr>
        <w:spacing w:after="0" w:line="312" w:lineRule="auto"/>
        <w:jc w:val="both"/>
        <w:rPr>
          <w:sz w:val="19"/>
          <w:szCs w:val="19"/>
        </w:rPr>
      </w:pPr>
      <w:r w:rsidRPr="009D1F21">
        <w:rPr>
          <w:b/>
          <w:bCs/>
          <w:sz w:val="19"/>
          <w:szCs w:val="19"/>
        </w:rPr>
        <w:t>ČB</w:t>
      </w:r>
      <w:r w:rsidRPr="009D1F21">
        <w:rPr>
          <w:sz w:val="19"/>
          <w:szCs w:val="19"/>
        </w:rPr>
        <w:t xml:space="preserve"> - čisté bohatstvo</w:t>
      </w:r>
    </w:p>
    <w:p w14:paraId="37172F25" w14:textId="77777777" w:rsidR="00857F52" w:rsidRPr="009D1F21" w:rsidRDefault="00857F52" w:rsidP="00857F52">
      <w:pPr>
        <w:spacing w:after="0" w:line="312" w:lineRule="auto"/>
        <w:jc w:val="both"/>
        <w:rPr>
          <w:sz w:val="19"/>
          <w:szCs w:val="19"/>
        </w:rPr>
      </w:pPr>
      <w:r w:rsidRPr="009D1F21">
        <w:rPr>
          <w:b/>
          <w:sz w:val="19"/>
          <w:szCs w:val="19"/>
        </w:rPr>
        <w:t>DPH</w:t>
      </w:r>
      <w:r w:rsidRPr="009D1F21">
        <w:rPr>
          <w:sz w:val="19"/>
          <w:szCs w:val="19"/>
        </w:rPr>
        <w:t xml:space="preserve"> - daň z pridanej hodnoty</w:t>
      </w:r>
    </w:p>
    <w:p w14:paraId="0F788060" w14:textId="77777777" w:rsidR="00857F52" w:rsidRPr="009D1F21" w:rsidRDefault="00857F52" w:rsidP="00857F52">
      <w:pPr>
        <w:spacing w:after="0" w:line="312" w:lineRule="auto"/>
        <w:jc w:val="both"/>
        <w:rPr>
          <w:sz w:val="19"/>
          <w:szCs w:val="19"/>
        </w:rPr>
      </w:pPr>
      <w:r w:rsidRPr="009D1F21">
        <w:rPr>
          <w:b/>
          <w:sz w:val="19"/>
          <w:szCs w:val="19"/>
        </w:rPr>
        <w:t xml:space="preserve">DPFO - </w:t>
      </w:r>
      <w:r w:rsidRPr="009D1F21">
        <w:rPr>
          <w:sz w:val="19"/>
          <w:szCs w:val="19"/>
        </w:rPr>
        <w:t>daň z príjmov fyzickej osoby</w:t>
      </w:r>
    </w:p>
    <w:p w14:paraId="1CE1A5DD" w14:textId="77777777" w:rsidR="00857F52" w:rsidRPr="009D1F21" w:rsidRDefault="00857F52" w:rsidP="00857F52">
      <w:pPr>
        <w:spacing w:after="0" w:line="312" w:lineRule="auto"/>
        <w:jc w:val="both"/>
        <w:rPr>
          <w:sz w:val="19"/>
          <w:szCs w:val="19"/>
        </w:rPr>
      </w:pPr>
      <w:r w:rsidRPr="009D1F21">
        <w:rPr>
          <w:b/>
          <w:sz w:val="19"/>
          <w:szCs w:val="19"/>
        </w:rPr>
        <w:t xml:space="preserve">DPPO - </w:t>
      </w:r>
      <w:r w:rsidRPr="009D1F21">
        <w:rPr>
          <w:sz w:val="19"/>
          <w:szCs w:val="19"/>
        </w:rPr>
        <w:t>daň z príjmov právnickej osoby</w:t>
      </w:r>
    </w:p>
    <w:p w14:paraId="3CA9946D" w14:textId="46D76C73" w:rsidR="004C7D5F" w:rsidRPr="009D1F21" w:rsidRDefault="004C7D5F" w:rsidP="00857F52">
      <w:pPr>
        <w:spacing w:after="0" w:line="312" w:lineRule="auto"/>
        <w:jc w:val="both"/>
        <w:rPr>
          <w:b/>
          <w:sz w:val="19"/>
          <w:szCs w:val="19"/>
        </w:rPr>
      </w:pPr>
      <w:r w:rsidRPr="009D1F21">
        <w:rPr>
          <w:b/>
          <w:bCs/>
          <w:sz w:val="19"/>
          <w:szCs w:val="19"/>
        </w:rPr>
        <w:t>Decommissioning costs</w:t>
      </w:r>
      <w:r w:rsidRPr="009D1F21">
        <w:rPr>
          <w:sz w:val="19"/>
          <w:szCs w:val="19"/>
        </w:rPr>
        <w:t xml:space="preserve"> - náklady súvisiace s vyraďo-vaním jadrových zariadení</w:t>
      </w:r>
    </w:p>
    <w:p w14:paraId="17A4D199" w14:textId="77777777" w:rsidR="00857F52" w:rsidRPr="009D1F21" w:rsidRDefault="00857F52" w:rsidP="00857F52">
      <w:pPr>
        <w:spacing w:after="0" w:line="312" w:lineRule="auto"/>
        <w:jc w:val="both"/>
        <w:rPr>
          <w:sz w:val="19"/>
          <w:szCs w:val="19"/>
        </w:rPr>
      </w:pPr>
      <w:r w:rsidRPr="009D1F21">
        <w:rPr>
          <w:b/>
          <w:bCs/>
          <w:sz w:val="19"/>
          <w:szCs w:val="19"/>
        </w:rPr>
        <w:t>EAO</w:t>
      </w:r>
      <w:r w:rsidRPr="009D1F21">
        <w:rPr>
          <w:sz w:val="19"/>
          <w:szCs w:val="19"/>
        </w:rPr>
        <w:t xml:space="preserve"> - ekonomicky aktívne obyvateľstvo</w:t>
      </w:r>
    </w:p>
    <w:p w14:paraId="2909AAE8" w14:textId="77777777" w:rsidR="00857F52" w:rsidRPr="009D1F21" w:rsidRDefault="00857F52" w:rsidP="00857F52">
      <w:pPr>
        <w:spacing w:after="0" w:line="312" w:lineRule="auto"/>
        <w:jc w:val="both"/>
        <w:rPr>
          <w:sz w:val="19"/>
          <w:szCs w:val="19"/>
        </w:rPr>
      </w:pPr>
      <w:r w:rsidRPr="009D1F21">
        <w:rPr>
          <w:b/>
          <w:sz w:val="19"/>
          <w:szCs w:val="19"/>
        </w:rPr>
        <w:t>ECB</w:t>
      </w:r>
      <w:r w:rsidRPr="009D1F21">
        <w:rPr>
          <w:sz w:val="19"/>
          <w:szCs w:val="19"/>
        </w:rPr>
        <w:t xml:space="preserve"> - Európska centrálna banka</w:t>
      </w:r>
    </w:p>
    <w:p w14:paraId="72EE5554" w14:textId="77777777" w:rsidR="00857F52" w:rsidRPr="009D1F21" w:rsidRDefault="00857F52" w:rsidP="00857F52">
      <w:pPr>
        <w:spacing w:after="0" w:line="312" w:lineRule="auto"/>
        <w:jc w:val="both"/>
        <w:rPr>
          <w:sz w:val="19"/>
          <w:szCs w:val="19"/>
        </w:rPr>
      </w:pPr>
      <w:r w:rsidRPr="009D1F21">
        <w:rPr>
          <w:b/>
          <w:bCs/>
          <w:sz w:val="19"/>
          <w:szCs w:val="19"/>
        </w:rPr>
        <w:t>EGF</w:t>
      </w:r>
      <w:r w:rsidRPr="009D1F21">
        <w:rPr>
          <w:sz w:val="19"/>
          <w:szCs w:val="19"/>
        </w:rPr>
        <w:t xml:space="preserve"> - Paneurópsky záručný fond</w:t>
      </w:r>
    </w:p>
    <w:p w14:paraId="3C4C698F" w14:textId="77777777" w:rsidR="00857F52" w:rsidRPr="009D1F21" w:rsidRDefault="00857F52" w:rsidP="00857F52">
      <w:pPr>
        <w:spacing w:after="0" w:line="312" w:lineRule="auto"/>
        <w:jc w:val="both"/>
        <w:rPr>
          <w:sz w:val="19"/>
          <w:szCs w:val="19"/>
        </w:rPr>
      </w:pPr>
      <w:r w:rsidRPr="009D1F21">
        <w:rPr>
          <w:b/>
          <w:bCs/>
          <w:sz w:val="19"/>
          <w:szCs w:val="19"/>
        </w:rPr>
        <w:t>EIB</w:t>
      </w:r>
      <w:r w:rsidRPr="009D1F21">
        <w:rPr>
          <w:sz w:val="19"/>
          <w:szCs w:val="19"/>
        </w:rPr>
        <w:t xml:space="preserve"> - Európska investičná banka</w:t>
      </w:r>
    </w:p>
    <w:p w14:paraId="5A7A581B" w14:textId="77777777" w:rsidR="00857F52" w:rsidRPr="009D1F21" w:rsidRDefault="00857F52" w:rsidP="00857F52">
      <w:pPr>
        <w:spacing w:after="0" w:line="312" w:lineRule="auto"/>
        <w:jc w:val="both"/>
        <w:rPr>
          <w:sz w:val="19"/>
          <w:szCs w:val="19"/>
        </w:rPr>
      </w:pPr>
      <w:r w:rsidRPr="009D1F21">
        <w:rPr>
          <w:b/>
          <w:sz w:val="19"/>
          <w:szCs w:val="19"/>
        </w:rPr>
        <w:t>eDZ</w:t>
      </w:r>
      <w:r w:rsidRPr="009D1F21">
        <w:rPr>
          <w:sz w:val="19"/>
          <w:szCs w:val="19"/>
        </w:rPr>
        <w:t xml:space="preserve"> - elektronická diaľničná známka</w:t>
      </w:r>
    </w:p>
    <w:p w14:paraId="2292F6C0" w14:textId="77777777" w:rsidR="00857F52" w:rsidRPr="009D1F21" w:rsidRDefault="00857F52" w:rsidP="00857F52">
      <w:pPr>
        <w:spacing w:after="0" w:line="312" w:lineRule="auto"/>
        <w:jc w:val="both"/>
        <w:rPr>
          <w:b/>
          <w:sz w:val="19"/>
          <w:szCs w:val="19"/>
        </w:rPr>
      </w:pPr>
      <w:r w:rsidRPr="009D1F21">
        <w:rPr>
          <w:b/>
          <w:sz w:val="19"/>
          <w:szCs w:val="19"/>
        </w:rPr>
        <w:t xml:space="preserve">EDP notifikácia - </w:t>
      </w:r>
      <w:r w:rsidRPr="009D1F21">
        <w:rPr>
          <w:bCs/>
          <w:sz w:val="19"/>
          <w:szCs w:val="19"/>
        </w:rPr>
        <w:t>Notifikácia o deficite a dlhu</w:t>
      </w:r>
      <w:r w:rsidRPr="009D1F21">
        <w:rPr>
          <w:b/>
          <w:sz w:val="19"/>
          <w:szCs w:val="19"/>
        </w:rPr>
        <w:t xml:space="preserve"> </w:t>
      </w:r>
      <w:r w:rsidRPr="009D1F21">
        <w:rPr>
          <w:bCs/>
          <w:sz w:val="19"/>
          <w:szCs w:val="19"/>
        </w:rPr>
        <w:t>SR</w:t>
      </w:r>
    </w:p>
    <w:p w14:paraId="7B10EFA6" w14:textId="77777777" w:rsidR="00857F52" w:rsidRPr="009D1F21" w:rsidRDefault="00857F52" w:rsidP="00857F52">
      <w:pPr>
        <w:spacing w:after="0" w:line="312" w:lineRule="auto"/>
        <w:jc w:val="both"/>
        <w:rPr>
          <w:sz w:val="19"/>
          <w:szCs w:val="19"/>
        </w:rPr>
      </w:pPr>
      <w:r w:rsidRPr="009D1F21">
        <w:rPr>
          <w:b/>
          <w:sz w:val="19"/>
          <w:szCs w:val="19"/>
        </w:rPr>
        <w:t>EFSF</w:t>
      </w:r>
      <w:r w:rsidRPr="009D1F21">
        <w:rPr>
          <w:sz w:val="19"/>
          <w:szCs w:val="19"/>
        </w:rPr>
        <w:t xml:space="preserve"> - Európsky nástroj finančnej stability</w:t>
      </w:r>
    </w:p>
    <w:p w14:paraId="53C6B395" w14:textId="77777777" w:rsidR="00857F52" w:rsidRPr="009D1F21" w:rsidRDefault="00857F52" w:rsidP="00857F52">
      <w:pPr>
        <w:spacing w:after="0" w:line="312" w:lineRule="auto"/>
        <w:jc w:val="both"/>
        <w:rPr>
          <w:sz w:val="19"/>
          <w:szCs w:val="19"/>
        </w:rPr>
      </w:pPr>
      <w:r w:rsidRPr="009D1F21">
        <w:rPr>
          <w:b/>
          <w:sz w:val="19"/>
          <w:szCs w:val="19"/>
        </w:rPr>
        <w:t>ESM</w:t>
      </w:r>
      <w:r w:rsidRPr="009D1F21">
        <w:rPr>
          <w:sz w:val="19"/>
          <w:szCs w:val="19"/>
        </w:rPr>
        <w:t xml:space="preserve"> - Európsky mechanizmus pre stabilitu</w:t>
      </w:r>
      <w:r w:rsidRPr="009D1F21">
        <w:rPr>
          <w:b/>
          <w:sz w:val="19"/>
          <w:szCs w:val="19"/>
        </w:rPr>
        <w:t xml:space="preserve"> </w:t>
      </w:r>
    </w:p>
    <w:p w14:paraId="08E433C6" w14:textId="77777777" w:rsidR="00857F52" w:rsidRPr="009D1F21" w:rsidRDefault="00857F52" w:rsidP="00857F52">
      <w:pPr>
        <w:spacing w:after="0" w:line="312" w:lineRule="auto"/>
        <w:jc w:val="both"/>
        <w:rPr>
          <w:sz w:val="19"/>
          <w:szCs w:val="19"/>
        </w:rPr>
      </w:pPr>
      <w:r w:rsidRPr="009D1F21">
        <w:rPr>
          <w:b/>
          <w:sz w:val="19"/>
          <w:szCs w:val="19"/>
        </w:rPr>
        <w:t>ESA 2010</w:t>
      </w:r>
      <w:r w:rsidRPr="009D1F21">
        <w:rPr>
          <w:sz w:val="19"/>
          <w:szCs w:val="19"/>
        </w:rPr>
        <w:t xml:space="preserve"> </w:t>
      </w:r>
      <w:r w:rsidRPr="009D1F21">
        <w:rPr>
          <w:b/>
          <w:sz w:val="19"/>
          <w:szCs w:val="19"/>
        </w:rPr>
        <w:t xml:space="preserve">- </w:t>
      </w:r>
      <w:r w:rsidRPr="009D1F21">
        <w:rPr>
          <w:sz w:val="19"/>
          <w:szCs w:val="19"/>
        </w:rPr>
        <w:t>Európsky systém národných a regionálnych účtov 2010</w:t>
      </w:r>
    </w:p>
    <w:p w14:paraId="35A2E1D6" w14:textId="77777777" w:rsidR="00857F52" w:rsidRPr="009D1F21" w:rsidRDefault="00857F52" w:rsidP="00857F52">
      <w:pPr>
        <w:spacing w:after="0" w:line="312" w:lineRule="auto"/>
        <w:jc w:val="both"/>
        <w:rPr>
          <w:sz w:val="19"/>
          <w:szCs w:val="19"/>
        </w:rPr>
      </w:pPr>
      <w:r w:rsidRPr="009D1F21">
        <w:rPr>
          <w:b/>
          <w:sz w:val="19"/>
          <w:szCs w:val="19"/>
        </w:rPr>
        <w:t xml:space="preserve">EUROSTAT - </w:t>
      </w:r>
      <w:r w:rsidRPr="009D1F21">
        <w:rPr>
          <w:sz w:val="19"/>
          <w:szCs w:val="19"/>
        </w:rPr>
        <w:t>Štatistický úrad Európskeho spoločenstva</w:t>
      </w:r>
    </w:p>
    <w:p w14:paraId="44BE9D58" w14:textId="77777777" w:rsidR="00857F52" w:rsidRPr="009D1F21" w:rsidRDefault="00857F52" w:rsidP="00857F52">
      <w:pPr>
        <w:spacing w:after="0" w:line="312" w:lineRule="auto"/>
        <w:jc w:val="both"/>
        <w:rPr>
          <w:b/>
          <w:bCs/>
          <w:sz w:val="19"/>
          <w:szCs w:val="19"/>
        </w:rPr>
      </w:pPr>
      <w:r w:rsidRPr="009D1F21">
        <w:rPr>
          <w:b/>
          <w:bCs/>
          <w:sz w:val="19"/>
          <w:szCs w:val="19"/>
        </w:rPr>
        <w:t xml:space="preserve">EU4U - </w:t>
      </w:r>
      <w:r w:rsidRPr="009D1F21">
        <w:rPr>
          <w:sz w:val="19"/>
          <w:szCs w:val="19"/>
        </w:rPr>
        <w:t>Fond Európskej únie pre Ukrajinu</w:t>
      </w:r>
    </w:p>
    <w:p w14:paraId="5FA70133" w14:textId="77777777" w:rsidR="00857F52" w:rsidRPr="009D1F21" w:rsidRDefault="00857F52" w:rsidP="00857F52">
      <w:pPr>
        <w:spacing w:after="0" w:line="312" w:lineRule="auto"/>
        <w:jc w:val="both"/>
        <w:rPr>
          <w:sz w:val="19"/>
          <w:szCs w:val="19"/>
        </w:rPr>
      </w:pPr>
      <w:r w:rsidRPr="009D1F21">
        <w:rPr>
          <w:b/>
          <w:sz w:val="19"/>
          <w:szCs w:val="19"/>
        </w:rPr>
        <w:t xml:space="preserve">EÚ - </w:t>
      </w:r>
      <w:r w:rsidRPr="009D1F21">
        <w:rPr>
          <w:sz w:val="19"/>
          <w:szCs w:val="19"/>
        </w:rPr>
        <w:t>Európska únia</w:t>
      </w:r>
    </w:p>
    <w:p w14:paraId="24E5DF44" w14:textId="77777777" w:rsidR="00857F52" w:rsidRPr="009D1F21" w:rsidRDefault="00857F52" w:rsidP="00857F52">
      <w:pPr>
        <w:spacing w:after="0" w:line="312" w:lineRule="auto"/>
        <w:jc w:val="both"/>
        <w:rPr>
          <w:sz w:val="19"/>
          <w:szCs w:val="19"/>
        </w:rPr>
      </w:pPr>
      <w:r w:rsidRPr="009D1F21">
        <w:rPr>
          <w:b/>
          <w:sz w:val="19"/>
          <w:szCs w:val="19"/>
        </w:rPr>
        <w:t>ETC</w:t>
      </w:r>
      <w:r w:rsidRPr="009D1F21">
        <w:rPr>
          <w:sz w:val="19"/>
          <w:szCs w:val="19"/>
        </w:rPr>
        <w:t xml:space="preserve"> - elektronický výber mýta</w:t>
      </w:r>
    </w:p>
    <w:p w14:paraId="21B2F019" w14:textId="77777777" w:rsidR="00857F52" w:rsidRPr="009D1F21" w:rsidRDefault="00857F52" w:rsidP="00857F52">
      <w:pPr>
        <w:spacing w:after="0" w:line="312" w:lineRule="auto"/>
        <w:jc w:val="both"/>
        <w:rPr>
          <w:sz w:val="19"/>
          <w:szCs w:val="19"/>
        </w:rPr>
      </w:pPr>
      <w:r w:rsidRPr="009D1F21">
        <w:rPr>
          <w:b/>
          <w:sz w:val="19"/>
          <w:szCs w:val="19"/>
        </w:rPr>
        <w:t xml:space="preserve">Eximbanka SR - </w:t>
      </w:r>
      <w:r w:rsidRPr="009D1F21">
        <w:rPr>
          <w:sz w:val="19"/>
          <w:szCs w:val="19"/>
        </w:rPr>
        <w:t>Exportno-importná banka SR</w:t>
      </w:r>
    </w:p>
    <w:p w14:paraId="68B1B1FE" w14:textId="77777777" w:rsidR="00857F52" w:rsidRPr="009D1F21" w:rsidRDefault="00857F52" w:rsidP="00857F52">
      <w:pPr>
        <w:spacing w:after="0" w:line="312" w:lineRule="auto"/>
        <w:jc w:val="both"/>
        <w:rPr>
          <w:sz w:val="19"/>
          <w:szCs w:val="19"/>
        </w:rPr>
      </w:pPr>
      <w:r w:rsidRPr="009D1F21">
        <w:rPr>
          <w:b/>
          <w:bCs/>
          <w:sz w:val="19"/>
          <w:szCs w:val="19"/>
        </w:rPr>
        <w:t>FED</w:t>
      </w:r>
      <w:r w:rsidRPr="009D1F21">
        <w:rPr>
          <w:sz w:val="19"/>
          <w:szCs w:val="19"/>
        </w:rPr>
        <w:t xml:space="preserve"> - Americká centrálna banka</w:t>
      </w:r>
    </w:p>
    <w:p w14:paraId="431F9AF4" w14:textId="635BFFBB" w:rsidR="004C7D5F" w:rsidRPr="009D1F21" w:rsidRDefault="004C7D5F" w:rsidP="00857F52">
      <w:pPr>
        <w:spacing w:after="0" w:line="312" w:lineRule="auto"/>
        <w:jc w:val="both"/>
        <w:rPr>
          <w:b/>
          <w:sz w:val="19"/>
          <w:szCs w:val="19"/>
        </w:rPr>
      </w:pPr>
      <w:r w:rsidRPr="009D1F21">
        <w:rPr>
          <w:b/>
          <w:bCs/>
          <w:sz w:val="19"/>
          <w:szCs w:val="19"/>
        </w:rPr>
        <w:t>FISIM</w:t>
      </w:r>
      <w:r w:rsidRPr="009D1F21">
        <w:rPr>
          <w:sz w:val="19"/>
          <w:szCs w:val="19"/>
        </w:rPr>
        <w:t xml:space="preserve"> – Nepriamo merané služby finančného sprostredkovania</w:t>
      </w:r>
    </w:p>
    <w:p w14:paraId="04063EFC" w14:textId="4BB9A9F7" w:rsidR="00857F52" w:rsidRPr="009D1F21" w:rsidRDefault="00857F52" w:rsidP="00857F52">
      <w:pPr>
        <w:spacing w:after="0" w:line="312" w:lineRule="auto"/>
        <w:jc w:val="both"/>
        <w:rPr>
          <w:sz w:val="19"/>
          <w:szCs w:val="19"/>
        </w:rPr>
      </w:pPr>
      <w:r w:rsidRPr="009D1F21">
        <w:rPr>
          <w:b/>
          <w:sz w:val="19"/>
          <w:szCs w:val="19"/>
        </w:rPr>
        <w:t>FNM SR</w:t>
      </w:r>
      <w:r w:rsidRPr="009D1F21">
        <w:rPr>
          <w:sz w:val="19"/>
          <w:szCs w:val="19"/>
        </w:rPr>
        <w:t xml:space="preserve"> - Fond národného majetku Slovenskej republiky</w:t>
      </w:r>
    </w:p>
    <w:p w14:paraId="7EAAF7A0" w14:textId="77777777" w:rsidR="00857F52" w:rsidRPr="009D1F21" w:rsidRDefault="00857F52" w:rsidP="00857F52">
      <w:pPr>
        <w:spacing w:after="0" w:line="312" w:lineRule="auto"/>
        <w:jc w:val="both"/>
        <w:rPr>
          <w:sz w:val="19"/>
          <w:szCs w:val="19"/>
        </w:rPr>
      </w:pPr>
      <w:r w:rsidRPr="009D1F21">
        <w:rPr>
          <w:b/>
          <w:sz w:val="19"/>
          <w:szCs w:val="19"/>
        </w:rPr>
        <w:t>HDP</w:t>
      </w:r>
      <w:r w:rsidRPr="009D1F21">
        <w:rPr>
          <w:sz w:val="19"/>
          <w:szCs w:val="19"/>
        </w:rPr>
        <w:t xml:space="preserve"> - hrubý domáci produkt</w:t>
      </w:r>
    </w:p>
    <w:p w14:paraId="7FEAAA29" w14:textId="77777777" w:rsidR="00857F52" w:rsidRPr="009D1F21" w:rsidRDefault="00857F52" w:rsidP="00857F52">
      <w:pPr>
        <w:spacing w:after="0" w:line="312" w:lineRule="auto"/>
        <w:jc w:val="both"/>
        <w:rPr>
          <w:sz w:val="19"/>
          <w:szCs w:val="19"/>
        </w:rPr>
      </w:pPr>
      <w:r w:rsidRPr="009D1F21">
        <w:rPr>
          <w:b/>
          <w:sz w:val="19"/>
          <w:szCs w:val="19"/>
        </w:rPr>
        <w:t>IFP</w:t>
      </w:r>
      <w:r w:rsidRPr="009D1F21">
        <w:rPr>
          <w:sz w:val="19"/>
          <w:szCs w:val="19"/>
        </w:rPr>
        <w:t xml:space="preserve"> - Inštitút finančnej politiky</w:t>
      </w:r>
    </w:p>
    <w:p w14:paraId="688EDC9B" w14:textId="6B4DF97B" w:rsidR="00857F52" w:rsidRPr="009D1F21" w:rsidRDefault="00857F52" w:rsidP="00857F52">
      <w:pPr>
        <w:spacing w:after="0" w:line="312" w:lineRule="auto"/>
        <w:jc w:val="both"/>
        <w:rPr>
          <w:sz w:val="19"/>
          <w:szCs w:val="19"/>
        </w:rPr>
      </w:pPr>
      <w:r w:rsidRPr="009D1F21">
        <w:rPr>
          <w:b/>
          <w:sz w:val="19"/>
          <w:szCs w:val="19"/>
        </w:rPr>
        <w:t>IBRD</w:t>
      </w:r>
      <w:r w:rsidRPr="009D1F21">
        <w:rPr>
          <w:sz w:val="19"/>
          <w:szCs w:val="19"/>
        </w:rPr>
        <w:t xml:space="preserve"> - Medzinárodná banka pre obnovu a</w:t>
      </w:r>
      <w:r w:rsidR="004C7D5F" w:rsidRPr="009D1F21">
        <w:rPr>
          <w:sz w:val="19"/>
          <w:szCs w:val="19"/>
        </w:rPr>
        <w:t> </w:t>
      </w:r>
      <w:r w:rsidRPr="009D1F21">
        <w:rPr>
          <w:sz w:val="19"/>
          <w:szCs w:val="19"/>
        </w:rPr>
        <w:t>rozvoj</w:t>
      </w:r>
    </w:p>
    <w:p w14:paraId="6894FD1F" w14:textId="583221B9" w:rsidR="004C7D5F" w:rsidRPr="009D1F21" w:rsidRDefault="004C7D5F" w:rsidP="00857F52">
      <w:pPr>
        <w:spacing w:after="0" w:line="312" w:lineRule="auto"/>
        <w:jc w:val="both"/>
        <w:rPr>
          <w:sz w:val="19"/>
          <w:szCs w:val="19"/>
        </w:rPr>
      </w:pPr>
      <w:r w:rsidRPr="009D1F21">
        <w:rPr>
          <w:b/>
          <w:bCs/>
          <w:sz w:val="19"/>
          <w:szCs w:val="19"/>
        </w:rPr>
        <w:t>IÚZ</w:t>
      </w:r>
      <w:r w:rsidRPr="009D1F21">
        <w:rPr>
          <w:sz w:val="19"/>
          <w:szCs w:val="19"/>
        </w:rPr>
        <w:t xml:space="preserve"> – Individuálna účtovná závierka</w:t>
      </w:r>
    </w:p>
    <w:p w14:paraId="4BB20DEF" w14:textId="77777777" w:rsidR="00857F52" w:rsidRPr="009D1F21" w:rsidRDefault="00857F52" w:rsidP="00857F52">
      <w:pPr>
        <w:spacing w:after="0" w:line="312" w:lineRule="auto"/>
        <w:rPr>
          <w:sz w:val="19"/>
          <w:szCs w:val="19"/>
        </w:rPr>
      </w:pPr>
      <w:r w:rsidRPr="009D1F21">
        <w:rPr>
          <w:b/>
          <w:sz w:val="19"/>
          <w:szCs w:val="19"/>
        </w:rPr>
        <w:t>JAVYS</w:t>
      </w:r>
      <w:r w:rsidRPr="009D1F21">
        <w:rPr>
          <w:sz w:val="19"/>
          <w:szCs w:val="19"/>
        </w:rPr>
        <w:t xml:space="preserve"> - Jadrová a vyraďovacia spoločnosť, a. s.</w:t>
      </w:r>
    </w:p>
    <w:p w14:paraId="08CD6BAF" w14:textId="77777777" w:rsidR="00857F52" w:rsidRPr="009D1F21" w:rsidRDefault="00857F52" w:rsidP="00857F52">
      <w:pPr>
        <w:spacing w:after="0" w:line="312" w:lineRule="auto"/>
        <w:rPr>
          <w:sz w:val="19"/>
          <w:szCs w:val="19"/>
        </w:rPr>
      </w:pPr>
      <w:r w:rsidRPr="009D1F21">
        <w:rPr>
          <w:b/>
          <w:bCs/>
          <w:sz w:val="19"/>
          <w:szCs w:val="19"/>
        </w:rPr>
        <w:t>LVV</w:t>
      </w:r>
      <w:r w:rsidRPr="009D1F21">
        <w:rPr>
          <w:sz w:val="19"/>
          <w:szCs w:val="19"/>
        </w:rPr>
        <w:t xml:space="preserve"> - Limit verejných výdavkov</w:t>
      </w:r>
    </w:p>
    <w:p w14:paraId="4BA8D497" w14:textId="77777777" w:rsidR="00857F52" w:rsidRPr="009D1F21" w:rsidRDefault="00857F52" w:rsidP="00857F52">
      <w:pPr>
        <w:spacing w:after="0" w:line="312" w:lineRule="auto"/>
        <w:jc w:val="both"/>
        <w:rPr>
          <w:sz w:val="19"/>
          <w:szCs w:val="19"/>
        </w:rPr>
      </w:pPr>
      <w:r w:rsidRPr="009D1F21">
        <w:rPr>
          <w:b/>
          <w:sz w:val="19"/>
          <w:szCs w:val="19"/>
        </w:rPr>
        <w:t>MF</w:t>
      </w:r>
      <w:r w:rsidRPr="009D1F21">
        <w:rPr>
          <w:sz w:val="19"/>
          <w:szCs w:val="19"/>
        </w:rPr>
        <w:t> </w:t>
      </w:r>
      <w:r w:rsidRPr="009D1F21">
        <w:rPr>
          <w:b/>
          <w:sz w:val="19"/>
          <w:szCs w:val="19"/>
        </w:rPr>
        <w:t>SR</w:t>
      </w:r>
      <w:r w:rsidRPr="009D1F21">
        <w:rPr>
          <w:sz w:val="19"/>
          <w:szCs w:val="19"/>
        </w:rPr>
        <w:t xml:space="preserve"> - Ministerstvo financií Slovenskej republiky</w:t>
      </w:r>
    </w:p>
    <w:p w14:paraId="26F091A7" w14:textId="77777777" w:rsidR="00857F52" w:rsidRPr="009D1F21" w:rsidRDefault="00857F52" w:rsidP="00857F52">
      <w:pPr>
        <w:spacing w:after="0" w:line="312" w:lineRule="auto"/>
        <w:jc w:val="both"/>
        <w:rPr>
          <w:sz w:val="19"/>
          <w:szCs w:val="19"/>
        </w:rPr>
      </w:pPr>
      <w:r w:rsidRPr="009D1F21">
        <w:rPr>
          <w:b/>
          <w:bCs/>
          <w:sz w:val="19"/>
          <w:szCs w:val="19"/>
        </w:rPr>
        <w:t>MH SR</w:t>
      </w:r>
      <w:r w:rsidRPr="009D1F21">
        <w:rPr>
          <w:sz w:val="19"/>
          <w:szCs w:val="19"/>
        </w:rPr>
        <w:t xml:space="preserve"> - Ministerstvo hospodárstva Slovenskej republiky</w:t>
      </w:r>
    </w:p>
    <w:p w14:paraId="7610839D" w14:textId="00DAC9BE" w:rsidR="00857F52" w:rsidRPr="009D1F21" w:rsidRDefault="00857F52" w:rsidP="00857F52">
      <w:pPr>
        <w:spacing w:after="0" w:line="312" w:lineRule="auto"/>
        <w:jc w:val="both"/>
        <w:rPr>
          <w:sz w:val="19"/>
          <w:szCs w:val="19"/>
        </w:rPr>
      </w:pPr>
      <w:r w:rsidRPr="009D1F21">
        <w:rPr>
          <w:b/>
          <w:sz w:val="19"/>
          <w:szCs w:val="19"/>
        </w:rPr>
        <w:t xml:space="preserve">MO SR </w:t>
      </w:r>
      <w:r w:rsidRPr="009D1F21">
        <w:rPr>
          <w:sz w:val="19"/>
          <w:szCs w:val="19"/>
        </w:rPr>
        <w:t>- Ministerstvo obrany Slovenskej republiky</w:t>
      </w:r>
    </w:p>
    <w:p w14:paraId="729616F7" w14:textId="3C03CD1E" w:rsidR="00857F52" w:rsidRPr="009D1F21" w:rsidRDefault="00857F52" w:rsidP="00857F52">
      <w:pPr>
        <w:spacing w:after="0" w:line="312" w:lineRule="auto"/>
        <w:jc w:val="both"/>
        <w:rPr>
          <w:sz w:val="19"/>
          <w:szCs w:val="19"/>
        </w:rPr>
      </w:pPr>
      <w:r w:rsidRPr="009D1F21">
        <w:rPr>
          <w:b/>
          <w:sz w:val="19"/>
          <w:szCs w:val="19"/>
        </w:rPr>
        <w:t>MS SR</w:t>
      </w:r>
      <w:r w:rsidRPr="009D1F21">
        <w:rPr>
          <w:sz w:val="19"/>
          <w:szCs w:val="19"/>
        </w:rPr>
        <w:t xml:space="preserve"> - Ministerstvo spravodlivosti Slovenskej republiky</w:t>
      </w:r>
    </w:p>
    <w:p w14:paraId="135497F7" w14:textId="77777777" w:rsidR="009D1F21" w:rsidRDefault="00857F52" w:rsidP="00857F52">
      <w:pPr>
        <w:spacing w:after="0" w:line="312" w:lineRule="auto"/>
        <w:jc w:val="both"/>
        <w:rPr>
          <w:sz w:val="19"/>
          <w:szCs w:val="19"/>
        </w:rPr>
      </w:pPr>
      <w:r w:rsidRPr="009D1F21">
        <w:rPr>
          <w:b/>
          <w:bCs/>
          <w:sz w:val="19"/>
          <w:szCs w:val="19"/>
        </w:rPr>
        <w:t>NATO</w:t>
      </w:r>
      <w:r w:rsidRPr="009D1F21">
        <w:rPr>
          <w:sz w:val="19"/>
          <w:szCs w:val="19"/>
        </w:rPr>
        <w:t xml:space="preserve"> - Severoatlantická aliancia</w:t>
      </w:r>
      <w:r w:rsidR="009D1F21">
        <w:rPr>
          <w:sz w:val="19"/>
          <w:szCs w:val="19"/>
        </w:rPr>
        <w:br w:type="column"/>
      </w:r>
    </w:p>
    <w:p w14:paraId="19DFF431" w14:textId="4DC82C34" w:rsidR="00857F52" w:rsidRPr="009D1F21" w:rsidRDefault="00857F52" w:rsidP="00857F52">
      <w:pPr>
        <w:spacing w:after="0" w:line="312" w:lineRule="auto"/>
        <w:jc w:val="both"/>
        <w:rPr>
          <w:sz w:val="19"/>
          <w:szCs w:val="19"/>
        </w:rPr>
      </w:pPr>
      <w:r w:rsidRPr="009D1F21">
        <w:rPr>
          <w:b/>
          <w:sz w:val="19"/>
          <w:szCs w:val="19"/>
        </w:rPr>
        <w:t>NDF I</w:t>
      </w:r>
      <w:r w:rsidRPr="009D1F21">
        <w:rPr>
          <w:sz w:val="19"/>
          <w:szCs w:val="19"/>
        </w:rPr>
        <w:t xml:space="preserve"> - National Development Fund I., s. r. o.</w:t>
      </w:r>
    </w:p>
    <w:p w14:paraId="3FA7CAC7" w14:textId="77777777" w:rsidR="00857F52" w:rsidRPr="009D1F21" w:rsidRDefault="00857F52" w:rsidP="00857F52">
      <w:pPr>
        <w:spacing w:after="0" w:line="312" w:lineRule="auto"/>
        <w:jc w:val="both"/>
        <w:rPr>
          <w:sz w:val="19"/>
          <w:szCs w:val="19"/>
        </w:rPr>
      </w:pPr>
      <w:r w:rsidRPr="009D1F21">
        <w:rPr>
          <w:b/>
          <w:sz w:val="19"/>
          <w:szCs w:val="19"/>
        </w:rPr>
        <w:t>NDF II</w:t>
      </w:r>
      <w:r w:rsidRPr="009D1F21">
        <w:rPr>
          <w:sz w:val="19"/>
          <w:szCs w:val="19"/>
        </w:rPr>
        <w:t xml:space="preserve"> - National Development Fund II., a. s.</w:t>
      </w:r>
    </w:p>
    <w:p w14:paraId="231B1002" w14:textId="4A5C823F" w:rsidR="00857F52" w:rsidRPr="009D1F21" w:rsidRDefault="00857F52" w:rsidP="00857F52">
      <w:pPr>
        <w:spacing w:after="0" w:line="312" w:lineRule="auto"/>
        <w:jc w:val="both"/>
        <w:rPr>
          <w:sz w:val="19"/>
          <w:szCs w:val="19"/>
        </w:rPr>
      </w:pPr>
      <w:r w:rsidRPr="009D1F21">
        <w:rPr>
          <w:b/>
          <w:bCs/>
          <w:sz w:val="19"/>
          <w:szCs w:val="19"/>
        </w:rPr>
        <w:t>NDS</w:t>
      </w:r>
      <w:r w:rsidRPr="009D1F21">
        <w:rPr>
          <w:sz w:val="19"/>
          <w:szCs w:val="19"/>
        </w:rPr>
        <w:t xml:space="preserve"> - Národná diaľničná spoločnosť, a.</w:t>
      </w:r>
      <w:r w:rsidR="009D1F21" w:rsidRPr="009D1F21">
        <w:rPr>
          <w:sz w:val="19"/>
          <w:szCs w:val="19"/>
        </w:rPr>
        <w:t> </w:t>
      </w:r>
      <w:r w:rsidRPr="009D1F21">
        <w:rPr>
          <w:sz w:val="19"/>
          <w:szCs w:val="19"/>
        </w:rPr>
        <w:t>s.</w:t>
      </w:r>
    </w:p>
    <w:p w14:paraId="6041DCCA" w14:textId="77777777" w:rsidR="00857F52" w:rsidRPr="009D1F21" w:rsidRDefault="00857F52" w:rsidP="00857F52">
      <w:pPr>
        <w:spacing w:after="0" w:line="312" w:lineRule="auto"/>
        <w:jc w:val="both"/>
        <w:rPr>
          <w:sz w:val="19"/>
          <w:szCs w:val="19"/>
        </w:rPr>
      </w:pPr>
      <w:r w:rsidRPr="009D1F21">
        <w:rPr>
          <w:b/>
          <w:bCs/>
          <w:sz w:val="19"/>
          <w:szCs w:val="19"/>
        </w:rPr>
        <w:t>NGEU</w:t>
      </w:r>
      <w:r w:rsidRPr="009D1F21">
        <w:rPr>
          <w:sz w:val="19"/>
          <w:szCs w:val="19"/>
        </w:rPr>
        <w:t xml:space="preserve"> - Next Generation EU</w:t>
      </w:r>
    </w:p>
    <w:p w14:paraId="59C016D6" w14:textId="77777777" w:rsidR="00857F52" w:rsidRPr="009D1F21" w:rsidRDefault="00857F52" w:rsidP="00857F52">
      <w:pPr>
        <w:spacing w:after="0" w:line="312" w:lineRule="auto"/>
        <w:jc w:val="both"/>
        <w:rPr>
          <w:sz w:val="19"/>
          <w:szCs w:val="19"/>
        </w:rPr>
      </w:pPr>
      <w:r w:rsidRPr="009D1F21">
        <w:rPr>
          <w:b/>
          <w:bCs/>
          <w:sz w:val="19"/>
          <w:szCs w:val="19"/>
        </w:rPr>
        <w:t>NJF</w:t>
      </w:r>
      <w:r w:rsidRPr="009D1F21">
        <w:rPr>
          <w:sz w:val="19"/>
          <w:szCs w:val="19"/>
        </w:rPr>
        <w:t xml:space="preserve"> - Národný jadrový fond</w:t>
      </w:r>
    </w:p>
    <w:p w14:paraId="3938E756" w14:textId="77777777" w:rsidR="00857F52" w:rsidRPr="009D1F21" w:rsidRDefault="00857F52" w:rsidP="00857F52">
      <w:pPr>
        <w:spacing w:after="0" w:line="312" w:lineRule="auto"/>
        <w:jc w:val="both"/>
        <w:rPr>
          <w:sz w:val="19"/>
          <w:szCs w:val="19"/>
        </w:rPr>
      </w:pPr>
      <w:r w:rsidRPr="009D1F21">
        <w:rPr>
          <w:b/>
          <w:bCs/>
          <w:sz w:val="19"/>
          <w:szCs w:val="19"/>
        </w:rPr>
        <w:t>NOK</w:t>
      </w:r>
      <w:r w:rsidRPr="009D1F21">
        <w:rPr>
          <w:sz w:val="19"/>
          <w:szCs w:val="19"/>
        </w:rPr>
        <w:t xml:space="preserve"> - nórska koruna</w:t>
      </w:r>
    </w:p>
    <w:p w14:paraId="570F8EAE" w14:textId="77777777" w:rsidR="00857F52" w:rsidRPr="009D1F21" w:rsidRDefault="00857F52" w:rsidP="00857F52">
      <w:pPr>
        <w:spacing w:after="0" w:line="312" w:lineRule="auto"/>
        <w:jc w:val="both"/>
        <w:rPr>
          <w:sz w:val="19"/>
          <w:szCs w:val="19"/>
        </w:rPr>
      </w:pPr>
      <w:r w:rsidRPr="009D1F21">
        <w:rPr>
          <w:b/>
          <w:bCs/>
          <w:sz w:val="19"/>
          <w:szCs w:val="19"/>
        </w:rPr>
        <w:t>OKTE</w:t>
      </w:r>
      <w:r w:rsidRPr="009D1F21">
        <w:rPr>
          <w:sz w:val="19"/>
          <w:szCs w:val="19"/>
        </w:rPr>
        <w:t xml:space="preserve"> - Organizátor krátkodobého trhu s elektrinou</w:t>
      </w:r>
    </w:p>
    <w:p w14:paraId="0AE18B25" w14:textId="77777777" w:rsidR="00857F52" w:rsidRPr="009D1F21" w:rsidRDefault="00857F52" w:rsidP="00857F52">
      <w:pPr>
        <w:spacing w:after="0" w:line="312" w:lineRule="auto"/>
        <w:jc w:val="both"/>
        <w:rPr>
          <w:sz w:val="19"/>
          <w:szCs w:val="19"/>
        </w:rPr>
      </w:pPr>
      <w:r w:rsidRPr="009D1F21">
        <w:rPr>
          <w:b/>
          <w:bCs/>
          <w:sz w:val="19"/>
          <w:szCs w:val="19"/>
        </w:rPr>
        <w:t>OSVS</w:t>
      </w:r>
      <w:r w:rsidRPr="009D1F21">
        <w:rPr>
          <w:sz w:val="19"/>
          <w:szCs w:val="19"/>
        </w:rPr>
        <w:t xml:space="preserve"> - Ostatné subjekty verejnej správy</w:t>
      </w:r>
    </w:p>
    <w:p w14:paraId="09A3CD6E" w14:textId="555EFD51" w:rsidR="00857F52" w:rsidRPr="009D1F21" w:rsidRDefault="00857F52" w:rsidP="00857F52">
      <w:pPr>
        <w:spacing w:after="0" w:line="312" w:lineRule="auto"/>
        <w:jc w:val="both"/>
        <w:rPr>
          <w:sz w:val="19"/>
          <w:szCs w:val="19"/>
        </w:rPr>
      </w:pPr>
      <w:r w:rsidRPr="009D1F21">
        <w:rPr>
          <w:b/>
          <w:sz w:val="19"/>
          <w:szCs w:val="19"/>
        </w:rPr>
        <w:t xml:space="preserve">PPP </w:t>
      </w:r>
      <w:r w:rsidRPr="009D1F21">
        <w:rPr>
          <w:sz w:val="19"/>
          <w:szCs w:val="19"/>
        </w:rPr>
        <w:t>- projekt verejno-súkromného partnerstva</w:t>
      </w:r>
    </w:p>
    <w:p w14:paraId="6C0CB745" w14:textId="2C9091CD" w:rsidR="00857F52" w:rsidRPr="009D1F21" w:rsidRDefault="00857F52" w:rsidP="00857F52">
      <w:pPr>
        <w:spacing w:after="0" w:line="312" w:lineRule="auto"/>
        <w:jc w:val="both"/>
        <w:rPr>
          <w:sz w:val="19"/>
          <w:szCs w:val="19"/>
        </w:rPr>
      </w:pPr>
      <w:r w:rsidRPr="009D1F21">
        <w:rPr>
          <w:b/>
          <w:sz w:val="19"/>
          <w:szCs w:val="19"/>
        </w:rPr>
        <w:t>PO</w:t>
      </w:r>
      <w:r w:rsidRPr="009D1F21">
        <w:rPr>
          <w:sz w:val="19"/>
          <w:szCs w:val="19"/>
        </w:rPr>
        <w:t xml:space="preserve"> - príspevkové organizácie</w:t>
      </w:r>
    </w:p>
    <w:p w14:paraId="3EDFC8C1" w14:textId="77777777" w:rsidR="00857F52" w:rsidRPr="009D1F21" w:rsidRDefault="00857F52" w:rsidP="00857F52">
      <w:pPr>
        <w:spacing w:after="0" w:line="312" w:lineRule="auto"/>
        <w:jc w:val="both"/>
        <w:rPr>
          <w:sz w:val="19"/>
          <w:szCs w:val="19"/>
        </w:rPr>
      </w:pPr>
      <w:r w:rsidRPr="009D1F21">
        <w:rPr>
          <w:b/>
          <w:bCs/>
          <w:sz w:val="19"/>
          <w:szCs w:val="19"/>
        </w:rPr>
        <w:t>POO</w:t>
      </w:r>
      <w:r w:rsidRPr="009D1F21">
        <w:rPr>
          <w:sz w:val="19"/>
          <w:szCs w:val="19"/>
        </w:rPr>
        <w:t xml:space="preserve"> - Plán obnovy a odolnosti</w:t>
      </w:r>
    </w:p>
    <w:p w14:paraId="2A25632A" w14:textId="77777777" w:rsidR="00857F52" w:rsidRPr="009D1F21" w:rsidRDefault="00857F52" w:rsidP="00857F52">
      <w:pPr>
        <w:spacing w:after="0" w:line="312" w:lineRule="auto"/>
        <w:jc w:val="both"/>
        <w:rPr>
          <w:sz w:val="19"/>
          <w:szCs w:val="19"/>
        </w:rPr>
      </w:pPr>
      <w:r w:rsidRPr="009D1F21">
        <w:rPr>
          <w:b/>
          <w:sz w:val="19"/>
          <w:szCs w:val="19"/>
        </w:rPr>
        <w:t>RO</w:t>
      </w:r>
      <w:r w:rsidRPr="009D1F21">
        <w:rPr>
          <w:sz w:val="19"/>
          <w:szCs w:val="19"/>
        </w:rPr>
        <w:t xml:space="preserve"> - rozpočtové organizácie</w:t>
      </w:r>
    </w:p>
    <w:p w14:paraId="775A0DEF" w14:textId="77777777" w:rsidR="00857F52" w:rsidRPr="009D1F21" w:rsidRDefault="00857F52" w:rsidP="00857F52">
      <w:pPr>
        <w:spacing w:after="0" w:line="312" w:lineRule="auto"/>
        <w:jc w:val="both"/>
        <w:rPr>
          <w:sz w:val="19"/>
          <w:szCs w:val="19"/>
        </w:rPr>
      </w:pPr>
      <w:r w:rsidRPr="009D1F21">
        <w:rPr>
          <w:b/>
          <w:bCs/>
          <w:sz w:val="19"/>
          <w:szCs w:val="19"/>
        </w:rPr>
        <w:t>ROPO</w:t>
      </w:r>
      <w:r w:rsidRPr="009D1F21">
        <w:rPr>
          <w:sz w:val="19"/>
          <w:szCs w:val="19"/>
        </w:rPr>
        <w:t xml:space="preserve"> - rozpočtové organizácie príspevkové organizácie</w:t>
      </w:r>
    </w:p>
    <w:p w14:paraId="54D57532" w14:textId="77777777" w:rsidR="00857F52" w:rsidRPr="009D1F21" w:rsidRDefault="00857F52" w:rsidP="00857F52">
      <w:pPr>
        <w:spacing w:after="0" w:line="312" w:lineRule="auto"/>
        <w:jc w:val="both"/>
        <w:rPr>
          <w:sz w:val="19"/>
          <w:szCs w:val="19"/>
        </w:rPr>
      </w:pPr>
      <w:r w:rsidRPr="009D1F21">
        <w:rPr>
          <w:b/>
          <w:sz w:val="19"/>
          <w:szCs w:val="19"/>
        </w:rPr>
        <w:t>SD</w:t>
      </w:r>
      <w:r w:rsidRPr="009D1F21">
        <w:rPr>
          <w:sz w:val="19"/>
          <w:szCs w:val="19"/>
        </w:rPr>
        <w:t xml:space="preserve"> - spotrebné dane</w:t>
      </w:r>
    </w:p>
    <w:p w14:paraId="1BFDE43F" w14:textId="156BA9E9" w:rsidR="00857F52" w:rsidRPr="009D1F21" w:rsidRDefault="00857F52" w:rsidP="00857F52">
      <w:pPr>
        <w:spacing w:after="0" w:line="312" w:lineRule="auto"/>
        <w:jc w:val="both"/>
        <w:rPr>
          <w:sz w:val="19"/>
          <w:szCs w:val="19"/>
        </w:rPr>
      </w:pPr>
      <w:r w:rsidRPr="009D1F21">
        <w:rPr>
          <w:b/>
          <w:sz w:val="19"/>
          <w:szCs w:val="19"/>
        </w:rPr>
        <w:t xml:space="preserve">SDR - </w:t>
      </w:r>
      <w:r w:rsidRPr="009D1F21">
        <w:rPr>
          <w:sz w:val="19"/>
          <w:szCs w:val="19"/>
        </w:rPr>
        <w:t>špeciálne práva čerpania, jednotná menová a účtovná jednotka používaná v</w:t>
      </w:r>
      <w:r w:rsidR="009D1F21" w:rsidRPr="009D1F21">
        <w:rPr>
          <w:sz w:val="19"/>
          <w:szCs w:val="19"/>
        </w:rPr>
        <w:t xml:space="preserve"> </w:t>
      </w:r>
      <w:r w:rsidRPr="009D1F21">
        <w:rPr>
          <w:sz w:val="19"/>
          <w:szCs w:val="19"/>
        </w:rPr>
        <w:t>rámci Medzinárodného menového fondu</w:t>
      </w:r>
    </w:p>
    <w:p w14:paraId="7629F9A2" w14:textId="77777777" w:rsidR="00857F52" w:rsidRPr="009D1F21" w:rsidRDefault="00857F52" w:rsidP="00857F52">
      <w:pPr>
        <w:spacing w:after="0" w:line="312" w:lineRule="auto"/>
        <w:jc w:val="both"/>
        <w:rPr>
          <w:sz w:val="19"/>
          <w:szCs w:val="19"/>
        </w:rPr>
      </w:pPr>
      <w:r w:rsidRPr="009D1F21">
        <w:rPr>
          <w:b/>
          <w:sz w:val="19"/>
          <w:szCs w:val="19"/>
        </w:rPr>
        <w:t>SE</w:t>
      </w:r>
      <w:r w:rsidRPr="009D1F21">
        <w:rPr>
          <w:sz w:val="19"/>
          <w:szCs w:val="19"/>
        </w:rPr>
        <w:t xml:space="preserve"> - Slovenské elektrárne, a. s.</w:t>
      </w:r>
    </w:p>
    <w:p w14:paraId="435AB742" w14:textId="17F11E29" w:rsidR="00857F52" w:rsidRPr="009D1F21" w:rsidRDefault="00857F52" w:rsidP="00857F52">
      <w:pPr>
        <w:spacing w:after="0" w:line="312" w:lineRule="auto"/>
        <w:jc w:val="both"/>
        <w:rPr>
          <w:sz w:val="19"/>
          <w:szCs w:val="19"/>
        </w:rPr>
      </w:pPr>
      <w:r w:rsidRPr="009D1F21">
        <w:rPr>
          <w:b/>
          <w:sz w:val="19"/>
          <w:szCs w:val="19"/>
        </w:rPr>
        <w:t>SEPS</w:t>
      </w:r>
      <w:r w:rsidRPr="009D1F21">
        <w:rPr>
          <w:sz w:val="19"/>
          <w:szCs w:val="19"/>
        </w:rPr>
        <w:t xml:space="preserve"> - Slovenská elektrizačná</w:t>
      </w:r>
      <w:r w:rsidR="009D1F21" w:rsidRPr="009D1F21">
        <w:rPr>
          <w:sz w:val="19"/>
          <w:szCs w:val="19"/>
        </w:rPr>
        <w:t xml:space="preserve"> </w:t>
      </w:r>
      <w:r w:rsidRPr="009D1F21">
        <w:rPr>
          <w:sz w:val="19"/>
          <w:szCs w:val="19"/>
        </w:rPr>
        <w:t>prenosová sústava, a. s.</w:t>
      </w:r>
    </w:p>
    <w:p w14:paraId="0A353F1D" w14:textId="77777777" w:rsidR="00857F52" w:rsidRPr="009D1F21" w:rsidRDefault="00857F52" w:rsidP="00857F52">
      <w:pPr>
        <w:spacing w:after="0" w:line="312" w:lineRule="auto"/>
        <w:jc w:val="both"/>
        <w:rPr>
          <w:sz w:val="19"/>
          <w:szCs w:val="19"/>
        </w:rPr>
      </w:pPr>
      <w:r w:rsidRPr="009D1F21">
        <w:rPr>
          <w:b/>
          <w:sz w:val="19"/>
          <w:szCs w:val="19"/>
        </w:rPr>
        <w:t>SIH</w:t>
      </w:r>
      <w:r w:rsidRPr="009D1F21">
        <w:rPr>
          <w:sz w:val="19"/>
          <w:szCs w:val="19"/>
        </w:rPr>
        <w:t xml:space="preserve"> - Slovak Investment Holding, a. s.</w:t>
      </w:r>
    </w:p>
    <w:p w14:paraId="37C2F0BC" w14:textId="37B43DF6" w:rsidR="00857F52" w:rsidRPr="009D1F21" w:rsidRDefault="00857F52" w:rsidP="00857F52">
      <w:pPr>
        <w:spacing w:after="0" w:line="312" w:lineRule="auto"/>
        <w:jc w:val="both"/>
        <w:rPr>
          <w:sz w:val="19"/>
          <w:szCs w:val="19"/>
        </w:rPr>
      </w:pPr>
      <w:r w:rsidRPr="009D1F21">
        <w:rPr>
          <w:b/>
          <w:sz w:val="19"/>
          <w:szCs w:val="19"/>
        </w:rPr>
        <w:t>SKo, a. s.</w:t>
      </w:r>
      <w:r w:rsidRPr="009D1F21">
        <w:rPr>
          <w:sz w:val="19"/>
          <w:szCs w:val="19"/>
        </w:rPr>
        <w:t xml:space="preserve"> - Slovenská konsolidačná, a. s.</w:t>
      </w:r>
    </w:p>
    <w:p w14:paraId="4C9A34C9" w14:textId="77777777" w:rsidR="00857F52" w:rsidRPr="009D1F21" w:rsidRDefault="00857F52" w:rsidP="00857F52">
      <w:pPr>
        <w:spacing w:after="0" w:line="312" w:lineRule="auto"/>
        <w:jc w:val="both"/>
        <w:rPr>
          <w:sz w:val="19"/>
          <w:szCs w:val="19"/>
        </w:rPr>
      </w:pPr>
      <w:r w:rsidRPr="009D1F21">
        <w:rPr>
          <w:b/>
          <w:sz w:val="19"/>
          <w:szCs w:val="19"/>
        </w:rPr>
        <w:t>SPP</w:t>
      </w:r>
      <w:r w:rsidRPr="009D1F21">
        <w:rPr>
          <w:sz w:val="19"/>
          <w:szCs w:val="19"/>
        </w:rPr>
        <w:t xml:space="preserve"> - Slovenský plynárenský priemysel, a. s.</w:t>
      </w:r>
    </w:p>
    <w:p w14:paraId="52E7F0B7" w14:textId="77777777" w:rsidR="00857F52" w:rsidRPr="009D1F21" w:rsidRDefault="00857F52" w:rsidP="00857F52">
      <w:pPr>
        <w:spacing w:after="0" w:line="312" w:lineRule="auto"/>
        <w:jc w:val="both"/>
        <w:rPr>
          <w:sz w:val="19"/>
          <w:szCs w:val="19"/>
        </w:rPr>
      </w:pPr>
      <w:r w:rsidRPr="009D1F21">
        <w:rPr>
          <w:b/>
          <w:bCs/>
          <w:sz w:val="19"/>
          <w:szCs w:val="19"/>
        </w:rPr>
        <w:t>SR</w:t>
      </w:r>
      <w:r w:rsidRPr="009D1F21">
        <w:rPr>
          <w:sz w:val="19"/>
          <w:szCs w:val="19"/>
        </w:rPr>
        <w:t xml:space="preserve"> - Slovenská republika</w:t>
      </w:r>
    </w:p>
    <w:p w14:paraId="270A7353" w14:textId="77777777" w:rsidR="00857F52" w:rsidRPr="009D1F21" w:rsidRDefault="00857F52" w:rsidP="00857F52">
      <w:pPr>
        <w:spacing w:after="0" w:line="312" w:lineRule="auto"/>
        <w:jc w:val="both"/>
        <w:rPr>
          <w:b/>
          <w:sz w:val="19"/>
          <w:szCs w:val="19"/>
        </w:rPr>
      </w:pPr>
      <w:r w:rsidRPr="009D1F21">
        <w:rPr>
          <w:b/>
          <w:sz w:val="19"/>
          <w:szCs w:val="19"/>
        </w:rPr>
        <w:t>SVP</w:t>
      </w:r>
      <w:r w:rsidRPr="009D1F21">
        <w:rPr>
          <w:sz w:val="19"/>
          <w:szCs w:val="19"/>
        </w:rPr>
        <w:t xml:space="preserve"> - Slovenský vodohospodársky podnik, š. p.</w:t>
      </w:r>
    </w:p>
    <w:p w14:paraId="56F6FEA2" w14:textId="5FC515DF" w:rsidR="00857F52" w:rsidRPr="009D1F21" w:rsidRDefault="00857F52" w:rsidP="00857F52">
      <w:pPr>
        <w:spacing w:after="0" w:line="312" w:lineRule="auto"/>
        <w:jc w:val="both"/>
        <w:rPr>
          <w:sz w:val="19"/>
          <w:szCs w:val="19"/>
        </w:rPr>
      </w:pPr>
      <w:r w:rsidRPr="009D1F21">
        <w:rPr>
          <w:b/>
          <w:sz w:val="19"/>
          <w:szCs w:val="19"/>
        </w:rPr>
        <w:t>SVS</w:t>
      </w:r>
      <w:r w:rsidRPr="009D1F21">
        <w:rPr>
          <w:sz w:val="19"/>
          <w:szCs w:val="19"/>
        </w:rPr>
        <w:t xml:space="preserve"> - Súhrnná výročná správa SR</w:t>
      </w:r>
    </w:p>
    <w:p w14:paraId="5C9371A1" w14:textId="77777777" w:rsidR="00857F52" w:rsidRPr="009D1F21" w:rsidRDefault="00857F52" w:rsidP="00857F52">
      <w:pPr>
        <w:spacing w:after="0" w:line="312" w:lineRule="auto"/>
        <w:jc w:val="both"/>
        <w:rPr>
          <w:sz w:val="19"/>
          <w:szCs w:val="19"/>
        </w:rPr>
      </w:pPr>
      <w:r w:rsidRPr="009D1F21">
        <w:rPr>
          <w:b/>
          <w:sz w:val="19"/>
          <w:szCs w:val="19"/>
        </w:rPr>
        <w:t>SZRB</w:t>
      </w:r>
      <w:r w:rsidRPr="009D1F21">
        <w:rPr>
          <w:sz w:val="19"/>
          <w:szCs w:val="19"/>
        </w:rPr>
        <w:t xml:space="preserve"> - Slovenská záručná a rozvojová banka, a. s.</w:t>
      </w:r>
    </w:p>
    <w:p w14:paraId="1F7B1318" w14:textId="77777777" w:rsidR="00857F52" w:rsidRPr="009D1F21" w:rsidRDefault="00857F52" w:rsidP="00857F52">
      <w:pPr>
        <w:spacing w:after="0" w:line="312" w:lineRule="auto"/>
        <w:jc w:val="both"/>
        <w:rPr>
          <w:b/>
          <w:sz w:val="19"/>
          <w:szCs w:val="19"/>
        </w:rPr>
      </w:pPr>
      <w:r w:rsidRPr="009D1F21">
        <w:rPr>
          <w:b/>
          <w:sz w:val="19"/>
          <w:szCs w:val="19"/>
        </w:rPr>
        <w:t>ŠR</w:t>
      </w:r>
      <w:r w:rsidRPr="009D1F21">
        <w:rPr>
          <w:sz w:val="19"/>
          <w:szCs w:val="19"/>
        </w:rPr>
        <w:t xml:space="preserve"> - štátny rozpočet</w:t>
      </w:r>
    </w:p>
    <w:p w14:paraId="4F983EE2" w14:textId="77777777" w:rsidR="00857F52" w:rsidRPr="009D1F21" w:rsidRDefault="00857F52" w:rsidP="00857F52">
      <w:pPr>
        <w:spacing w:after="0" w:line="312" w:lineRule="auto"/>
        <w:jc w:val="both"/>
        <w:rPr>
          <w:sz w:val="19"/>
          <w:szCs w:val="19"/>
        </w:rPr>
      </w:pPr>
      <w:r w:rsidRPr="009D1F21">
        <w:rPr>
          <w:b/>
          <w:sz w:val="19"/>
          <w:szCs w:val="19"/>
        </w:rPr>
        <w:t>ŠÚ</w:t>
      </w:r>
      <w:r w:rsidRPr="009D1F21">
        <w:rPr>
          <w:sz w:val="19"/>
          <w:szCs w:val="19"/>
        </w:rPr>
        <w:t> </w:t>
      </w:r>
      <w:r w:rsidRPr="009D1F21">
        <w:rPr>
          <w:b/>
          <w:sz w:val="19"/>
          <w:szCs w:val="19"/>
        </w:rPr>
        <w:t>SR</w:t>
      </w:r>
      <w:r w:rsidRPr="009D1F21">
        <w:rPr>
          <w:sz w:val="19"/>
          <w:szCs w:val="19"/>
        </w:rPr>
        <w:t xml:space="preserve"> - Štatistický úrad Slovenskej republiky</w:t>
      </w:r>
    </w:p>
    <w:p w14:paraId="1EB142AA" w14:textId="6CD381FD" w:rsidR="00857F52" w:rsidRPr="009D1F21" w:rsidRDefault="00857F52" w:rsidP="00857F52">
      <w:pPr>
        <w:spacing w:after="0" w:line="312" w:lineRule="auto"/>
        <w:jc w:val="both"/>
        <w:rPr>
          <w:sz w:val="19"/>
          <w:szCs w:val="19"/>
        </w:rPr>
      </w:pPr>
      <w:r w:rsidRPr="009D1F21">
        <w:rPr>
          <w:b/>
          <w:sz w:val="19"/>
          <w:szCs w:val="19"/>
        </w:rPr>
        <w:t xml:space="preserve">ŠZU </w:t>
      </w:r>
      <w:r w:rsidRPr="009D1F21">
        <w:rPr>
          <w:sz w:val="19"/>
          <w:szCs w:val="19"/>
        </w:rPr>
        <w:t>- Štátny záverečný účet SR</w:t>
      </w:r>
    </w:p>
    <w:p w14:paraId="11573014" w14:textId="77777777" w:rsidR="00857F52" w:rsidRPr="009D1F21" w:rsidRDefault="00857F52" w:rsidP="00857F52">
      <w:pPr>
        <w:spacing w:after="0" w:line="312" w:lineRule="auto"/>
        <w:jc w:val="both"/>
        <w:rPr>
          <w:sz w:val="19"/>
          <w:szCs w:val="19"/>
        </w:rPr>
      </w:pPr>
      <w:r w:rsidRPr="009D1F21">
        <w:rPr>
          <w:b/>
          <w:bCs/>
          <w:sz w:val="19"/>
          <w:szCs w:val="19"/>
        </w:rPr>
        <w:t>VI</w:t>
      </w:r>
      <w:r w:rsidRPr="009D1F21">
        <w:rPr>
          <w:sz w:val="19"/>
          <w:szCs w:val="19"/>
        </w:rPr>
        <w:t xml:space="preserve"> - vlastné imanie</w:t>
      </w:r>
    </w:p>
    <w:p w14:paraId="58DC2B35" w14:textId="77777777" w:rsidR="00857F52" w:rsidRPr="009D1F21" w:rsidRDefault="00857F52" w:rsidP="00857F52">
      <w:pPr>
        <w:spacing w:after="0" w:line="312" w:lineRule="auto"/>
        <w:jc w:val="both"/>
        <w:rPr>
          <w:sz w:val="19"/>
          <w:szCs w:val="19"/>
        </w:rPr>
      </w:pPr>
      <w:r w:rsidRPr="009D1F21">
        <w:rPr>
          <w:b/>
          <w:sz w:val="19"/>
          <w:szCs w:val="19"/>
        </w:rPr>
        <w:t>VS</w:t>
      </w:r>
      <w:r w:rsidRPr="009D1F21">
        <w:rPr>
          <w:sz w:val="19"/>
          <w:szCs w:val="19"/>
        </w:rPr>
        <w:t xml:space="preserve"> - verejná správa</w:t>
      </w:r>
    </w:p>
    <w:p w14:paraId="11727616" w14:textId="77777777" w:rsidR="00857F52" w:rsidRPr="009D1F21" w:rsidRDefault="00857F52" w:rsidP="00857F52">
      <w:pPr>
        <w:spacing w:after="0" w:line="312" w:lineRule="auto"/>
        <w:jc w:val="both"/>
        <w:rPr>
          <w:sz w:val="19"/>
          <w:szCs w:val="19"/>
        </w:rPr>
      </w:pPr>
      <w:r w:rsidRPr="009D1F21">
        <w:rPr>
          <w:b/>
          <w:sz w:val="19"/>
          <w:szCs w:val="19"/>
        </w:rPr>
        <w:t>VSEH</w:t>
      </w:r>
      <w:r w:rsidRPr="009D1F21">
        <w:rPr>
          <w:sz w:val="19"/>
          <w:szCs w:val="19"/>
        </w:rPr>
        <w:t xml:space="preserve"> - Východoslovenská energetika Holding, a. s.</w:t>
      </w:r>
    </w:p>
    <w:p w14:paraId="6F28D7B2" w14:textId="77777777" w:rsidR="00857F52" w:rsidRPr="009D1F21" w:rsidRDefault="00857F52" w:rsidP="00857F52">
      <w:pPr>
        <w:spacing w:after="0" w:line="312" w:lineRule="auto"/>
        <w:jc w:val="both"/>
        <w:rPr>
          <w:sz w:val="19"/>
          <w:szCs w:val="19"/>
        </w:rPr>
      </w:pPr>
      <w:r w:rsidRPr="009D1F21">
        <w:rPr>
          <w:b/>
          <w:bCs/>
          <w:sz w:val="19"/>
          <w:szCs w:val="19"/>
        </w:rPr>
        <w:t>VšZP</w:t>
      </w:r>
      <w:r w:rsidRPr="009D1F21">
        <w:rPr>
          <w:sz w:val="19"/>
          <w:szCs w:val="19"/>
        </w:rPr>
        <w:t xml:space="preserve"> - Všeobecná zdravotná poisťovňa</w:t>
      </w:r>
    </w:p>
    <w:p w14:paraId="0CE7C03A" w14:textId="77777777" w:rsidR="00857F52" w:rsidRPr="009D1F21" w:rsidRDefault="00857F52" w:rsidP="00857F52">
      <w:pPr>
        <w:spacing w:after="0" w:line="312" w:lineRule="auto"/>
        <w:jc w:val="both"/>
        <w:rPr>
          <w:sz w:val="19"/>
          <w:szCs w:val="19"/>
        </w:rPr>
      </w:pPr>
      <w:r w:rsidRPr="009D1F21">
        <w:rPr>
          <w:b/>
          <w:sz w:val="19"/>
          <w:szCs w:val="19"/>
        </w:rPr>
        <w:t>VÚC</w:t>
      </w:r>
      <w:r w:rsidRPr="009D1F21">
        <w:rPr>
          <w:sz w:val="19"/>
          <w:szCs w:val="19"/>
        </w:rPr>
        <w:t xml:space="preserve"> - vyššie územné celky</w:t>
      </w:r>
    </w:p>
    <w:p w14:paraId="31C62E96" w14:textId="77777777" w:rsidR="00857F52" w:rsidRPr="009D1F21" w:rsidRDefault="00857F52" w:rsidP="00857F52">
      <w:pPr>
        <w:spacing w:after="0" w:line="312" w:lineRule="auto"/>
        <w:jc w:val="both"/>
        <w:rPr>
          <w:sz w:val="19"/>
          <w:szCs w:val="19"/>
        </w:rPr>
      </w:pPr>
      <w:r w:rsidRPr="009D1F21">
        <w:rPr>
          <w:b/>
          <w:bCs/>
          <w:sz w:val="19"/>
          <w:szCs w:val="19"/>
        </w:rPr>
        <w:t>URSO</w:t>
      </w:r>
      <w:r w:rsidRPr="009D1F21">
        <w:rPr>
          <w:sz w:val="19"/>
          <w:szCs w:val="19"/>
        </w:rPr>
        <w:t xml:space="preserve"> - Úrad pre reguláciu sieťových odvetví</w:t>
      </w:r>
    </w:p>
    <w:p w14:paraId="1AF60F34" w14:textId="77777777" w:rsidR="00857F52" w:rsidRPr="009D1F21" w:rsidRDefault="00857F52" w:rsidP="00857F52">
      <w:pPr>
        <w:spacing w:after="0" w:line="312" w:lineRule="auto"/>
        <w:jc w:val="both"/>
        <w:rPr>
          <w:sz w:val="19"/>
          <w:szCs w:val="19"/>
        </w:rPr>
      </w:pPr>
      <w:r w:rsidRPr="009D1F21">
        <w:rPr>
          <w:b/>
          <w:sz w:val="19"/>
          <w:szCs w:val="19"/>
        </w:rPr>
        <w:t xml:space="preserve">UDZS - </w:t>
      </w:r>
      <w:r w:rsidRPr="009D1F21">
        <w:rPr>
          <w:sz w:val="19"/>
          <w:szCs w:val="19"/>
        </w:rPr>
        <w:t>Úrad pre dohľad nad zdravotnou starostlivosťou</w:t>
      </w:r>
    </w:p>
    <w:p w14:paraId="47821E7D" w14:textId="77777777" w:rsidR="009D1F21" w:rsidRPr="009D1F21" w:rsidRDefault="00857F52" w:rsidP="00857F52">
      <w:pPr>
        <w:spacing w:after="0" w:line="312" w:lineRule="auto"/>
        <w:jc w:val="both"/>
        <w:rPr>
          <w:sz w:val="19"/>
          <w:szCs w:val="19"/>
        </w:rPr>
      </w:pPr>
      <w:r w:rsidRPr="009D1F21">
        <w:rPr>
          <w:b/>
          <w:sz w:val="19"/>
          <w:szCs w:val="19"/>
        </w:rPr>
        <w:t>zákon o rozpočtových pravidlách verejnej správy (rozpočtové pravidlá</w:t>
      </w:r>
      <w:r w:rsidRPr="009D1F21">
        <w:rPr>
          <w:sz w:val="19"/>
          <w:szCs w:val="19"/>
        </w:rPr>
        <w:t xml:space="preserve">) </w:t>
      </w:r>
      <w:r w:rsidRPr="009D1F21">
        <w:rPr>
          <w:b/>
          <w:sz w:val="19"/>
          <w:szCs w:val="19"/>
        </w:rPr>
        <w:t>-</w:t>
      </w:r>
      <w:r w:rsidRPr="009D1F21">
        <w:rPr>
          <w:sz w:val="19"/>
          <w:szCs w:val="19"/>
        </w:rPr>
        <w:t xml:space="preserve"> zákon č. 523/2004 Z. z. o rozpočtových pravidlách verejnej správy a o zmene a doplnení niektorých zákonov v znení neskorších predpisov</w:t>
      </w:r>
    </w:p>
    <w:p w14:paraId="04EF4D82" w14:textId="74464997" w:rsidR="00857F52" w:rsidRPr="009D1F21" w:rsidRDefault="00857F52" w:rsidP="00857F52">
      <w:pPr>
        <w:spacing w:after="0" w:line="312" w:lineRule="auto"/>
        <w:jc w:val="both"/>
        <w:rPr>
          <w:bCs/>
          <w:sz w:val="19"/>
          <w:szCs w:val="19"/>
        </w:rPr>
      </w:pPr>
      <w:r w:rsidRPr="009D1F21">
        <w:rPr>
          <w:b/>
          <w:bCs/>
          <w:sz w:val="19"/>
          <w:szCs w:val="19"/>
        </w:rPr>
        <w:t>ZSE</w:t>
      </w:r>
      <w:r w:rsidRPr="009D1F21">
        <w:rPr>
          <w:bCs/>
          <w:sz w:val="19"/>
          <w:szCs w:val="19"/>
        </w:rPr>
        <w:t xml:space="preserve"> - Západoslovenská energetika, a. s.</w:t>
      </w:r>
    </w:p>
    <w:p w14:paraId="6B7D3496" w14:textId="61CCE960" w:rsidR="00857F52" w:rsidRPr="009D1F21" w:rsidRDefault="00857F52" w:rsidP="00857F52">
      <w:pPr>
        <w:spacing w:after="0" w:line="312" w:lineRule="auto"/>
        <w:jc w:val="both"/>
        <w:rPr>
          <w:bCs/>
          <w:sz w:val="19"/>
          <w:szCs w:val="19"/>
        </w:rPr>
      </w:pPr>
      <w:r w:rsidRPr="009D1F21">
        <w:rPr>
          <w:b/>
          <w:bCs/>
          <w:sz w:val="19"/>
          <w:szCs w:val="19"/>
        </w:rPr>
        <w:t>ZSSK</w:t>
      </w:r>
      <w:r w:rsidRPr="009D1F21">
        <w:rPr>
          <w:bCs/>
          <w:sz w:val="19"/>
          <w:szCs w:val="19"/>
        </w:rPr>
        <w:t xml:space="preserve"> - Železničná spoločnosť Slovensko, a. s.</w:t>
      </w:r>
    </w:p>
    <w:p w14:paraId="79D5E5F6" w14:textId="76CD464F" w:rsidR="00B6008D" w:rsidRPr="00BC44A9" w:rsidRDefault="00B6008D" w:rsidP="00857F52">
      <w:pPr>
        <w:pStyle w:val="Nadpis1"/>
        <w:numPr>
          <w:ilvl w:val="0"/>
          <w:numId w:val="0"/>
        </w:numPr>
        <w:spacing w:after="0"/>
        <w:ind w:left="714" w:hanging="714"/>
        <w:rPr>
          <w:bCs w:val="0"/>
          <w:sz w:val="20"/>
          <w:szCs w:val="20"/>
        </w:rPr>
      </w:pPr>
    </w:p>
    <w:sectPr w:rsidR="00B6008D" w:rsidRPr="00BC44A9" w:rsidSect="00A918F3">
      <w:footerReference w:type="default" r:id="rId23"/>
      <w:pgSz w:w="11906" w:h="16838" w:code="9"/>
      <w:pgMar w:top="1418" w:right="851" w:bottom="1418" w:left="1134" w:header="709" w:footer="709" w:gutter="56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E858C" w14:textId="77777777" w:rsidR="00EF5719" w:rsidRDefault="00EF5719" w:rsidP="007304A5">
      <w:pPr>
        <w:spacing w:after="0" w:line="240" w:lineRule="auto"/>
      </w:pPr>
      <w:r>
        <w:separator/>
      </w:r>
    </w:p>
    <w:p w14:paraId="6456480D" w14:textId="77777777" w:rsidR="00EF5719" w:rsidRDefault="00EF5719"/>
    <w:p w14:paraId="5D170A5D" w14:textId="77777777" w:rsidR="00EF5719" w:rsidRDefault="00EF5719" w:rsidP="00F201D1"/>
  </w:endnote>
  <w:endnote w:type="continuationSeparator" w:id="0">
    <w:p w14:paraId="00E34020" w14:textId="77777777" w:rsidR="00EF5719" w:rsidRDefault="00EF5719" w:rsidP="007304A5">
      <w:pPr>
        <w:spacing w:after="0" w:line="240" w:lineRule="auto"/>
      </w:pPr>
      <w:r>
        <w:continuationSeparator/>
      </w:r>
    </w:p>
    <w:p w14:paraId="291FAD6B" w14:textId="77777777" w:rsidR="00EF5719" w:rsidRDefault="00EF5719"/>
    <w:p w14:paraId="3F4CB8A4" w14:textId="77777777" w:rsidR="00EF5719" w:rsidRDefault="00EF5719" w:rsidP="00F20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Dutch801 SWC">
    <w:altName w:val="Times New Roman"/>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AT* Times New Roman">
    <w:altName w:val="Courier New"/>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 Itc TCE">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5482" w14:textId="4E724B89" w:rsidR="00B51B16" w:rsidRDefault="00B51B16">
    <w:pPr>
      <w:pStyle w:val="Pta"/>
    </w:pPr>
    <w:r>
      <w:rPr>
        <w:noProof/>
      </w:rPr>
      <mc:AlternateContent>
        <mc:Choice Requires="wps">
          <w:drawing>
            <wp:anchor distT="0" distB="0" distL="0" distR="0" simplePos="0" relativeHeight="251659264" behindDoc="0" locked="0" layoutInCell="1" allowOverlap="1" wp14:anchorId="11C89778" wp14:editId="4DD52447">
              <wp:simplePos x="635" y="635"/>
              <wp:positionH relativeFrom="page">
                <wp:align>left</wp:align>
              </wp:positionH>
              <wp:positionV relativeFrom="page">
                <wp:align>bottom</wp:align>
              </wp:positionV>
              <wp:extent cx="633095" cy="368935"/>
              <wp:effectExtent l="0" t="0" r="14605" b="0"/>
              <wp:wrapNone/>
              <wp:docPr id="887466092"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0AC805EA" w14:textId="36978F0A" w:rsidR="00B51B16" w:rsidRPr="00B51B16" w:rsidRDefault="00B51B16" w:rsidP="00B51B16">
                          <w:pPr>
                            <w:spacing w:after="0"/>
                            <w:rPr>
                              <w:rFonts w:ascii="Calibri" w:eastAsia="Calibri" w:hAnsi="Calibri" w:cs="Calibri"/>
                              <w:noProof/>
                              <w:color w:val="000000"/>
                              <w:sz w:val="20"/>
                              <w:szCs w:val="20"/>
                            </w:rPr>
                          </w:pPr>
                          <w:r w:rsidRPr="00B51B16">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C89778" id="_x0000_t202" coordsize="21600,21600" o:spt="202" path="m,l,21600r21600,l21600,xe">
              <v:stroke joinstyle="miter"/>
              <v:path gradientshapeok="t" o:connecttype="rect"/>
            </v:shapetype>
            <v:shape id="Textové pole 2" o:spid="_x0000_s1027" type="#_x0000_t202" alt="Interné" style="position:absolute;margin-left:0;margin-top:0;width:49.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" filled="f" stroked="f">
              <v:textbox style="mso-fit-shape-to-text:t" inset="20pt,0,0,15pt">
                <w:txbxContent>
                  <w:p w14:paraId="0AC805EA" w14:textId="36978F0A" w:rsidR="00B51B16" w:rsidRPr="00B51B16" w:rsidRDefault="00B51B16" w:rsidP="00B51B16">
                    <w:pPr>
                      <w:spacing w:after="0"/>
                      <w:rPr>
                        <w:rFonts w:ascii="Calibri" w:eastAsia="Calibri" w:hAnsi="Calibri" w:cs="Calibri"/>
                        <w:noProof/>
                        <w:color w:val="000000"/>
                        <w:sz w:val="20"/>
                        <w:szCs w:val="20"/>
                      </w:rPr>
                    </w:pPr>
                    <w:r w:rsidRPr="00B51B16">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C8CD" w14:textId="51C3125F" w:rsidR="002D19D1" w:rsidRDefault="002D19D1">
    <w:pPr>
      <w:pStyle w:val="Pta"/>
      <w:jc w:val="center"/>
    </w:pPr>
  </w:p>
  <w:p w14:paraId="6B352315" w14:textId="77777777" w:rsidR="002D19D1" w:rsidRDefault="002D19D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7248" w14:textId="666E9E69" w:rsidR="00B51B16" w:rsidRDefault="00B51B16">
    <w:pPr>
      <w:pStyle w:val="Pta"/>
    </w:pPr>
    <w:r>
      <w:rPr>
        <w:noProof/>
      </w:rPr>
      <mc:AlternateContent>
        <mc:Choice Requires="wps">
          <w:drawing>
            <wp:anchor distT="0" distB="0" distL="0" distR="0" simplePos="0" relativeHeight="251658240" behindDoc="0" locked="0" layoutInCell="1" allowOverlap="1" wp14:anchorId="3CC00DD1" wp14:editId="36EE98A9">
              <wp:simplePos x="635" y="635"/>
              <wp:positionH relativeFrom="page">
                <wp:align>left</wp:align>
              </wp:positionH>
              <wp:positionV relativeFrom="page">
                <wp:align>bottom</wp:align>
              </wp:positionV>
              <wp:extent cx="633095" cy="368935"/>
              <wp:effectExtent l="0" t="0" r="14605" b="0"/>
              <wp:wrapNone/>
              <wp:docPr id="737765180"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147097C9" w14:textId="3E7BA541" w:rsidR="00B51B16" w:rsidRPr="00B51B16" w:rsidRDefault="00B51B16" w:rsidP="00B51B16">
                          <w:pPr>
                            <w:spacing w:after="0"/>
                            <w:rPr>
                              <w:rFonts w:ascii="Calibri" w:eastAsia="Calibri" w:hAnsi="Calibri" w:cs="Calibri"/>
                              <w:noProof/>
                              <w:color w:val="000000"/>
                              <w:sz w:val="20"/>
                              <w:szCs w:val="20"/>
                            </w:rPr>
                          </w:pPr>
                          <w:r w:rsidRPr="00B51B16">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C00DD1" id="_x0000_t202" coordsize="21600,21600" o:spt="202" path="m,l,21600r21600,l21600,xe">
              <v:stroke joinstyle="miter"/>
              <v:path gradientshapeok="t" o:connecttype="rect"/>
            </v:shapetype>
            <v:shape id="Textové pole 1" o:spid="_x0000_s1028" type="#_x0000_t202" alt="Interné" style="position:absolute;margin-left:0;margin-top:0;width:49.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" filled="f" stroked="f">
              <v:textbox style="mso-fit-shape-to-text:t" inset="20pt,0,0,15pt">
                <w:txbxContent>
                  <w:p w14:paraId="147097C9" w14:textId="3E7BA541" w:rsidR="00B51B16" w:rsidRPr="00B51B16" w:rsidRDefault="00B51B16" w:rsidP="00B51B16">
                    <w:pPr>
                      <w:spacing w:after="0"/>
                      <w:rPr>
                        <w:rFonts w:ascii="Calibri" w:eastAsia="Calibri" w:hAnsi="Calibri" w:cs="Calibri"/>
                        <w:noProof/>
                        <w:color w:val="000000"/>
                        <w:sz w:val="20"/>
                        <w:szCs w:val="20"/>
                      </w:rPr>
                    </w:pPr>
                    <w:r w:rsidRPr="00B51B16">
                      <w:rPr>
                        <w:rFonts w:ascii="Calibri" w:eastAsia="Calibri" w:hAnsi="Calibri" w:cs="Calibri"/>
                        <w:noProof/>
                        <w:color w:val="000000"/>
                        <w:sz w:val="20"/>
                        <w:szCs w:val="20"/>
                      </w:rPr>
                      <w:t>Interné</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2D7D" w14:textId="42A86459" w:rsidR="002D19D1" w:rsidRPr="002B7C16" w:rsidRDefault="00B51B16">
    <w:pPr>
      <w:pStyle w:val="Pta"/>
      <w:jc w:val="center"/>
      <w:rPr>
        <w:sz w:val="20"/>
        <w:szCs w:val="20"/>
      </w:rPr>
    </w:pPr>
    <w:r>
      <w:rPr>
        <w:noProof/>
        <w:sz w:val="20"/>
        <w:szCs w:val="20"/>
      </w:rPr>
      <mc:AlternateContent>
        <mc:Choice Requires="wps">
          <w:drawing>
            <wp:anchor distT="0" distB="0" distL="0" distR="0" simplePos="0" relativeHeight="251661312" behindDoc="0" locked="0" layoutInCell="1" allowOverlap="1" wp14:anchorId="511E89DD" wp14:editId="2AFBB15A">
              <wp:simplePos x="542925" y="9934575"/>
              <wp:positionH relativeFrom="page">
                <wp:align>left</wp:align>
              </wp:positionH>
              <wp:positionV relativeFrom="page">
                <wp:align>bottom</wp:align>
              </wp:positionV>
              <wp:extent cx="633095" cy="368935"/>
              <wp:effectExtent l="0" t="0" r="14605" b="0"/>
              <wp:wrapNone/>
              <wp:docPr id="106061515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3DF3FFDF" w14:textId="382F6A2D" w:rsidR="00B51B16" w:rsidRPr="00B51B16" w:rsidRDefault="00B51B16" w:rsidP="00B51B16">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1E89DD" id="_x0000_t202" coordsize="21600,21600" o:spt="202" path="m,l,21600r21600,l21600,xe">
              <v:stroke joinstyle="miter"/>
              <v:path gradientshapeok="t" o:connecttype="rect"/>
            </v:shapetype>
            <v:shape id="Textové pole 4" o:spid="_x0000_s1029" type="#_x0000_t202" alt="Interné" style="position:absolute;left:0;text-align:left;margin-left:0;margin-top:0;width:49.85pt;height:29.0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" filled="f" stroked="f">
              <v:textbox style="mso-fit-shape-to-text:t" inset="20pt,0,0,15pt">
                <w:txbxContent>
                  <w:p w14:paraId="3DF3FFDF" w14:textId="382F6A2D" w:rsidR="00B51B16" w:rsidRPr="00B51B16" w:rsidRDefault="00B51B16" w:rsidP="00B51B16">
                    <w:pPr>
                      <w:spacing w:after="0"/>
                      <w:rPr>
                        <w:rFonts w:ascii="Calibri" w:eastAsia="Calibri" w:hAnsi="Calibri" w:cs="Calibri"/>
                        <w:noProof/>
                        <w:color w:val="000000"/>
                        <w:sz w:val="20"/>
                        <w:szCs w:val="20"/>
                      </w:rPr>
                    </w:pPr>
                  </w:p>
                </w:txbxContent>
              </v:textbox>
              <w10:wrap anchorx="page" anchory="page"/>
            </v:shape>
          </w:pict>
        </mc:Fallback>
      </mc:AlternateContent>
    </w:r>
    <w:r w:rsidR="002D19D1" w:rsidRPr="002B7C16">
      <w:rPr>
        <w:sz w:val="20"/>
        <w:szCs w:val="20"/>
      </w:rPr>
      <w:fldChar w:fldCharType="begin"/>
    </w:r>
    <w:r w:rsidR="002D19D1" w:rsidRPr="001C7146">
      <w:rPr>
        <w:sz w:val="20"/>
        <w:szCs w:val="20"/>
      </w:rPr>
      <w:instrText>PAGE   \* MERGEFORMAT</w:instrText>
    </w:r>
    <w:r w:rsidR="002D19D1" w:rsidRPr="002B7C16">
      <w:rPr>
        <w:sz w:val="20"/>
        <w:szCs w:val="20"/>
      </w:rPr>
      <w:fldChar w:fldCharType="separate"/>
    </w:r>
    <w:r w:rsidR="00C1557D">
      <w:rPr>
        <w:noProof/>
        <w:sz w:val="20"/>
        <w:szCs w:val="20"/>
      </w:rPr>
      <w:t>3</w:t>
    </w:r>
    <w:r w:rsidR="002D19D1" w:rsidRPr="002B7C16">
      <w:rPr>
        <w:sz w:val="20"/>
        <w:szCs w:val="20"/>
      </w:rPr>
      <w:fldChar w:fldCharType="end"/>
    </w:r>
  </w:p>
  <w:p w14:paraId="694715F5" w14:textId="77777777" w:rsidR="002D19D1" w:rsidRDefault="002D19D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F70C" w14:textId="064392D4" w:rsidR="002D19D1" w:rsidRPr="007251D7" w:rsidRDefault="002D19D1">
    <w:pPr>
      <w:pStyle w:val="Pta"/>
      <w:jc w:val="center"/>
      <w:rPr>
        <w:sz w:val="20"/>
        <w:szCs w:val="20"/>
      </w:rPr>
    </w:pPr>
    <w:r w:rsidRPr="00C55223">
      <w:rPr>
        <w:szCs w:val="22"/>
      </w:rPr>
      <w:fldChar w:fldCharType="begin"/>
    </w:r>
    <w:r w:rsidRPr="00C55223">
      <w:rPr>
        <w:szCs w:val="22"/>
      </w:rPr>
      <w:instrText>PAGE   \* MERGEFORMAT</w:instrText>
    </w:r>
    <w:r w:rsidRPr="00C55223">
      <w:rPr>
        <w:szCs w:val="22"/>
      </w:rPr>
      <w:fldChar w:fldCharType="separate"/>
    </w:r>
    <w:r w:rsidR="00C1557D">
      <w:rPr>
        <w:noProof/>
        <w:szCs w:val="22"/>
      </w:rPr>
      <w:t>55</w:t>
    </w:r>
    <w:r w:rsidRPr="00C55223">
      <w:rPr>
        <w:szCs w:val="22"/>
      </w:rPr>
      <w:fldChar w:fldCharType="end"/>
    </w:r>
  </w:p>
  <w:p w14:paraId="6FB65834" w14:textId="77777777" w:rsidR="002D19D1" w:rsidRDefault="002D19D1">
    <w:pPr>
      <w:pStyle w:val="Pta"/>
    </w:pPr>
  </w:p>
  <w:p w14:paraId="4162C2B8" w14:textId="77777777" w:rsidR="002D19D1" w:rsidRDefault="002D19D1"/>
  <w:p w14:paraId="04D4E231" w14:textId="77777777" w:rsidR="002D19D1" w:rsidRDefault="002D19D1" w:rsidP="00F201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0E361" w14:textId="77777777" w:rsidR="00EF5719" w:rsidRDefault="00EF5719" w:rsidP="007304A5">
      <w:pPr>
        <w:spacing w:after="0" w:line="240" w:lineRule="auto"/>
      </w:pPr>
      <w:r>
        <w:separator/>
      </w:r>
    </w:p>
  </w:footnote>
  <w:footnote w:type="continuationSeparator" w:id="0">
    <w:p w14:paraId="7D48644D" w14:textId="77777777" w:rsidR="00EF5719" w:rsidRDefault="00EF5719" w:rsidP="007304A5">
      <w:pPr>
        <w:spacing w:after="0" w:line="240" w:lineRule="auto"/>
      </w:pPr>
      <w:r>
        <w:continuationSeparator/>
      </w:r>
    </w:p>
    <w:p w14:paraId="5D3CD2C9" w14:textId="77777777" w:rsidR="00EF5719" w:rsidRDefault="00EF5719"/>
    <w:p w14:paraId="016F49C2" w14:textId="77777777" w:rsidR="00EF5719" w:rsidRDefault="00EF5719" w:rsidP="00F201D1"/>
  </w:footnote>
  <w:footnote w:id="1">
    <w:p w14:paraId="1983F10B" w14:textId="2F1F25D8" w:rsidR="00591326" w:rsidRDefault="002D19D1" w:rsidP="009037BB">
      <w:pPr>
        <w:pStyle w:val="Textpoznmkypodiarou"/>
        <w:jc w:val="both"/>
        <w:rPr>
          <w:b/>
          <w:bCs/>
          <w:sz w:val="18"/>
          <w:szCs w:val="18"/>
        </w:rPr>
      </w:pPr>
      <w:r w:rsidRPr="009C4C76">
        <w:rPr>
          <w:rStyle w:val="Odkaznapoznmkupodiarou"/>
          <w:sz w:val="18"/>
          <w:szCs w:val="18"/>
        </w:rPr>
        <w:footnoteRef/>
      </w:r>
      <w:r w:rsidRPr="009C4C76">
        <w:rPr>
          <w:sz w:val="18"/>
          <w:szCs w:val="18"/>
        </w:rPr>
        <w:t xml:space="preserve"> </w:t>
      </w:r>
      <w:r w:rsidR="00591326" w:rsidRPr="00591326">
        <w:rPr>
          <w:sz w:val="18"/>
          <w:szCs w:val="18"/>
        </w:rPr>
        <w:t xml:space="preserve">Nariadenie Rady (ES) č. 479/2009 z  25. mája 2009 o uplatňovaní Protokolu o postupe pri nadmernom schodku, ktorý tvorí prílohu Zmluvy o založení Európskeho spoločenstva </w:t>
      </w:r>
    </w:p>
    <w:p w14:paraId="21C2FCD7" w14:textId="431431B4" w:rsidR="002D19D1" w:rsidRPr="009C4C76" w:rsidRDefault="00591326" w:rsidP="009037BB">
      <w:pPr>
        <w:pStyle w:val="Textpoznmkypodiarou"/>
        <w:jc w:val="both"/>
        <w:rPr>
          <w:sz w:val="18"/>
          <w:szCs w:val="18"/>
        </w:rPr>
      </w:pPr>
      <w:hyperlink r:id="rId1" w:history="1">
        <w:r w:rsidRPr="00481FF7">
          <w:rPr>
            <w:rStyle w:val="Hypertextovprepojenie"/>
            <w:sz w:val="18"/>
            <w:szCs w:val="18"/>
          </w:rPr>
          <w:t>https://eur-lex.europa.eu/legal-content/SK</w:t>
        </w:r>
      </w:hyperlink>
    </w:p>
    <w:p w14:paraId="6C082A7D" w14:textId="77777777" w:rsidR="002D19D1" w:rsidRPr="009C4C76" w:rsidRDefault="002D19D1" w:rsidP="009037BB">
      <w:pPr>
        <w:pStyle w:val="Textpoznmkypodiarou"/>
        <w:jc w:val="both"/>
        <w:rPr>
          <w:sz w:val="18"/>
          <w:szCs w:val="18"/>
        </w:rPr>
      </w:pPr>
    </w:p>
  </w:footnote>
  <w:footnote w:id="2">
    <w:p w14:paraId="1CF01592" w14:textId="67E6053A" w:rsidR="002D19D1" w:rsidRPr="009C4C76" w:rsidRDefault="002D19D1" w:rsidP="009037BB">
      <w:pPr>
        <w:widowControl w:val="0"/>
        <w:spacing w:after="0" w:line="240" w:lineRule="auto"/>
        <w:jc w:val="both"/>
        <w:rPr>
          <w:sz w:val="18"/>
          <w:szCs w:val="18"/>
        </w:rPr>
      </w:pPr>
      <w:r w:rsidRPr="009C4C76">
        <w:rPr>
          <w:rStyle w:val="Odkaznapoznmkupodiarou"/>
          <w:sz w:val="18"/>
          <w:szCs w:val="18"/>
        </w:rPr>
        <w:footnoteRef/>
      </w:r>
      <w:r w:rsidRPr="009C4C76">
        <w:rPr>
          <w:sz w:val="18"/>
          <w:szCs w:val="18"/>
        </w:rPr>
        <w:t xml:space="preserve"> </w:t>
      </w:r>
      <w:r w:rsidRPr="00BF7499">
        <w:rPr>
          <w:b/>
          <w:iCs/>
          <w:sz w:val="18"/>
          <w:szCs w:val="18"/>
        </w:rPr>
        <w:t>Aktualizácie</w:t>
      </w:r>
      <w:r w:rsidRPr="009C4C76">
        <w:rPr>
          <w:b/>
          <w:i/>
          <w:sz w:val="18"/>
          <w:szCs w:val="18"/>
        </w:rPr>
        <w:t xml:space="preserve"> </w:t>
      </w:r>
      <w:r w:rsidRPr="009C4C76">
        <w:rPr>
          <w:sz w:val="18"/>
          <w:szCs w:val="18"/>
        </w:rPr>
        <w:t>spresňujú už vyčíslené hodnoty príjmov, výdavkov alebo pohľadávok a záväzkov na základe údajov, ktoré v čase jarnej notifikácie objektívne nemohli byť k dispozícii. Ide napríklad o daňové priznania, výsledok zúčtovania sociálnych a zdravotných odvodov a ďalšie.</w:t>
      </w:r>
    </w:p>
    <w:p w14:paraId="3C1CD574" w14:textId="018E3E6F" w:rsidR="002D19D1" w:rsidRDefault="002D19D1" w:rsidP="009037BB">
      <w:pPr>
        <w:widowControl w:val="0"/>
        <w:spacing w:after="0" w:line="240" w:lineRule="auto"/>
        <w:jc w:val="both"/>
        <w:rPr>
          <w:sz w:val="18"/>
          <w:szCs w:val="18"/>
        </w:rPr>
      </w:pPr>
      <w:r w:rsidRPr="00BF7499">
        <w:rPr>
          <w:b/>
          <w:iCs/>
          <w:sz w:val="18"/>
          <w:szCs w:val="18"/>
        </w:rPr>
        <w:t>Imputácie</w:t>
      </w:r>
      <w:r w:rsidRPr="009C4C76">
        <w:rPr>
          <w:b/>
          <w:i/>
          <w:sz w:val="18"/>
          <w:szCs w:val="18"/>
        </w:rPr>
        <w:t xml:space="preserve"> </w:t>
      </w:r>
      <w:r w:rsidRPr="009C4C76">
        <w:rPr>
          <w:sz w:val="18"/>
          <w:szCs w:val="18"/>
        </w:rPr>
        <w:t>predstavujú takisto aktualizáciu údajov o hodnoty, ktoré ešte neboli predmetom štatistického vykazovania. Napríklad nový záväzok, nová pohľadávka, o ktorých sa podľa národnej metodiky neúčtuje ale podľa metodiky ESA 2010 je nutné ich zohľadniť do obdobia, s ktorým časovo a vecne súvisia.</w:t>
      </w:r>
    </w:p>
    <w:p w14:paraId="51C6CE6E" w14:textId="52EA219C" w:rsidR="00B40F4C" w:rsidRPr="009C4C76" w:rsidRDefault="00B40F4C" w:rsidP="009037BB">
      <w:pPr>
        <w:widowControl w:val="0"/>
        <w:spacing w:after="0" w:line="240" w:lineRule="auto"/>
        <w:jc w:val="both"/>
        <w:rPr>
          <w:sz w:val="18"/>
          <w:szCs w:val="18"/>
          <w:u w:val="single"/>
        </w:rPr>
      </w:pPr>
      <w:r w:rsidRPr="00BF7499">
        <w:rPr>
          <w:b/>
          <w:bCs/>
          <w:sz w:val="18"/>
          <w:szCs w:val="18"/>
        </w:rPr>
        <w:t>Metodické</w:t>
      </w:r>
      <w:r>
        <w:rPr>
          <w:b/>
          <w:bCs/>
          <w:i/>
          <w:iCs/>
          <w:sz w:val="18"/>
          <w:szCs w:val="18"/>
        </w:rPr>
        <w:t xml:space="preserve"> </w:t>
      </w:r>
      <w:r w:rsidRPr="00BF7499">
        <w:rPr>
          <w:b/>
          <w:bCs/>
          <w:sz w:val="18"/>
          <w:szCs w:val="18"/>
        </w:rPr>
        <w:t>zmeny</w:t>
      </w:r>
      <w:r>
        <w:rPr>
          <w:sz w:val="18"/>
          <w:szCs w:val="18"/>
        </w:rPr>
        <w:t xml:space="preserve"> vyplývajú najmä z usmernenia ŠU SR alebo Eurostatu pri aplikácii metodiky ESA 2010.</w:t>
      </w:r>
    </w:p>
  </w:footnote>
  <w:footnote w:id="3">
    <w:p w14:paraId="4BDFFDB2" w14:textId="77777777" w:rsidR="0095661A" w:rsidRPr="00132F43" w:rsidRDefault="0095661A" w:rsidP="0095661A">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Pr>
          <w:sz w:val="18"/>
          <w:szCs w:val="18"/>
        </w:rPr>
        <w:t xml:space="preserve">Zákon č. 519/2022 Z. z. o </w:t>
      </w:r>
      <w:r w:rsidRPr="00132F43">
        <w:rPr>
          <w:sz w:val="18"/>
          <w:szCs w:val="18"/>
        </w:rPr>
        <w:t>solidárnom príspevku z činností v odvetviach ropy, zemného plynu, uhlia a rafinérií a o doplnení niektorých zákonov</w:t>
      </w:r>
      <w:r>
        <w:rPr>
          <w:sz w:val="18"/>
          <w:szCs w:val="18"/>
        </w:rPr>
        <w:t>. Daňová sadzba pre rok 2024 bola vo výške 70 %. Toto mimoriadne opatrenie skončilo v roku 2024.</w:t>
      </w:r>
    </w:p>
    <w:p w14:paraId="6B146370" w14:textId="77777777" w:rsidR="0095661A" w:rsidRPr="009C4C76" w:rsidRDefault="0095661A" w:rsidP="0095661A">
      <w:pPr>
        <w:pStyle w:val="Textpoznmkypodiarou"/>
        <w:jc w:val="both"/>
        <w:rPr>
          <w:sz w:val="18"/>
          <w:szCs w:val="18"/>
        </w:rPr>
      </w:pPr>
    </w:p>
  </w:footnote>
  <w:footnote w:id="4">
    <w:p w14:paraId="644290B9" w14:textId="77777777" w:rsidR="005E3840" w:rsidRDefault="005E3840" w:rsidP="005E3840">
      <w:pPr>
        <w:pStyle w:val="Textpoznmkypodiarou"/>
      </w:pPr>
      <w:r>
        <w:rPr>
          <w:rStyle w:val="Odkaznapoznmkupodiarou"/>
        </w:rPr>
        <w:footnoteRef/>
      </w:r>
      <w:r>
        <w:t xml:space="preserve">  </w:t>
      </w:r>
      <w:r w:rsidRPr="00EE5AC6">
        <w:rPr>
          <w:sz w:val="18"/>
          <w:szCs w:val="18"/>
        </w:rPr>
        <w:t>Measuring net government debt: theory and practice</w:t>
      </w:r>
      <w:r w:rsidRPr="005E3840">
        <w:t xml:space="preserve"> </w:t>
      </w:r>
    </w:p>
    <w:p w14:paraId="2369A497" w14:textId="26DBFD3D" w:rsidR="005E3840" w:rsidRPr="002A0E7A" w:rsidRDefault="005E3840" w:rsidP="005E3840">
      <w:pPr>
        <w:pStyle w:val="Textpoznmkypodiarou"/>
        <w:rPr>
          <w:rStyle w:val="Hypertextovprepojenie"/>
        </w:rPr>
      </w:pPr>
      <w:r w:rsidRPr="002A0E7A">
        <w:rPr>
          <w:rStyle w:val="Hypertextovprepojenie"/>
        </w:rPr>
        <w:t xml:space="preserve">   </w:t>
      </w:r>
      <w:hyperlink r:id="rId2" w:history="1">
        <w:r w:rsidRPr="002A0E7A">
          <w:rPr>
            <w:rStyle w:val="Hypertextovprepojenie"/>
            <w:sz w:val="18"/>
            <w:szCs w:val="18"/>
          </w:rPr>
          <w:t>https://ec.europa.eu/eurostat/en/web/products-statistical-working-papers/-/ks-tc-14-005</w:t>
        </w:r>
      </w:hyperlink>
    </w:p>
    <w:p w14:paraId="2D27A24C" w14:textId="10BE3E69" w:rsidR="005E3840" w:rsidRPr="002A0E7A" w:rsidRDefault="005E3840">
      <w:pPr>
        <w:pStyle w:val="Textpoznmkypodiarou"/>
        <w:rPr>
          <w:rStyle w:val="Hypertextovprepojenie"/>
          <w:sz w:val="18"/>
          <w:szCs w:val="18"/>
        </w:rPr>
      </w:pPr>
    </w:p>
  </w:footnote>
  <w:footnote w:id="5">
    <w:p w14:paraId="633CB78F" w14:textId="3F414DED" w:rsidR="009F5875" w:rsidRDefault="009F5875" w:rsidP="009F5875">
      <w:pPr>
        <w:pStyle w:val="Textpoznmkypodiarou"/>
      </w:pPr>
      <w:r>
        <w:rPr>
          <w:rStyle w:val="Odkaznapoznmkupodiarou"/>
        </w:rPr>
        <w:footnoteRef/>
      </w:r>
      <w:r>
        <w:t xml:space="preserve"> </w:t>
      </w:r>
      <w:r w:rsidRPr="00212FF4">
        <w:rPr>
          <w:sz w:val="16"/>
          <w:szCs w:val="16"/>
        </w:rPr>
        <w:t>Ďalej v dokumente sú použité makroekonomické predpoklady schválené Výborom pre makroekonomické prognózy v septembri 2025, nakoľko detailná štruktúra ukazovateľov po jesennej revízii nie je aktuálne k dispozícii. Rast nominálneho HDP bol podľa schválenej prognózy 5,8</w:t>
      </w:r>
      <w:r w:rsidR="00777762">
        <w:rPr>
          <w:sz w:val="16"/>
          <w:szCs w:val="16"/>
        </w:rPr>
        <w:t xml:space="preserve"> </w:t>
      </w:r>
      <w:r w:rsidRPr="00212FF4">
        <w:rPr>
          <w:sz w:val="16"/>
          <w:szCs w:val="16"/>
        </w:rPr>
        <w:t>%.</w:t>
      </w:r>
    </w:p>
    <w:p w14:paraId="52E525A0" w14:textId="2B5AD49F" w:rsidR="009F5875" w:rsidRDefault="009F5875">
      <w:pPr>
        <w:pStyle w:val="Textpoznmkypodiarou"/>
      </w:pPr>
    </w:p>
  </w:footnote>
  <w:footnote w:id="6">
    <w:p w14:paraId="3D986478" w14:textId="77777777" w:rsidR="00E17FB7" w:rsidRDefault="00E17FB7" w:rsidP="00E17FB7">
      <w:pPr>
        <w:pStyle w:val="Textpoznmkypodiarou"/>
        <w:jc w:val="both"/>
      </w:pPr>
      <w:r>
        <w:rPr>
          <w:rStyle w:val="Odkaznapoznmkupodiarou"/>
        </w:rPr>
        <w:footnoteRef/>
      </w:r>
      <w:r>
        <w:t xml:space="preserve"> </w:t>
      </w:r>
      <w:r w:rsidRPr="00E50B68">
        <w:rPr>
          <w:sz w:val="16"/>
          <w:szCs w:val="16"/>
        </w:rPr>
        <w:t xml:space="preserve">Dodávatelia energií (platitelia DPH) sú v tomto prípade poberateľmi tzv. dotácií k cenám tovarov, ktoré vstupujú do základu dane. Základ dane regulovaných dodávok energií je zo zákona tvorený platbami odberateľov, v tomto prípade domácností, za dodávky energií a kompenzáciami k cenám energií, ktoré prijímajú dodávatelia energií od MH SR, očistené o DPH. Táto dotácia od MH SR sa následne </w:t>
      </w:r>
      <w:r w:rsidRPr="00A15422">
        <w:rPr>
          <w:sz w:val="16"/>
          <w:szCs w:val="16"/>
        </w:rPr>
        <w:t>nenachádza v makro základni</w:t>
      </w:r>
      <w:r w:rsidRPr="00E50B68">
        <w:rPr>
          <w:sz w:val="16"/>
          <w:szCs w:val="16"/>
        </w:rPr>
        <w:t>, nakoľko tá obsahuje o. i. medzispotrebu vlády a dotácia má charakter transferu.</w:t>
      </w:r>
      <w:r>
        <w:rPr>
          <w:sz w:val="16"/>
          <w:szCs w:val="16"/>
        </w:rPr>
        <w:t xml:space="preserve"> </w:t>
      </w:r>
    </w:p>
  </w:footnote>
  <w:footnote w:id="7">
    <w:p w14:paraId="788B30DA" w14:textId="77777777" w:rsidR="000B26C6" w:rsidRPr="00B80E87" w:rsidRDefault="000B26C6" w:rsidP="000B26C6">
      <w:pPr>
        <w:pStyle w:val="Textpoznmkypodiarou"/>
        <w:jc w:val="both"/>
        <w:rPr>
          <w:sz w:val="16"/>
          <w:szCs w:val="16"/>
        </w:rPr>
      </w:pPr>
      <w:r w:rsidRPr="00826257">
        <w:rPr>
          <w:rStyle w:val="Odkaznapoznmkupodiarou"/>
          <w:sz w:val="16"/>
          <w:szCs w:val="16"/>
        </w:rPr>
        <w:footnoteRef/>
      </w:r>
      <w:r w:rsidRPr="00826257">
        <w:rPr>
          <w:sz w:val="16"/>
          <w:szCs w:val="16"/>
        </w:rPr>
        <w:t xml:space="preserve"> Súčasťou spotrebných daní je aj výnos zo zelenej energie. Pri podpore zelenej energie vzniká časový nesúlad medzi „subvenciami“, ktoré poskytujú distribútori výrobcom pri nákupe energie a poplatkami, ktoré následne vyberú od konečných spotrebiteľov. Tento časový nesúlad má za následok aj rozdiel v cene elektrickej energie, pričom tento nesúlad by sa mal podľa metodiky ESA 2010 započítavať do deficitu. Zmena zvyšuje zároveň úroveň daňových príjmov aj subvencií. Výbor pre daňové prognózy tento vplyv nezahŕňal.</w:t>
      </w:r>
      <w:r w:rsidRPr="00B80E87">
        <w:rPr>
          <w:sz w:val="16"/>
          <w:szCs w:val="16"/>
        </w:rPr>
        <w:t xml:space="preserve"> </w:t>
      </w:r>
    </w:p>
  </w:footnote>
  <w:footnote w:id="8">
    <w:p w14:paraId="7341E982" w14:textId="77777777" w:rsidR="00B51B16" w:rsidRPr="008F7AAF" w:rsidRDefault="00B51B16" w:rsidP="00B51B16">
      <w:pPr>
        <w:pStyle w:val="Textpoznmkypodiarou"/>
        <w:jc w:val="both"/>
        <w:rPr>
          <w:sz w:val="18"/>
          <w:szCs w:val="18"/>
        </w:rPr>
      </w:pPr>
      <w:r w:rsidRPr="008F7AAF">
        <w:rPr>
          <w:rStyle w:val="Odkaznapoznmkupodiarou"/>
          <w:sz w:val="18"/>
          <w:szCs w:val="18"/>
        </w:rPr>
        <w:footnoteRef/>
      </w:r>
      <w:r w:rsidRPr="008F7AAF">
        <w:rPr>
          <w:sz w:val="18"/>
          <w:szCs w:val="18"/>
        </w:rPr>
        <w:t xml:space="preserve"> Podľa metodiky ESA 2010 platby za tovary a služby predávané za ekonomicky signifika</w:t>
      </w:r>
      <w:r>
        <w:rPr>
          <w:sz w:val="18"/>
          <w:szCs w:val="18"/>
        </w:rPr>
        <w:t>n</w:t>
      </w:r>
      <w:r w:rsidRPr="008F7AAF">
        <w:rPr>
          <w:sz w:val="18"/>
          <w:szCs w:val="18"/>
        </w:rPr>
        <w:t>tné ceny sa zaznamenávajú ako tržby.</w:t>
      </w:r>
    </w:p>
  </w:footnote>
  <w:footnote w:id="9">
    <w:p w14:paraId="57D9783F" w14:textId="77777777" w:rsidR="00ED4338" w:rsidRDefault="00ED4338" w:rsidP="00ED4338">
      <w:pPr>
        <w:pStyle w:val="Textpoznmkypodiarou"/>
        <w:jc w:val="both"/>
      </w:pPr>
      <w:r>
        <w:rPr>
          <w:rStyle w:val="Odkaznapoznmkupodiarou"/>
        </w:rPr>
        <w:footnoteRef/>
      </w:r>
      <w:r>
        <w:t xml:space="preserve"> </w:t>
      </w:r>
      <w:r w:rsidRPr="00326120">
        <w:rPr>
          <w:sz w:val="18"/>
          <w:szCs w:val="18"/>
        </w:rPr>
        <w:t>Vyhláška č. 522/2023 MZ</w:t>
      </w:r>
      <w:r>
        <w:rPr>
          <w:sz w:val="18"/>
          <w:szCs w:val="18"/>
        </w:rPr>
        <w:t xml:space="preserve"> </w:t>
      </w:r>
      <w:r w:rsidRPr="00326120">
        <w:rPr>
          <w:sz w:val="18"/>
          <w:szCs w:val="18"/>
        </w:rPr>
        <w:t>SR o predkladaní údajov z účtovníctva, štatistickej evidencie a ďalších údajov zdravotnou poisťovňou</w:t>
      </w:r>
      <w:r>
        <w:rPr>
          <w:sz w:val="18"/>
          <w:szCs w:val="18"/>
        </w:rPr>
        <w:t>.</w:t>
      </w:r>
    </w:p>
  </w:footnote>
  <w:footnote w:id="10">
    <w:p w14:paraId="1EE1AEA5" w14:textId="77777777" w:rsidR="007B36E2" w:rsidRPr="004D6DF5" w:rsidRDefault="007B36E2" w:rsidP="007B36E2">
      <w:pPr>
        <w:pStyle w:val="Textpoznmkypodiarou"/>
        <w:rPr>
          <w:sz w:val="18"/>
          <w:szCs w:val="18"/>
        </w:rPr>
      </w:pPr>
      <w:r w:rsidRPr="004D6DF5">
        <w:rPr>
          <w:rStyle w:val="Odkaznapoznmkupodiarou"/>
          <w:sz w:val="18"/>
          <w:szCs w:val="18"/>
        </w:rPr>
        <w:footnoteRef/>
      </w:r>
      <w:r w:rsidRPr="004D6DF5">
        <w:rPr>
          <w:sz w:val="18"/>
          <w:szCs w:val="18"/>
        </w:rPr>
        <w:t xml:space="preserve"> </w:t>
      </w:r>
      <w:r>
        <w:rPr>
          <w:sz w:val="18"/>
          <w:szCs w:val="18"/>
        </w:rPr>
        <w:t xml:space="preserve">Uznesenie vlády </w:t>
      </w:r>
      <w:r w:rsidRPr="004D6DF5">
        <w:rPr>
          <w:sz w:val="18"/>
          <w:szCs w:val="18"/>
        </w:rPr>
        <w:t>k návrhu na zníženie štátnych finančných aktív v správe Ministerstva financií Slovenskej republiky (ďalej ako „uznesenie č. 459/2023“)</w:t>
      </w:r>
      <w:r>
        <w:rPr>
          <w:sz w:val="18"/>
          <w:szCs w:val="18"/>
        </w:rPr>
        <w:t>.</w:t>
      </w:r>
    </w:p>
  </w:footnote>
  <w:footnote w:id="11">
    <w:p w14:paraId="0C8BA320" w14:textId="77777777" w:rsidR="00C50041" w:rsidRPr="009C4C76" w:rsidRDefault="00C50041" w:rsidP="00C50041">
      <w:pPr>
        <w:pStyle w:val="Textpoznmkypodiarou"/>
        <w:jc w:val="both"/>
        <w:rPr>
          <w:sz w:val="18"/>
          <w:szCs w:val="18"/>
        </w:rPr>
      </w:pPr>
      <w:r w:rsidRPr="009C4C76">
        <w:rPr>
          <w:rStyle w:val="Odkaznapoznmkupodiarou"/>
          <w:sz w:val="18"/>
          <w:szCs w:val="18"/>
        </w:rPr>
        <w:footnoteRef/>
      </w:r>
      <w:r w:rsidRPr="009C4C76">
        <w:rPr>
          <w:sz w:val="18"/>
          <w:szCs w:val="18"/>
        </w:rPr>
        <w:t xml:space="preserve"> Vláda SR uznesením č. 762/2022 schválila „Návrh na schválenie fina</w:t>
      </w:r>
      <w:r>
        <w:rPr>
          <w:sz w:val="18"/>
          <w:szCs w:val="18"/>
        </w:rPr>
        <w:t xml:space="preserve">nčných prostriedkov určených </w:t>
      </w:r>
      <w:r w:rsidRPr="00C765EA">
        <w:t>na</w:t>
      </w:r>
      <w:r>
        <w:t> </w:t>
      </w:r>
      <w:r w:rsidRPr="00C765EA">
        <w:t>stabilizáciu</w:t>
      </w:r>
      <w:r w:rsidRPr="009C4C76">
        <w:rPr>
          <w:sz w:val="18"/>
          <w:szCs w:val="18"/>
        </w:rPr>
        <w:t xml:space="preserve"> zdravotníckych pracovníkov v rámci ústavnej zdravotnej starostlivosti a ambulancií záchrannej zdravotnej služby prostredníctvom stabilizačného príspevku.“</w:t>
      </w:r>
    </w:p>
  </w:footnote>
  <w:footnote w:id="12">
    <w:p w14:paraId="28B61BD4" w14:textId="77777777"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Subvencia predstavuje finančný príspevok vlády alebo verejno-právnej inštitúcie. Ide o platby vykonané na podporu obchodných aktivít príjemcov, ktorí nie sú zaradení v sektore verejnej správy.</w:t>
      </w:r>
    </w:p>
  </w:footnote>
  <w:footnote w:id="13">
    <w:p w14:paraId="7356E483" w14:textId="69A7DB6C" w:rsidR="000D1FCC" w:rsidRDefault="000D1FCC" w:rsidP="000D1FCC">
      <w:pPr>
        <w:pStyle w:val="Textpoznmkypodiarou"/>
      </w:pPr>
      <w:r w:rsidRPr="00FA3DC8">
        <w:rPr>
          <w:rStyle w:val="Odkaznapoznmkupodiarou"/>
        </w:rPr>
        <w:footnoteRef/>
      </w:r>
      <w:r w:rsidRPr="00FA3DC8">
        <w:t xml:space="preserve"> </w:t>
      </w:r>
      <w:hyperlink r:id="rId3" w:history="1">
        <w:r w:rsidRPr="001A5155">
          <w:rPr>
            <w:rStyle w:val="Hypertextovprepojenie"/>
            <w:color w:val="227ACB"/>
            <w:sz w:val="18"/>
            <w:szCs w:val="18"/>
          </w:rPr>
          <w:t>https://www.mhsr.sk/energetika/vyplatene-energodotacie-a-kompenzacie</w:t>
        </w:r>
      </w:hyperlink>
    </w:p>
  </w:footnote>
  <w:footnote w:id="14">
    <w:p w14:paraId="3B3238FE" w14:textId="32F7C17C" w:rsidR="00807EA7" w:rsidRDefault="00807EA7">
      <w:pPr>
        <w:pStyle w:val="Textpoznmkypodiarou"/>
      </w:pPr>
      <w:r>
        <w:rPr>
          <w:rStyle w:val="Odkaznapoznmkupodiarou"/>
        </w:rPr>
        <w:footnoteRef/>
      </w:r>
      <w:r>
        <w:t xml:space="preserve"> </w:t>
      </w:r>
      <w:r w:rsidRPr="00807EA7">
        <w:rPr>
          <w:sz w:val="18"/>
          <w:szCs w:val="18"/>
        </w:rPr>
        <w:t>Údaj je vrátane osobitného fondu (príspevok pre príslušníkov obecnej polície).</w:t>
      </w:r>
      <w:r w:rsidR="001E7A23" w:rsidRPr="001E7A23">
        <w:rPr>
          <w:rFonts w:ascii="Arial" w:hAnsi="Arial" w:cs="Arial"/>
        </w:rPr>
        <w:t xml:space="preserve"> </w:t>
      </w:r>
    </w:p>
  </w:footnote>
  <w:footnote w:id="15">
    <w:p w14:paraId="2A11E8AA" w14:textId="132A9215"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w:t>
      </w:r>
      <w:r w:rsidR="00DC3015">
        <w:rPr>
          <w:sz w:val="18"/>
          <w:szCs w:val="18"/>
        </w:rPr>
        <w:t>Z</w:t>
      </w:r>
      <w:r w:rsidRPr="009C4C76">
        <w:rPr>
          <w:sz w:val="18"/>
          <w:szCs w:val="18"/>
        </w:rPr>
        <w:t>ákon č. 43/2004 Z. z. o starobnom dôchodkovom sporení a o zmene a doplnení niektorých zákonov v znení neskorších predpisov a ktorým sa menia a dopĺňajú niektoré zákony.</w:t>
      </w:r>
    </w:p>
  </w:footnote>
  <w:footnote w:id="16">
    <w:p w14:paraId="41FA3D74" w14:textId="118BF502" w:rsidR="002F5E56" w:rsidRDefault="002F5E56" w:rsidP="002F5E56">
      <w:pPr>
        <w:pStyle w:val="Textpoznmkypodiarou"/>
      </w:pPr>
      <w:r>
        <w:rPr>
          <w:rStyle w:val="Odkaznapoznmkupodiarou"/>
        </w:rPr>
        <w:footnoteRef/>
      </w:r>
      <w:r>
        <w:t xml:space="preserve"> </w:t>
      </w:r>
      <w:r w:rsidRPr="001A480C">
        <w:rPr>
          <w:sz w:val="18"/>
          <w:szCs w:val="18"/>
        </w:rPr>
        <w:t>Zákonom č. 87/2024 Z. z., ktorým sa mení a dopĺňa zákon č. 461/2003 Z. z. o sociálnom poistení v znení neskorších predpisov a</w:t>
      </w:r>
      <w:r w:rsidR="0021002F">
        <w:rPr>
          <w:sz w:val="18"/>
          <w:szCs w:val="18"/>
        </w:rPr>
        <w:t> </w:t>
      </w:r>
      <w:r w:rsidRPr="001A480C">
        <w:rPr>
          <w:sz w:val="18"/>
          <w:szCs w:val="18"/>
        </w:rPr>
        <w:t>ktorým sa menia a dopĺňajú niektoré zákony</w:t>
      </w:r>
      <w:r>
        <w:rPr>
          <w:sz w:val="18"/>
          <w:szCs w:val="18"/>
        </w:rPr>
        <w:t>.</w:t>
      </w:r>
    </w:p>
  </w:footnote>
  <w:footnote w:id="17">
    <w:p w14:paraId="56ACE620" w14:textId="409D6CE9" w:rsidR="002D19D1" w:rsidRPr="009C4C76" w:rsidRDefault="002D19D1" w:rsidP="009037BB">
      <w:pPr>
        <w:pStyle w:val="Textpoznmkypodiarou"/>
        <w:jc w:val="both"/>
        <w:rPr>
          <w:sz w:val="18"/>
          <w:szCs w:val="18"/>
        </w:rPr>
      </w:pPr>
      <w:r w:rsidRPr="009C4C76">
        <w:rPr>
          <w:rStyle w:val="Odkaznapoznmkupodiarou"/>
          <w:sz w:val="18"/>
          <w:szCs w:val="18"/>
        </w:rPr>
        <w:footnoteRef/>
      </w:r>
      <w:r w:rsidRPr="009C4C76">
        <w:rPr>
          <w:sz w:val="18"/>
          <w:szCs w:val="18"/>
        </w:rPr>
        <w:t xml:space="preserve"> Sa uvádzajú doplatky poistenca za lieky, zdravotnícke pomôcky a dietetické potraviny podľa § 6 ods. 1 písm. s) zákona č.</w:t>
      </w:r>
      <w:r>
        <w:rPr>
          <w:sz w:val="18"/>
          <w:szCs w:val="18"/>
        </w:rPr>
        <w:t> </w:t>
      </w:r>
      <w:r w:rsidRPr="009C4C76">
        <w:rPr>
          <w:sz w:val="18"/>
          <w:szCs w:val="18"/>
        </w:rPr>
        <w:t>581/2004</w:t>
      </w:r>
      <w:r w:rsidR="00B60D0E">
        <w:rPr>
          <w:sz w:val="18"/>
          <w:szCs w:val="18"/>
        </w:rPr>
        <w:t> </w:t>
      </w:r>
      <w:r w:rsidRPr="009C4C76">
        <w:rPr>
          <w:sz w:val="18"/>
          <w:szCs w:val="18"/>
        </w:rPr>
        <w:t>Z. z. a podľa § 87a až 87d zákona č. 363/2011 Z. z.</w:t>
      </w:r>
    </w:p>
  </w:footnote>
  <w:footnote w:id="18">
    <w:p w14:paraId="2FE9554E" w14:textId="095C2564" w:rsidR="00073D99" w:rsidRDefault="00073D99" w:rsidP="00CC2AE1">
      <w:pPr>
        <w:pStyle w:val="Textpoznmkypodiarou"/>
        <w:jc w:val="both"/>
      </w:pPr>
      <w:r>
        <w:rPr>
          <w:rStyle w:val="Odkaznapoznmkupodiarou"/>
        </w:rPr>
        <w:footnoteRef/>
      </w:r>
      <w:r>
        <w:t xml:space="preserve"> Na medziročn</w:t>
      </w:r>
      <w:r w:rsidR="00B15256">
        <w:t xml:space="preserve">ý rast </w:t>
      </w:r>
      <w:r>
        <w:t xml:space="preserve">výdavkov </w:t>
      </w:r>
      <w:r w:rsidR="00B15256">
        <w:t xml:space="preserve">štátnych rozpočtových organizácií </w:t>
      </w:r>
      <w:r>
        <w:t xml:space="preserve">na obstaranie kapitálových aktív má </w:t>
      </w:r>
      <w:r w:rsidR="00B15256">
        <w:t xml:space="preserve">vplyv </w:t>
      </w:r>
      <w:r>
        <w:t>aj metodické zaznamenanie</w:t>
      </w:r>
      <w:r w:rsidR="00B15256">
        <w:t xml:space="preserve"> darovanej vojenskej techniky v roku 2023 v hodnote 1,4 mld. eur na net</w:t>
      </w:r>
      <w:r w:rsidR="00CC2AE1">
        <w:t>to báze. Popis výdavkov na obstaranie kapitálových aktív je bez vplyvu darovanej vojenskej techniky.</w:t>
      </w:r>
    </w:p>
  </w:footnote>
  <w:footnote w:id="19">
    <w:p w14:paraId="088BC67D" w14:textId="77777777" w:rsidR="00EA459E" w:rsidRPr="00D758B6" w:rsidRDefault="00EA459E" w:rsidP="00EA459E">
      <w:pPr>
        <w:pStyle w:val="Textpoznmkypodiarou"/>
        <w:jc w:val="both"/>
        <w:rPr>
          <w:sz w:val="16"/>
          <w:szCs w:val="16"/>
        </w:rPr>
      </w:pPr>
      <w:r w:rsidRPr="00115EF1">
        <w:rPr>
          <w:rStyle w:val="Odkaznapoznmkupodiarou"/>
          <w:rFonts w:eastAsiaTheme="majorEastAsia"/>
          <w:sz w:val="16"/>
          <w:szCs w:val="16"/>
        </w:rPr>
        <w:footnoteRef/>
      </w:r>
      <w:r w:rsidRPr="00115EF1">
        <w:rPr>
          <w:sz w:val="16"/>
          <w:szCs w:val="16"/>
        </w:rPr>
        <w:t xml:space="preserve"> Pre účely súhrnnej výročnej správy používa MFSR údaje z jesennej notifikácie Eurostatu. Odhad cyklickej zložky vychádza  z produkčnej medzery na základe najaktuálnejšej prognózy MF SR schválenej výborom pre makroekonomické prognózy. Odhad jednorazových a dočasných opatrení vychádza </w:t>
      </w:r>
      <w:r>
        <w:rPr>
          <w:sz w:val="16"/>
          <w:szCs w:val="16"/>
        </w:rPr>
        <w:t>najmä</w:t>
      </w:r>
      <w:r w:rsidRPr="00115EF1">
        <w:rPr>
          <w:sz w:val="16"/>
          <w:szCs w:val="16"/>
        </w:rPr>
        <w:t xml:space="preserve"> z národnej metodiky MF SR.</w:t>
      </w:r>
    </w:p>
  </w:footnote>
  <w:footnote w:id="20">
    <w:p w14:paraId="754A5F5B" w14:textId="77777777" w:rsidR="00EA459E" w:rsidRPr="007A4784" w:rsidRDefault="00EA459E" w:rsidP="00EA459E">
      <w:pPr>
        <w:pStyle w:val="Textpoznmkypodiarou"/>
        <w:jc w:val="both"/>
        <w:rPr>
          <w:sz w:val="16"/>
          <w:szCs w:val="16"/>
        </w:rPr>
      </w:pPr>
      <w:r w:rsidRPr="00115EF1">
        <w:rPr>
          <w:rStyle w:val="Odkaznapoznmkupodiarou"/>
          <w:rFonts w:eastAsiaTheme="majorEastAsia"/>
          <w:sz w:val="16"/>
          <w:szCs w:val="16"/>
        </w:rPr>
        <w:footnoteRef/>
      </w:r>
      <w:r w:rsidRPr="00115EF1">
        <w:rPr>
          <w:sz w:val="16"/>
          <w:szCs w:val="16"/>
        </w:rPr>
        <w:t xml:space="preserve">  Metodika na identifikáciu jednorazových a dočasných opatrení MF SR je dostupná tu: </w:t>
      </w:r>
      <w:hyperlink r:id="rId4" w:history="1">
        <w:r w:rsidRPr="00115EF1">
          <w:rPr>
            <w:rStyle w:val="Hypertextovprepojenie"/>
            <w:sz w:val="16"/>
            <w:szCs w:val="16"/>
          </w:rPr>
          <w:t>https://www.mfsr.sk/sk/financie/institut-financnej-politiky/publikacie-ifp/manualy/jednorazove-vplyvy.html</w:t>
        </w:r>
      </w:hyperlink>
      <w:r>
        <w:rPr>
          <w:sz w:val="16"/>
          <w:szCs w:val="16"/>
        </w:rPr>
        <w:t xml:space="preserve"> </w:t>
      </w:r>
    </w:p>
  </w:footnote>
  <w:footnote w:id="21">
    <w:p w14:paraId="7CF4BE76" w14:textId="77777777" w:rsidR="00324ABB" w:rsidRPr="00424ADE" w:rsidRDefault="00324ABB" w:rsidP="00324ABB">
      <w:pPr>
        <w:pStyle w:val="Textpoznmkypodiarou"/>
        <w:jc w:val="both"/>
        <w:rPr>
          <w:sz w:val="18"/>
          <w:szCs w:val="18"/>
        </w:rPr>
      </w:pPr>
      <w:r w:rsidRPr="00424ADE">
        <w:rPr>
          <w:rStyle w:val="Odkaznapoznmkupodiarou"/>
          <w:sz w:val="18"/>
          <w:szCs w:val="18"/>
        </w:rPr>
        <w:footnoteRef/>
      </w:r>
      <w:r w:rsidRPr="00424ADE">
        <w:rPr>
          <w:sz w:val="18"/>
          <w:szCs w:val="18"/>
        </w:rPr>
        <w:t xml:space="preserve"> Rast čistých výdavkov predstavuje medziročnú zmenu celkových výdavkov verejnej správy (ESA2010) bez úrokových nákladov, výdavkov financovaných zo zdrojov EÚ a Plánu obnovy, výdavkov na spolufinancovanie spoločných programov EÚ, cyklickej časti dávok v nezamestnanosti a jednorazových výdavkov. Pri medziročnom raste čistých výdavkov sa zároveň zohľadňujú diskrečné príjmové opatrenia prijaté vládou na príjmovej strane rozpočtu.</w:t>
      </w:r>
    </w:p>
  </w:footnote>
  <w:footnote w:id="22">
    <w:p w14:paraId="18A1D129" w14:textId="77777777" w:rsidR="008D76FE" w:rsidRPr="003D33E4" w:rsidRDefault="008D76FE" w:rsidP="008D76FE">
      <w:pPr>
        <w:pStyle w:val="Textpoznmkypodiarou"/>
        <w:jc w:val="both"/>
        <w:rPr>
          <w:sz w:val="18"/>
          <w:szCs w:val="18"/>
        </w:rPr>
      </w:pPr>
      <w:r w:rsidRPr="003D33E4">
        <w:rPr>
          <w:rStyle w:val="Odkaznapoznmkupodiarou"/>
          <w:sz w:val="18"/>
          <w:szCs w:val="18"/>
        </w:rPr>
        <w:footnoteRef/>
      </w:r>
      <w:r w:rsidRPr="003D33E4">
        <w:rPr>
          <w:sz w:val="18"/>
          <w:szCs w:val="18"/>
        </w:rPr>
        <w:t xml:space="preserve"> Súčasťou takto stanoveného rastu výdavkov boli </w:t>
      </w:r>
      <w:r>
        <w:rPr>
          <w:sz w:val="18"/>
          <w:szCs w:val="18"/>
        </w:rPr>
        <w:t xml:space="preserve">aj </w:t>
      </w:r>
      <w:r w:rsidRPr="003D33E4">
        <w:rPr>
          <w:sz w:val="18"/>
          <w:szCs w:val="18"/>
        </w:rPr>
        <w:t>výdavky verejnej správy na spolufinancovanie programov EÚ</w:t>
      </w:r>
      <w:r>
        <w:rPr>
          <w:sz w:val="18"/>
          <w:szCs w:val="18"/>
        </w:rPr>
        <w:t>, ktoré sa v tom čase od celkových výdavkov neočisťovali</w:t>
      </w:r>
      <w:r w:rsidRPr="003D33E4">
        <w:rPr>
          <w:sz w:val="18"/>
          <w:szCs w:val="18"/>
        </w:rPr>
        <w:t>.</w:t>
      </w:r>
    </w:p>
  </w:footnote>
  <w:footnote w:id="23">
    <w:p w14:paraId="1C932026" w14:textId="657A5336" w:rsidR="006B27CE" w:rsidRPr="006B27CE" w:rsidRDefault="006B27CE" w:rsidP="006B27CE">
      <w:pPr>
        <w:spacing w:after="0" w:line="240" w:lineRule="auto"/>
        <w:jc w:val="both"/>
        <w:rPr>
          <w:sz w:val="18"/>
          <w:szCs w:val="18"/>
        </w:rPr>
      </w:pPr>
      <w:r w:rsidRPr="006B27CE">
        <w:rPr>
          <w:rStyle w:val="Odkaznapoznmkupodiarou"/>
          <w:sz w:val="18"/>
          <w:szCs w:val="18"/>
        </w:rPr>
        <w:footnoteRef/>
      </w:r>
      <w:r w:rsidRPr="006B27CE">
        <w:rPr>
          <w:sz w:val="18"/>
          <w:szCs w:val="18"/>
        </w:rPr>
        <w:t xml:space="preserve"> V jesennej notifikácií boli na základe požiadaviek Eurostatu navýšené ESA výdavky o imputovaný transfer z predaja emisných povoleniek </w:t>
      </w:r>
      <w:r>
        <w:rPr>
          <w:sz w:val="18"/>
          <w:szCs w:val="18"/>
        </w:rPr>
        <w:t>prislúchajúcich krajine do</w:t>
      </w:r>
      <w:r w:rsidRPr="006B27CE">
        <w:rPr>
          <w:sz w:val="18"/>
          <w:szCs w:val="18"/>
        </w:rPr>
        <w:t xml:space="preserve"> Modernizačného fondu </w:t>
      </w:r>
      <w:r>
        <w:rPr>
          <w:sz w:val="18"/>
          <w:szCs w:val="18"/>
        </w:rPr>
        <w:t>v správe EIB</w:t>
      </w:r>
      <w:r w:rsidRPr="006B27CE">
        <w:rPr>
          <w:sz w:val="18"/>
          <w:szCs w:val="18"/>
        </w:rPr>
        <w:t xml:space="preserve">. </w:t>
      </w:r>
      <w:r w:rsidR="00C718C6">
        <w:rPr>
          <w:sz w:val="18"/>
          <w:szCs w:val="18"/>
        </w:rPr>
        <w:t xml:space="preserve">Ministerstvo financií SR pri výpočte národného limitu vychádzalo z klasifikácie Modernizačného fondu ako inštitúcie EÚ. </w:t>
      </w:r>
      <w:r w:rsidR="00BC5B28">
        <w:rPr>
          <w:sz w:val="18"/>
          <w:szCs w:val="18"/>
        </w:rPr>
        <w:t>Zaznamenanie príslušných transakcií krajiny s Modernizačným fondom bude predmetom dialógovej misie Eurostatu v novembri tohto roka.</w:t>
      </w:r>
      <w:r>
        <w:rPr>
          <w:sz w:val="18"/>
          <w:szCs w:val="18"/>
        </w:rPr>
        <w:t xml:space="preserve"> </w:t>
      </w:r>
    </w:p>
    <w:p w14:paraId="27486FC6" w14:textId="5345231A" w:rsidR="006B27CE" w:rsidRDefault="006B27CE">
      <w:pPr>
        <w:pStyle w:val="Textpoznmkypodiarou"/>
      </w:pPr>
    </w:p>
  </w:footnote>
  <w:footnote w:id="24">
    <w:p w14:paraId="3F85A949" w14:textId="77777777" w:rsidR="005C53B5" w:rsidRPr="009C4C76" w:rsidRDefault="005C53B5" w:rsidP="005C53B5">
      <w:pPr>
        <w:pStyle w:val="Textpoznmkypodiarou"/>
        <w:jc w:val="both"/>
        <w:rPr>
          <w:sz w:val="18"/>
          <w:szCs w:val="18"/>
        </w:rPr>
      </w:pPr>
      <w:r w:rsidRPr="009C4C76">
        <w:rPr>
          <w:rStyle w:val="Odkaznapoznmkupodiarou"/>
          <w:sz w:val="18"/>
          <w:szCs w:val="18"/>
        </w:rPr>
        <w:footnoteRef/>
      </w:r>
      <w:r w:rsidRPr="009C4C76">
        <w:rPr>
          <w:sz w:val="18"/>
          <w:szCs w:val="18"/>
        </w:rPr>
        <w:t xml:space="preserve"> Ide najmä o pravidlá Paktu stability a rastu, ktoré stanovujú hranicu deficitu verejnej správy 3</w:t>
      </w:r>
      <w:r>
        <w:rPr>
          <w:sz w:val="18"/>
          <w:szCs w:val="18"/>
        </w:rPr>
        <w:t>,0</w:t>
      </w:r>
      <w:r w:rsidRPr="009C4C76">
        <w:rPr>
          <w:sz w:val="18"/>
          <w:szCs w:val="18"/>
        </w:rPr>
        <w:t> % HDP a dlhu verejnej správy 60</w:t>
      </w:r>
      <w:r>
        <w:rPr>
          <w:sz w:val="18"/>
          <w:szCs w:val="18"/>
        </w:rPr>
        <w:t>,0</w:t>
      </w:r>
      <w:r w:rsidRPr="009C4C76">
        <w:rPr>
          <w:sz w:val="18"/>
          <w:szCs w:val="18"/>
        </w:rPr>
        <w:t> % HDP (bližšie o európskych fiškálnych pravidlách pozri slovník základných pojmov).</w:t>
      </w:r>
    </w:p>
  </w:footnote>
  <w:footnote w:id="25">
    <w:p w14:paraId="05BC2612" w14:textId="77777777" w:rsidR="005C53B5" w:rsidRPr="009C4C76" w:rsidRDefault="005C53B5" w:rsidP="005C53B5">
      <w:pPr>
        <w:pStyle w:val="Textpoznmkypodiarou"/>
        <w:jc w:val="both"/>
        <w:rPr>
          <w:sz w:val="18"/>
          <w:szCs w:val="18"/>
        </w:rPr>
      </w:pPr>
      <w:r w:rsidRPr="009C4C76">
        <w:rPr>
          <w:rStyle w:val="Odkaznapoznmkupodiarou"/>
          <w:sz w:val="18"/>
          <w:szCs w:val="18"/>
        </w:rPr>
        <w:footnoteRef/>
      </w:r>
      <w:r w:rsidRPr="009C4C76">
        <w:rPr>
          <w:sz w:val="18"/>
          <w:szCs w:val="18"/>
        </w:rPr>
        <w:t xml:space="preserve"> Verejný sektor je širší pojem ako verejná správa, nad rámec sektora verejnej správy zahŕňa aj podniky verejnej správy a Národnú banku Slovenska. Z definície čistého bohatstva podľa ústavného zákona o rozpočtovej zodpovednosti odvodzujeme aj skupinu subjektov tvoriacich verejný sektor.</w:t>
      </w:r>
    </w:p>
  </w:footnote>
  <w:footnote w:id="26">
    <w:p w14:paraId="243032F6" w14:textId="77777777" w:rsidR="004C5D69" w:rsidRPr="009C4C76" w:rsidRDefault="004C5D69" w:rsidP="004C5D69">
      <w:pPr>
        <w:pStyle w:val="Textpoznmkypodiarou"/>
        <w:jc w:val="both"/>
        <w:rPr>
          <w:sz w:val="18"/>
          <w:szCs w:val="18"/>
        </w:rPr>
      </w:pPr>
      <w:r w:rsidRPr="009C4C76">
        <w:rPr>
          <w:rStyle w:val="Odkaznapoznmkupodiarou"/>
          <w:sz w:val="18"/>
          <w:szCs w:val="18"/>
        </w:rPr>
        <w:footnoteRef/>
      </w:r>
      <w:r w:rsidRPr="009C4C76">
        <w:rPr>
          <w:sz w:val="18"/>
          <w:szCs w:val="18"/>
        </w:rPr>
        <w:t xml:space="preserve"> Koncept ,,súhrnného celku“ je definovaný v Súhrnnej účtovnej závierke a je odlišný od definície verejnej správy podľa zákona č. 523/2004 Z. z. o rozpočtových pravidlách verejnej správy a o zmene a doplnení niektorých zákonov. Verejná správa tvorí najpodstatnejšiu časť súhrnného celku, avšak do súhrnného celku vstupujú aj iné subjekty, ktoré nie sú štatisticky zaradené do verejnej správy podľa metodiky ESA 2010.</w:t>
      </w:r>
    </w:p>
  </w:footnote>
  <w:footnote w:id="27">
    <w:p w14:paraId="671F44FD" w14:textId="77777777" w:rsidR="00574279" w:rsidRDefault="00574279" w:rsidP="00574279">
      <w:pPr>
        <w:pStyle w:val="Textpoznmkypodiarou"/>
      </w:pPr>
      <w:r>
        <w:rPr>
          <w:rStyle w:val="Odkaznapoznmkupodiarou"/>
        </w:rPr>
        <w:footnoteRef/>
      </w:r>
      <w:r>
        <w:t xml:space="preserve"> Na základe uznesenia Vlády SR č. 351 z 12. júna 2024.</w:t>
      </w:r>
    </w:p>
  </w:footnote>
  <w:footnote w:id="28">
    <w:p w14:paraId="35A69173" w14:textId="7A3817A1" w:rsidR="00574279" w:rsidRDefault="00574279" w:rsidP="00574279">
      <w:pPr>
        <w:pStyle w:val="Textpoznmkypodiarou"/>
        <w:jc w:val="both"/>
      </w:pPr>
      <w:r>
        <w:rPr>
          <w:rStyle w:val="Odkaznapoznmkupodiarou"/>
        </w:rPr>
        <w:footnoteRef/>
      </w:r>
      <w:r>
        <w:t xml:space="preserve"> V</w:t>
      </w:r>
      <w:r w:rsidRPr="009D6250">
        <w:rPr>
          <w:szCs w:val="22"/>
          <w:lang w:eastAsia="sk-SK"/>
        </w:rPr>
        <w:t xml:space="preserve"> súlade s uznesením Vlády SR č. 423/2023, ktoré vymedzuje časový harmonogram čerpania prostriedkov zo</w:t>
      </w:r>
      <w:r w:rsidR="00887911">
        <w:rPr>
          <w:szCs w:val="22"/>
          <w:lang w:eastAsia="sk-SK"/>
        </w:rPr>
        <w:t> </w:t>
      </w:r>
      <w:r w:rsidRPr="009D6250">
        <w:rPr>
          <w:szCs w:val="22"/>
          <w:lang w:eastAsia="sk-SK"/>
        </w:rPr>
        <w:t>štátnych finančných aktív na financovanie  významnej investície „Strategické územie Valaliky“ a „Strategické územie Valaliky – rozvoj verejných služieb“</w:t>
      </w:r>
      <w:r>
        <w:rPr>
          <w:szCs w:val="22"/>
          <w:lang w:eastAsia="sk-SK"/>
        </w:rPr>
        <w:t>.</w:t>
      </w:r>
    </w:p>
  </w:footnote>
  <w:footnote w:id="29">
    <w:p w14:paraId="62451C5D" w14:textId="77777777" w:rsidR="00891A59" w:rsidRPr="00111393" w:rsidRDefault="00891A59" w:rsidP="00891A59">
      <w:pPr>
        <w:pStyle w:val="Textpoznmkypodiarou"/>
        <w:jc w:val="both"/>
        <w:rPr>
          <w:sz w:val="16"/>
          <w:szCs w:val="16"/>
        </w:rPr>
      </w:pPr>
      <w:r w:rsidRPr="00111393">
        <w:rPr>
          <w:rStyle w:val="Odkaznapoznmkupodiarou"/>
          <w:sz w:val="16"/>
          <w:szCs w:val="16"/>
        </w:rPr>
        <w:footnoteRef/>
      </w:r>
      <w:r w:rsidRPr="00111393">
        <w:rPr>
          <w:sz w:val="16"/>
          <w:szCs w:val="16"/>
        </w:rPr>
        <w:t xml:space="preserve"> </w:t>
      </w:r>
      <w:r>
        <w:rPr>
          <w:color w:val="000000"/>
          <w:sz w:val="16"/>
          <w:szCs w:val="16"/>
        </w:rPr>
        <w:t>Implicitné záväzky za rok 2024</w:t>
      </w:r>
      <w:r w:rsidRPr="00111393">
        <w:rPr>
          <w:color w:val="000000"/>
          <w:sz w:val="16"/>
          <w:szCs w:val="16"/>
        </w:rPr>
        <w:t xml:space="preserve"> </w:t>
      </w:r>
      <w:r>
        <w:rPr>
          <w:color w:val="000000"/>
          <w:sz w:val="16"/>
          <w:szCs w:val="16"/>
        </w:rPr>
        <w:t>zohľadňujú legislatívne zmeny prijaté Národnou radou SR do 31.12.2024</w:t>
      </w:r>
      <w:r w:rsidRPr="00111393">
        <w:rPr>
          <w:color w:val="000000"/>
          <w:sz w:val="16"/>
          <w:szCs w:val="16"/>
        </w:rPr>
        <w:t>.</w:t>
      </w:r>
    </w:p>
  </w:footnote>
  <w:footnote w:id="30">
    <w:p w14:paraId="105DF793" w14:textId="77777777" w:rsidR="00891A59" w:rsidRPr="00D23DCB" w:rsidRDefault="00891A59" w:rsidP="00891A59">
      <w:pPr>
        <w:spacing w:after="0" w:line="240" w:lineRule="auto"/>
        <w:rPr>
          <w:i/>
          <w:iCs/>
          <w:sz w:val="16"/>
          <w:szCs w:val="16"/>
        </w:rPr>
      </w:pPr>
      <w:r w:rsidRPr="00111393">
        <w:rPr>
          <w:rStyle w:val="Odkaznapoznmkupodiarou"/>
          <w:color w:val="000000"/>
          <w:sz w:val="16"/>
          <w:szCs w:val="16"/>
        </w:rPr>
        <w:footnoteRef/>
      </w:r>
      <w:r w:rsidRPr="00111393">
        <w:rPr>
          <w:color w:val="000000"/>
          <w:sz w:val="16"/>
          <w:szCs w:val="16"/>
        </w:rPr>
        <w:t xml:space="preserve"> </w:t>
      </w:r>
      <w:r w:rsidRPr="00111393">
        <w:rPr>
          <w:sz w:val="16"/>
          <w:szCs w:val="16"/>
        </w:rPr>
        <w:t xml:space="preserve">Uvedené výsledky je zároveň potrebné interpretovať starostlivo. </w:t>
      </w:r>
      <w:r w:rsidRPr="00111393">
        <w:rPr>
          <w:iCs/>
          <w:color w:val="000000"/>
          <w:sz w:val="16"/>
          <w:szCs w:val="16"/>
        </w:rPr>
        <w:t>Pri výpočte implicitných záväzkov je potrebné brať do úvahy fakt, že hodnota implicitných záväzkov plynúcich zo starnutia</w:t>
      </w:r>
      <w:r w:rsidRPr="00111393">
        <w:rPr>
          <w:bCs/>
          <w:iCs/>
          <w:color w:val="000000"/>
          <w:sz w:val="16"/>
          <w:szCs w:val="16"/>
        </w:rPr>
        <w:t xml:space="preserve"> je vyjadrená v súčasnej hodnote a v pomere k aktuálnemu výkonu ekonomiky (% HDP)</w:t>
      </w:r>
      <w:r w:rsidRPr="00111393">
        <w:rPr>
          <w:iCs/>
          <w:color w:val="000000"/>
          <w:sz w:val="16"/>
          <w:szCs w:val="16"/>
        </w:rPr>
        <w:t>.</w:t>
      </w:r>
    </w:p>
  </w:footnote>
  <w:footnote w:id="31">
    <w:p w14:paraId="157E456B" w14:textId="77777777" w:rsidR="00891A59" w:rsidRDefault="00891A59" w:rsidP="00891A59">
      <w:pPr>
        <w:pStyle w:val="Textpoznmkypodiarou"/>
        <w:jc w:val="both"/>
      </w:pPr>
      <w:r w:rsidRPr="000655A6">
        <w:rPr>
          <w:rStyle w:val="Odkaznapoznmkupodiarou"/>
          <w:sz w:val="16"/>
          <w:szCs w:val="16"/>
        </w:rPr>
        <w:footnoteRef/>
      </w:r>
      <w:r w:rsidRPr="000655A6">
        <w:rPr>
          <w:sz w:val="16"/>
          <w:szCs w:val="16"/>
        </w:rPr>
        <w:t xml:space="preserve"> Pri projektoch rýchlostnej cesty R1 a novom projekte výstavby väzenského zariadenia do roku 2041 a pri projekte D4/R7 do roku 2050.</w:t>
      </w:r>
    </w:p>
  </w:footnote>
  <w:footnote w:id="32">
    <w:p w14:paraId="44655AA0" w14:textId="77777777" w:rsidR="00891A59" w:rsidRPr="00846B5C" w:rsidRDefault="00891A59" w:rsidP="00891A59">
      <w:pPr>
        <w:pStyle w:val="Textpoznmkypodiarou"/>
        <w:jc w:val="both"/>
        <w:rPr>
          <w:sz w:val="16"/>
          <w:szCs w:val="16"/>
        </w:rPr>
      </w:pPr>
      <w:r w:rsidRPr="00846B5C">
        <w:rPr>
          <w:rStyle w:val="Odkaznapoznmkupodiarou"/>
          <w:sz w:val="16"/>
          <w:szCs w:val="16"/>
        </w:rPr>
        <w:footnoteRef/>
      </w:r>
      <w:r w:rsidRPr="00846B5C">
        <w:rPr>
          <w:sz w:val="16"/>
          <w:szCs w:val="16"/>
        </w:rPr>
        <w:t xml:space="preserve"> Schéma bola aktualizovaná o nové údaje o očakávaných príjmoch a nákladoch Národ</w:t>
      </w:r>
      <w:r>
        <w:rPr>
          <w:sz w:val="16"/>
          <w:szCs w:val="16"/>
        </w:rPr>
        <w:t>ného jadrového fondu</w:t>
      </w:r>
      <w:r w:rsidRPr="00846B5C">
        <w:rPr>
          <w:sz w:val="16"/>
          <w:szCs w:val="16"/>
        </w:rPr>
        <w:t>.</w:t>
      </w:r>
    </w:p>
  </w:footnote>
  <w:footnote w:id="33">
    <w:p w14:paraId="7F52946C" w14:textId="5C7653EE" w:rsidR="00891A59" w:rsidRPr="00846B5C" w:rsidRDefault="00891A59" w:rsidP="00891A59">
      <w:pPr>
        <w:autoSpaceDE w:val="0"/>
        <w:autoSpaceDN w:val="0"/>
        <w:adjustRightInd w:val="0"/>
        <w:spacing w:after="0" w:line="240" w:lineRule="auto"/>
        <w:jc w:val="both"/>
        <w:rPr>
          <w:sz w:val="16"/>
          <w:szCs w:val="16"/>
        </w:rPr>
      </w:pPr>
      <w:r w:rsidRPr="009E09F0">
        <w:rPr>
          <w:rStyle w:val="Odkaznapoznmkupodiarou"/>
          <w:sz w:val="16"/>
          <w:szCs w:val="16"/>
        </w:rPr>
        <w:footnoteRef/>
      </w:r>
      <w:r w:rsidRPr="00846B5C">
        <w:rPr>
          <w:sz w:val="16"/>
          <w:szCs w:val="16"/>
        </w:rPr>
        <w:t xml:space="preserve"> Na základe údajov </w:t>
      </w:r>
      <w:r>
        <w:rPr>
          <w:sz w:val="16"/>
          <w:szCs w:val="16"/>
        </w:rPr>
        <w:t>z výročných správ</w:t>
      </w:r>
      <w:r w:rsidRPr="00846B5C">
        <w:rPr>
          <w:sz w:val="16"/>
          <w:szCs w:val="16"/>
        </w:rPr>
        <w:t> NJF. Implicitný záväzok súvisiaci s Národným jadrovým fondom vyplýva z financovania vyraďovania</w:t>
      </w:r>
      <w:r>
        <w:rPr>
          <w:sz w:val="16"/>
          <w:szCs w:val="16"/>
        </w:rPr>
        <w:t xml:space="preserve"> jadrových </w:t>
      </w:r>
      <w:r w:rsidRPr="00846B5C">
        <w:rPr>
          <w:sz w:val="16"/>
          <w:szCs w:val="16"/>
        </w:rPr>
        <w:t>zariadení.</w:t>
      </w:r>
      <w:r>
        <w:rPr>
          <w:sz w:val="16"/>
          <w:szCs w:val="16"/>
        </w:rPr>
        <w:t xml:space="preserve"> </w:t>
      </w:r>
      <w:r w:rsidRPr="00846B5C">
        <w:rPr>
          <w:sz w:val="16"/>
          <w:szCs w:val="16"/>
        </w:rPr>
        <w:t>Veľkosť budúcich nákladov výraznejšie</w:t>
      </w:r>
      <w:r>
        <w:rPr>
          <w:sz w:val="16"/>
          <w:szCs w:val="16"/>
        </w:rPr>
        <w:t xml:space="preserve"> </w:t>
      </w:r>
      <w:r w:rsidRPr="00846B5C">
        <w:rPr>
          <w:sz w:val="16"/>
          <w:szCs w:val="16"/>
        </w:rPr>
        <w:t xml:space="preserve">rastie kvôli zvyšujúcim sa nákladom na skladovanie a likvidáciu jadrového odpadu. </w:t>
      </w:r>
      <w:r>
        <w:rPr>
          <w:sz w:val="16"/>
          <w:szCs w:val="16"/>
        </w:rPr>
        <w:t>V</w:t>
      </w:r>
      <w:r w:rsidR="00E1792B">
        <w:rPr>
          <w:sz w:val="16"/>
          <w:szCs w:val="16"/>
        </w:rPr>
        <w:t> </w:t>
      </w:r>
      <w:r w:rsidRPr="00846B5C">
        <w:rPr>
          <w:sz w:val="16"/>
          <w:szCs w:val="16"/>
        </w:rPr>
        <w:t>celom horizonte, najmä vďaka kumulujúcemu sa prebytku fondu v prvých dekádach, je vplyv Národného jadrového fondu kladný</w:t>
      </w:r>
      <w:r>
        <w:rPr>
          <w:sz w:val="16"/>
          <w:szCs w:val="16"/>
        </w:rPr>
        <w:t>.</w:t>
      </w:r>
    </w:p>
  </w:footnote>
  <w:footnote w:id="34">
    <w:p w14:paraId="46EF3971" w14:textId="77777777" w:rsidR="00891A59" w:rsidRDefault="00891A59" w:rsidP="00891A59">
      <w:pPr>
        <w:pStyle w:val="Textpoznmkypodiarou"/>
        <w:jc w:val="both"/>
      </w:pPr>
      <w:r w:rsidRPr="00A107AA">
        <w:rPr>
          <w:rStyle w:val="Odkaznapoznmkupodiarou"/>
          <w:sz w:val="16"/>
          <w:szCs w:val="16"/>
        </w:rPr>
        <w:footnoteRef/>
      </w:r>
      <w:r w:rsidRPr="00A107AA">
        <w:rPr>
          <w:sz w:val="16"/>
          <w:szCs w:val="16"/>
        </w:rPr>
        <w:t xml:space="preserve"> Diskusia sa vedie o nových karbónových daniach na CO</w:t>
      </w:r>
      <w:r w:rsidRPr="007104A0">
        <w:rPr>
          <w:sz w:val="16"/>
          <w:szCs w:val="16"/>
          <w:vertAlign w:val="subscript"/>
        </w:rPr>
        <w:t>2</w:t>
      </w:r>
      <w:r w:rsidRPr="00A107AA">
        <w:rPr>
          <w:sz w:val="16"/>
          <w:szCs w:val="16"/>
        </w:rPr>
        <w:t>, cezhraničných daniach na špecifický import, či digitálnej dani.</w:t>
      </w:r>
    </w:p>
  </w:footnote>
  <w:footnote w:id="35">
    <w:p w14:paraId="427A5B10" w14:textId="63CDE0BD" w:rsidR="00DE6A66" w:rsidRPr="009C4C76" w:rsidRDefault="00DE6A66" w:rsidP="00DE6A66">
      <w:pPr>
        <w:pStyle w:val="Textpoznmkypodiarou"/>
        <w:jc w:val="both"/>
        <w:rPr>
          <w:sz w:val="18"/>
          <w:szCs w:val="18"/>
        </w:rPr>
      </w:pPr>
      <w:r w:rsidRPr="009C4C76">
        <w:rPr>
          <w:rStyle w:val="Odkaznapoznmkupodiarou"/>
          <w:sz w:val="18"/>
          <w:szCs w:val="18"/>
        </w:rPr>
        <w:footnoteRef/>
      </w:r>
      <w:r w:rsidRPr="009C4C76">
        <w:rPr>
          <w:sz w:val="18"/>
          <w:szCs w:val="18"/>
        </w:rPr>
        <w:t xml:space="preserve"> Na  základe internej analýzy metodík a prístupov k podmieneným záväzkom a analýzy konkrétnych prípadov v účtovných závierkach subjektov, ktorú vykonalo Ministerstvo financií SR v roku 2021, sa ako podmienené záväzky nevykazujú napríklad deklarované kapitálové výdavky na obstaranie infraštruktúry, zmeny z aplikácie účtovných štandardov, podsúvahové položky majetku v úschove, majetok v nájme. Ide o položky, ktoré svojou povahou nezvyšujú čisté bohatstvo v danom čase. Napríklad spomenuté investičné výdavky resp. rozpočet kapitálových výdavkov, zazmluvnené kontrakty s dodávateľom sa najprv zhmotnia vo</w:t>
      </w:r>
      <w:r w:rsidR="00E1792B">
        <w:rPr>
          <w:sz w:val="18"/>
          <w:szCs w:val="18"/>
        </w:rPr>
        <w:t> </w:t>
      </w:r>
      <w:r w:rsidRPr="009C4C76">
        <w:rPr>
          <w:sz w:val="18"/>
          <w:szCs w:val="18"/>
        </w:rPr>
        <w:t>výdavkoch (odliv finančných prostriedkov) a následne v prírastku majetku. Ide teda o zmenu štruktúry majetku, kedy sa finančné prostriedky menia na hmotný či nehmotný majetok. Obdobne majetok v nájme či v úschove nie je vlastníctvom danej organizácie, preto nezvyšuje čisté bohatstvo do momentu zmeny vlastníctva.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381C" w14:textId="15AD783F" w:rsidR="002D19D1" w:rsidRDefault="002D19D1" w:rsidP="00254DF2">
    <w:pPr>
      <w:pStyle w:val="Hlavika"/>
      <w:pBdr>
        <w:bottom w:val="thickThinSmallGap" w:sz="24" w:space="1" w:color="622423"/>
      </w:pBdr>
      <w:tabs>
        <w:tab w:val="clear" w:pos="4536"/>
        <w:tab w:val="clear" w:pos="9072"/>
      </w:tabs>
      <w:ind w:right="-1"/>
      <w:jc w:val="center"/>
      <w:rPr>
        <w:i/>
        <w:color w:val="C00000"/>
        <w:sz w:val="24"/>
        <w:szCs w:val="24"/>
      </w:rPr>
    </w:pPr>
    <w:r>
      <w:rPr>
        <w:i/>
        <w:color w:val="C00000"/>
        <w:sz w:val="24"/>
        <w:szCs w:val="24"/>
      </w:rPr>
      <w:t>S</w:t>
    </w:r>
    <w:r w:rsidRPr="00012A0B">
      <w:rPr>
        <w:i/>
        <w:color w:val="C00000"/>
        <w:sz w:val="24"/>
        <w:szCs w:val="24"/>
      </w:rPr>
      <w:t xml:space="preserve">úhrnná výročná správa </w:t>
    </w:r>
    <w:r>
      <w:rPr>
        <w:i/>
        <w:color w:val="C00000"/>
        <w:sz w:val="24"/>
        <w:szCs w:val="24"/>
      </w:rPr>
      <w:t xml:space="preserve">Slovenskej republiky za rok </w:t>
    </w:r>
    <w:r w:rsidR="00174C84">
      <w:rPr>
        <w:i/>
        <w:color w:val="C00000"/>
        <w:sz w:val="24"/>
        <w:szCs w:val="24"/>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280685C"/>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AF5C03"/>
    <w:multiLevelType w:val="multilevel"/>
    <w:tmpl w:val="E1A891B0"/>
    <w:lvl w:ilvl="0">
      <w:start w:val="2"/>
      <w:numFmt w:val="decimal"/>
      <w:lvlText w:val="%1."/>
      <w:lvlJc w:val="left"/>
      <w:pPr>
        <w:ind w:left="504" w:hanging="504"/>
      </w:pPr>
      <w:rPr>
        <w:rFonts w:hint="default"/>
      </w:rPr>
    </w:lvl>
    <w:lvl w:ilvl="1">
      <w:start w:val="3"/>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45F6B6D"/>
    <w:multiLevelType w:val="multilevel"/>
    <w:tmpl w:val="870C39CC"/>
    <w:lvl w:ilvl="0">
      <w:start w:val="2"/>
      <w:numFmt w:val="decimal"/>
      <w:lvlText w:val="%1."/>
      <w:lvlJc w:val="left"/>
      <w:pPr>
        <w:ind w:left="9291"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288" w:hanging="720"/>
      </w:pPr>
      <w:rPr>
        <w:rFonts w:cs="Times New Roman"/>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159F3A07"/>
    <w:multiLevelType w:val="hybridMultilevel"/>
    <w:tmpl w:val="A47C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781362"/>
    <w:multiLevelType w:val="hybridMultilevel"/>
    <w:tmpl w:val="730C300A"/>
    <w:lvl w:ilvl="0" w:tplc="4FE8DB12">
      <w:start w:val="1"/>
      <w:numFmt w:val="bullet"/>
      <w:lvlText w:val=""/>
      <w:lvlJc w:val="left"/>
      <w:pPr>
        <w:ind w:left="1080" w:hanging="360"/>
      </w:pPr>
      <w:rPr>
        <w:rFonts w:ascii="Symbol" w:hAnsi="Symbol"/>
      </w:rPr>
    </w:lvl>
    <w:lvl w:ilvl="1" w:tplc="ED9296E2">
      <w:start w:val="1"/>
      <w:numFmt w:val="bullet"/>
      <w:lvlText w:val=""/>
      <w:lvlJc w:val="left"/>
      <w:pPr>
        <w:ind w:left="1080" w:hanging="360"/>
      </w:pPr>
      <w:rPr>
        <w:rFonts w:ascii="Symbol" w:hAnsi="Symbol"/>
      </w:rPr>
    </w:lvl>
    <w:lvl w:ilvl="2" w:tplc="E10C47A2">
      <w:start w:val="1"/>
      <w:numFmt w:val="bullet"/>
      <w:lvlText w:val=""/>
      <w:lvlJc w:val="left"/>
      <w:pPr>
        <w:ind w:left="1080" w:hanging="360"/>
      </w:pPr>
      <w:rPr>
        <w:rFonts w:ascii="Symbol" w:hAnsi="Symbol"/>
      </w:rPr>
    </w:lvl>
    <w:lvl w:ilvl="3" w:tplc="85B26D62">
      <w:start w:val="1"/>
      <w:numFmt w:val="bullet"/>
      <w:lvlText w:val=""/>
      <w:lvlJc w:val="left"/>
      <w:pPr>
        <w:ind w:left="1080" w:hanging="360"/>
      </w:pPr>
      <w:rPr>
        <w:rFonts w:ascii="Symbol" w:hAnsi="Symbol"/>
      </w:rPr>
    </w:lvl>
    <w:lvl w:ilvl="4" w:tplc="E0908FC0">
      <w:start w:val="1"/>
      <w:numFmt w:val="bullet"/>
      <w:lvlText w:val=""/>
      <w:lvlJc w:val="left"/>
      <w:pPr>
        <w:ind w:left="1080" w:hanging="360"/>
      </w:pPr>
      <w:rPr>
        <w:rFonts w:ascii="Symbol" w:hAnsi="Symbol"/>
      </w:rPr>
    </w:lvl>
    <w:lvl w:ilvl="5" w:tplc="299C9150">
      <w:start w:val="1"/>
      <w:numFmt w:val="bullet"/>
      <w:lvlText w:val=""/>
      <w:lvlJc w:val="left"/>
      <w:pPr>
        <w:ind w:left="1080" w:hanging="360"/>
      </w:pPr>
      <w:rPr>
        <w:rFonts w:ascii="Symbol" w:hAnsi="Symbol"/>
      </w:rPr>
    </w:lvl>
    <w:lvl w:ilvl="6" w:tplc="268C523A">
      <w:start w:val="1"/>
      <w:numFmt w:val="bullet"/>
      <w:lvlText w:val=""/>
      <w:lvlJc w:val="left"/>
      <w:pPr>
        <w:ind w:left="1080" w:hanging="360"/>
      </w:pPr>
      <w:rPr>
        <w:rFonts w:ascii="Symbol" w:hAnsi="Symbol"/>
      </w:rPr>
    </w:lvl>
    <w:lvl w:ilvl="7" w:tplc="FDB82D48">
      <w:start w:val="1"/>
      <w:numFmt w:val="bullet"/>
      <w:lvlText w:val=""/>
      <w:lvlJc w:val="left"/>
      <w:pPr>
        <w:ind w:left="1080" w:hanging="360"/>
      </w:pPr>
      <w:rPr>
        <w:rFonts w:ascii="Symbol" w:hAnsi="Symbol"/>
      </w:rPr>
    </w:lvl>
    <w:lvl w:ilvl="8" w:tplc="A8C036A6">
      <w:start w:val="1"/>
      <w:numFmt w:val="bullet"/>
      <w:lvlText w:val=""/>
      <w:lvlJc w:val="left"/>
      <w:pPr>
        <w:ind w:left="1080" w:hanging="360"/>
      </w:pPr>
      <w:rPr>
        <w:rFonts w:ascii="Symbol" w:hAnsi="Symbol"/>
      </w:rPr>
    </w:lvl>
  </w:abstractNum>
  <w:abstractNum w:abstractNumId="5" w15:restartNumberingAfterBreak="0">
    <w:nsid w:val="212D6907"/>
    <w:multiLevelType w:val="hybridMultilevel"/>
    <w:tmpl w:val="1AA2032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5055ED0"/>
    <w:multiLevelType w:val="multilevel"/>
    <w:tmpl w:val="485660B6"/>
    <w:lvl w:ilvl="0">
      <w:start w:val="3"/>
      <w:numFmt w:val="decimal"/>
      <w:lvlText w:val="%1."/>
      <w:lvlJc w:val="left"/>
      <w:pPr>
        <w:ind w:left="360" w:hanging="360"/>
      </w:pPr>
      <w:rPr>
        <w:rFonts w:hint="default"/>
      </w:rPr>
    </w:lvl>
    <w:lvl w:ilvl="1">
      <w:start w:val="1"/>
      <w:numFmt w:val="decimal"/>
      <w:pStyle w:val="Nadpis2"/>
      <w:lvlText w:val="%1.%2."/>
      <w:lvlJc w:val="left"/>
      <w:pPr>
        <w:ind w:left="1380" w:hanging="360"/>
      </w:p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7" w15:restartNumberingAfterBreak="0">
    <w:nsid w:val="29D86ED4"/>
    <w:multiLevelType w:val="hybridMultilevel"/>
    <w:tmpl w:val="07440776"/>
    <w:lvl w:ilvl="0" w:tplc="AAAC24DE">
      <w:start w:val="1"/>
      <w:numFmt w:val="bullet"/>
      <w:lvlText w:val=""/>
      <w:lvlJc w:val="left"/>
      <w:pPr>
        <w:ind w:left="1080" w:hanging="360"/>
      </w:pPr>
      <w:rPr>
        <w:rFonts w:ascii="Symbol" w:hAnsi="Symbol"/>
      </w:rPr>
    </w:lvl>
    <w:lvl w:ilvl="1" w:tplc="A662AE7A">
      <w:start w:val="1"/>
      <w:numFmt w:val="bullet"/>
      <w:lvlText w:val=""/>
      <w:lvlJc w:val="left"/>
      <w:pPr>
        <w:ind w:left="1080" w:hanging="360"/>
      </w:pPr>
      <w:rPr>
        <w:rFonts w:ascii="Symbol" w:hAnsi="Symbol"/>
      </w:rPr>
    </w:lvl>
    <w:lvl w:ilvl="2" w:tplc="2E68C344">
      <w:start w:val="1"/>
      <w:numFmt w:val="bullet"/>
      <w:lvlText w:val=""/>
      <w:lvlJc w:val="left"/>
      <w:pPr>
        <w:ind w:left="1080" w:hanging="360"/>
      </w:pPr>
      <w:rPr>
        <w:rFonts w:ascii="Symbol" w:hAnsi="Symbol"/>
      </w:rPr>
    </w:lvl>
    <w:lvl w:ilvl="3" w:tplc="905C8174">
      <w:start w:val="1"/>
      <w:numFmt w:val="bullet"/>
      <w:lvlText w:val=""/>
      <w:lvlJc w:val="left"/>
      <w:pPr>
        <w:ind w:left="1080" w:hanging="360"/>
      </w:pPr>
      <w:rPr>
        <w:rFonts w:ascii="Symbol" w:hAnsi="Symbol"/>
      </w:rPr>
    </w:lvl>
    <w:lvl w:ilvl="4" w:tplc="D6D40C16">
      <w:start w:val="1"/>
      <w:numFmt w:val="bullet"/>
      <w:lvlText w:val=""/>
      <w:lvlJc w:val="left"/>
      <w:pPr>
        <w:ind w:left="1080" w:hanging="360"/>
      </w:pPr>
      <w:rPr>
        <w:rFonts w:ascii="Symbol" w:hAnsi="Symbol"/>
      </w:rPr>
    </w:lvl>
    <w:lvl w:ilvl="5" w:tplc="01AEF26E">
      <w:start w:val="1"/>
      <w:numFmt w:val="bullet"/>
      <w:lvlText w:val=""/>
      <w:lvlJc w:val="left"/>
      <w:pPr>
        <w:ind w:left="1080" w:hanging="360"/>
      </w:pPr>
      <w:rPr>
        <w:rFonts w:ascii="Symbol" w:hAnsi="Symbol"/>
      </w:rPr>
    </w:lvl>
    <w:lvl w:ilvl="6" w:tplc="21B0C1CA">
      <w:start w:val="1"/>
      <w:numFmt w:val="bullet"/>
      <w:lvlText w:val=""/>
      <w:lvlJc w:val="left"/>
      <w:pPr>
        <w:ind w:left="1080" w:hanging="360"/>
      </w:pPr>
      <w:rPr>
        <w:rFonts w:ascii="Symbol" w:hAnsi="Symbol"/>
      </w:rPr>
    </w:lvl>
    <w:lvl w:ilvl="7" w:tplc="1992340A">
      <w:start w:val="1"/>
      <w:numFmt w:val="bullet"/>
      <w:lvlText w:val=""/>
      <w:lvlJc w:val="left"/>
      <w:pPr>
        <w:ind w:left="1080" w:hanging="360"/>
      </w:pPr>
      <w:rPr>
        <w:rFonts w:ascii="Symbol" w:hAnsi="Symbol"/>
      </w:rPr>
    </w:lvl>
    <w:lvl w:ilvl="8" w:tplc="F4FCF068">
      <w:start w:val="1"/>
      <w:numFmt w:val="bullet"/>
      <w:lvlText w:val=""/>
      <w:lvlJc w:val="left"/>
      <w:pPr>
        <w:ind w:left="1080" w:hanging="360"/>
      </w:pPr>
      <w:rPr>
        <w:rFonts w:ascii="Symbol" w:hAnsi="Symbol"/>
      </w:rPr>
    </w:lvl>
  </w:abstractNum>
  <w:abstractNum w:abstractNumId="8" w15:restartNumberingAfterBreak="0">
    <w:nsid w:val="30033144"/>
    <w:multiLevelType w:val="hybridMultilevel"/>
    <w:tmpl w:val="513CE0BA"/>
    <w:lvl w:ilvl="0" w:tplc="A17C8DBE">
      <w:numFmt w:val="bullet"/>
      <w:lvlText w:val="-"/>
      <w:lvlJc w:val="left"/>
      <w:pPr>
        <w:ind w:left="927" w:hanging="360"/>
      </w:pPr>
      <w:rPr>
        <w:rFonts w:ascii="Times New Roman" w:eastAsia="Times New Roman" w:hAnsi="Times New Roman"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30C65790"/>
    <w:multiLevelType w:val="multilevel"/>
    <w:tmpl w:val="2140F69E"/>
    <w:lvl w:ilvl="0">
      <w:start w:val="2"/>
      <w:numFmt w:val="decimal"/>
      <w:lvlText w:val="%1."/>
      <w:lvlJc w:val="left"/>
      <w:pPr>
        <w:ind w:left="504" w:hanging="504"/>
      </w:pPr>
      <w:rPr>
        <w:rFonts w:hint="default"/>
      </w:rPr>
    </w:lvl>
    <w:lvl w:ilvl="1">
      <w:start w:val="3"/>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32FB7636"/>
    <w:multiLevelType w:val="hybridMultilevel"/>
    <w:tmpl w:val="9566DA9A"/>
    <w:lvl w:ilvl="0" w:tplc="041B000B">
      <w:start w:val="1"/>
      <w:numFmt w:val="bullet"/>
      <w:lvlText w:val=""/>
      <w:lvlJc w:val="left"/>
      <w:pPr>
        <w:ind w:left="1490" w:hanging="360"/>
      </w:pPr>
      <w:rPr>
        <w:rFonts w:ascii="Wingdings" w:hAnsi="Wingdings" w:hint="default"/>
      </w:rPr>
    </w:lvl>
    <w:lvl w:ilvl="1" w:tplc="041B0003" w:tentative="1">
      <w:start w:val="1"/>
      <w:numFmt w:val="bullet"/>
      <w:lvlText w:val="o"/>
      <w:lvlJc w:val="left"/>
      <w:pPr>
        <w:ind w:left="2210" w:hanging="360"/>
      </w:pPr>
      <w:rPr>
        <w:rFonts w:ascii="Courier New" w:hAnsi="Courier New" w:cs="Courier New" w:hint="default"/>
      </w:rPr>
    </w:lvl>
    <w:lvl w:ilvl="2" w:tplc="041B0005" w:tentative="1">
      <w:start w:val="1"/>
      <w:numFmt w:val="bullet"/>
      <w:lvlText w:val=""/>
      <w:lvlJc w:val="left"/>
      <w:pPr>
        <w:ind w:left="2930" w:hanging="360"/>
      </w:pPr>
      <w:rPr>
        <w:rFonts w:ascii="Wingdings" w:hAnsi="Wingdings" w:hint="default"/>
      </w:rPr>
    </w:lvl>
    <w:lvl w:ilvl="3" w:tplc="041B0001" w:tentative="1">
      <w:start w:val="1"/>
      <w:numFmt w:val="bullet"/>
      <w:lvlText w:val=""/>
      <w:lvlJc w:val="left"/>
      <w:pPr>
        <w:ind w:left="3650" w:hanging="360"/>
      </w:pPr>
      <w:rPr>
        <w:rFonts w:ascii="Symbol" w:hAnsi="Symbol" w:hint="default"/>
      </w:rPr>
    </w:lvl>
    <w:lvl w:ilvl="4" w:tplc="041B0003" w:tentative="1">
      <w:start w:val="1"/>
      <w:numFmt w:val="bullet"/>
      <w:lvlText w:val="o"/>
      <w:lvlJc w:val="left"/>
      <w:pPr>
        <w:ind w:left="4370" w:hanging="360"/>
      </w:pPr>
      <w:rPr>
        <w:rFonts w:ascii="Courier New" w:hAnsi="Courier New" w:cs="Courier New" w:hint="default"/>
      </w:rPr>
    </w:lvl>
    <w:lvl w:ilvl="5" w:tplc="041B0005" w:tentative="1">
      <w:start w:val="1"/>
      <w:numFmt w:val="bullet"/>
      <w:lvlText w:val=""/>
      <w:lvlJc w:val="left"/>
      <w:pPr>
        <w:ind w:left="5090" w:hanging="360"/>
      </w:pPr>
      <w:rPr>
        <w:rFonts w:ascii="Wingdings" w:hAnsi="Wingdings" w:hint="default"/>
      </w:rPr>
    </w:lvl>
    <w:lvl w:ilvl="6" w:tplc="041B0001" w:tentative="1">
      <w:start w:val="1"/>
      <w:numFmt w:val="bullet"/>
      <w:lvlText w:val=""/>
      <w:lvlJc w:val="left"/>
      <w:pPr>
        <w:ind w:left="5810" w:hanging="360"/>
      </w:pPr>
      <w:rPr>
        <w:rFonts w:ascii="Symbol" w:hAnsi="Symbol" w:hint="default"/>
      </w:rPr>
    </w:lvl>
    <w:lvl w:ilvl="7" w:tplc="041B0003" w:tentative="1">
      <w:start w:val="1"/>
      <w:numFmt w:val="bullet"/>
      <w:lvlText w:val="o"/>
      <w:lvlJc w:val="left"/>
      <w:pPr>
        <w:ind w:left="6530" w:hanging="360"/>
      </w:pPr>
      <w:rPr>
        <w:rFonts w:ascii="Courier New" w:hAnsi="Courier New" w:cs="Courier New" w:hint="default"/>
      </w:rPr>
    </w:lvl>
    <w:lvl w:ilvl="8" w:tplc="041B0005" w:tentative="1">
      <w:start w:val="1"/>
      <w:numFmt w:val="bullet"/>
      <w:lvlText w:val=""/>
      <w:lvlJc w:val="left"/>
      <w:pPr>
        <w:ind w:left="7250" w:hanging="360"/>
      </w:pPr>
      <w:rPr>
        <w:rFonts w:ascii="Wingdings" w:hAnsi="Wingdings" w:hint="default"/>
      </w:rPr>
    </w:lvl>
  </w:abstractNum>
  <w:abstractNum w:abstractNumId="11" w15:restartNumberingAfterBreak="0">
    <w:nsid w:val="37573DC3"/>
    <w:multiLevelType w:val="hybridMultilevel"/>
    <w:tmpl w:val="4614E8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1510D9"/>
    <w:multiLevelType w:val="hybridMultilevel"/>
    <w:tmpl w:val="7E96B9A2"/>
    <w:lvl w:ilvl="0" w:tplc="2704447A">
      <w:start w:val="1"/>
      <w:numFmt w:val="bullet"/>
      <w:lvlText w:val=""/>
      <w:lvlJc w:val="left"/>
      <w:pPr>
        <w:ind w:left="1417" w:hanging="360"/>
      </w:pPr>
      <w:rPr>
        <w:rFonts w:ascii="Wingdings" w:hAnsi="Wingdings" w:hint="default"/>
        <w:color w:val="auto"/>
      </w:rPr>
    </w:lvl>
    <w:lvl w:ilvl="1" w:tplc="041B0003" w:tentative="1">
      <w:start w:val="1"/>
      <w:numFmt w:val="bullet"/>
      <w:lvlText w:val="o"/>
      <w:lvlJc w:val="left"/>
      <w:pPr>
        <w:ind w:left="2137" w:hanging="360"/>
      </w:pPr>
      <w:rPr>
        <w:rFonts w:ascii="Courier New" w:hAnsi="Courier New" w:cs="Courier New" w:hint="default"/>
      </w:rPr>
    </w:lvl>
    <w:lvl w:ilvl="2" w:tplc="041B0005" w:tentative="1">
      <w:start w:val="1"/>
      <w:numFmt w:val="bullet"/>
      <w:lvlText w:val=""/>
      <w:lvlJc w:val="left"/>
      <w:pPr>
        <w:ind w:left="2857" w:hanging="360"/>
      </w:pPr>
      <w:rPr>
        <w:rFonts w:ascii="Wingdings" w:hAnsi="Wingdings" w:hint="default"/>
      </w:rPr>
    </w:lvl>
    <w:lvl w:ilvl="3" w:tplc="041B0001" w:tentative="1">
      <w:start w:val="1"/>
      <w:numFmt w:val="bullet"/>
      <w:lvlText w:val=""/>
      <w:lvlJc w:val="left"/>
      <w:pPr>
        <w:ind w:left="3577" w:hanging="360"/>
      </w:pPr>
      <w:rPr>
        <w:rFonts w:ascii="Symbol" w:hAnsi="Symbol" w:hint="default"/>
      </w:rPr>
    </w:lvl>
    <w:lvl w:ilvl="4" w:tplc="041B0003" w:tentative="1">
      <w:start w:val="1"/>
      <w:numFmt w:val="bullet"/>
      <w:lvlText w:val="o"/>
      <w:lvlJc w:val="left"/>
      <w:pPr>
        <w:ind w:left="4297" w:hanging="360"/>
      </w:pPr>
      <w:rPr>
        <w:rFonts w:ascii="Courier New" w:hAnsi="Courier New" w:cs="Courier New" w:hint="default"/>
      </w:rPr>
    </w:lvl>
    <w:lvl w:ilvl="5" w:tplc="041B0005" w:tentative="1">
      <w:start w:val="1"/>
      <w:numFmt w:val="bullet"/>
      <w:lvlText w:val=""/>
      <w:lvlJc w:val="left"/>
      <w:pPr>
        <w:ind w:left="5017" w:hanging="360"/>
      </w:pPr>
      <w:rPr>
        <w:rFonts w:ascii="Wingdings" w:hAnsi="Wingdings" w:hint="default"/>
      </w:rPr>
    </w:lvl>
    <w:lvl w:ilvl="6" w:tplc="041B0001" w:tentative="1">
      <w:start w:val="1"/>
      <w:numFmt w:val="bullet"/>
      <w:lvlText w:val=""/>
      <w:lvlJc w:val="left"/>
      <w:pPr>
        <w:ind w:left="5737" w:hanging="360"/>
      </w:pPr>
      <w:rPr>
        <w:rFonts w:ascii="Symbol" w:hAnsi="Symbol" w:hint="default"/>
      </w:rPr>
    </w:lvl>
    <w:lvl w:ilvl="7" w:tplc="041B0003" w:tentative="1">
      <w:start w:val="1"/>
      <w:numFmt w:val="bullet"/>
      <w:lvlText w:val="o"/>
      <w:lvlJc w:val="left"/>
      <w:pPr>
        <w:ind w:left="6457" w:hanging="360"/>
      </w:pPr>
      <w:rPr>
        <w:rFonts w:ascii="Courier New" w:hAnsi="Courier New" w:cs="Courier New" w:hint="default"/>
      </w:rPr>
    </w:lvl>
    <w:lvl w:ilvl="8" w:tplc="041B0005" w:tentative="1">
      <w:start w:val="1"/>
      <w:numFmt w:val="bullet"/>
      <w:lvlText w:val=""/>
      <w:lvlJc w:val="left"/>
      <w:pPr>
        <w:ind w:left="7177" w:hanging="360"/>
      </w:pPr>
      <w:rPr>
        <w:rFonts w:ascii="Wingdings" w:hAnsi="Wingdings" w:hint="default"/>
      </w:rPr>
    </w:lvl>
  </w:abstractNum>
  <w:abstractNum w:abstractNumId="13" w15:restartNumberingAfterBreak="0">
    <w:nsid w:val="3AB567E1"/>
    <w:multiLevelType w:val="hybridMultilevel"/>
    <w:tmpl w:val="4370832E"/>
    <w:lvl w:ilvl="0" w:tplc="041B0017">
      <w:start w:val="1"/>
      <w:numFmt w:val="lowerLetter"/>
      <w:pStyle w:val="abc"/>
      <w:lvlText w:val="%1)"/>
      <w:lvlJc w:val="left"/>
      <w:pPr>
        <w:tabs>
          <w:tab w:val="num" w:pos="465"/>
        </w:tabs>
        <w:ind w:left="465" w:hanging="465"/>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3E854616"/>
    <w:multiLevelType w:val="multilevel"/>
    <w:tmpl w:val="F72E33A4"/>
    <w:lvl w:ilvl="0">
      <w:start w:val="3"/>
      <w:numFmt w:val="decimal"/>
      <w:lvlText w:val="%1"/>
      <w:lvlJc w:val="left"/>
      <w:pPr>
        <w:ind w:left="444" w:hanging="444"/>
      </w:pPr>
      <w:rPr>
        <w:rFonts w:hint="default"/>
      </w:rPr>
    </w:lvl>
    <w:lvl w:ilvl="1">
      <w:start w:val="1"/>
      <w:numFmt w:val="decimal"/>
      <w:lvlText w:val="%1.%2"/>
      <w:lvlJc w:val="left"/>
      <w:pPr>
        <w:ind w:left="984" w:hanging="444"/>
      </w:pPr>
      <w:rPr>
        <w:rFonts w:hint="default"/>
      </w:rPr>
    </w:lvl>
    <w:lvl w:ilvl="2">
      <w:start w:val="1"/>
      <w:numFmt w:val="decimal"/>
      <w:pStyle w:val="Nadpis3"/>
      <w:lvlText w:val="%1.%2.%3"/>
      <w:lvlJc w:val="left"/>
      <w:pPr>
        <w:ind w:left="1571"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5" w15:restartNumberingAfterBreak="0">
    <w:nsid w:val="40925A9C"/>
    <w:multiLevelType w:val="hybridMultilevel"/>
    <w:tmpl w:val="BC80FBA2"/>
    <w:lvl w:ilvl="0" w:tplc="BE625246">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42992FA2"/>
    <w:multiLevelType w:val="hybridMultilevel"/>
    <w:tmpl w:val="3AFAD786"/>
    <w:lvl w:ilvl="0" w:tplc="041B0001">
      <w:start w:val="1"/>
      <w:numFmt w:val="bullet"/>
      <w:lvlText w:val=""/>
      <w:lvlJc w:val="left"/>
      <w:pPr>
        <w:ind w:left="772" w:hanging="360"/>
      </w:pPr>
      <w:rPr>
        <w:rFonts w:ascii="Symbol" w:hAnsi="Symbol" w:hint="default"/>
      </w:rPr>
    </w:lvl>
    <w:lvl w:ilvl="1" w:tplc="041B0003">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17" w15:restartNumberingAfterBreak="0">
    <w:nsid w:val="4FE67F8E"/>
    <w:multiLevelType w:val="hybridMultilevel"/>
    <w:tmpl w:val="130E5DA4"/>
    <w:lvl w:ilvl="0" w:tplc="F25654A2">
      <w:numFmt w:val="bullet"/>
      <w:lvlText w:val="-"/>
      <w:lvlJc w:val="left"/>
      <w:pPr>
        <w:ind w:left="780" w:hanging="360"/>
      </w:pPr>
      <w:rPr>
        <w:rFonts w:ascii="Times New Roman" w:eastAsia="Times New Roman" w:hAnsi="Times New Roman" w:cs="Times New Roman" w:hint="default"/>
        <w:color w:val="auto"/>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502C7C45"/>
    <w:multiLevelType w:val="hybridMultilevel"/>
    <w:tmpl w:val="5AD4CFC0"/>
    <w:lvl w:ilvl="0" w:tplc="041B0001">
      <w:start w:val="1"/>
      <w:numFmt w:val="bullet"/>
      <w:lvlText w:val=""/>
      <w:lvlJc w:val="left"/>
      <w:pPr>
        <w:ind w:left="772" w:hanging="360"/>
      </w:pPr>
      <w:rPr>
        <w:rFonts w:ascii="Symbol" w:hAnsi="Symbol"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19" w15:restartNumberingAfterBreak="0">
    <w:nsid w:val="5E146551"/>
    <w:multiLevelType w:val="hybridMultilevel"/>
    <w:tmpl w:val="54442BB8"/>
    <w:lvl w:ilvl="0" w:tplc="041B0001">
      <w:start w:val="1"/>
      <w:numFmt w:val="bullet"/>
      <w:lvlText w:val=""/>
      <w:lvlJc w:val="left"/>
      <w:pPr>
        <w:ind w:left="772" w:hanging="360"/>
      </w:pPr>
      <w:rPr>
        <w:rFonts w:ascii="Symbol" w:hAnsi="Symbol"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abstractNum w:abstractNumId="20" w15:restartNumberingAfterBreak="0">
    <w:nsid w:val="5F1161A3"/>
    <w:multiLevelType w:val="multilevel"/>
    <w:tmpl w:val="4A981EF6"/>
    <w:lvl w:ilvl="0">
      <w:start w:val="1"/>
      <w:numFmt w:val="decimal"/>
      <w:pStyle w:val="Nadpis1"/>
      <w:lvlText w:val="%1."/>
      <w:lvlJc w:val="left"/>
      <w:pPr>
        <w:ind w:left="1495" w:hanging="360"/>
      </w:pPr>
      <w:rPr>
        <w:rFonts w:cs="Times New Roman" w:hint="default"/>
      </w:rPr>
    </w:lvl>
    <w:lvl w:ilvl="1">
      <w:start w:val="1"/>
      <w:numFmt w:val="decimal"/>
      <w:isLgl/>
      <w:lvlText w:val="%1.%2."/>
      <w:lvlJc w:val="left"/>
      <w:pPr>
        <w:ind w:left="8014"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36"/>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21" w15:restartNumberingAfterBreak="0">
    <w:nsid w:val="6027001B"/>
    <w:multiLevelType w:val="hybridMultilevel"/>
    <w:tmpl w:val="5194F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FD66C5"/>
    <w:multiLevelType w:val="hybridMultilevel"/>
    <w:tmpl w:val="B41ADD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D256CED"/>
    <w:multiLevelType w:val="hybridMultilevel"/>
    <w:tmpl w:val="27683B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169098C"/>
    <w:multiLevelType w:val="hybridMultilevel"/>
    <w:tmpl w:val="CDC6CCB2"/>
    <w:lvl w:ilvl="0" w:tplc="BE625246">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74D2767D"/>
    <w:multiLevelType w:val="hybridMultilevel"/>
    <w:tmpl w:val="CE00776C"/>
    <w:lvl w:ilvl="0" w:tplc="BE62524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5337108"/>
    <w:multiLevelType w:val="multilevel"/>
    <w:tmpl w:val="E1A891B0"/>
    <w:lvl w:ilvl="0">
      <w:start w:val="2"/>
      <w:numFmt w:val="decimal"/>
      <w:lvlText w:val="%1."/>
      <w:lvlJc w:val="left"/>
      <w:pPr>
        <w:ind w:left="504" w:hanging="504"/>
      </w:pPr>
      <w:rPr>
        <w:rFonts w:hint="default"/>
      </w:rPr>
    </w:lvl>
    <w:lvl w:ilvl="1">
      <w:start w:val="3"/>
      <w:numFmt w:val="decimal"/>
      <w:lvlText w:val="%1.%2."/>
      <w:lvlJc w:val="left"/>
      <w:pPr>
        <w:ind w:left="1044" w:hanging="50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76CE0331"/>
    <w:multiLevelType w:val="hybridMultilevel"/>
    <w:tmpl w:val="1A48B20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A544B48"/>
    <w:multiLevelType w:val="hybridMultilevel"/>
    <w:tmpl w:val="BB6805EE"/>
    <w:lvl w:ilvl="0" w:tplc="2ED296A6">
      <w:start w:val="7"/>
      <w:numFmt w:val="bullet"/>
      <w:pStyle w:val="AUODRAKA"/>
      <w:lvlText w:val=""/>
      <w:lvlJc w:val="left"/>
      <w:pPr>
        <w:tabs>
          <w:tab w:val="num" w:pos="284"/>
        </w:tabs>
        <w:ind w:left="284" w:hanging="284"/>
      </w:pPr>
      <w:rPr>
        <w:rFonts w:ascii="Symbol" w:hAnsi="Symbol" w:hint="default"/>
        <w:b/>
        <w:i w:val="0"/>
        <w:color w:val="auto"/>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6F17C4"/>
    <w:multiLevelType w:val="hybridMultilevel"/>
    <w:tmpl w:val="FFFFFFFF"/>
    <w:lvl w:ilvl="0" w:tplc="C87852F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16cid:durableId="144667652">
    <w:abstractNumId w:val="20"/>
  </w:num>
  <w:num w:numId="2" w16cid:durableId="1193572559">
    <w:abstractNumId w:val="2"/>
  </w:num>
  <w:num w:numId="3" w16cid:durableId="70663012">
    <w:abstractNumId w:val="13"/>
  </w:num>
  <w:num w:numId="4" w16cid:durableId="1944068427">
    <w:abstractNumId w:val="28"/>
  </w:num>
  <w:num w:numId="5" w16cid:durableId="1572694393">
    <w:abstractNumId w:val="0"/>
  </w:num>
  <w:num w:numId="6" w16cid:durableId="1993170018">
    <w:abstractNumId w:val="5"/>
  </w:num>
  <w:num w:numId="7" w16cid:durableId="1787849177">
    <w:abstractNumId w:val="6"/>
  </w:num>
  <w:num w:numId="8" w16cid:durableId="1615673012">
    <w:abstractNumId w:val="12"/>
  </w:num>
  <w:num w:numId="9" w16cid:durableId="1609461327">
    <w:abstractNumId w:val="27"/>
  </w:num>
  <w:num w:numId="10" w16cid:durableId="91974125">
    <w:abstractNumId w:val="14"/>
  </w:num>
  <w:num w:numId="11" w16cid:durableId="979312411">
    <w:abstractNumId w:val="25"/>
  </w:num>
  <w:num w:numId="12" w16cid:durableId="323514213">
    <w:abstractNumId w:val="22"/>
  </w:num>
  <w:num w:numId="13" w16cid:durableId="1753770632">
    <w:abstractNumId w:val="17"/>
  </w:num>
  <w:num w:numId="14" w16cid:durableId="1647659467">
    <w:abstractNumId w:val="15"/>
  </w:num>
  <w:num w:numId="15" w16cid:durableId="1203980848">
    <w:abstractNumId w:val="18"/>
  </w:num>
  <w:num w:numId="16" w16cid:durableId="1172842420">
    <w:abstractNumId w:val="19"/>
  </w:num>
  <w:num w:numId="17" w16cid:durableId="1522818919">
    <w:abstractNumId w:val="11"/>
  </w:num>
  <w:num w:numId="18" w16cid:durableId="1567062146">
    <w:abstractNumId w:val="16"/>
  </w:num>
  <w:num w:numId="19" w16cid:durableId="900794293">
    <w:abstractNumId w:val="21"/>
  </w:num>
  <w:num w:numId="20" w16cid:durableId="1391536133">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7384735">
    <w:abstractNumId w:val="3"/>
  </w:num>
  <w:num w:numId="22" w16cid:durableId="1206412217">
    <w:abstractNumId w:val="23"/>
  </w:num>
  <w:num w:numId="23" w16cid:durableId="1403485501">
    <w:abstractNumId w:val="8"/>
  </w:num>
  <w:num w:numId="24" w16cid:durableId="1292517599">
    <w:abstractNumId w:val="24"/>
  </w:num>
  <w:num w:numId="25" w16cid:durableId="787359277">
    <w:abstractNumId w:val="10"/>
  </w:num>
  <w:num w:numId="26" w16cid:durableId="191380795">
    <w:abstractNumId w:val="29"/>
  </w:num>
  <w:num w:numId="27" w16cid:durableId="486670730">
    <w:abstractNumId w:val="1"/>
  </w:num>
  <w:num w:numId="28" w16cid:durableId="1814366515">
    <w:abstractNumId w:val="4"/>
  </w:num>
  <w:num w:numId="29" w16cid:durableId="770398934">
    <w:abstractNumId w:val="7"/>
  </w:num>
  <w:num w:numId="30" w16cid:durableId="569581599">
    <w:abstractNumId w:val="6"/>
    <w:lvlOverride w:ilvl="0">
      <w:startOverride w:val="3"/>
    </w:lvlOverride>
    <w:lvlOverride w:ilvl="1">
      <w:startOverride w:val="1"/>
    </w:lvlOverride>
    <w:lvlOverride w:ilvl="2">
      <w:startOverride w:val="2"/>
    </w:lvlOverride>
  </w:num>
  <w:num w:numId="31" w16cid:durableId="1587879587">
    <w:abstractNumId w:val="14"/>
  </w:num>
  <w:num w:numId="32" w16cid:durableId="1214192704">
    <w:abstractNumId w:val="5"/>
  </w:num>
  <w:num w:numId="33" w16cid:durableId="125049602">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46C"/>
    <w:rsid w:val="000002C2"/>
    <w:rsid w:val="00000538"/>
    <w:rsid w:val="00000C6F"/>
    <w:rsid w:val="00000D78"/>
    <w:rsid w:val="00001004"/>
    <w:rsid w:val="0000175E"/>
    <w:rsid w:val="00002917"/>
    <w:rsid w:val="00002BBE"/>
    <w:rsid w:val="00002C13"/>
    <w:rsid w:val="00002FDB"/>
    <w:rsid w:val="0000319C"/>
    <w:rsid w:val="000033EA"/>
    <w:rsid w:val="0000346C"/>
    <w:rsid w:val="00003A48"/>
    <w:rsid w:val="00003EAF"/>
    <w:rsid w:val="00003F36"/>
    <w:rsid w:val="00003F62"/>
    <w:rsid w:val="000041F6"/>
    <w:rsid w:val="000042C7"/>
    <w:rsid w:val="0000435D"/>
    <w:rsid w:val="00004469"/>
    <w:rsid w:val="0000481F"/>
    <w:rsid w:val="00004915"/>
    <w:rsid w:val="00004950"/>
    <w:rsid w:val="00004FCF"/>
    <w:rsid w:val="000054CB"/>
    <w:rsid w:val="00005C66"/>
    <w:rsid w:val="00005C86"/>
    <w:rsid w:val="0000684D"/>
    <w:rsid w:val="00006BD7"/>
    <w:rsid w:val="00007076"/>
    <w:rsid w:val="00007604"/>
    <w:rsid w:val="00007D5C"/>
    <w:rsid w:val="000101AF"/>
    <w:rsid w:val="00010479"/>
    <w:rsid w:val="00010514"/>
    <w:rsid w:val="0001053C"/>
    <w:rsid w:val="00010811"/>
    <w:rsid w:val="0001086A"/>
    <w:rsid w:val="00010A5C"/>
    <w:rsid w:val="00010BA4"/>
    <w:rsid w:val="00010E4A"/>
    <w:rsid w:val="00010FCC"/>
    <w:rsid w:val="0001132C"/>
    <w:rsid w:val="0001193D"/>
    <w:rsid w:val="000119E5"/>
    <w:rsid w:val="00011E1A"/>
    <w:rsid w:val="00012A0B"/>
    <w:rsid w:val="00012B32"/>
    <w:rsid w:val="00012EC9"/>
    <w:rsid w:val="00014315"/>
    <w:rsid w:val="00014ED9"/>
    <w:rsid w:val="00015EC4"/>
    <w:rsid w:val="00016328"/>
    <w:rsid w:val="000165B9"/>
    <w:rsid w:val="00016DC1"/>
    <w:rsid w:val="000177FD"/>
    <w:rsid w:val="00017CC3"/>
    <w:rsid w:val="00017D21"/>
    <w:rsid w:val="00020FB9"/>
    <w:rsid w:val="0002125D"/>
    <w:rsid w:val="000214D6"/>
    <w:rsid w:val="00021605"/>
    <w:rsid w:val="00021651"/>
    <w:rsid w:val="00022328"/>
    <w:rsid w:val="0002242E"/>
    <w:rsid w:val="0002262E"/>
    <w:rsid w:val="000231EB"/>
    <w:rsid w:val="00023A22"/>
    <w:rsid w:val="00024B0D"/>
    <w:rsid w:val="00024E6F"/>
    <w:rsid w:val="000253C4"/>
    <w:rsid w:val="000253F1"/>
    <w:rsid w:val="00025966"/>
    <w:rsid w:val="000259AA"/>
    <w:rsid w:val="00025A00"/>
    <w:rsid w:val="00026749"/>
    <w:rsid w:val="00026828"/>
    <w:rsid w:val="0002698B"/>
    <w:rsid w:val="00026F0C"/>
    <w:rsid w:val="00027116"/>
    <w:rsid w:val="000273E8"/>
    <w:rsid w:val="00027721"/>
    <w:rsid w:val="00027CD5"/>
    <w:rsid w:val="00027D0B"/>
    <w:rsid w:val="00027F18"/>
    <w:rsid w:val="0003038A"/>
    <w:rsid w:val="000305C5"/>
    <w:rsid w:val="00030A31"/>
    <w:rsid w:val="00030A36"/>
    <w:rsid w:val="00030A6A"/>
    <w:rsid w:val="00031168"/>
    <w:rsid w:val="00031788"/>
    <w:rsid w:val="00031892"/>
    <w:rsid w:val="000318C9"/>
    <w:rsid w:val="00031FF7"/>
    <w:rsid w:val="00032127"/>
    <w:rsid w:val="00032419"/>
    <w:rsid w:val="00032502"/>
    <w:rsid w:val="00032740"/>
    <w:rsid w:val="00032BCF"/>
    <w:rsid w:val="00033B28"/>
    <w:rsid w:val="00033B40"/>
    <w:rsid w:val="00034156"/>
    <w:rsid w:val="0003445F"/>
    <w:rsid w:val="000347E8"/>
    <w:rsid w:val="000352E6"/>
    <w:rsid w:val="000352EA"/>
    <w:rsid w:val="0003540B"/>
    <w:rsid w:val="00035C7E"/>
    <w:rsid w:val="0003601C"/>
    <w:rsid w:val="00036696"/>
    <w:rsid w:val="00036E63"/>
    <w:rsid w:val="00036E81"/>
    <w:rsid w:val="0003723C"/>
    <w:rsid w:val="0003723F"/>
    <w:rsid w:val="00037AA9"/>
    <w:rsid w:val="000404E5"/>
    <w:rsid w:val="000410D6"/>
    <w:rsid w:val="00041CD3"/>
    <w:rsid w:val="00041E12"/>
    <w:rsid w:val="00041EA0"/>
    <w:rsid w:val="000421E4"/>
    <w:rsid w:val="00042600"/>
    <w:rsid w:val="00042AFD"/>
    <w:rsid w:val="00042D3D"/>
    <w:rsid w:val="00042DE1"/>
    <w:rsid w:val="00042DE4"/>
    <w:rsid w:val="000432A6"/>
    <w:rsid w:val="000433E5"/>
    <w:rsid w:val="000437EA"/>
    <w:rsid w:val="000438E5"/>
    <w:rsid w:val="0004421D"/>
    <w:rsid w:val="0004434D"/>
    <w:rsid w:val="0004438B"/>
    <w:rsid w:val="00044525"/>
    <w:rsid w:val="00044687"/>
    <w:rsid w:val="00044F6D"/>
    <w:rsid w:val="00045447"/>
    <w:rsid w:val="000454D8"/>
    <w:rsid w:val="00045E30"/>
    <w:rsid w:val="00046BF3"/>
    <w:rsid w:val="00047E06"/>
    <w:rsid w:val="00047EDA"/>
    <w:rsid w:val="00047FFE"/>
    <w:rsid w:val="000500D5"/>
    <w:rsid w:val="000501DB"/>
    <w:rsid w:val="0005096F"/>
    <w:rsid w:val="000511B5"/>
    <w:rsid w:val="000518B3"/>
    <w:rsid w:val="00051A2B"/>
    <w:rsid w:val="00051C9A"/>
    <w:rsid w:val="0005286D"/>
    <w:rsid w:val="00052A5E"/>
    <w:rsid w:val="00052A68"/>
    <w:rsid w:val="00053376"/>
    <w:rsid w:val="00053609"/>
    <w:rsid w:val="00053FD1"/>
    <w:rsid w:val="000548EA"/>
    <w:rsid w:val="00055F5C"/>
    <w:rsid w:val="00056165"/>
    <w:rsid w:val="0005622D"/>
    <w:rsid w:val="00056320"/>
    <w:rsid w:val="0005634A"/>
    <w:rsid w:val="00056451"/>
    <w:rsid w:val="000565C3"/>
    <w:rsid w:val="0005666E"/>
    <w:rsid w:val="000568BD"/>
    <w:rsid w:val="00056D6E"/>
    <w:rsid w:val="00056E18"/>
    <w:rsid w:val="00056E6B"/>
    <w:rsid w:val="00057CF7"/>
    <w:rsid w:val="00057D50"/>
    <w:rsid w:val="00057FBA"/>
    <w:rsid w:val="000603BD"/>
    <w:rsid w:val="000606A7"/>
    <w:rsid w:val="00060CA3"/>
    <w:rsid w:val="000610F9"/>
    <w:rsid w:val="00061DBD"/>
    <w:rsid w:val="000620F9"/>
    <w:rsid w:val="0006249C"/>
    <w:rsid w:val="00062682"/>
    <w:rsid w:val="00062AF5"/>
    <w:rsid w:val="00062DC2"/>
    <w:rsid w:val="000638D7"/>
    <w:rsid w:val="00064921"/>
    <w:rsid w:val="00065110"/>
    <w:rsid w:val="000654D9"/>
    <w:rsid w:val="00065880"/>
    <w:rsid w:val="00066452"/>
    <w:rsid w:val="00066880"/>
    <w:rsid w:val="00066FAE"/>
    <w:rsid w:val="000671B7"/>
    <w:rsid w:val="00067252"/>
    <w:rsid w:val="00067757"/>
    <w:rsid w:val="00067A5E"/>
    <w:rsid w:val="00067F7E"/>
    <w:rsid w:val="000703EC"/>
    <w:rsid w:val="00070899"/>
    <w:rsid w:val="000709D3"/>
    <w:rsid w:val="00070B5D"/>
    <w:rsid w:val="000710B3"/>
    <w:rsid w:val="0007122D"/>
    <w:rsid w:val="00071A59"/>
    <w:rsid w:val="00071DAB"/>
    <w:rsid w:val="0007201B"/>
    <w:rsid w:val="000720E8"/>
    <w:rsid w:val="000722EF"/>
    <w:rsid w:val="000728EB"/>
    <w:rsid w:val="00072FFE"/>
    <w:rsid w:val="00073842"/>
    <w:rsid w:val="00073975"/>
    <w:rsid w:val="00073D99"/>
    <w:rsid w:val="00073EB1"/>
    <w:rsid w:val="00073FFD"/>
    <w:rsid w:val="00074028"/>
    <w:rsid w:val="00074976"/>
    <w:rsid w:val="00074BA3"/>
    <w:rsid w:val="00075C44"/>
    <w:rsid w:val="00076170"/>
    <w:rsid w:val="00076535"/>
    <w:rsid w:val="00076866"/>
    <w:rsid w:val="000768A5"/>
    <w:rsid w:val="0007714F"/>
    <w:rsid w:val="000772FF"/>
    <w:rsid w:val="0007739B"/>
    <w:rsid w:val="000774FD"/>
    <w:rsid w:val="000775A2"/>
    <w:rsid w:val="00077C94"/>
    <w:rsid w:val="00080B3C"/>
    <w:rsid w:val="00080BB8"/>
    <w:rsid w:val="0008186C"/>
    <w:rsid w:val="00081D41"/>
    <w:rsid w:val="00081E83"/>
    <w:rsid w:val="0008220D"/>
    <w:rsid w:val="0008237F"/>
    <w:rsid w:val="00082D3B"/>
    <w:rsid w:val="0008314B"/>
    <w:rsid w:val="000832C3"/>
    <w:rsid w:val="0008369A"/>
    <w:rsid w:val="000836AB"/>
    <w:rsid w:val="00083D09"/>
    <w:rsid w:val="00083DE2"/>
    <w:rsid w:val="00083E71"/>
    <w:rsid w:val="00084506"/>
    <w:rsid w:val="00084766"/>
    <w:rsid w:val="00084794"/>
    <w:rsid w:val="00084F17"/>
    <w:rsid w:val="000851CB"/>
    <w:rsid w:val="000851F9"/>
    <w:rsid w:val="0008572B"/>
    <w:rsid w:val="00085B2E"/>
    <w:rsid w:val="00085E85"/>
    <w:rsid w:val="00085FC1"/>
    <w:rsid w:val="0008612E"/>
    <w:rsid w:val="00086502"/>
    <w:rsid w:val="0008767D"/>
    <w:rsid w:val="00087B66"/>
    <w:rsid w:val="00087FE7"/>
    <w:rsid w:val="00090218"/>
    <w:rsid w:val="00090B79"/>
    <w:rsid w:val="0009176B"/>
    <w:rsid w:val="00091ABA"/>
    <w:rsid w:val="00091E16"/>
    <w:rsid w:val="000921AC"/>
    <w:rsid w:val="00092430"/>
    <w:rsid w:val="00092A25"/>
    <w:rsid w:val="00093C11"/>
    <w:rsid w:val="00093D22"/>
    <w:rsid w:val="00093EE7"/>
    <w:rsid w:val="000942AF"/>
    <w:rsid w:val="00094682"/>
    <w:rsid w:val="00094746"/>
    <w:rsid w:val="00094B9B"/>
    <w:rsid w:val="00094EB7"/>
    <w:rsid w:val="000955D2"/>
    <w:rsid w:val="00095ADF"/>
    <w:rsid w:val="00095B15"/>
    <w:rsid w:val="00095D11"/>
    <w:rsid w:val="00095F27"/>
    <w:rsid w:val="00096F7A"/>
    <w:rsid w:val="00096FC8"/>
    <w:rsid w:val="000971DB"/>
    <w:rsid w:val="0009722C"/>
    <w:rsid w:val="0009732B"/>
    <w:rsid w:val="000A0877"/>
    <w:rsid w:val="000A0D12"/>
    <w:rsid w:val="000A0D79"/>
    <w:rsid w:val="000A29A1"/>
    <w:rsid w:val="000A357C"/>
    <w:rsid w:val="000A42E5"/>
    <w:rsid w:val="000A4644"/>
    <w:rsid w:val="000A46FC"/>
    <w:rsid w:val="000A4965"/>
    <w:rsid w:val="000A496D"/>
    <w:rsid w:val="000A4BFC"/>
    <w:rsid w:val="000A5316"/>
    <w:rsid w:val="000A570B"/>
    <w:rsid w:val="000A5B20"/>
    <w:rsid w:val="000A5BA9"/>
    <w:rsid w:val="000A61DD"/>
    <w:rsid w:val="000A6FCF"/>
    <w:rsid w:val="000A70FE"/>
    <w:rsid w:val="000A7290"/>
    <w:rsid w:val="000A758D"/>
    <w:rsid w:val="000A7A3A"/>
    <w:rsid w:val="000B02C3"/>
    <w:rsid w:val="000B04FB"/>
    <w:rsid w:val="000B0946"/>
    <w:rsid w:val="000B0AD0"/>
    <w:rsid w:val="000B10D1"/>
    <w:rsid w:val="000B142F"/>
    <w:rsid w:val="000B178F"/>
    <w:rsid w:val="000B1899"/>
    <w:rsid w:val="000B1F01"/>
    <w:rsid w:val="000B1F5C"/>
    <w:rsid w:val="000B2004"/>
    <w:rsid w:val="000B22A9"/>
    <w:rsid w:val="000B26C6"/>
    <w:rsid w:val="000B34C4"/>
    <w:rsid w:val="000B39AF"/>
    <w:rsid w:val="000B4000"/>
    <w:rsid w:val="000B41DB"/>
    <w:rsid w:val="000B4414"/>
    <w:rsid w:val="000B447F"/>
    <w:rsid w:val="000B4538"/>
    <w:rsid w:val="000B4541"/>
    <w:rsid w:val="000B4D4A"/>
    <w:rsid w:val="000B4E19"/>
    <w:rsid w:val="000B5079"/>
    <w:rsid w:val="000B5FA3"/>
    <w:rsid w:val="000B776B"/>
    <w:rsid w:val="000C051B"/>
    <w:rsid w:val="000C0801"/>
    <w:rsid w:val="000C0942"/>
    <w:rsid w:val="000C098E"/>
    <w:rsid w:val="000C0AF4"/>
    <w:rsid w:val="000C0C7C"/>
    <w:rsid w:val="000C0F7D"/>
    <w:rsid w:val="000C12AE"/>
    <w:rsid w:val="000C15C5"/>
    <w:rsid w:val="000C2093"/>
    <w:rsid w:val="000C2F69"/>
    <w:rsid w:val="000C3213"/>
    <w:rsid w:val="000C33E1"/>
    <w:rsid w:val="000C3860"/>
    <w:rsid w:val="000C3C6F"/>
    <w:rsid w:val="000C3D16"/>
    <w:rsid w:val="000C47D2"/>
    <w:rsid w:val="000C4948"/>
    <w:rsid w:val="000C5C02"/>
    <w:rsid w:val="000C5E1C"/>
    <w:rsid w:val="000C69B4"/>
    <w:rsid w:val="000C6A66"/>
    <w:rsid w:val="000C6BC7"/>
    <w:rsid w:val="000C71B2"/>
    <w:rsid w:val="000D0D92"/>
    <w:rsid w:val="000D1395"/>
    <w:rsid w:val="000D157E"/>
    <w:rsid w:val="000D1B7E"/>
    <w:rsid w:val="000D1D1F"/>
    <w:rsid w:val="000D1FCC"/>
    <w:rsid w:val="000D2962"/>
    <w:rsid w:val="000D3333"/>
    <w:rsid w:val="000D358B"/>
    <w:rsid w:val="000D360D"/>
    <w:rsid w:val="000D3A03"/>
    <w:rsid w:val="000D3B05"/>
    <w:rsid w:val="000D3B2D"/>
    <w:rsid w:val="000D3CB0"/>
    <w:rsid w:val="000D4131"/>
    <w:rsid w:val="000D420F"/>
    <w:rsid w:val="000D5363"/>
    <w:rsid w:val="000D55E2"/>
    <w:rsid w:val="000D5870"/>
    <w:rsid w:val="000D598D"/>
    <w:rsid w:val="000D60F1"/>
    <w:rsid w:val="000D6362"/>
    <w:rsid w:val="000D6907"/>
    <w:rsid w:val="000D6986"/>
    <w:rsid w:val="000D6BF1"/>
    <w:rsid w:val="000D77CC"/>
    <w:rsid w:val="000D79E1"/>
    <w:rsid w:val="000E08CC"/>
    <w:rsid w:val="000E08D0"/>
    <w:rsid w:val="000E0AEF"/>
    <w:rsid w:val="000E0D02"/>
    <w:rsid w:val="000E1502"/>
    <w:rsid w:val="000E1586"/>
    <w:rsid w:val="000E205C"/>
    <w:rsid w:val="000E2275"/>
    <w:rsid w:val="000E228D"/>
    <w:rsid w:val="000E2A71"/>
    <w:rsid w:val="000E2AC5"/>
    <w:rsid w:val="000E34F3"/>
    <w:rsid w:val="000E39AF"/>
    <w:rsid w:val="000E3D24"/>
    <w:rsid w:val="000E40C9"/>
    <w:rsid w:val="000E4520"/>
    <w:rsid w:val="000E460B"/>
    <w:rsid w:val="000E499C"/>
    <w:rsid w:val="000E562D"/>
    <w:rsid w:val="000E58E6"/>
    <w:rsid w:val="000E5BF0"/>
    <w:rsid w:val="000E5F16"/>
    <w:rsid w:val="000E6304"/>
    <w:rsid w:val="000E6732"/>
    <w:rsid w:val="000E683F"/>
    <w:rsid w:val="000E69D1"/>
    <w:rsid w:val="000E6B59"/>
    <w:rsid w:val="000E6B8D"/>
    <w:rsid w:val="000E712E"/>
    <w:rsid w:val="000E7514"/>
    <w:rsid w:val="000E7880"/>
    <w:rsid w:val="000E7DA0"/>
    <w:rsid w:val="000F021A"/>
    <w:rsid w:val="000F0520"/>
    <w:rsid w:val="000F0772"/>
    <w:rsid w:val="000F1128"/>
    <w:rsid w:val="000F1497"/>
    <w:rsid w:val="000F19DE"/>
    <w:rsid w:val="000F1AF0"/>
    <w:rsid w:val="000F1CED"/>
    <w:rsid w:val="000F21DB"/>
    <w:rsid w:val="000F23AE"/>
    <w:rsid w:val="000F23F1"/>
    <w:rsid w:val="000F2548"/>
    <w:rsid w:val="000F2572"/>
    <w:rsid w:val="000F28E0"/>
    <w:rsid w:val="000F3056"/>
    <w:rsid w:val="000F344D"/>
    <w:rsid w:val="000F352B"/>
    <w:rsid w:val="000F366E"/>
    <w:rsid w:val="000F3B25"/>
    <w:rsid w:val="000F3D81"/>
    <w:rsid w:val="000F41C7"/>
    <w:rsid w:val="000F42D3"/>
    <w:rsid w:val="000F4BD5"/>
    <w:rsid w:val="000F4ED4"/>
    <w:rsid w:val="000F530E"/>
    <w:rsid w:val="000F5863"/>
    <w:rsid w:val="000F5A75"/>
    <w:rsid w:val="000F5C34"/>
    <w:rsid w:val="000F5C53"/>
    <w:rsid w:val="000F5C91"/>
    <w:rsid w:val="000F5EC3"/>
    <w:rsid w:val="000F5F5B"/>
    <w:rsid w:val="000F61CA"/>
    <w:rsid w:val="000F623B"/>
    <w:rsid w:val="000F6836"/>
    <w:rsid w:val="000F7DFE"/>
    <w:rsid w:val="0010091A"/>
    <w:rsid w:val="001009CC"/>
    <w:rsid w:val="00100DED"/>
    <w:rsid w:val="00101B73"/>
    <w:rsid w:val="00101C61"/>
    <w:rsid w:val="00101CDA"/>
    <w:rsid w:val="00102430"/>
    <w:rsid w:val="00102646"/>
    <w:rsid w:val="001026B8"/>
    <w:rsid w:val="0010281C"/>
    <w:rsid w:val="00103121"/>
    <w:rsid w:val="00103208"/>
    <w:rsid w:val="00103920"/>
    <w:rsid w:val="00103E2F"/>
    <w:rsid w:val="0010434D"/>
    <w:rsid w:val="00104524"/>
    <w:rsid w:val="00104D10"/>
    <w:rsid w:val="00105389"/>
    <w:rsid w:val="00105529"/>
    <w:rsid w:val="00105EF9"/>
    <w:rsid w:val="00105F45"/>
    <w:rsid w:val="0010639F"/>
    <w:rsid w:val="001068B4"/>
    <w:rsid w:val="00106A87"/>
    <w:rsid w:val="00106D60"/>
    <w:rsid w:val="001073E3"/>
    <w:rsid w:val="00107454"/>
    <w:rsid w:val="0010775C"/>
    <w:rsid w:val="0010784E"/>
    <w:rsid w:val="00107CE1"/>
    <w:rsid w:val="00107F2E"/>
    <w:rsid w:val="0011021B"/>
    <w:rsid w:val="00110DB4"/>
    <w:rsid w:val="00110FEB"/>
    <w:rsid w:val="0011103E"/>
    <w:rsid w:val="00111143"/>
    <w:rsid w:val="0011146D"/>
    <w:rsid w:val="001115E9"/>
    <w:rsid w:val="001119F3"/>
    <w:rsid w:val="00112215"/>
    <w:rsid w:val="00112307"/>
    <w:rsid w:val="0011258A"/>
    <w:rsid w:val="0011263E"/>
    <w:rsid w:val="001127E9"/>
    <w:rsid w:val="001129CA"/>
    <w:rsid w:val="00112D4B"/>
    <w:rsid w:val="00113AFE"/>
    <w:rsid w:val="00113FCF"/>
    <w:rsid w:val="00114233"/>
    <w:rsid w:val="001145AB"/>
    <w:rsid w:val="001146E1"/>
    <w:rsid w:val="001147D5"/>
    <w:rsid w:val="00114B1C"/>
    <w:rsid w:val="00114C4D"/>
    <w:rsid w:val="0011506F"/>
    <w:rsid w:val="00115D0B"/>
    <w:rsid w:val="00116016"/>
    <w:rsid w:val="00116347"/>
    <w:rsid w:val="00116941"/>
    <w:rsid w:val="00117D0F"/>
    <w:rsid w:val="00117DCA"/>
    <w:rsid w:val="00117E23"/>
    <w:rsid w:val="00117EF0"/>
    <w:rsid w:val="00120030"/>
    <w:rsid w:val="0012017D"/>
    <w:rsid w:val="00120194"/>
    <w:rsid w:val="001205A3"/>
    <w:rsid w:val="00120B1E"/>
    <w:rsid w:val="00120D7D"/>
    <w:rsid w:val="001215F3"/>
    <w:rsid w:val="00121E5E"/>
    <w:rsid w:val="0012246F"/>
    <w:rsid w:val="0012264F"/>
    <w:rsid w:val="001226BB"/>
    <w:rsid w:val="001228C9"/>
    <w:rsid w:val="00122D4E"/>
    <w:rsid w:val="0012357B"/>
    <w:rsid w:val="00123D20"/>
    <w:rsid w:val="00124000"/>
    <w:rsid w:val="00124052"/>
    <w:rsid w:val="00124551"/>
    <w:rsid w:val="0012459D"/>
    <w:rsid w:val="0012462B"/>
    <w:rsid w:val="00124887"/>
    <w:rsid w:val="0012526F"/>
    <w:rsid w:val="001252F9"/>
    <w:rsid w:val="00125626"/>
    <w:rsid w:val="00125904"/>
    <w:rsid w:val="00125B30"/>
    <w:rsid w:val="00125CA4"/>
    <w:rsid w:val="00125DEF"/>
    <w:rsid w:val="00125FD4"/>
    <w:rsid w:val="00126FD6"/>
    <w:rsid w:val="001272A3"/>
    <w:rsid w:val="0012770B"/>
    <w:rsid w:val="00130163"/>
    <w:rsid w:val="0013067E"/>
    <w:rsid w:val="00130813"/>
    <w:rsid w:val="00130B45"/>
    <w:rsid w:val="00130F05"/>
    <w:rsid w:val="00131380"/>
    <w:rsid w:val="00131B8D"/>
    <w:rsid w:val="00131EDB"/>
    <w:rsid w:val="001321DE"/>
    <w:rsid w:val="00132739"/>
    <w:rsid w:val="00132E70"/>
    <w:rsid w:val="00133489"/>
    <w:rsid w:val="00133BBF"/>
    <w:rsid w:val="00133CA5"/>
    <w:rsid w:val="00133D38"/>
    <w:rsid w:val="001348DE"/>
    <w:rsid w:val="00134991"/>
    <w:rsid w:val="00134B24"/>
    <w:rsid w:val="001350E4"/>
    <w:rsid w:val="001351DA"/>
    <w:rsid w:val="001355F9"/>
    <w:rsid w:val="0013579C"/>
    <w:rsid w:val="001359D0"/>
    <w:rsid w:val="00135AB2"/>
    <w:rsid w:val="00135B55"/>
    <w:rsid w:val="00135CC5"/>
    <w:rsid w:val="00135D67"/>
    <w:rsid w:val="00135DD9"/>
    <w:rsid w:val="00136934"/>
    <w:rsid w:val="00136B64"/>
    <w:rsid w:val="00136DED"/>
    <w:rsid w:val="00136EAB"/>
    <w:rsid w:val="0013769A"/>
    <w:rsid w:val="0014080D"/>
    <w:rsid w:val="001409C1"/>
    <w:rsid w:val="00140B01"/>
    <w:rsid w:val="001410E9"/>
    <w:rsid w:val="001415C2"/>
    <w:rsid w:val="00141EC5"/>
    <w:rsid w:val="0014208C"/>
    <w:rsid w:val="00142280"/>
    <w:rsid w:val="001432F3"/>
    <w:rsid w:val="00143A46"/>
    <w:rsid w:val="00143F28"/>
    <w:rsid w:val="00144492"/>
    <w:rsid w:val="00144672"/>
    <w:rsid w:val="0014562C"/>
    <w:rsid w:val="00145919"/>
    <w:rsid w:val="00145D0B"/>
    <w:rsid w:val="001460F5"/>
    <w:rsid w:val="00146199"/>
    <w:rsid w:val="0014699A"/>
    <w:rsid w:val="00146B3B"/>
    <w:rsid w:val="00146DB2"/>
    <w:rsid w:val="00146EFA"/>
    <w:rsid w:val="0014715B"/>
    <w:rsid w:val="00147679"/>
    <w:rsid w:val="00147917"/>
    <w:rsid w:val="001500DF"/>
    <w:rsid w:val="00150511"/>
    <w:rsid w:val="00150887"/>
    <w:rsid w:val="001508C7"/>
    <w:rsid w:val="00150A76"/>
    <w:rsid w:val="001513E2"/>
    <w:rsid w:val="00151522"/>
    <w:rsid w:val="0015190C"/>
    <w:rsid w:val="00151939"/>
    <w:rsid w:val="00151B15"/>
    <w:rsid w:val="00151F65"/>
    <w:rsid w:val="00151FDA"/>
    <w:rsid w:val="001520CB"/>
    <w:rsid w:val="00152621"/>
    <w:rsid w:val="00152880"/>
    <w:rsid w:val="00152E3C"/>
    <w:rsid w:val="00153FCE"/>
    <w:rsid w:val="00154330"/>
    <w:rsid w:val="0015481D"/>
    <w:rsid w:val="00154B2E"/>
    <w:rsid w:val="0015568F"/>
    <w:rsid w:val="00155A35"/>
    <w:rsid w:val="0015643F"/>
    <w:rsid w:val="00156DDE"/>
    <w:rsid w:val="00157080"/>
    <w:rsid w:val="001571EA"/>
    <w:rsid w:val="0015747B"/>
    <w:rsid w:val="0015751D"/>
    <w:rsid w:val="00157527"/>
    <w:rsid w:val="00157FF1"/>
    <w:rsid w:val="00161058"/>
    <w:rsid w:val="0016158F"/>
    <w:rsid w:val="001616C1"/>
    <w:rsid w:val="00161C86"/>
    <w:rsid w:val="00161D96"/>
    <w:rsid w:val="00162088"/>
    <w:rsid w:val="001622AD"/>
    <w:rsid w:val="00162D79"/>
    <w:rsid w:val="00163EDD"/>
    <w:rsid w:val="001643BC"/>
    <w:rsid w:val="0016486A"/>
    <w:rsid w:val="001648BB"/>
    <w:rsid w:val="001649FB"/>
    <w:rsid w:val="00165397"/>
    <w:rsid w:val="00165641"/>
    <w:rsid w:val="00165C61"/>
    <w:rsid w:val="0016687F"/>
    <w:rsid w:val="00166C0F"/>
    <w:rsid w:val="00166F71"/>
    <w:rsid w:val="001670B8"/>
    <w:rsid w:val="00167781"/>
    <w:rsid w:val="00167C30"/>
    <w:rsid w:val="00167EE7"/>
    <w:rsid w:val="00170393"/>
    <w:rsid w:val="0017089D"/>
    <w:rsid w:val="00171087"/>
    <w:rsid w:val="001712A0"/>
    <w:rsid w:val="0017134D"/>
    <w:rsid w:val="00171C26"/>
    <w:rsid w:val="00172120"/>
    <w:rsid w:val="00172308"/>
    <w:rsid w:val="00172824"/>
    <w:rsid w:val="00173299"/>
    <w:rsid w:val="00173460"/>
    <w:rsid w:val="001735E5"/>
    <w:rsid w:val="00173851"/>
    <w:rsid w:val="00174C84"/>
    <w:rsid w:val="00174D14"/>
    <w:rsid w:val="00175634"/>
    <w:rsid w:val="0017573C"/>
    <w:rsid w:val="00175D3A"/>
    <w:rsid w:val="001760DB"/>
    <w:rsid w:val="00176391"/>
    <w:rsid w:val="00176736"/>
    <w:rsid w:val="001767F0"/>
    <w:rsid w:val="001768B9"/>
    <w:rsid w:val="001774F7"/>
    <w:rsid w:val="00177698"/>
    <w:rsid w:val="00177E04"/>
    <w:rsid w:val="001804AE"/>
    <w:rsid w:val="00180732"/>
    <w:rsid w:val="0018178F"/>
    <w:rsid w:val="00181949"/>
    <w:rsid w:val="00181D9C"/>
    <w:rsid w:val="001828E1"/>
    <w:rsid w:val="0018323A"/>
    <w:rsid w:val="001835B0"/>
    <w:rsid w:val="00183829"/>
    <w:rsid w:val="00183A1F"/>
    <w:rsid w:val="00183EB7"/>
    <w:rsid w:val="00183F38"/>
    <w:rsid w:val="00183FF7"/>
    <w:rsid w:val="0018419A"/>
    <w:rsid w:val="0018421F"/>
    <w:rsid w:val="00184490"/>
    <w:rsid w:val="00184638"/>
    <w:rsid w:val="001848F4"/>
    <w:rsid w:val="00184A1B"/>
    <w:rsid w:val="001850BC"/>
    <w:rsid w:val="00185751"/>
    <w:rsid w:val="00185CDE"/>
    <w:rsid w:val="0018625A"/>
    <w:rsid w:val="001878CA"/>
    <w:rsid w:val="00187E22"/>
    <w:rsid w:val="00187EC7"/>
    <w:rsid w:val="0019064B"/>
    <w:rsid w:val="001909A1"/>
    <w:rsid w:val="00190B48"/>
    <w:rsid w:val="00191267"/>
    <w:rsid w:val="001915D2"/>
    <w:rsid w:val="00192B61"/>
    <w:rsid w:val="00192E1A"/>
    <w:rsid w:val="00193157"/>
    <w:rsid w:val="00193ACE"/>
    <w:rsid w:val="00193E1B"/>
    <w:rsid w:val="001941DB"/>
    <w:rsid w:val="001946A9"/>
    <w:rsid w:val="001947F5"/>
    <w:rsid w:val="00194D2D"/>
    <w:rsid w:val="00194E25"/>
    <w:rsid w:val="0019505E"/>
    <w:rsid w:val="00195367"/>
    <w:rsid w:val="001959A0"/>
    <w:rsid w:val="001960E5"/>
    <w:rsid w:val="001964A2"/>
    <w:rsid w:val="001965CA"/>
    <w:rsid w:val="00196FE5"/>
    <w:rsid w:val="00197095"/>
    <w:rsid w:val="001974B4"/>
    <w:rsid w:val="001979AA"/>
    <w:rsid w:val="001A02CC"/>
    <w:rsid w:val="001A1209"/>
    <w:rsid w:val="001A19AE"/>
    <w:rsid w:val="001A1ADE"/>
    <w:rsid w:val="001A21DF"/>
    <w:rsid w:val="001A251B"/>
    <w:rsid w:val="001A3017"/>
    <w:rsid w:val="001A30B1"/>
    <w:rsid w:val="001A30B7"/>
    <w:rsid w:val="001A32AA"/>
    <w:rsid w:val="001A356F"/>
    <w:rsid w:val="001A3635"/>
    <w:rsid w:val="001A3A40"/>
    <w:rsid w:val="001A3E69"/>
    <w:rsid w:val="001A4984"/>
    <w:rsid w:val="001A4BA1"/>
    <w:rsid w:val="001A50F9"/>
    <w:rsid w:val="001A5155"/>
    <w:rsid w:val="001A59FB"/>
    <w:rsid w:val="001A5C4F"/>
    <w:rsid w:val="001A5ED5"/>
    <w:rsid w:val="001A638C"/>
    <w:rsid w:val="001A687D"/>
    <w:rsid w:val="001A6892"/>
    <w:rsid w:val="001A6DE0"/>
    <w:rsid w:val="001A6FA7"/>
    <w:rsid w:val="001A70B5"/>
    <w:rsid w:val="001A76F8"/>
    <w:rsid w:val="001B0452"/>
    <w:rsid w:val="001B083A"/>
    <w:rsid w:val="001B0C57"/>
    <w:rsid w:val="001B1267"/>
    <w:rsid w:val="001B1856"/>
    <w:rsid w:val="001B1F0E"/>
    <w:rsid w:val="001B1F32"/>
    <w:rsid w:val="001B2309"/>
    <w:rsid w:val="001B2399"/>
    <w:rsid w:val="001B2A89"/>
    <w:rsid w:val="001B34EE"/>
    <w:rsid w:val="001B3856"/>
    <w:rsid w:val="001B4DFC"/>
    <w:rsid w:val="001B4EA0"/>
    <w:rsid w:val="001B56D0"/>
    <w:rsid w:val="001B57D2"/>
    <w:rsid w:val="001B5F32"/>
    <w:rsid w:val="001B6243"/>
    <w:rsid w:val="001B674A"/>
    <w:rsid w:val="001B68C3"/>
    <w:rsid w:val="001B76A7"/>
    <w:rsid w:val="001C04FD"/>
    <w:rsid w:val="001C0B35"/>
    <w:rsid w:val="001C0EA2"/>
    <w:rsid w:val="001C12E3"/>
    <w:rsid w:val="001C159E"/>
    <w:rsid w:val="001C1A34"/>
    <w:rsid w:val="001C2148"/>
    <w:rsid w:val="001C21A5"/>
    <w:rsid w:val="001C2266"/>
    <w:rsid w:val="001C2B41"/>
    <w:rsid w:val="001C3167"/>
    <w:rsid w:val="001C3DA8"/>
    <w:rsid w:val="001C3E48"/>
    <w:rsid w:val="001C3F52"/>
    <w:rsid w:val="001C4295"/>
    <w:rsid w:val="001C4414"/>
    <w:rsid w:val="001C4B83"/>
    <w:rsid w:val="001C4E20"/>
    <w:rsid w:val="001C4FC9"/>
    <w:rsid w:val="001C54FA"/>
    <w:rsid w:val="001C5592"/>
    <w:rsid w:val="001C5709"/>
    <w:rsid w:val="001C5889"/>
    <w:rsid w:val="001C5FED"/>
    <w:rsid w:val="001C61AA"/>
    <w:rsid w:val="001C7146"/>
    <w:rsid w:val="001C77DD"/>
    <w:rsid w:val="001C7922"/>
    <w:rsid w:val="001C7991"/>
    <w:rsid w:val="001C7A7B"/>
    <w:rsid w:val="001C7E41"/>
    <w:rsid w:val="001D01D5"/>
    <w:rsid w:val="001D04D3"/>
    <w:rsid w:val="001D05D1"/>
    <w:rsid w:val="001D06C2"/>
    <w:rsid w:val="001D0E44"/>
    <w:rsid w:val="001D0F33"/>
    <w:rsid w:val="001D1F4E"/>
    <w:rsid w:val="001D26D4"/>
    <w:rsid w:val="001D28D4"/>
    <w:rsid w:val="001D34FE"/>
    <w:rsid w:val="001D3593"/>
    <w:rsid w:val="001D373A"/>
    <w:rsid w:val="001D385F"/>
    <w:rsid w:val="001D3BB3"/>
    <w:rsid w:val="001D424F"/>
    <w:rsid w:val="001D4302"/>
    <w:rsid w:val="001D45CC"/>
    <w:rsid w:val="001D48A0"/>
    <w:rsid w:val="001D4BA3"/>
    <w:rsid w:val="001D4C33"/>
    <w:rsid w:val="001D4F6D"/>
    <w:rsid w:val="001D5A20"/>
    <w:rsid w:val="001D6926"/>
    <w:rsid w:val="001D6B3C"/>
    <w:rsid w:val="001D6D92"/>
    <w:rsid w:val="001D70BF"/>
    <w:rsid w:val="001D77FC"/>
    <w:rsid w:val="001D7CDB"/>
    <w:rsid w:val="001D7F06"/>
    <w:rsid w:val="001E0DB6"/>
    <w:rsid w:val="001E11A6"/>
    <w:rsid w:val="001E14FC"/>
    <w:rsid w:val="001E15B5"/>
    <w:rsid w:val="001E1FB8"/>
    <w:rsid w:val="001E1FD8"/>
    <w:rsid w:val="001E2307"/>
    <w:rsid w:val="001E2DE5"/>
    <w:rsid w:val="001E3035"/>
    <w:rsid w:val="001E3D96"/>
    <w:rsid w:val="001E41AC"/>
    <w:rsid w:val="001E4AA7"/>
    <w:rsid w:val="001E4BB5"/>
    <w:rsid w:val="001E5446"/>
    <w:rsid w:val="001E5763"/>
    <w:rsid w:val="001E5826"/>
    <w:rsid w:val="001E5876"/>
    <w:rsid w:val="001E5E18"/>
    <w:rsid w:val="001E61E0"/>
    <w:rsid w:val="001E62E1"/>
    <w:rsid w:val="001E633F"/>
    <w:rsid w:val="001E671C"/>
    <w:rsid w:val="001E6A64"/>
    <w:rsid w:val="001E6B33"/>
    <w:rsid w:val="001E6CF0"/>
    <w:rsid w:val="001E7A23"/>
    <w:rsid w:val="001E7C1A"/>
    <w:rsid w:val="001E7DBD"/>
    <w:rsid w:val="001E7E6F"/>
    <w:rsid w:val="001F0024"/>
    <w:rsid w:val="001F0485"/>
    <w:rsid w:val="001F05DE"/>
    <w:rsid w:val="001F0C35"/>
    <w:rsid w:val="001F0D9F"/>
    <w:rsid w:val="001F1397"/>
    <w:rsid w:val="001F1AA2"/>
    <w:rsid w:val="001F1D93"/>
    <w:rsid w:val="001F22EF"/>
    <w:rsid w:val="001F2A88"/>
    <w:rsid w:val="001F376C"/>
    <w:rsid w:val="001F39D3"/>
    <w:rsid w:val="001F3D60"/>
    <w:rsid w:val="001F43C8"/>
    <w:rsid w:val="001F49A9"/>
    <w:rsid w:val="001F4D98"/>
    <w:rsid w:val="001F4EDC"/>
    <w:rsid w:val="001F510C"/>
    <w:rsid w:val="001F542C"/>
    <w:rsid w:val="001F550C"/>
    <w:rsid w:val="001F5B6E"/>
    <w:rsid w:val="001F5D79"/>
    <w:rsid w:val="001F5F49"/>
    <w:rsid w:val="001F5FB5"/>
    <w:rsid w:val="001F639E"/>
    <w:rsid w:val="001F6523"/>
    <w:rsid w:val="001F683E"/>
    <w:rsid w:val="001F6CCA"/>
    <w:rsid w:val="001F6D13"/>
    <w:rsid w:val="00200509"/>
    <w:rsid w:val="00200D8F"/>
    <w:rsid w:val="00201F29"/>
    <w:rsid w:val="002025FA"/>
    <w:rsid w:val="00202DC0"/>
    <w:rsid w:val="00203A7E"/>
    <w:rsid w:val="00203DE8"/>
    <w:rsid w:val="0020400B"/>
    <w:rsid w:val="002044AD"/>
    <w:rsid w:val="00204AB1"/>
    <w:rsid w:val="00204E1E"/>
    <w:rsid w:val="00204E46"/>
    <w:rsid w:val="0020508B"/>
    <w:rsid w:val="00206029"/>
    <w:rsid w:val="00206DF9"/>
    <w:rsid w:val="002078B2"/>
    <w:rsid w:val="00207931"/>
    <w:rsid w:val="00207C7C"/>
    <w:rsid w:val="0021002F"/>
    <w:rsid w:val="00210A48"/>
    <w:rsid w:val="00210E16"/>
    <w:rsid w:val="0021117C"/>
    <w:rsid w:val="00211725"/>
    <w:rsid w:val="00211994"/>
    <w:rsid w:val="00211BF0"/>
    <w:rsid w:val="00211C01"/>
    <w:rsid w:val="00211C2A"/>
    <w:rsid w:val="00211EC2"/>
    <w:rsid w:val="0021284D"/>
    <w:rsid w:val="002132BD"/>
    <w:rsid w:val="002132DF"/>
    <w:rsid w:val="002132EC"/>
    <w:rsid w:val="00213919"/>
    <w:rsid w:val="00213A28"/>
    <w:rsid w:val="002142C6"/>
    <w:rsid w:val="00214348"/>
    <w:rsid w:val="00214457"/>
    <w:rsid w:val="002146F4"/>
    <w:rsid w:val="00214AE5"/>
    <w:rsid w:val="00214ECD"/>
    <w:rsid w:val="00215678"/>
    <w:rsid w:val="00215BC5"/>
    <w:rsid w:val="0021649B"/>
    <w:rsid w:val="00216984"/>
    <w:rsid w:val="00216AC2"/>
    <w:rsid w:val="00216B81"/>
    <w:rsid w:val="00216CD8"/>
    <w:rsid w:val="00216E76"/>
    <w:rsid w:val="002170B1"/>
    <w:rsid w:val="002175EF"/>
    <w:rsid w:val="002177A3"/>
    <w:rsid w:val="00217B68"/>
    <w:rsid w:val="00217E98"/>
    <w:rsid w:val="002201A6"/>
    <w:rsid w:val="00220857"/>
    <w:rsid w:val="002215AF"/>
    <w:rsid w:val="00221CF7"/>
    <w:rsid w:val="00221E46"/>
    <w:rsid w:val="002220DC"/>
    <w:rsid w:val="00222200"/>
    <w:rsid w:val="00222A3D"/>
    <w:rsid w:val="00222BD5"/>
    <w:rsid w:val="00222E1C"/>
    <w:rsid w:val="00223866"/>
    <w:rsid w:val="00223B82"/>
    <w:rsid w:val="00224204"/>
    <w:rsid w:val="0022476D"/>
    <w:rsid w:val="00224BDE"/>
    <w:rsid w:val="0022511D"/>
    <w:rsid w:val="0022549B"/>
    <w:rsid w:val="00225D5A"/>
    <w:rsid w:val="00226B6B"/>
    <w:rsid w:val="00226D68"/>
    <w:rsid w:val="00226D8B"/>
    <w:rsid w:val="00227134"/>
    <w:rsid w:val="0022731F"/>
    <w:rsid w:val="0023021E"/>
    <w:rsid w:val="0023087F"/>
    <w:rsid w:val="00230BAA"/>
    <w:rsid w:val="0023134D"/>
    <w:rsid w:val="00231512"/>
    <w:rsid w:val="002315DD"/>
    <w:rsid w:val="00231900"/>
    <w:rsid w:val="00231BE6"/>
    <w:rsid w:val="002322EB"/>
    <w:rsid w:val="00232EB7"/>
    <w:rsid w:val="0023444B"/>
    <w:rsid w:val="002345B2"/>
    <w:rsid w:val="00234A6C"/>
    <w:rsid w:val="00234E1C"/>
    <w:rsid w:val="00235657"/>
    <w:rsid w:val="00235751"/>
    <w:rsid w:val="0023584C"/>
    <w:rsid w:val="00235F45"/>
    <w:rsid w:val="002365F2"/>
    <w:rsid w:val="002377CE"/>
    <w:rsid w:val="00237B74"/>
    <w:rsid w:val="00240187"/>
    <w:rsid w:val="00240D41"/>
    <w:rsid w:val="00240F49"/>
    <w:rsid w:val="00240F72"/>
    <w:rsid w:val="0024110A"/>
    <w:rsid w:val="002412C1"/>
    <w:rsid w:val="002414D0"/>
    <w:rsid w:val="00241B89"/>
    <w:rsid w:val="0024252C"/>
    <w:rsid w:val="002426E1"/>
    <w:rsid w:val="002435D8"/>
    <w:rsid w:val="00243B27"/>
    <w:rsid w:val="00243B84"/>
    <w:rsid w:val="00243DE7"/>
    <w:rsid w:val="00243FB1"/>
    <w:rsid w:val="00244575"/>
    <w:rsid w:val="00244749"/>
    <w:rsid w:val="00244757"/>
    <w:rsid w:val="002447F0"/>
    <w:rsid w:val="002452B4"/>
    <w:rsid w:val="002453EC"/>
    <w:rsid w:val="00245F7B"/>
    <w:rsid w:val="002462D9"/>
    <w:rsid w:val="0024688F"/>
    <w:rsid w:val="002468A2"/>
    <w:rsid w:val="00246CE6"/>
    <w:rsid w:val="00246DE8"/>
    <w:rsid w:val="00247637"/>
    <w:rsid w:val="00247E19"/>
    <w:rsid w:val="00250051"/>
    <w:rsid w:val="002502E0"/>
    <w:rsid w:val="002505E7"/>
    <w:rsid w:val="002505F9"/>
    <w:rsid w:val="002512EB"/>
    <w:rsid w:val="00251495"/>
    <w:rsid w:val="002517D9"/>
    <w:rsid w:val="00251883"/>
    <w:rsid w:val="0025192F"/>
    <w:rsid w:val="0025214C"/>
    <w:rsid w:val="002529A2"/>
    <w:rsid w:val="00252BD9"/>
    <w:rsid w:val="00252D7E"/>
    <w:rsid w:val="00253120"/>
    <w:rsid w:val="00253472"/>
    <w:rsid w:val="002535AD"/>
    <w:rsid w:val="00253B0D"/>
    <w:rsid w:val="00254723"/>
    <w:rsid w:val="0025486C"/>
    <w:rsid w:val="00254A8D"/>
    <w:rsid w:val="00254DF2"/>
    <w:rsid w:val="0025731A"/>
    <w:rsid w:val="00257902"/>
    <w:rsid w:val="00260203"/>
    <w:rsid w:val="00260473"/>
    <w:rsid w:val="002607F6"/>
    <w:rsid w:val="002609F7"/>
    <w:rsid w:val="00260B79"/>
    <w:rsid w:val="0026158C"/>
    <w:rsid w:val="0026198B"/>
    <w:rsid w:val="00261A23"/>
    <w:rsid w:val="00261A91"/>
    <w:rsid w:val="00261DC9"/>
    <w:rsid w:val="00262347"/>
    <w:rsid w:val="0026276D"/>
    <w:rsid w:val="00262871"/>
    <w:rsid w:val="00263186"/>
    <w:rsid w:val="002632BB"/>
    <w:rsid w:val="002643BE"/>
    <w:rsid w:val="00264AA5"/>
    <w:rsid w:val="00264CDD"/>
    <w:rsid w:val="00264FC9"/>
    <w:rsid w:val="0026511F"/>
    <w:rsid w:val="0026521F"/>
    <w:rsid w:val="00265D08"/>
    <w:rsid w:val="002662DA"/>
    <w:rsid w:val="002666A0"/>
    <w:rsid w:val="00266E8B"/>
    <w:rsid w:val="00266F51"/>
    <w:rsid w:val="0026721F"/>
    <w:rsid w:val="002674AA"/>
    <w:rsid w:val="0026756B"/>
    <w:rsid w:val="00267B66"/>
    <w:rsid w:val="002707C5"/>
    <w:rsid w:val="00270805"/>
    <w:rsid w:val="00270E72"/>
    <w:rsid w:val="0027100E"/>
    <w:rsid w:val="002710A9"/>
    <w:rsid w:val="00271615"/>
    <w:rsid w:val="00271A78"/>
    <w:rsid w:val="00271F5F"/>
    <w:rsid w:val="00271F7F"/>
    <w:rsid w:val="00271FAC"/>
    <w:rsid w:val="00272061"/>
    <w:rsid w:val="00272125"/>
    <w:rsid w:val="002728B3"/>
    <w:rsid w:val="00273AFC"/>
    <w:rsid w:val="00273D06"/>
    <w:rsid w:val="002746C4"/>
    <w:rsid w:val="00274A5D"/>
    <w:rsid w:val="00274BD8"/>
    <w:rsid w:val="0027509E"/>
    <w:rsid w:val="002750FA"/>
    <w:rsid w:val="00275242"/>
    <w:rsid w:val="002753EE"/>
    <w:rsid w:val="00275647"/>
    <w:rsid w:val="00275684"/>
    <w:rsid w:val="0027587D"/>
    <w:rsid w:val="00275888"/>
    <w:rsid w:val="002759FF"/>
    <w:rsid w:val="00275E0F"/>
    <w:rsid w:val="002763B2"/>
    <w:rsid w:val="00276E8C"/>
    <w:rsid w:val="00277D61"/>
    <w:rsid w:val="00280A4D"/>
    <w:rsid w:val="00281479"/>
    <w:rsid w:val="00281663"/>
    <w:rsid w:val="002816BD"/>
    <w:rsid w:val="002817DD"/>
    <w:rsid w:val="00281A1D"/>
    <w:rsid w:val="00281DD6"/>
    <w:rsid w:val="00281ED4"/>
    <w:rsid w:val="00281FBC"/>
    <w:rsid w:val="00282986"/>
    <w:rsid w:val="00282BE6"/>
    <w:rsid w:val="00282C9D"/>
    <w:rsid w:val="00283AA7"/>
    <w:rsid w:val="00283C80"/>
    <w:rsid w:val="00283D55"/>
    <w:rsid w:val="00284029"/>
    <w:rsid w:val="002847E9"/>
    <w:rsid w:val="00284CB9"/>
    <w:rsid w:val="002851E5"/>
    <w:rsid w:val="002854F9"/>
    <w:rsid w:val="00285A22"/>
    <w:rsid w:val="00285FD5"/>
    <w:rsid w:val="00285FEE"/>
    <w:rsid w:val="00286464"/>
    <w:rsid w:val="00286AFD"/>
    <w:rsid w:val="00286E3A"/>
    <w:rsid w:val="00286ED9"/>
    <w:rsid w:val="00287010"/>
    <w:rsid w:val="00290222"/>
    <w:rsid w:val="0029028D"/>
    <w:rsid w:val="0029039A"/>
    <w:rsid w:val="002920B8"/>
    <w:rsid w:val="002922B1"/>
    <w:rsid w:val="002923F1"/>
    <w:rsid w:val="00292650"/>
    <w:rsid w:val="00292F78"/>
    <w:rsid w:val="00292FB1"/>
    <w:rsid w:val="002932C2"/>
    <w:rsid w:val="002934D3"/>
    <w:rsid w:val="00293945"/>
    <w:rsid w:val="00294626"/>
    <w:rsid w:val="00294AD4"/>
    <w:rsid w:val="002951DB"/>
    <w:rsid w:val="00295D8B"/>
    <w:rsid w:val="00295DBA"/>
    <w:rsid w:val="00295EA5"/>
    <w:rsid w:val="0029657A"/>
    <w:rsid w:val="00296643"/>
    <w:rsid w:val="00296A58"/>
    <w:rsid w:val="00296DDF"/>
    <w:rsid w:val="00296E0B"/>
    <w:rsid w:val="0029701F"/>
    <w:rsid w:val="00297DB4"/>
    <w:rsid w:val="002A024C"/>
    <w:rsid w:val="002A0E7A"/>
    <w:rsid w:val="002A13CE"/>
    <w:rsid w:val="002A22D2"/>
    <w:rsid w:val="002A34D6"/>
    <w:rsid w:val="002A387C"/>
    <w:rsid w:val="002A3FAA"/>
    <w:rsid w:val="002A4569"/>
    <w:rsid w:val="002A4EBB"/>
    <w:rsid w:val="002A5818"/>
    <w:rsid w:val="002A59B9"/>
    <w:rsid w:val="002A5EA6"/>
    <w:rsid w:val="002A5EE4"/>
    <w:rsid w:val="002A63D5"/>
    <w:rsid w:val="002A6688"/>
    <w:rsid w:val="002A6B7F"/>
    <w:rsid w:val="002A7144"/>
    <w:rsid w:val="002A7CD8"/>
    <w:rsid w:val="002A7E9A"/>
    <w:rsid w:val="002B0288"/>
    <w:rsid w:val="002B08C1"/>
    <w:rsid w:val="002B0FB9"/>
    <w:rsid w:val="002B100C"/>
    <w:rsid w:val="002B25A7"/>
    <w:rsid w:val="002B261B"/>
    <w:rsid w:val="002B3430"/>
    <w:rsid w:val="002B4A5C"/>
    <w:rsid w:val="002B4A70"/>
    <w:rsid w:val="002B4FDB"/>
    <w:rsid w:val="002B551F"/>
    <w:rsid w:val="002B5681"/>
    <w:rsid w:val="002B5E1F"/>
    <w:rsid w:val="002B64DD"/>
    <w:rsid w:val="002B6A36"/>
    <w:rsid w:val="002B6C0A"/>
    <w:rsid w:val="002B7039"/>
    <w:rsid w:val="002B76F2"/>
    <w:rsid w:val="002B7761"/>
    <w:rsid w:val="002B7C16"/>
    <w:rsid w:val="002C033D"/>
    <w:rsid w:val="002C05C9"/>
    <w:rsid w:val="002C0A2C"/>
    <w:rsid w:val="002C17E9"/>
    <w:rsid w:val="002C1969"/>
    <w:rsid w:val="002C2348"/>
    <w:rsid w:val="002C2605"/>
    <w:rsid w:val="002C2D2B"/>
    <w:rsid w:val="002C2EF1"/>
    <w:rsid w:val="002C3EB8"/>
    <w:rsid w:val="002C43E3"/>
    <w:rsid w:val="002C4691"/>
    <w:rsid w:val="002C51FF"/>
    <w:rsid w:val="002C547E"/>
    <w:rsid w:val="002C5507"/>
    <w:rsid w:val="002C6153"/>
    <w:rsid w:val="002C623E"/>
    <w:rsid w:val="002C62DA"/>
    <w:rsid w:val="002C6438"/>
    <w:rsid w:val="002C68D5"/>
    <w:rsid w:val="002C6AEF"/>
    <w:rsid w:val="002C6B0E"/>
    <w:rsid w:val="002C6C5D"/>
    <w:rsid w:val="002C75A1"/>
    <w:rsid w:val="002C784D"/>
    <w:rsid w:val="002C7EB2"/>
    <w:rsid w:val="002D0382"/>
    <w:rsid w:val="002D03CE"/>
    <w:rsid w:val="002D05C8"/>
    <w:rsid w:val="002D19D1"/>
    <w:rsid w:val="002D1E17"/>
    <w:rsid w:val="002D2371"/>
    <w:rsid w:val="002D2E86"/>
    <w:rsid w:val="002D3D05"/>
    <w:rsid w:val="002D3D1E"/>
    <w:rsid w:val="002D4D2E"/>
    <w:rsid w:val="002D54E0"/>
    <w:rsid w:val="002D6090"/>
    <w:rsid w:val="002D60B6"/>
    <w:rsid w:val="002D6340"/>
    <w:rsid w:val="002D6D0A"/>
    <w:rsid w:val="002D73A1"/>
    <w:rsid w:val="002D7562"/>
    <w:rsid w:val="002D798F"/>
    <w:rsid w:val="002D7CC1"/>
    <w:rsid w:val="002E02CE"/>
    <w:rsid w:val="002E04D2"/>
    <w:rsid w:val="002E0D26"/>
    <w:rsid w:val="002E13F7"/>
    <w:rsid w:val="002E1433"/>
    <w:rsid w:val="002E157F"/>
    <w:rsid w:val="002E1E76"/>
    <w:rsid w:val="002E225E"/>
    <w:rsid w:val="002E24F3"/>
    <w:rsid w:val="002E2DA3"/>
    <w:rsid w:val="002E315D"/>
    <w:rsid w:val="002E3C57"/>
    <w:rsid w:val="002E40C1"/>
    <w:rsid w:val="002E46B3"/>
    <w:rsid w:val="002E5006"/>
    <w:rsid w:val="002E516E"/>
    <w:rsid w:val="002E5212"/>
    <w:rsid w:val="002E5268"/>
    <w:rsid w:val="002E530D"/>
    <w:rsid w:val="002E55AB"/>
    <w:rsid w:val="002E5F8B"/>
    <w:rsid w:val="002E60C1"/>
    <w:rsid w:val="002E62C3"/>
    <w:rsid w:val="002E67DE"/>
    <w:rsid w:val="002E6BC4"/>
    <w:rsid w:val="002E6C6F"/>
    <w:rsid w:val="002E6D80"/>
    <w:rsid w:val="002E7FDE"/>
    <w:rsid w:val="002F023E"/>
    <w:rsid w:val="002F06DB"/>
    <w:rsid w:val="002F07DF"/>
    <w:rsid w:val="002F0A2B"/>
    <w:rsid w:val="002F0F77"/>
    <w:rsid w:val="002F0FDF"/>
    <w:rsid w:val="002F1219"/>
    <w:rsid w:val="002F1412"/>
    <w:rsid w:val="002F15C7"/>
    <w:rsid w:val="002F1D21"/>
    <w:rsid w:val="002F1EE7"/>
    <w:rsid w:val="002F2685"/>
    <w:rsid w:val="002F26D5"/>
    <w:rsid w:val="002F2965"/>
    <w:rsid w:val="002F310B"/>
    <w:rsid w:val="002F4CFC"/>
    <w:rsid w:val="002F4E39"/>
    <w:rsid w:val="002F5E56"/>
    <w:rsid w:val="002F5EE2"/>
    <w:rsid w:val="002F61CA"/>
    <w:rsid w:val="002F6582"/>
    <w:rsid w:val="002F7641"/>
    <w:rsid w:val="002F79ED"/>
    <w:rsid w:val="002F7B20"/>
    <w:rsid w:val="002F7C62"/>
    <w:rsid w:val="003001C3"/>
    <w:rsid w:val="0030084D"/>
    <w:rsid w:val="0030093E"/>
    <w:rsid w:val="0030094B"/>
    <w:rsid w:val="003009A6"/>
    <w:rsid w:val="003009CD"/>
    <w:rsid w:val="003018A9"/>
    <w:rsid w:val="003019C0"/>
    <w:rsid w:val="00301A37"/>
    <w:rsid w:val="00301D5C"/>
    <w:rsid w:val="00301D73"/>
    <w:rsid w:val="003022FB"/>
    <w:rsid w:val="00302494"/>
    <w:rsid w:val="0030274B"/>
    <w:rsid w:val="00302921"/>
    <w:rsid w:val="0030306B"/>
    <w:rsid w:val="003035A5"/>
    <w:rsid w:val="00303607"/>
    <w:rsid w:val="003040F0"/>
    <w:rsid w:val="00304507"/>
    <w:rsid w:val="0030487F"/>
    <w:rsid w:val="00304EB1"/>
    <w:rsid w:val="00304F49"/>
    <w:rsid w:val="00305925"/>
    <w:rsid w:val="003063E4"/>
    <w:rsid w:val="00306F95"/>
    <w:rsid w:val="00310385"/>
    <w:rsid w:val="0031145C"/>
    <w:rsid w:val="0031183C"/>
    <w:rsid w:val="0031192D"/>
    <w:rsid w:val="00311A78"/>
    <w:rsid w:val="00311BAE"/>
    <w:rsid w:val="00311CE6"/>
    <w:rsid w:val="0031227D"/>
    <w:rsid w:val="00312C55"/>
    <w:rsid w:val="00313378"/>
    <w:rsid w:val="00313851"/>
    <w:rsid w:val="003139EB"/>
    <w:rsid w:val="00313C6C"/>
    <w:rsid w:val="00313F84"/>
    <w:rsid w:val="003144C5"/>
    <w:rsid w:val="003152DA"/>
    <w:rsid w:val="003153FB"/>
    <w:rsid w:val="00315A25"/>
    <w:rsid w:val="003160E3"/>
    <w:rsid w:val="003169A6"/>
    <w:rsid w:val="00316CE3"/>
    <w:rsid w:val="003200FB"/>
    <w:rsid w:val="00320785"/>
    <w:rsid w:val="00320F4D"/>
    <w:rsid w:val="0032156B"/>
    <w:rsid w:val="00321687"/>
    <w:rsid w:val="00321DB6"/>
    <w:rsid w:val="00321EC7"/>
    <w:rsid w:val="003221A0"/>
    <w:rsid w:val="00322951"/>
    <w:rsid w:val="00323BBF"/>
    <w:rsid w:val="00324ABB"/>
    <w:rsid w:val="003257A9"/>
    <w:rsid w:val="00325B48"/>
    <w:rsid w:val="00325E53"/>
    <w:rsid w:val="003262E6"/>
    <w:rsid w:val="00331023"/>
    <w:rsid w:val="0033155E"/>
    <w:rsid w:val="0033158C"/>
    <w:rsid w:val="003318A3"/>
    <w:rsid w:val="00331DC4"/>
    <w:rsid w:val="003320CB"/>
    <w:rsid w:val="003320E9"/>
    <w:rsid w:val="00332142"/>
    <w:rsid w:val="0033233F"/>
    <w:rsid w:val="0033291C"/>
    <w:rsid w:val="0033307F"/>
    <w:rsid w:val="0033338B"/>
    <w:rsid w:val="0033374E"/>
    <w:rsid w:val="003337D1"/>
    <w:rsid w:val="00333825"/>
    <w:rsid w:val="00333FE9"/>
    <w:rsid w:val="003340E1"/>
    <w:rsid w:val="00334F3E"/>
    <w:rsid w:val="00335AF7"/>
    <w:rsid w:val="0033678B"/>
    <w:rsid w:val="00336969"/>
    <w:rsid w:val="00336B26"/>
    <w:rsid w:val="00336DB7"/>
    <w:rsid w:val="00337565"/>
    <w:rsid w:val="00337A4D"/>
    <w:rsid w:val="0034061C"/>
    <w:rsid w:val="00341556"/>
    <w:rsid w:val="00341797"/>
    <w:rsid w:val="00341FF9"/>
    <w:rsid w:val="003429D1"/>
    <w:rsid w:val="00342B11"/>
    <w:rsid w:val="00342C44"/>
    <w:rsid w:val="00343531"/>
    <w:rsid w:val="00343D6F"/>
    <w:rsid w:val="00344D66"/>
    <w:rsid w:val="00345597"/>
    <w:rsid w:val="003458D6"/>
    <w:rsid w:val="003458FE"/>
    <w:rsid w:val="00345987"/>
    <w:rsid w:val="00345AAD"/>
    <w:rsid w:val="00345E52"/>
    <w:rsid w:val="0034650C"/>
    <w:rsid w:val="003467EC"/>
    <w:rsid w:val="003467FA"/>
    <w:rsid w:val="003474D4"/>
    <w:rsid w:val="003475BE"/>
    <w:rsid w:val="003476E6"/>
    <w:rsid w:val="0034793E"/>
    <w:rsid w:val="00347CA4"/>
    <w:rsid w:val="00350489"/>
    <w:rsid w:val="00350AD9"/>
    <w:rsid w:val="00350D5F"/>
    <w:rsid w:val="00350FCE"/>
    <w:rsid w:val="003511D3"/>
    <w:rsid w:val="003515FB"/>
    <w:rsid w:val="0035194F"/>
    <w:rsid w:val="00351FCF"/>
    <w:rsid w:val="00352007"/>
    <w:rsid w:val="00352012"/>
    <w:rsid w:val="0035208F"/>
    <w:rsid w:val="00352E73"/>
    <w:rsid w:val="003532A8"/>
    <w:rsid w:val="0035366F"/>
    <w:rsid w:val="00353AEA"/>
    <w:rsid w:val="0035426D"/>
    <w:rsid w:val="00354828"/>
    <w:rsid w:val="00354922"/>
    <w:rsid w:val="00354C87"/>
    <w:rsid w:val="00354CEB"/>
    <w:rsid w:val="00354E87"/>
    <w:rsid w:val="00355224"/>
    <w:rsid w:val="0035525C"/>
    <w:rsid w:val="00355A01"/>
    <w:rsid w:val="00355F2F"/>
    <w:rsid w:val="00356019"/>
    <w:rsid w:val="003569EA"/>
    <w:rsid w:val="003570CD"/>
    <w:rsid w:val="00357146"/>
    <w:rsid w:val="003572CF"/>
    <w:rsid w:val="0035736B"/>
    <w:rsid w:val="00357D75"/>
    <w:rsid w:val="00360008"/>
    <w:rsid w:val="003606CA"/>
    <w:rsid w:val="003608A6"/>
    <w:rsid w:val="003608DE"/>
    <w:rsid w:val="00360E3C"/>
    <w:rsid w:val="00360F3A"/>
    <w:rsid w:val="00361123"/>
    <w:rsid w:val="00362D52"/>
    <w:rsid w:val="00362DC8"/>
    <w:rsid w:val="00363541"/>
    <w:rsid w:val="0036369D"/>
    <w:rsid w:val="00363E75"/>
    <w:rsid w:val="00364A37"/>
    <w:rsid w:val="00364AFC"/>
    <w:rsid w:val="0036527C"/>
    <w:rsid w:val="00365956"/>
    <w:rsid w:val="00365FBE"/>
    <w:rsid w:val="003660EC"/>
    <w:rsid w:val="00366350"/>
    <w:rsid w:val="00366AE0"/>
    <w:rsid w:val="00366E1E"/>
    <w:rsid w:val="00366F3A"/>
    <w:rsid w:val="00367C11"/>
    <w:rsid w:val="003704C2"/>
    <w:rsid w:val="0037056B"/>
    <w:rsid w:val="00370E5F"/>
    <w:rsid w:val="003711E2"/>
    <w:rsid w:val="00371415"/>
    <w:rsid w:val="003715E0"/>
    <w:rsid w:val="0037206F"/>
    <w:rsid w:val="00372456"/>
    <w:rsid w:val="003724FD"/>
    <w:rsid w:val="0037256A"/>
    <w:rsid w:val="0037310C"/>
    <w:rsid w:val="00373219"/>
    <w:rsid w:val="00373316"/>
    <w:rsid w:val="00373FED"/>
    <w:rsid w:val="00374314"/>
    <w:rsid w:val="0037448F"/>
    <w:rsid w:val="00374605"/>
    <w:rsid w:val="00374675"/>
    <w:rsid w:val="00375367"/>
    <w:rsid w:val="00375895"/>
    <w:rsid w:val="003759A6"/>
    <w:rsid w:val="003759A7"/>
    <w:rsid w:val="00375A31"/>
    <w:rsid w:val="00375CF7"/>
    <w:rsid w:val="00376471"/>
    <w:rsid w:val="00376711"/>
    <w:rsid w:val="003776BB"/>
    <w:rsid w:val="00377960"/>
    <w:rsid w:val="0038066F"/>
    <w:rsid w:val="00380834"/>
    <w:rsid w:val="00381445"/>
    <w:rsid w:val="00381822"/>
    <w:rsid w:val="00381BD4"/>
    <w:rsid w:val="00382207"/>
    <w:rsid w:val="0038304B"/>
    <w:rsid w:val="0038320E"/>
    <w:rsid w:val="00383242"/>
    <w:rsid w:val="00383A25"/>
    <w:rsid w:val="00383E0D"/>
    <w:rsid w:val="0038408C"/>
    <w:rsid w:val="003841EB"/>
    <w:rsid w:val="003851FE"/>
    <w:rsid w:val="003854AA"/>
    <w:rsid w:val="003854E1"/>
    <w:rsid w:val="003856EE"/>
    <w:rsid w:val="00385D9E"/>
    <w:rsid w:val="003869E9"/>
    <w:rsid w:val="00386B64"/>
    <w:rsid w:val="00386BF1"/>
    <w:rsid w:val="00386D4B"/>
    <w:rsid w:val="00387783"/>
    <w:rsid w:val="00390915"/>
    <w:rsid w:val="00390E01"/>
    <w:rsid w:val="0039205F"/>
    <w:rsid w:val="00392121"/>
    <w:rsid w:val="003928F2"/>
    <w:rsid w:val="00392B0F"/>
    <w:rsid w:val="00392B83"/>
    <w:rsid w:val="00392C61"/>
    <w:rsid w:val="0039321C"/>
    <w:rsid w:val="003938CC"/>
    <w:rsid w:val="00394109"/>
    <w:rsid w:val="0039459C"/>
    <w:rsid w:val="00394F9A"/>
    <w:rsid w:val="00395371"/>
    <w:rsid w:val="00395BC3"/>
    <w:rsid w:val="00395EAC"/>
    <w:rsid w:val="003964A1"/>
    <w:rsid w:val="00396A66"/>
    <w:rsid w:val="00397621"/>
    <w:rsid w:val="00397B38"/>
    <w:rsid w:val="00397C2A"/>
    <w:rsid w:val="00397DF2"/>
    <w:rsid w:val="003A01E8"/>
    <w:rsid w:val="003A1A64"/>
    <w:rsid w:val="003A21DC"/>
    <w:rsid w:val="003A2324"/>
    <w:rsid w:val="003A25BB"/>
    <w:rsid w:val="003A2742"/>
    <w:rsid w:val="003A3064"/>
    <w:rsid w:val="003A3873"/>
    <w:rsid w:val="003A3A8F"/>
    <w:rsid w:val="003A3EF9"/>
    <w:rsid w:val="003A407F"/>
    <w:rsid w:val="003A439B"/>
    <w:rsid w:val="003A4419"/>
    <w:rsid w:val="003A4448"/>
    <w:rsid w:val="003A450D"/>
    <w:rsid w:val="003A4DE6"/>
    <w:rsid w:val="003A5482"/>
    <w:rsid w:val="003A62ED"/>
    <w:rsid w:val="003A64E8"/>
    <w:rsid w:val="003A6CD9"/>
    <w:rsid w:val="003A726C"/>
    <w:rsid w:val="003A7514"/>
    <w:rsid w:val="003A760D"/>
    <w:rsid w:val="003A77F2"/>
    <w:rsid w:val="003A7B92"/>
    <w:rsid w:val="003B0C42"/>
    <w:rsid w:val="003B1A5C"/>
    <w:rsid w:val="003B1CD6"/>
    <w:rsid w:val="003B1EA3"/>
    <w:rsid w:val="003B1FA3"/>
    <w:rsid w:val="003B2036"/>
    <w:rsid w:val="003B20E3"/>
    <w:rsid w:val="003B20F6"/>
    <w:rsid w:val="003B2599"/>
    <w:rsid w:val="003B3993"/>
    <w:rsid w:val="003B3E6B"/>
    <w:rsid w:val="003B3EB8"/>
    <w:rsid w:val="003B4939"/>
    <w:rsid w:val="003B5035"/>
    <w:rsid w:val="003B50B5"/>
    <w:rsid w:val="003B5318"/>
    <w:rsid w:val="003B5428"/>
    <w:rsid w:val="003B543F"/>
    <w:rsid w:val="003B5C50"/>
    <w:rsid w:val="003B5F18"/>
    <w:rsid w:val="003B5F1D"/>
    <w:rsid w:val="003B5F59"/>
    <w:rsid w:val="003B651E"/>
    <w:rsid w:val="003B78F1"/>
    <w:rsid w:val="003C012D"/>
    <w:rsid w:val="003C0953"/>
    <w:rsid w:val="003C0B24"/>
    <w:rsid w:val="003C1002"/>
    <w:rsid w:val="003C145A"/>
    <w:rsid w:val="003C1501"/>
    <w:rsid w:val="003C153B"/>
    <w:rsid w:val="003C1853"/>
    <w:rsid w:val="003C1D3B"/>
    <w:rsid w:val="003C238C"/>
    <w:rsid w:val="003C23FA"/>
    <w:rsid w:val="003C281D"/>
    <w:rsid w:val="003C3610"/>
    <w:rsid w:val="003C3769"/>
    <w:rsid w:val="003C3790"/>
    <w:rsid w:val="003C3A90"/>
    <w:rsid w:val="003C4227"/>
    <w:rsid w:val="003C43AA"/>
    <w:rsid w:val="003C4651"/>
    <w:rsid w:val="003C4A99"/>
    <w:rsid w:val="003C5653"/>
    <w:rsid w:val="003C5BD9"/>
    <w:rsid w:val="003C60A7"/>
    <w:rsid w:val="003C618E"/>
    <w:rsid w:val="003C6352"/>
    <w:rsid w:val="003C6A04"/>
    <w:rsid w:val="003C6E51"/>
    <w:rsid w:val="003C7166"/>
    <w:rsid w:val="003C722A"/>
    <w:rsid w:val="003D01AD"/>
    <w:rsid w:val="003D050C"/>
    <w:rsid w:val="003D1445"/>
    <w:rsid w:val="003D1524"/>
    <w:rsid w:val="003D16EE"/>
    <w:rsid w:val="003D1A42"/>
    <w:rsid w:val="003D2D83"/>
    <w:rsid w:val="003D3577"/>
    <w:rsid w:val="003D36EB"/>
    <w:rsid w:val="003D46DF"/>
    <w:rsid w:val="003D47DF"/>
    <w:rsid w:val="003D4C66"/>
    <w:rsid w:val="003D4F35"/>
    <w:rsid w:val="003D5247"/>
    <w:rsid w:val="003D5392"/>
    <w:rsid w:val="003D57AB"/>
    <w:rsid w:val="003D60C4"/>
    <w:rsid w:val="003D61C5"/>
    <w:rsid w:val="003D65C2"/>
    <w:rsid w:val="003D6E8E"/>
    <w:rsid w:val="003D7549"/>
    <w:rsid w:val="003D7CD3"/>
    <w:rsid w:val="003E044A"/>
    <w:rsid w:val="003E0856"/>
    <w:rsid w:val="003E0FBF"/>
    <w:rsid w:val="003E11F8"/>
    <w:rsid w:val="003E1E76"/>
    <w:rsid w:val="003E2065"/>
    <w:rsid w:val="003E31FC"/>
    <w:rsid w:val="003E325A"/>
    <w:rsid w:val="003E3C6A"/>
    <w:rsid w:val="003E458E"/>
    <w:rsid w:val="003E5412"/>
    <w:rsid w:val="003E5AAC"/>
    <w:rsid w:val="003E6315"/>
    <w:rsid w:val="003E681C"/>
    <w:rsid w:val="003E6D95"/>
    <w:rsid w:val="003E748A"/>
    <w:rsid w:val="003F00CD"/>
    <w:rsid w:val="003F0422"/>
    <w:rsid w:val="003F0604"/>
    <w:rsid w:val="003F0818"/>
    <w:rsid w:val="003F0CAB"/>
    <w:rsid w:val="003F0DCE"/>
    <w:rsid w:val="003F11D1"/>
    <w:rsid w:val="003F1364"/>
    <w:rsid w:val="003F1365"/>
    <w:rsid w:val="003F2313"/>
    <w:rsid w:val="003F2C0A"/>
    <w:rsid w:val="003F2CD6"/>
    <w:rsid w:val="003F2D9B"/>
    <w:rsid w:val="003F3407"/>
    <w:rsid w:val="003F342C"/>
    <w:rsid w:val="003F35BA"/>
    <w:rsid w:val="003F3618"/>
    <w:rsid w:val="003F3924"/>
    <w:rsid w:val="003F39DD"/>
    <w:rsid w:val="003F3B93"/>
    <w:rsid w:val="003F3DBE"/>
    <w:rsid w:val="003F3E47"/>
    <w:rsid w:val="003F3F98"/>
    <w:rsid w:val="003F4397"/>
    <w:rsid w:val="003F475A"/>
    <w:rsid w:val="003F48F4"/>
    <w:rsid w:val="003F4FA6"/>
    <w:rsid w:val="003F5297"/>
    <w:rsid w:val="003F52C4"/>
    <w:rsid w:val="003F5573"/>
    <w:rsid w:val="003F5914"/>
    <w:rsid w:val="003F5BDC"/>
    <w:rsid w:val="003F612E"/>
    <w:rsid w:val="003F661A"/>
    <w:rsid w:val="003F6833"/>
    <w:rsid w:val="003F6872"/>
    <w:rsid w:val="003F68A8"/>
    <w:rsid w:val="003F6A9D"/>
    <w:rsid w:val="003F7022"/>
    <w:rsid w:val="003F746C"/>
    <w:rsid w:val="003F79D2"/>
    <w:rsid w:val="003F7C7C"/>
    <w:rsid w:val="00400804"/>
    <w:rsid w:val="00400EA6"/>
    <w:rsid w:val="00401E83"/>
    <w:rsid w:val="00402977"/>
    <w:rsid w:val="004029D5"/>
    <w:rsid w:val="00402C5E"/>
    <w:rsid w:val="00402C8E"/>
    <w:rsid w:val="00402F96"/>
    <w:rsid w:val="0040316C"/>
    <w:rsid w:val="00403232"/>
    <w:rsid w:val="00403526"/>
    <w:rsid w:val="0040427B"/>
    <w:rsid w:val="00404A09"/>
    <w:rsid w:val="00404D6A"/>
    <w:rsid w:val="00404E76"/>
    <w:rsid w:val="00405DEC"/>
    <w:rsid w:val="00406294"/>
    <w:rsid w:val="00406B64"/>
    <w:rsid w:val="00406BB6"/>
    <w:rsid w:val="00407059"/>
    <w:rsid w:val="004070D5"/>
    <w:rsid w:val="0041017B"/>
    <w:rsid w:val="004103A1"/>
    <w:rsid w:val="00410A8C"/>
    <w:rsid w:val="00410A90"/>
    <w:rsid w:val="00410F95"/>
    <w:rsid w:val="00411903"/>
    <w:rsid w:val="00411A0F"/>
    <w:rsid w:val="00411BC6"/>
    <w:rsid w:val="00411DA0"/>
    <w:rsid w:val="00411E35"/>
    <w:rsid w:val="00412872"/>
    <w:rsid w:val="0041291E"/>
    <w:rsid w:val="00412B6E"/>
    <w:rsid w:val="00412D1B"/>
    <w:rsid w:val="00412D3F"/>
    <w:rsid w:val="00412E6B"/>
    <w:rsid w:val="004130D0"/>
    <w:rsid w:val="004135CD"/>
    <w:rsid w:val="00413628"/>
    <w:rsid w:val="00413A0E"/>
    <w:rsid w:val="00413B19"/>
    <w:rsid w:val="00414642"/>
    <w:rsid w:val="004147EE"/>
    <w:rsid w:val="0041503F"/>
    <w:rsid w:val="00415640"/>
    <w:rsid w:val="004156FC"/>
    <w:rsid w:val="004159FF"/>
    <w:rsid w:val="00416958"/>
    <w:rsid w:val="0041715A"/>
    <w:rsid w:val="00420255"/>
    <w:rsid w:val="0042045B"/>
    <w:rsid w:val="004207F9"/>
    <w:rsid w:val="00420B47"/>
    <w:rsid w:val="00421098"/>
    <w:rsid w:val="00421638"/>
    <w:rsid w:val="004222B7"/>
    <w:rsid w:val="0042256E"/>
    <w:rsid w:val="004227F9"/>
    <w:rsid w:val="004229AA"/>
    <w:rsid w:val="0042344E"/>
    <w:rsid w:val="00423988"/>
    <w:rsid w:val="00423E7D"/>
    <w:rsid w:val="00424A0B"/>
    <w:rsid w:val="00424DCE"/>
    <w:rsid w:val="00424EAC"/>
    <w:rsid w:val="0042520B"/>
    <w:rsid w:val="004252B9"/>
    <w:rsid w:val="0042536D"/>
    <w:rsid w:val="00425506"/>
    <w:rsid w:val="0042590D"/>
    <w:rsid w:val="0042626B"/>
    <w:rsid w:val="00426922"/>
    <w:rsid w:val="00427003"/>
    <w:rsid w:val="00427440"/>
    <w:rsid w:val="004278DE"/>
    <w:rsid w:val="0042793F"/>
    <w:rsid w:val="00430994"/>
    <w:rsid w:val="00430A1E"/>
    <w:rsid w:val="0043188C"/>
    <w:rsid w:val="0043198B"/>
    <w:rsid w:val="00431F6E"/>
    <w:rsid w:val="0043248F"/>
    <w:rsid w:val="004327E3"/>
    <w:rsid w:val="00432873"/>
    <w:rsid w:val="00433671"/>
    <w:rsid w:val="00433721"/>
    <w:rsid w:val="00434C83"/>
    <w:rsid w:val="00434D5E"/>
    <w:rsid w:val="00434E4B"/>
    <w:rsid w:val="00435870"/>
    <w:rsid w:val="00435942"/>
    <w:rsid w:val="00436027"/>
    <w:rsid w:val="00436833"/>
    <w:rsid w:val="00436BB6"/>
    <w:rsid w:val="00437282"/>
    <w:rsid w:val="00437452"/>
    <w:rsid w:val="00440101"/>
    <w:rsid w:val="00440134"/>
    <w:rsid w:val="0044156F"/>
    <w:rsid w:val="004418C8"/>
    <w:rsid w:val="00441B81"/>
    <w:rsid w:val="00441C52"/>
    <w:rsid w:val="00441D72"/>
    <w:rsid w:val="00442097"/>
    <w:rsid w:val="004420EB"/>
    <w:rsid w:val="004428C7"/>
    <w:rsid w:val="004429FB"/>
    <w:rsid w:val="00442BA2"/>
    <w:rsid w:val="00442DE1"/>
    <w:rsid w:val="004434D2"/>
    <w:rsid w:val="00443964"/>
    <w:rsid w:val="00443A95"/>
    <w:rsid w:val="00443AB6"/>
    <w:rsid w:val="00443F4E"/>
    <w:rsid w:val="00444423"/>
    <w:rsid w:val="004446E5"/>
    <w:rsid w:val="004447D6"/>
    <w:rsid w:val="0044528D"/>
    <w:rsid w:val="00445555"/>
    <w:rsid w:val="00445BDC"/>
    <w:rsid w:val="00445D77"/>
    <w:rsid w:val="0044687C"/>
    <w:rsid w:val="004468F8"/>
    <w:rsid w:val="00446A0F"/>
    <w:rsid w:val="0044724E"/>
    <w:rsid w:val="00447B30"/>
    <w:rsid w:val="00450152"/>
    <w:rsid w:val="004501AA"/>
    <w:rsid w:val="004504C0"/>
    <w:rsid w:val="00450556"/>
    <w:rsid w:val="0045117C"/>
    <w:rsid w:val="004511B0"/>
    <w:rsid w:val="0045126E"/>
    <w:rsid w:val="004514F5"/>
    <w:rsid w:val="00451A09"/>
    <w:rsid w:val="00452FC4"/>
    <w:rsid w:val="00453659"/>
    <w:rsid w:val="00453B60"/>
    <w:rsid w:val="00454020"/>
    <w:rsid w:val="0045423B"/>
    <w:rsid w:val="00454927"/>
    <w:rsid w:val="00454976"/>
    <w:rsid w:val="00455E31"/>
    <w:rsid w:val="00456348"/>
    <w:rsid w:val="004569CD"/>
    <w:rsid w:val="00456B04"/>
    <w:rsid w:val="00456CF4"/>
    <w:rsid w:val="0045765B"/>
    <w:rsid w:val="00457939"/>
    <w:rsid w:val="00460110"/>
    <w:rsid w:val="0046050B"/>
    <w:rsid w:val="00460557"/>
    <w:rsid w:val="004612EB"/>
    <w:rsid w:val="0046135C"/>
    <w:rsid w:val="00461B5C"/>
    <w:rsid w:val="00462C2F"/>
    <w:rsid w:val="004639A8"/>
    <w:rsid w:val="004643BA"/>
    <w:rsid w:val="004644CB"/>
    <w:rsid w:val="00464884"/>
    <w:rsid w:val="004649B0"/>
    <w:rsid w:val="00465195"/>
    <w:rsid w:val="00465859"/>
    <w:rsid w:val="004659C4"/>
    <w:rsid w:val="00466AEB"/>
    <w:rsid w:val="00466BE4"/>
    <w:rsid w:val="00467272"/>
    <w:rsid w:val="00467657"/>
    <w:rsid w:val="004702DB"/>
    <w:rsid w:val="00470BD8"/>
    <w:rsid w:val="00470EFD"/>
    <w:rsid w:val="004714CC"/>
    <w:rsid w:val="0047190C"/>
    <w:rsid w:val="00471B1C"/>
    <w:rsid w:val="00472043"/>
    <w:rsid w:val="00472200"/>
    <w:rsid w:val="00472ACD"/>
    <w:rsid w:val="00472C01"/>
    <w:rsid w:val="00472CC4"/>
    <w:rsid w:val="0047355A"/>
    <w:rsid w:val="00473579"/>
    <w:rsid w:val="00473A17"/>
    <w:rsid w:val="00474213"/>
    <w:rsid w:val="00474795"/>
    <w:rsid w:val="004747E2"/>
    <w:rsid w:val="00474898"/>
    <w:rsid w:val="00474AF7"/>
    <w:rsid w:val="0047519D"/>
    <w:rsid w:val="0047567E"/>
    <w:rsid w:val="00475846"/>
    <w:rsid w:val="00475B1A"/>
    <w:rsid w:val="00475F12"/>
    <w:rsid w:val="0047627C"/>
    <w:rsid w:val="00476EE1"/>
    <w:rsid w:val="0047734F"/>
    <w:rsid w:val="00477357"/>
    <w:rsid w:val="00477695"/>
    <w:rsid w:val="00477F29"/>
    <w:rsid w:val="004801C2"/>
    <w:rsid w:val="0048068D"/>
    <w:rsid w:val="00481522"/>
    <w:rsid w:val="0048206D"/>
    <w:rsid w:val="004821E4"/>
    <w:rsid w:val="0048224F"/>
    <w:rsid w:val="0048253F"/>
    <w:rsid w:val="00482590"/>
    <w:rsid w:val="00482FB2"/>
    <w:rsid w:val="004839B9"/>
    <w:rsid w:val="00483AAE"/>
    <w:rsid w:val="00483C76"/>
    <w:rsid w:val="00483CF9"/>
    <w:rsid w:val="00484901"/>
    <w:rsid w:val="00484B70"/>
    <w:rsid w:val="00485261"/>
    <w:rsid w:val="00485B10"/>
    <w:rsid w:val="00485B3F"/>
    <w:rsid w:val="00485BA7"/>
    <w:rsid w:val="00487006"/>
    <w:rsid w:val="004872D9"/>
    <w:rsid w:val="0048746B"/>
    <w:rsid w:val="00487A96"/>
    <w:rsid w:val="00487C93"/>
    <w:rsid w:val="00487D5F"/>
    <w:rsid w:val="00490C34"/>
    <w:rsid w:val="00491348"/>
    <w:rsid w:val="0049145B"/>
    <w:rsid w:val="00491714"/>
    <w:rsid w:val="00491739"/>
    <w:rsid w:val="00492576"/>
    <w:rsid w:val="00492674"/>
    <w:rsid w:val="004926D2"/>
    <w:rsid w:val="00492CF8"/>
    <w:rsid w:val="00493390"/>
    <w:rsid w:val="004934D6"/>
    <w:rsid w:val="0049389E"/>
    <w:rsid w:val="00493A64"/>
    <w:rsid w:val="00494777"/>
    <w:rsid w:val="00494871"/>
    <w:rsid w:val="00495293"/>
    <w:rsid w:val="00495432"/>
    <w:rsid w:val="0049587F"/>
    <w:rsid w:val="00495CD0"/>
    <w:rsid w:val="00495DEF"/>
    <w:rsid w:val="00496433"/>
    <w:rsid w:val="00496789"/>
    <w:rsid w:val="0049685D"/>
    <w:rsid w:val="00496CD3"/>
    <w:rsid w:val="004973DF"/>
    <w:rsid w:val="00497889"/>
    <w:rsid w:val="004A0420"/>
    <w:rsid w:val="004A11BC"/>
    <w:rsid w:val="004A1A2A"/>
    <w:rsid w:val="004A2841"/>
    <w:rsid w:val="004A2C9B"/>
    <w:rsid w:val="004A2E31"/>
    <w:rsid w:val="004A3264"/>
    <w:rsid w:val="004A36F7"/>
    <w:rsid w:val="004A3908"/>
    <w:rsid w:val="004A3B42"/>
    <w:rsid w:val="004A3B5E"/>
    <w:rsid w:val="004A40BD"/>
    <w:rsid w:val="004A4535"/>
    <w:rsid w:val="004A48AF"/>
    <w:rsid w:val="004A512E"/>
    <w:rsid w:val="004A54FB"/>
    <w:rsid w:val="004A61DF"/>
    <w:rsid w:val="004A6DFC"/>
    <w:rsid w:val="004A6F60"/>
    <w:rsid w:val="004A7C4B"/>
    <w:rsid w:val="004B00D3"/>
    <w:rsid w:val="004B0B4E"/>
    <w:rsid w:val="004B11B3"/>
    <w:rsid w:val="004B13AF"/>
    <w:rsid w:val="004B1529"/>
    <w:rsid w:val="004B19EA"/>
    <w:rsid w:val="004B1C8D"/>
    <w:rsid w:val="004B1E34"/>
    <w:rsid w:val="004B28B7"/>
    <w:rsid w:val="004B2DC9"/>
    <w:rsid w:val="004B2E57"/>
    <w:rsid w:val="004B349B"/>
    <w:rsid w:val="004B50DB"/>
    <w:rsid w:val="004B56F3"/>
    <w:rsid w:val="004B57C3"/>
    <w:rsid w:val="004B5EA2"/>
    <w:rsid w:val="004B61EE"/>
    <w:rsid w:val="004B62BA"/>
    <w:rsid w:val="004B6439"/>
    <w:rsid w:val="004B67B6"/>
    <w:rsid w:val="004B6FC7"/>
    <w:rsid w:val="004B7239"/>
    <w:rsid w:val="004B7DC7"/>
    <w:rsid w:val="004C110A"/>
    <w:rsid w:val="004C173C"/>
    <w:rsid w:val="004C175E"/>
    <w:rsid w:val="004C198B"/>
    <w:rsid w:val="004C1ADF"/>
    <w:rsid w:val="004C1CF6"/>
    <w:rsid w:val="004C2253"/>
    <w:rsid w:val="004C2331"/>
    <w:rsid w:val="004C2429"/>
    <w:rsid w:val="004C2698"/>
    <w:rsid w:val="004C2DA3"/>
    <w:rsid w:val="004C2EBA"/>
    <w:rsid w:val="004C305B"/>
    <w:rsid w:val="004C309B"/>
    <w:rsid w:val="004C33C7"/>
    <w:rsid w:val="004C3987"/>
    <w:rsid w:val="004C3C75"/>
    <w:rsid w:val="004C3D8B"/>
    <w:rsid w:val="004C4174"/>
    <w:rsid w:val="004C4360"/>
    <w:rsid w:val="004C490D"/>
    <w:rsid w:val="004C4A50"/>
    <w:rsid w:val="004C4B41"/>
    <w:rsid w:val="004C4DA2"/>
    <w:rsid w:val="004C4FBF"/>
    <w:rsid w:val="004C50B3"/>
    <w:rsid w:val="004C5197"/>
    <w:rsid w:val="004C51DD"/>
    <w:rsid w:val="004C558A"/>
    <w:rsid w:val="004C5652"/>
    <w:rsid w:val="004C58AC"/>
    <w:rsid w:val="004C5D69"/>
    <w:rsid w:val="004C5E64"/>
    <w:rsid w:val="004C5EFF"/>
    <w:rsid w:val="004C5FC9"/>
    <w:rsid w:val="004C6380"/>
    <w:rsid w:val="004C6983"/>
    <w:rsid w:val="004C6AE7"/>
    <w:rsid w:val="004C708A"/>
    <w:rsid w:val="004C73FE"/>
    <w:rsid w:val="004C7D5F"/>
    <w:rsid w:val="004D003D"/>
    <w:rsid w:val="004D0095"/>
    <w:rsid w:val="004D00EB"/>
    <w:rsid w:val="004D02C1"/>
    <w:rsid w:val="004D0706"/>
    <w:rsid w:val="004D08D9"/>
    <w:rsid w:val="004D0EE0"/>
    <w:rsid w:val="004D1529"/>
    <w:rsid w:val="004D1AE4"/>
    <w:rsid w:val="004D1C1D"/>
    <w:rsid w:val="004D1D98"/>
    <w:rsid w:val="004D2017"/>
    <w:rsid w:val="004D26E9"/>
    <w:rsid w:val="004D2EDD"/>
    <w:rsid w:val="004D2FF7"/>
    <w:rsid w:val="004D3920"/>
    <w:rsid w:val="004D48CB"/>
    <w:rsid w:val="004D4908"/>
    <w:rsid w:val="004D4F58"/>
    <w:rsid w:val="004D64BD"/>
    <w:rsid w:val="004D6C6F"/>
    <w:rsid w:val="004D6DF5"/>
    <w:rsid w:val="004E0B30"/>
    <w:rsid w:val="004E0E8A"/>
    <w:rsid w:val="004E0FFE"/>
    <w:rsid w:val="004E16B9"/>
    <w:rsid w:val="004E1828"/>
    <w:rsid w:val="004E1927"/>
    <w:rsid w:val="004E1F3D"/>
    <w:rsid w:val="004E2119"/>
    <w:rsid w:val="004E2DE8"/>
    <w:rsid w:val="004E4B32"/>
    <w:rsid w:val="004E51D0"/>
    <w:rsid w:val="004E5213"/>
    <w:rsid w:val="004E5304"/>
    <w:rsid w:val="004E61EB"/>
    <w:rsid w:val="004E61F5"/>
    <w:rsid w:val="004E67C6"/>
    <w:rsid w:val="004E781E"/>
    <w:rsid w:val="004E7B98"/>
    <w:rsid w:val="004F05BD"/>
    <w:rsid w:val="004F0713"/>
    <w:rsid w:val="004F0923"/>
    <w:rsid w:val="004F0BC1"/>
    <w:rsid w:val="004F0C99"/>
    <w:rsid w:val="004F128E"/>
    <w:rsid w:val="004F1294"/>
    <w:rsid w:val="004F184C"/>
    <w:rsid w:val="004F20DE"/>
    <w:rsid w:val="004F26AC"/>
    <w:rsid w:val="004F26DF"/>
    <w:rsid w:val="004F290F"/>
    <w:rsid w:val="004F2947"/>
    <w:rsid w:val="004F2E9C"/>
    <w:rsid w:val="004F33AA"/>
    <w:rsid w:val="004F493E"/>
    <w:rsid w:val="004F4ED3"/>
    <w:rsid w:val="004F5BAD"/>
    <w:rsid w:val="004F5D08"/>
    <w:rsid w:val="004F5E64"/>
    <w:rsid w:val="004F61C6"/>
    <w:rsid w:val="004F6353"/>
    <w:rsid w:val="004F655E"/>
    <w:rsid w:val="004F6A26"/>
    <w:rsid w:val="004F6B48"/>
    <w:rsid w:val="004F6C5D"/>
    <w:rsid w:val="004F7283"/>
    <w:rsid w:val="00500907"/>
    <w:rsid w:val="00500B5C"/>
    <w:rsid w:val="00500BD0"/>
    <w:rsid w:val="00500EBD"/>
    <w:rsid w:val="005018AB"/>
    <w:rsid w:val="005019EB"/>
    <w:rsid w:val="00501F23"/>
    <w:rsid w:val="005029BC"/>
    <w:rsid w:val="00502E49"/>
    <w:rsid w:val="005035EC"/>
    <w:rsid w:val="005036FA"/>
    <w:rsid w:val="005037A9"/>
    <w:rsid w:val="00503E9F"/>
    <w:rsid w:val="005043E3"/>
    <w:rsid w:val="00504839"/>
    <w:rsid w:val="00504844"/>
    <w:rsid w:val="005048D3"/>
    <w:rsid w:val="0050592C"/>
    <w:rsid w:val="00505A09"/>
    <w:rsid w:val="00505FE5"/>
    <w:rsid w:val="005066E1"/>
    <w:rsid w:val="00506BB9"/>
    <w:rsid w:val="00506CFB"/>
    <w:rsid w:val="005075D4"/>
    <w:rsid w:val="00507F2C"/>
    <w:rsid w:val="00507F61"/>
    <w:rsid w:val="00510455"/>
    <w:rsid w:val="00510498"/>
    <w:rsid w:val="005105A5"/>
    <w:rsid w:val="0051154D"/>
    <w:rsid w:val="00511786"/>
    <w:rsid w:val="00511977"/>
    <w:rsid w:val="00512020"/>
    <w:rsid w:val="005120E8"/>
    <w:rsid w:val="005124CF"/>
    <w:rsid w:val="00512975"/>
    <w:rsid w:val="005129DA"/>
    <w:rsid w:val="00512B11"/>
    <w:rsid w:val="00512EA3"/>
    <w:rsid w:val="005131A1"/>
    <w:rsid w:val="0051395F"/>
    <w:rsid w:val="00513E60"/>
    <w:rsid w:val="0051435C"/>
    <w:rsid w:val="00514659"/>
    <w:rsid w:val="00514D8F"/>
    <w:rsid w:val="005153AB"/>
    <w:rsid w:val="00515858"/>
    <w:rsid w:val="00515A53"/>
    <w:rsid w:val="0051671D"/>
    <w:rsid w:val="005171A5"/>
    <w:rsid w:val="00517678"/>
    <w:rsid w:val="005177A5"/>
    <w:rsid w:val="00517B5F"/>
    <w:rsid w:val="00520082"/>
    <w:rsid w:val="005205DD"/>
    <w:rsid w:val="00520C2A"/>
    <w:rsid w:val="0052136D"/>
    <w:rsid w:val="00521695"/>
    <w:rsid w:val="0052175F"/>
    <w:rsid w:val="00521850"/>
    <w:rsid w:val="00521D94"/>
    <w:rsid w:val="00521F07"/>
    <w:rsid w:val="00522361"/>
    <w:rsid w:val="00522B9F"/>
    <w:rsid w:val="00522D65"/>
    <w:rsid w:val="005238E5"/>
    <w:rsid w:val="00523B06"/>
    <w:rsid w:val="005240D8"/>
    <w:rsid w:val="00524643"/>
    <w:rsid w:val="00524B64"/>
    <w:rsid w:val="00524D65"/>
    <w:rsid w:val="0052500C"/>
    <w:rsid w:val="00525416"/>
    <w:rsid w:val="00525460"/>
    <w:rsid w:val="00525504"/>
    <w:rsid w:val="00525529"/>
    <w:rsid w:val="0052583C"/>
    <w:rsid w:val="00525F8F"/>
    <w:rsid w:val="0052650F"/>
    <w:rsid w:val="0052669F"/>
    <w:rsid w:val="005270DE"/>
    <w:rsid w:val="00527688"/>
    <w:rsid w:val="00527D3C"/>
    <w:rsid w:val="00527D4B"/>
    <w:rsid w:val="00530048"/>
    <w:rsid w:val="00530403"/>
    <w:rsid w:val="005304B6"/>
    <w:rsid w:val="005304C5"/>
    <w:rsid w:val="005305B4"/>
    <w:rsid w:val="00530643"/>
    <w:rsid w:val="00530A37"/>
    <w:rsid w:val="00530D67"/>
    <w:rsid w:val="00531515"/>
    <w:rsid w:val="00531522"/>
    <w:rsid w:val="00531D6B"/>
    <w:rsid w:val="005320FA"/>
    <w:rsid w:val="005322D6"/>
    <w:rsid w:val="0053232F"/>
    <w:rsid w:val="005325AD"/>
    <w:rsid w:val="005327F0"/>
    <w:rsid w:val="00532B22"/>
    <w:rsid w:val="00532EDC"/>
    <w:rsid w:val="00532F9F"/>
    <w:rsid w:val="00533127"/>
    <w:rsid w:val="00533B20"/>
    <w:rsid w:val="00533EA0"/>
    <w:rsid w:val="005347C2"/>
    <w:rsid w:val="00534A6B"/>
    <w:rsid w:val="00534BB5"/>
    <w:rsid w:val="00535072"/>
    <w:rsid w:val="0053518B"/>
    <w:rsid w:val="00535971"/>
    <w:rsid w:val="00535B4F"/>
    <w:rsid w:val="00535CC4"/>
    <w:rsid w:val="00535DF2"/>
    <w:rsid w:val="00536531"/>
    <w:rsid w:val="005368AD"/>
    <w:rsid w:val="00536917"/>
    <w:rsid w:val="00536E7D"/>
    <w:rsid w:val="00536EBB"/>
    <w:rsid w:val="005371FD"/>
    <w:rsid w:val="00537799"/>
    <w:rsid w:val="005378A6"/>
    <w:rsid w:val="0053795A"/>
    <w:rsid w:val="0054031A"/>
    <w:rsid w:val="005406BC"/>
    <w:rsid w:val="005406D6"/>
    <w:rsid w:val="00541070"/>
    <w:rsid w:val="005427F0"/>
    <w:rsid w:val="00542A31"/>
    <w:rsid w:val="00542ADB"/>
    <w:rsid w:val="00542E12"/>
    <w:rsid w:val="00542ED7"/>
    <w:rsid w:val="005443CD"/>
    <w:rsid w:val="00544797"/>
    <w:rsid w:val="00545285"/>
    <w:rsid w:val="00545BA3"/>
    <w:rsid w:val="00545C9A"/>
    <w:rsid w:val="00546616"/>
    <w:rsid w:val="005467C4"/>
    <w:rsid w:val="00546C55"/>
    <w:rsid w:val="00546D72"/>
    <w:rsid w:val="00546E4D"/>
    <w:rsid w:val="00546EC5"/>
    <w:rsid w:val="00546FB1"/>
    <w:rsid w:val="005471F3"/>
    <w:rsid w:val="0054794D"/>
    <w:rsid w:val="00547BAC"/>
    <w:rsid w:val="00550765"/>
    <w:rsid w:val="0055115F"/>
    <w:rsid w:val="00551266"/>
    <w:rsid w:val="005513C5"/>
    <w:rsid w:val="0055151B"/>
    <w:rsid w:val="00551C37"/>
    <w:rsid w:val="00551F79"/>
    <w:rsid w:val="005520D1"/>
    <w:rsid w:val="0055225D"/>
    <w:rsid w:val="00552A54"/>
    <w:rsid w:val="00552C67"/>
    <w:rsid w:val="00552E5B"/>
    <w:rsid w:val="00552E61"/>
    <w:rsid w:val="005532B1"/>
    <w:rsid w:val="0055357C"/>
    <w:rsid w:val="005535D3"/>
    <w:rsid w:val="00553666"/>
    <w:rsid w:val="005542E5"/>
    <w:rsid w:val="005548FE"/>
    <w:rsid w:val="005553D8"/>
    <w:rsid w:val="0055579F"/>
    <w:rsid w:val="005557F6"/>
    <w:rsid w:val="00555F12"/>
    <w:rsid w:val="00556233"/>
    <w:rsid w:val="00556A8B"/>
    <w:rsid w:val="005574FB"/>
    <w:rsid w:val="00560A51"/>
    <w:rsid w:val="00561441"/>
    <w:rsid w:val="005616A6"/>
    <w:rsid w:val="00562698"/>
    <w:rsid w:val="00562B56"/>
    <w:rsid w:val="00562D15"/>
    <w:rsid w:val="00562D62"/>
    <w:rsid w:val="00562E43"/>
    <w:rsid w:val="00562FA9"/>
    <w:rsid w:val="00563559"/>
    <w:rsid w:val="00563613"/>
    <w:rsid w:val="00563A00"/>
    <w:rsid w:val="005640DD"/>
    <w:rsid w:val="00564DEB"/>
    <w:rsid w:val="00565685"/>
    <w:rsid w:val="005658C7"/>
    <w:rsid w:val="005659EA"/>
    <w:rsid w:val="00566318"/>
    <w:rsid w:val="0056679B"/>
    <w:rsid w:val="00566E18"/>
    <w:rsid w:val="0056701A"/>
    <w:rsid w:val="00567121"/>
    <w:rsid w:val="00567A12"/>
    <w:rsid w:val="0057030A"/>
    <w:rsid w:val="00570516"/>
    <w:rsid w:val="00571152"/>
    <w:rsid w:val="00571277"/>
    <w:rsid w:val="00571DA3"/>
    <w:rsid w:val="005723AB"/>
    <w:rsid w:val="00572728"/>
    <w:rsid w:val="00572C26"/>
    <w:rsid w:val="00572E03"/>
    <w:rsid w:val="00572EA0"/>
    <w:rsid w:val="005739CA"/>
    <w:rsid w:val="00573B83"/>
    <w:rsid w:val="0057417C"/>
    <w:rsid w:val="00574279"/>
    <w:rsid w:val="00574487"/>
    <w:rsid w:val="00574CFB"/>
    <w:rsid w:val="00574FCA"/>
    <w:rsid w:val="00575319"/>
    <w:rsid w:val="00575E68"/>
    <w:rsid w:val="00575FE6"/>
    <w:rsid w:val="0057683B"/>
    <w:rsid w:val="00576AE9"/>
    <w:rsid w:val="00577315"/>
    <w:rsid w:val="00577434"/>
    <w:rsid w:val="005775C6"/>
    <w:rsid w:val="00577A40"/>
    <w:rsid w:val="00577FFD"/>
    <w:rsid w:val="00580A31"/>
    <w:rsid w:val="00581157"/>
    <w:rsid w:val="005815B9"/>
    <w:rsid w:val="00581EC4"/>
    <w:rsid w:val="00582166"/>
    <w:rsid w:val="005828F0"/>
    <w:rsid w:val="0058303F"/>
    <w:rsid w:val="0058329C"/>
    <w:rsid w:val="0058362E"/>
    <w:rsid w:val="00584547"/>
    <w:rsid w:val="0058467A"/>
    <w:rsid w:val="00584786"/>
    <w:rsid w:val="00584D7E"/>
    <w:rsid w:val="0058515F"/>
    <w:rsid w:val="00586213"/>
    <w:rsid w:val="0058646C"/>
    <w:rsid w:val="0058659D"/>
    <w:rsid w:val="00586686"/>
    <w:rsid w:val="005866C8"/>
    <w:rsid w:val="00586D75"/>
    <w:rsid w:val="00586E6A"/>
    <w:rsid w:val="00587083"/>
    <w:rsid w:val="00587F69"/>
    <w:rsid w:val="00587F6D"/>
    <w:rsid w:val="00591326"/>
    <w:rsid w:val="005915C7"/>
    <w:rsid w:val="005917B7"/>
    <w:rsid w:val="00592137"/>
    <w:rsid w:val="00592160"/>
    <w:rsid w:val="005922C9"/>
    <w:rsid w:val="0059235F"/>
    <w:rsid w:val="0059273C"/>
    <w:rsid w:val="00593036"/>
    <w:rsid w:val="00593988"/>
    <w:rsid w:val="00593AD0"/>
    <w:rsid w:val="00594E6A"/>
    <w:rsid w:val="0059547C"/>
    <w:rsid w:val="005956F7"/>
    <w:rsid w:val="0059573D"/>
    <w:rsid w:val="00595D11"/>
    <w:rsid w:val="00595D31"/>
    <w:rsid w:val="00595EC0"/>
    <w:rsid w:val="005968D8"/>
    <w:rsid w:val="005971A7"/>
    <w:rsid w:val="005972CE"/>
    <w:rsid w:val="00597603"/>
    <w:rsid w:val="00597EBB"/>
    <w:rsid w:val="005A0401"/>
    <w:rsid w:val="005A1272"/>
    <w:rsid w:val="005A18A9"/>
    <w:rsid w:val="005A1C55"/>
    <w:rsid w:val="005A2AED"/>
    <w:rsid w:val="005A342F"/>
    <w:rsid w:val="005A52FB"/>
    <w:rsid w:val="005A5769"/>
    <w:rsid w:val="005A5A65"/>
    <w:rsid w:val="005A5B9D"/>
    <w:rsid w:val="005A63B2"/>
    <w:rsid w:val="005A73E2"/>
    <w:rsid w:val="005A7708"/>
    <w:rsid w:val="005A7E30"/>
    <w:rsid w:val="005B07D7"/>
    <w:rsid w:val="005B0AB7"/>
    <w:rsid w:val="005B0C7F"/>
    <w:rsid w:val="005B154C"/>
    <w:rsid w:val="005B179B"/>
    <w:rsid w:val="005B228E"/>
    <w:rsid w:val="005B2621"/>
    <w:rsid w:val="005B2DB0"/>
    <w:rsid w:val="005B2DE5"/>
    <w:rsid w:val="005B3DF1"/>
    <w:rsid w:val="005B4749"/>
    <w:rsid w:val="005B5B0A"/>
    <w:rsid w:val="005B5D28"/>
    <w:rsid w:val="005B6514"/>
    <w:rsid w:val="005B6D98"/>
    <w:rsid w:val="005B71D7"/>
    <w:rsid w:val="005B7484"/>
    <w:rsid w:val="005B7819"/>
    <w:rsid w:val="005C0165"/>
    <w:rsid w:val="005C0434"/>
    <w:rsid w:val="005C0D5E"/>
    <w:rsid w:val="005C1229"/>
    <w:rsid w:val="005C1511"/>
    <w:rsid w:val="005C2880"/>
    <w:rsid w:val="005C2BAC"/>
    <w:rsid w:val="005C2CFF"/>
    <w:rsid w:val="005C2EB6"/>
    <w:rsid w:val="005C3AF8"/>
    <w:rsid w:val="005C3BF3"/>
    <w:rsid w:val="005C3FF8"/>
    <w:rsid w:val="005C4D95"/>
    <w:rsid w:val="005C4ED7"/>
    <w:rsid w:val="005C53B5"/>
    <w:rsid w:val="005C5C7A"/>
    <w:rsid w:val="005C614B"/>
    <w:rsid w:val="005C63E5"/>
    <w:rsid w:val="005C6919"/>
    <w:rsid w:val="005C6957"/>
    <w:rsid w:val="005C6D0B"/>
    <w:rsid w:val="005C6FC6"/>
    <w:rsid w:val="005C702E"/>
    <w:rsid w:val="005C7440"/>
    <w:rsid w:val="005C7927"/>
    <w:rsid w:val="005D0362"/>
    <w:rsid w:val="005D07CE"/>
    <w:rsid w:val="005D0B2F"/>
    <w:rsid w:val="005D0F2C"/>
    <w:rsid w:val="005D0FCE"/>
    <w:rsid w:val="005D1039"/>
    <w:rsid w:val="005D1412"/>
    <w:rsid w:val="005D1493"/>
    <w:rsid w:val="005D1DD7"/>
    <w:rsid w:val="005D250D"/>
    <w:rsid w:val="005D25E4"/>
    <w:rsid w:val="005D2695"/>
    <w:rsid w:val="005D4B98"/>
    <w:rsid w:val="005D5220"/>
    <w:rsid w:val="005D5289"/>
    <w:rsid w:val="005D53BE"/>
    <w:rsid w:val="005D5891"/>
    <w:rsid w:val="005D58B5"/>
    <w:rsid w:val="005D5BE3"/>
    <w:rsid w:val="005D68CD"/>
    <w:rsid w:val="005D69F8"/>
    <w:rsid w:val="005D6D25"/>
    <w:rsid w:val="005D6DFC"/>
    <w:rsid w:val="005D6EB6"/>
    <w:rsid w:val="005D7084"/>
    <w:rsid w:val="005D72F1"/>
    <w:rsid w:val="005D758E"/>
    <w:rsid w:val="005D78D2"/>
    <w:rsid w:val="005D7F3B"/>
    <w:rsid w:val="005E0146"/>
    <w:rsid w:val="005E093D"/>
    <w:rsid w:val="005E0994"/>
    <w:rsid w:val="005E1070"/>
    <w:rsid w:val="005E1510"/>
    <w:rsid w:val="005E1709"/>
    <w:rsid w:val="005E1879"/>
    <w:rsid w:val="005E1F86"/>
    <w:rsid w:val="005E2062"/>
    <w:rsid w:val="005E2260"/>
    <w:rsid w:val="005E2508"/>
    <w:rsid w:val="005E2611"/>
    <w:rsid w:val="005E3840"/>
    <w:rsid w:val="005E3EA8"/>
    <w:rsid w:val="005E4221"/>
    <w:rsid w:val="005E4FED"/>
    <w:rsid w:val="005E57A3"/>
    <w:rsid w:val="005E5942"/>
    <w:rsid w:val="005E5B45"/>
    <w:rsid w:val="005E693E"/>
    <w:rsid w:val="005E6AAB"/>
    <w:rsid w:val="005E6BFC"/>
    <w:rsid w:val="005E702F"/>
    <w:rsid w:val="005E718C"/>
    <w:rsid w:val="005E747F"/>
    <w:rsid w:val="005E7772"/>
    <w:rsid w:val="005E78C8"/>
    <w:rsid w:val="005E7ABD"/>
    <w:rsid w:val="005E7D5D"/>
    <w:rsid w:val="005F059F"/>
    <w:rsid w:val="005F0AF6"/>
    <w:rsid w:val="005F0C23"/>
    <w:rsid w:val="005F11F0"/>
    <w:rsid w:val="005F1A0D"/>
    <w:rsid w:val="005F2770"/>
    <w:rsid w:val="005F391E"/>
    <w:rsid w:val="005F39BA"/>
    <w:rsid w:val="005F43BD"/>
    <w:rsid w:val="005F4D9C"/>
    <w:rsid w:val="005F50F6"/>
    <w:rsid w:val="005F5214"/>
    <w:rsid w:val="005F5625"/>
    <w:rsid w:val="005F5673"/>
    <w:rsid w:val="005F597A"/>
    <w:rsid w:val="005F5C04"/>
    <w:rsid w:val="005F61A6"/>
    <w:rsid w:val="005F6C45"/>
    <w:rsid w:val="005F6FED"/>
    <w:rsid w:val="005F7622"/>
    <w:rsid w:val="005F79FC"/>
    <w:rsid w:val="006000EB"/>
    <w:rsid w:val="00600414"/>
    <w:rsid w:val="0060094A"/>
    <w:rsid w:val="00600BF9"/>
    <w:rsid w:val="00601292"/>
    <w:rsid w:val="00601416"/>
    <w:rsid w:val="00601765"/>
    <w:rsid w:val="006019CC"/>
    <w:rsid w:val="00601A96"/>
    <w:rsid w:val="006022EF"/>
    <w:rsid w:val="006040AE"/>
    <w:rsid w:val="006046A7"/>
    <w:rsid w:val="00604DB2"/>
    <w:rsid w:val="00604DFD"/>
    <w:rsid w:val="00604FCB"/>
    <w:rsid w:val="006056B3"/>
    <w:rsid w:val="00605DD4"/>
    <w:rsid w:val="00605F73"/>
    <w:rsid w:val="00606229"/>
    <w:rsid w:val="00607886"/>
    <w:rsid w:val="0061018F"/>
    <w:rsid w:val="00611154"/>
    <w:rsid w:val="00611681"/>
    <w:rsid w:val="00611790"/>
    <w:rsid w:val="00612351"/>
    <w:rsid w:val="00612655"/>
    <w:rsid w:val="00612668"/>
    <w:rsid w:val="00612734"/>
    <w:rsid w:val="00612C89"/>
    <w:rsid w:val="00612F07"/>
    <w:rsid w:val="00613167"/>
    <w:rsid w:val="0061379D"/>
    <w:rsid w:val="00613D95"/>
    <w:rsid w:val="00613F69"/>
    <w:rsid w:val="00614135"/>
    <w:rsid w:val="00615402"/>
    <w:rsid w:val="006157F0"/>
    <w:rsid w:val="00615B0B"/>
    <w:rsid w:val="00615B87"/>
    <w:rsid w:val="00616669"/>
    <w:rsid w:val="00616FE5"/>
    <w:rsid w:val="006175F0"/>
    <w:rsid w:val="00617B8A"/>
    <w:rsid w:val="0062059D"/>
    <w:rsid w:val="0062064D"/>
    <w:rsid w:val="00620EAF"/>
    <w:rsid w:val="006210BA"/>
    <w:rsid w:val="00621200"/>
    <w:rsid w:val="006215B3"/>
    <w:rsid w:val="00621D54"/>
    <w:rsid w:val="00621FB3"/>
    <w:rsid w:val="0062277A"/>
    <w:rsid w:val="0062291F"/>
    <w:rsid w:val="006232AF"/>
    <w:rsid w:val="00623C9A"/>
    <w:rsid w:val="0062519E"/>
    <w:rsid w:val="006261DA"/>
    <w:rsid w:val="00626266"/>
    <w:rsid w:val="006264CA"/>
    <w:rsid w:val="00626651"/>
    <w:rsid w:val="0062698A"/>
    <w:rsid w:val="00627013"/>
    <w:rsid w:val="006274CC"/>
    <w:rsid w:val="0062765A"/>
    <w:rsid w:val="006279FD"/>
    <w:rsid w:val="00627A8D"/>
    <w:rsid w:val="00627D28"/>
    <w:rsid w:val="00627D64"/>
    <w:rsid w:val="00627E8D"/>
    <w:rsid w:val="00627F92"/>
    <w:rsid w:val="0063004E"/>
    <w:rsid w:val="0063025C"/>
    <w:rsid w:val="0063052B"/>
    <w:rsid w:val="00630929"/>
    <w:rsid w:val="00630A60"/>
    <w:rsid w:val="00630BA9"/>
    <w:rsid w:val="00630C72"/>
    <w:rsid w:val="00630CA5"/>
    <w:rsid w:val="00630EE3"/>
    <w:rsid w:val="00631125"/>
    <w:rsid w:val="00631932"/>
    <w:rsid w:val="00632BD8"/>
    <w:rsid w:val="00632C46"/>
    <w:rsid w:val="0063300C"/>
    <w:rsid w:val="006331DD"/>
    <w:rsid w:val="00633472"/>
    <w:rsid w:val="006335A3"/>
    <w:rsid w:val="00633C41"/>
    <w:rsid w:val="00633C7B"/>
    <w:rsid w:val="00634927"/>
    <w:rsid w:val="00634FE0"/>
    <w:rsid w:val="00635261"/>
    <w:rsid w:val="0063539A"/>
    <w:rsid w:val="0063584A"/>
    <w:rsid w:val="00635D6C"/>
    <w:rsid w:val="00635F0C"/>
    <w:rsid w:val="00635FF1"/>
    <w:rsid w:val="00636987"/>
    <w:rsid w:val="00636AE0"/>
    <w:rsid w:val="00636BC1"/>
    <w:rsid w:val="006370DD"/>
    <w:rsid w:val="0063746C"/>
    <w:rsid w:val="006379B3"/>
    <w:rsid w:val="00637CAF"/>
    <w:rsid w:val="00637CE9"/>
    <w:rsid w:val="006403C0"/>
    <w:rsid w:val="006403FF"/>
    <w:rsid w:val="006404C9"/>
    <w:rsid w:val="006406FC"/>
    <w:rsid w:val="00640809"/>
    <w:rsid w:val="006412FB"/>
    <w:rsid w:val="006414C7"/>
    <w:rsid w:val="00641F51"/>
    <w:rsid w:val="006421E4"/>
    <w:rsid w:val="00642969"/>
    <w:rsid w:val="00642BAC"/>
    <w:rsid w:val="00642FF8"/>
    <w:rsid w:val="00643227"/>
    <w:rsid w:val="00643889"/>
    <w:rsid w:val="00643D75"/>
    <w:rsid w:val="00644480"/>
    <w:rsid w:val="0064462E"/>
    <w:rsid w:val="006447F4"/>
    <w:rsid w:val="0064481B"/>
    <w:rsid w:val="006449F0"/>
    <w:rsid w:val="00644EAC"/>
    <w:rsid w:val="00645092"/>
    <w:rsid w:val="006452F0"/>
    <w:rsid w:val="00645560"/>
    <w:rsid w:val="0064559B"/>
    <w:rsid w:val="006456B1"/>
    <w:rsid w:val="00645A21"/>
    <w:rsid w:val="00645EDA"/>
    <w:rsid w:val="00645F66"/>
    <w:rsid w:val="00646CD0"/>
    <w:rsid w:val="006470EC"/>
    <w:rsid w:val="006471AD"/>
    <w:rsid w:val="006477F8"/>
    <w:rsid w:val="0064787B"/>
    <w:rsid w:val="006479B7"/>
    <w:rsid w:val="00647D1A"/>
    <w:rsid w:val="0065008C"/>
    <w:rsid w:val="006500E0"/>
    <w:rsid w:val="006501A4"/>
    <w:rsid w:val="00650398"/>
    <w:rsid w:val="00650831"/>
    <w:rsid w:val="00650A0B"/>
    <w:rsid w:val="0065136C"/>
    <w:rsid w:val="006518FC"/>
    <w:rsid w:val="00651A0E"/>
    <w:rsid w:val="00651DFF"/>
    <w:rsid w:val="006529DA"/>
    <w:rsid w:val="00652AE0"/>
    <w:rsid w:val="00652EFD"/>
    <w:rsid w:val="00653945"/>
    <w:rsid w:val="00653E1F"/>
    <w:rsid w:val="00654004"/>
    <w:rsid w:val="00654390"/>
    <w:rsid w:val="006546BF"/>
    <w:rsid w:val="00655022"/>
    <w:rsid w:val="006552CE"/>
    <w:rsid w:val="006553D9"/>
    <w:rsid w:val="006558EA"/>
    <w:rsid w:val="006564F0"/>
    <w:rsid w:val="0065693F"/>
    <w:rsid w:val="00656BED"/>
    <w:rsid w:val="00656D97"/>
    <w:rsid w:val="0066019A"/>
    <w:rsid w:val="006601C1"/>
    <w:rsid w:val="006605FD"/>
    <w:rsid w:val="00660F31"/>
    <w:rsid w:val="00661B40"/>
    <w:rsid w:val="00661C75"/>
    <w:rsid w:val="0066256B"/>
    <w:rsid w:val="00662724"/>
    <w:rsid w:val="00662D8D"/>
    <w:rsid w:val="00662E39"/>
    <w:rsid w:val="00663043"/>
    <w:rsid w:val="006630E8"/>
    <w:rsid w:val="0066335F"/>
    <w:rsid w:val="0066343B"/>
    <w:rsid w:val="00663EC0"/>
    <w:rsid w:val="00663FBE"/>
    <w:rsid w:val="00664132"/>
    <w:rsid w:val="00664A25"/>
    <w:rsid w:val="00665006"/>
    <w:rsid w:val="00665908"/>
    <w:rsid w:val="00666033"/>
    <w:rsid w:val="006660D8"/>
    <w:rsid w:val="006669BA"/>
    <w:rsid w:val="00666BB0"/>
    <w:rsid w:val="00666E9D"/>
    <w:rsid w:val="0066745A"/>
    <w:rsid w:val="00667716"/>
    <w:rsid w:val="00667A35"/>
    <w:rsid w:val="00667B85"/>
    <w:rsid w:val="006701A3"/>
    <w:rsid w:val="00670223"/>
    <w:rsid w:val="00670F25"/>
    <w:rsid w:val="006711F5"/>
    <w:rsid w:val="00671C40"/>
    <w:rsid w:val="00672294"/>
    <w:rsid w:val="00672E36"/>
    <w:rsid w:val="00673607"/>
    <w:rsid w:val="006736E5"/>
    <w:rsid w:val="00674062"/>
    <w:rsid w:val="00674087"/>
    <w:rsid w:val="00674FDD"/>
    <w:rsid w:val="006751A2"/>
    <w:rsid w:val="006752EF"/>
    <w:rsid w:val="0067542B"/>
    <w:rsid w:val="00675586"/>
    <w:rsid w:val="00675B0D"/>
    <w:rsid w:val="00676DC4"/>
    <w:rsid w:val="006770D1"/>
    <w:rsid w:val="00677331"/>
    <w:rsid w:val="00677DC8"/>
    <w:rsid w:val="00680084"/>
    <w:rsid w:val="0068018C"/>
    <w:rsid w:val="0068027A"/>
    <w:rsid w:val="0068044A"/>
    <w:rsid w:val="0068056B"/>
    <w:rsid w:val="0068099F"/>
    <w:rsid w:val="00680CE3"/>
    <w:rsid w:val="0068152F"/>
    <w:rsid w:val="006816B7"/>
    <w:rsid w:val="00681728"/>
    <w:rsid w:val="00681732"/>
    <w:rsid w:val="00681E34"/>
    <w:rsid w:val="0068226F"/>
    <w:rsid w:val="0068245C"/>
    <w:rsid w:val="00682487"/>
    <w:rsid w:val="0068249C"/>
    <w:rsid w:val="0068270B"/>
    <w:rsid w:val="006834DF"/>
    <w:rsid w:val="00683536"/>
    <w:rsid w:val="00684536"/>
    <w:rsid w:val="00685641"/>
    <w:rsid w:val="00685728"/>
    <w:rsid w:val="006859BD"/>
    <w:rsid w:val="006867C6"/>
    <w:rsid w:val="00686EFD"/>
    <w:rsid w:val="00687196"/>
    <w:rsid w:val="006876EC"/>
    <w:rsid w:val="0068787F"/>
    <w:rsid w:val="00687C3E"/>
    <w:rsid w:val="00687C8A"/>
    <w:rsid w:val="00687DFC"/>
    <w:rsid w:val="00690655"/>
    <w:rsid w:val="00690750"/>
    <w:rsid w:val="00690C7F"/>
    <w:rsid w:val="0069113D"/>
    <w:rsid w:val="006911DB"/>
    <w:rsid w:val="006913AD"/>
    <w:rsid w:val="006913E9"/>
    <w:rsid w:val="00691588"/>
    <w:rsid w:val="00691929"/>
    <w:rsid w:val="006926D9"/>
    <w:rsid w:val="006937E5"/>
    <w:rsid w:val="006938E1"/>
    <w:rsid w:val="006938F2"/>
    <w:rsid w:val="006940AB"/>
    <w:rsid w:val="00695210"/>
    <w:rsid w:val="00696191"/>
    <w:rsid w:val="006963F8"/>
    <w:rsid w:val="00696C33"/>
    <w:rsid w:val="00696DF6"/>
    <w:rsid w:val="006972E2"/>
    <w:rsid w:val="0069786C"/>
    <w:rsid w:val="0069788C"/>
    <w:rsid w:val="00697A31"/>
    <w:rsid w:val="00697B40"/>
    <w:rsid w:val="00697CED"/>
    <w:rsid w:val="00697E15"/>
    <w:rsid w:val="006A0726"/>
    <w:rsid w:val="006A07F0"/>
    <w:rsid w:val="006A084A"/>
    <w:rsid w:val="006A0AA7"/>
    <w:rsid w:val="006A0BF4"/>
    <w:rsid w:val="006A0CDF"/>
    <w:rsid w:val="006A0D63"/>
    <w:rsid w:val="006A1167"/>
    <w:rsid w:val="006A11EC"/>
    <w:rsid w:val="006A12AE"/>
    <w:rsid w:val="006A1624"/>
    <w:rsid w:val="006A17B2"/>
    <w:rsid w:val="006A1E93"/>
    <w:rsid w:val="006A28AA"/>
    <w:rsid w:val="006A2B3C"/>
    <w:rsid w:val="006A2B7F"/>
    <w:rsid w:val="006A2EC6"/>
    <w:rsid w:val="006A339B"/>
    <w:rsid w:val="006A38EE"/>
    <w:rsid w:val="006A42AE"/>
    <w:rsid w:val="006A479B"/>
    <w:rsid w:val="006A4C36"/>
    <w:rsid w:val="006A4F59"/>
    <w:rsid w:val="006A5B94"/>
    <w:rsid w:val="006A5F08"/>
    <w:rsid w:val="006A741B"/>
    <w:rsid w:val="006A7780"/>
    <w:rsid w:val="006A7893"/>
    <w:rsid w:val="006B00D5"/>
    <w:rsid w:val="006B03A4"/>
    <w:rsid w:val="006B03EA"/>
    <w:rsid w:val="006B05D9"/>
    <w:rsid w:val="006B0AFA"/>
    <w:rsid w:val="006B0DB7"/>
    <w:rsid w:val="006B0E7A"/>
    <w:rsid w:val="006B0F72"/>
    <w:rsid w:val="006B114A"/>
    <w:rsid w:val="006B13D2"/>
    <w:rsid w:val="006B141A"/>
    <w:rsid w:val="006B1E94"/>
    <w:rsid w:val="006B216F"/>
    <w:rsid w:val="006B22B1"/>
    <w:rsid w:val="006B2364"/>
    <w:rsid w:val="006B2653"/>
    <w:rsid w:val="006B27CE"/>
    <w:rsid w:val="006B33FF"/>
    <w:rsid w:val="006B3724"/>
    <w:rsid w:val="006B3842"/>
    <w:rsid w:val="006B3B40"/>
    <w:rsid w:val="006B3DC9"/>
    <w:rsid w:val="006B3E64"/>
    <w:rsid w:val="006B5092"/>
    <w:rsid w:val="006B58F9"/>
    <w:rsid w:val="006B74C1"/>
    <w:rsid w:val="006B788E"/>
    <w:rsid w:val="006B7B00"/>
    <w:rsid w:val="006B7B11"/>
    <w:rsid w:val="006B7D89"/>
    <w:rsid w:val="006C00A3"/>
    <w:rsid w:val="006C021C"/>
    <w:rsid w:val="006C0585"/>
    <w:rsid w:val="006C0DD0"/>
    <w:rsid w:val="006C13F1"/>
    <w:rsid w:val="006C1423"/>
    <w:rsid w:val="006C1472"/>
    <w:rsid w:val="006C14A2"/>
    <w:rsid w:val="006C1E65"/>
    <w:rsid w:val="006C2714"/>
    <w:rsid w:val="006C32C8"/>
    <w:rsid w:val="006C3440"/>
    <w:rsid w:val="006C3CE5"/>
    <w:rsid w:val="006C4634"/>
    <w:rsid w:val="006C4795"/>
    <w:rsid w:val="006C58B8"/>
    <w:rsid w:val="006C5A7A"/>
    <w:rsid w:val="006C6327"/>
    <w:rsid w:val="006C6747"/>
    <w:rsid w:val="006C6A7E"/>
    <w:rsid w:val="006C6F53"/>
    <w:rsid w:val="006C706B"/>
    <w:rsid w:val="006C718A"/>
    <w:rsid w:val="006C7278"/>
    <w:rsid w:val="006C7F48"/>
    <w:rsid w:val="006D03F1"/>
    <w:rsid w:val="006D067C"/>
    <w:rsid w:val="006D0B40"/>
    <w:rsid w:val="006D0D74"/>
    <w:rsid w:val="006D1367"/>
    <w:rsid w:val="006D15ED"/>
    <w:rsid w:val="006D1AF2"/>
    <w:rsid w:val="006D2994"/>
    <w:rsid w:val="006D2B7A"/>
    <w:rsid w:val="006D2CD5"/>
    <w:rsid w:val="006D3091"/>
    <w:rsid w:val="006D3240"/>
    <w:rsid w:val="006D35AC"/>
    <w:rsid w:val="006D3BEF"/>
    <w:rsid w:val="006D466B"/>
    <w:rsid w:val="006D4901"/>
    <w:rsid w:val="006D4A84"/>
    <w:rsid w:val="006D4F67"/>
    <w:rsid w:val="006D5D11"/>
    <w:rsid w:val="006D5E98"/>
    <w:rsid w:val="006D5FAE"/>
    <w:rsid w:val="006D6149"/>
    <w:rsid w:val="006D61D4"/>
    <w:rsid w:val="006D62AC"/>
    <w:rsid w:val="006D6EE6"/>
    <w:rsid w:val="006D7269"/>
    <w:rsid w:val="006D7759"/>
    <w:rsid w:val="006D777A"/>
    <w:rsid w:val="006E019B"/>
    <w:rsid w:val="006E0B24"/>
    <w:rsid w:val="006E0D8A"/>
    <w:rsid w:val="006E121D"/>
    <w:rsid w:val="006E1345"/>
    <w:rsid w:val="006E18B5"/>
    <w:rsid w:val="006E1BA5"/>
    <w:rsid w:val="006E1CA3"/>
    <w:rsid w:val="006E276F"/>
    <w:rsid w:val="006E2911"/>
    <w:rsid w:val="006E306E"/>
    <w:rsid w:val="006E374E"/>
    <w:rsid w:val="006E3A85"/>
    <w:rsid w:val="006E3CC6"/>
    <w:rsid w:val="006E43D7"/>
    <w:rsid w:val="006E4563"/>
    <w:rsid w:val="006E4599"/>
    <w:rsid w:val="006E4D22"/>
    <w:rsid w:val="006E4D43"/>
    <w:rsid w:val="006E50BC"/>
    <w:rsid w:val="006E56A1"/>
    <w:rsid w:val="006E5A16"/>
    <w:rsid w:val="006E79C0"/>
    <w:rsid w:val="006E7DD4"/>
    <w:rsid w:val="006F00F9"/>
    <w:rsid w:val="006F0920"/>
    <w:rsid w:val="006F0DAA"/>
    <w:rsid w:val="006F0F45"/>
    <w:rsid w:val="006F115B"/>
    <w:rsid w:val="006F120B"/>
    <w:rsid w:val="006F14B2"/>
    <w:rsid w:val="006F1687"/>
    <w:rsid w:val="006F1C11"/>
    <w:rsid w:val="006F1F2C"/>
    <w:rsid w:val="006F1FAC"/>
    <w:rsid w:val="006F2566"/>
    <w:rsid w:val="006F27A0"/>
    <w:rsid w:val="006F37AC"/>
    <w:rsid w:val="006F3A1A"/>
    <w:rsid w:val="006F4C47"/>
    <w:rsid w:val="006F4DF1"/>
    <w:rsid w:val="006F52F4"/>
    <w:rsid w:val="006F5585"/>
    <w:rsid w:val="006F5687"/>
    <w:rsid w:val="006F70CC"/>
    <w:rsid w:val="006F71CB"/>
    <w:rsid w:val="006F7412"/>
    <w:rsid w:val="006F75A1"/>
    <w:rsid w:val="006F75EA"/>
    <w:rsid w:val="006F770A"/>
    <w:rsid w:val="006F78A2"/>
    <w:rsid w:val="006F7C8A"/>
    <w:rsid w:val="006F7D7B"/>
    <w:rsid w:val="0070003E"/>
    <w:rsid w:val="00700315"/>
    <w:rsid w:val="007009AB"/>
    <w:rsid w:val="00700A8C"/>
    <w:rsid w:val="00701101"/>
    <w:rsid w:val="0070134D"/>
    <w:rsid w:val="007013A3"/>
    <w:rsid w:val="0070144F"/>
    <w:rsid w:val="007018F7"/>
    <w:rsid w:val="00701921"/>
    <w:rsid w:val="00703662"/>
    <w:rsid w:val="007037F2"/>
    <w:rsid w:val="0070383B"/>
    <w:rsid w:val="00703BC7"/>
    <w:rsid w:val="00703CBA"/>
    <w:rsid w:val="0070425A"/>
    <w:rsid w:val="007042B6"/>
    <w:rsid w:val="00704C77"/>
    <w:rsid w:val="00704E34"/>
    <w:rsid w:val="00704F2D"/>
    <w:rsid w:val="007062D1"/>
    <w:rsid w:val="0070636D"/>
    <w:rsid w:val="00706574"/>
    <w:rsid w:val="00706BF3"/>
    <w:rsid w:val="00706FC1"/>
    <w:rsid w:val="00707011"/>
    <w:rsid w:val="0070730A"/>
    <w:rsid w:val="007077CD"/>
    <w:rsid w:val="0071026A"/>
    <w:rsid w:val="00710788"/>
    <w:rsid w:val="00710B56"/>
    <w:rsid w:val="00710FB8"/>
    <w:rsid w:val="00711001"/>
    <w:rsid w:val="007114DE"/>
    <w:rsid w:val="00711C98"/>
    <w:rsid w:val="00711CA6"/>
    <w:rsid w:val="0071230A"/>
    <w:rsid w:val="00712D70"/>
    <w:rsid w:val="00713412"/>
    <w:rsid w:val="00713DFD"/>
    <w:rsid w:val="00714003"/>
    <w:rsid w:val="00714C97"/>
    <w:rsid w:val="00714E62"/>
    <w:rsid w:val="00714FED"/>
    <w:rsid w:val="007150C8"/>
    <w:rsid w:val="00715495"/>
    <w:rsid w:val="007168E9"/>
    <w:rsid w:val="00716AA7"/>
    <w:rsid w:val="00716C62"/>
    <w:rsid w:val="007202F3"/>
    <w:rsid w:val="0072055C"/>
    <w:rsid w:val="007211AC"/>
    <w:rsid w:val="00721E27"/>
    <w:rsid w:val="00722834"/>
    <w:rsid w:val="00722946"/>
    <w:rsid w:val="00722DCB"/>
    <w:rsid w:val="00723E73"/>
    <w:rsid w:val="007241BD"/>
    <w:rsid w:val="00725004"/>
    <w:rsid w:val="007251D7"/>
    <w:rsid w:val="00725793"/>
    <w:rsid w:val="00725A09"/>
    <w:rsid w:val="00725C87"/>
    <w:rsid w:val="00725EBD"/>
    <w:rsid w:val="00726262"/>
    <w:rsid w:val="00726272"/>
    <w:rsid w:val="00726A8D"/>
    <w:rsid w:val="00727990"/>
    <w:rsid w:val="00727A4C"/>
    <w:rsid w:val="00730368"/>
    <w:rsid w:val="007304A5"/>
    <w:rsid w:val="00730EED"/>
    <w:rsid w:val="00730FAE"/>
    <w:rsid w:val="00731303"/>
    <w:rsid w:val="00731361"/>
    <w:rsid w:val="0073168D"/>
    <w:rsid w:val="007321DA"/>
    <w:rsid w:val="007324B7"/>
    <w:rsid w:val="007327A4"/>
    <w:rsid w:val="00732DC9"/>
    <w:rsid w:val="007332C3"/>
    <w:rsid w:val="0073374F"/>
    <w:rsid w:val="00733BAB"/>
    <w:rsid w:val="00733CB2"/>
    <w:rsid w:val="00733EA6"/>
    <w:rsid w:val="0073461D"/>
    <w:rsid w:val="00734666"/>
    <w:rsid w:val="00734C60"/>
    <w:rsid w:val="00734D1E"/>
    <w:rsid w:val="00734F4D"/>
    <w:rsid w:val="0073586C"/>
    <w:rsid w:val="00735CC2"/>
    <w:rsid w:val="00735DD8"/>
    <w:rsid w:val="0073659D"/>
    <w:rsid w:val="00736A4F"/>
    <w:rsid w:val="00736C1C"/>
    <w:rsid w:val="007371C6"/>
    <w:rsid w:val="00737680"/>
    <w:rsid w:val="00737B7E"/>
    <w:rsid w:val="00740557"/>
    <w:rsid w:val="00740E16"/>
    <w:rsid w:val="007410DD"/>
    <w:rsid w:val="00741359"/>
    <w:rsid w:val="0074156E"/>
    <w:rsid w:val="007416DA"/>
    <w:rsid w:val="0074172C"/>
    <w:rsid w:val="0074187E"/>
    <w:rsid w:val="0074188F"/>
    <w:rsid w:val="007418FD"/>
    <w:rsid w:val="00741CC7"/>
    <w:rsid w:val="0074246E"/>
    <w:rsid w:val="00742597"/>
    <w:rsid w:val="00742E86"/>
    <w:rsid w:val="00742ED9"/>
    <w:rsid w:val="0074344D"/>
    <w:rsid w:val="00743547"/>
    <w:rsid w:val="00743710"/>
    <w:rsid w:val="00743A54"/>
    <w:rsid w:val="00743ACA"/>
    <w:rsid w:val="00743E49"/>
    <w:rsid w:val="00743FE1"/>
    <w:rsid w:val="00744240"/>
    <w:rsid w:val="0074460F"/>
    <w:rsid w:val="007446A0"/>
    <w:rsid w:val="007446AF"/>
    <w:rsid w:val="007454A4"/>
    <w:rsid w:val="00745935"/>
    <w:rsid w:val="00745AA7"/>
    <w:rsid w:val="0074675F"/>
    <w:rsid w:val="00746C80"/>
    <w:rsid w:val="00750A8C"/>
    <w:rsid w:val="00750C9A"/>
    <w:rsid w:val="007510E4"/>
    <w:rsid w:val="00751415"/>
    <w:rsid w:val="0075148F"/>
    <w:rsid w:val="007516A5"/>
    <w:rsid w:val="00752497"/>
    <w:rsid w:val="007525D1"/>
    <w:rsid w:val="0075288B"/>
    <w:rsid w:val="007528B7"/>
    <w:rsid w:val="00752F0B"/>
    <w:rsid w:val="00752F67"/>
    <w:rsid w:val="00753237"/>
    <w:rsid w:val="00753884"/>
    <w:rsid w:val="00753A30"/>
    <w:rsid w:val="00753A62"/>
    <w:rsid w:val="00753AEB"/>
    <w:rsid w:val="00753B0B"/>
    <w:rsid w:val="00753FE8"/>
    <w:rsid w:val="0075404C"/>
    <w:rsid w:val="007540C4"/>
    <w:rsid w:val="00754179"/>
    <w:rsid w:val="007542B8"/>
    <w:rsid w:val="00754ACB"/>
    <w:rsid w:val="007558F8"/>
    <w:rsid w:val="00755B8E"/>
    <w:rsid w:val="00756725"/>
    <w:rsid w:val="00756F09"/>
    <w:rsid w:val="0075752A"/>
    <w:rsid w:val="00757931"/>
    <w:rsid w:val="00760271"/>
    <w:rsid w:val="007604FC"/>
    <w:rsid w:val="007608AA"/>
    <w:rsid w:val="00760D38"/>
    <w:rsid w:val="00761268"/>
    <w:rsid w:val="0076186B"/>
    <w:rsid w:val="00761951"/>
    <w:rsid w:val="00761958"/>
    <w:rsid w:val="00761D38"/>
    <w:rsid w:val="0076211C"/>
    <w:rsid w:val="007626C9"/>
    <w:rsid w:val="007628F3"/>
    <w:rsid w:val="00762991"/>
    <w:rsid w:val="00762FF2"/>
    <w:rsid w:val="0076344C"/>
    <w:rsid w:val="007635A0"/>
    <w:rsid w:val="007637A9"/>
    <w:rsid w:val="00763DCA"/>
    <w:rsid w:val="00764012"/>
    <w:rsid w:val="007644AD"/>
    <w:rsid w:val="00764C6E"/>
    <w:rsid w:val="0076538F"/>
    <w:rsid w:val="00765495"/>
    <w:rsid w:val="00765A74"/>
    <w:rsid w:val="00765FD2"/>
    <w:rsid w:val="00767A95"/>
    <w:rsid w:val="00767DCE"/>
    <w:rsid w:val="00770033"/>
    <w:rsid w:val="0077076D"/>
    <w:rsid w:val="0077135B"/>
    <w:rsid w:val="0077135E"/>
    <w:rsid w:val="00771388"/>
    <w:rsid w:val="007716AB"/>
    <w:rsid w:val="00771785"/>
    <w:rsid w:val="00771AAA"/>
    <w:rsid w:val="00771BB3"/>
    <w:rsid w:val="007723D2"/>
    <w:rsid w:val="0077285F"/>
    <w:rsid w:val="00773447"/>
    <w:rsid w:val="00773513"/>
    <w:rsid w:val="0077393A"/>
    <w:rsid w:val="00774030"/>
    <w:rsid w:val="0077459C"/>
    <w:rsid w:val="0077462E"/>
    <w:rsid w:val="00774F1C"/>
    <w:rsid w:val="00775AA9"/>
    <w:rsid w:val="00775B51"/>
    <w:rsid w:val="00775D08"/>
    <w:rsid w:val="007763DF"/>
    <w:rsid w:val="007768C9"/>
    <w:rsid w:val="007769BB"/>
    <w:rsid w:val="00776AE7"/>
    <w:rsid w:val="00776B13"/>
    <w:rsid w:val="00777298"/>
    <w:rsid w:val="00777762"/>
    <w:rsid w:val="007808B8"/>
    <w:rsid w:val="007811D8"/>
    <w:rsid w:val="0078121C"/>
    <w:rsid w:val="007812A0"/>
    <w:rsid w:val="007816D4"/>
    <w:rsid w:val="0078187F"/>
    <w:rsid w:val="0078191C"/>
    <w:rsid w:val="007819D4"/>
    <w:rsid w:val="0078297D"/>
    <w:rsid w:val="007829B4"/>
    <w:rsid w:val="0078386F"/>
    <w:rsid w:val="007838F2"/>
    <w:rsid w:val="00784546"/>
    <w:rsid w:val="00784E31"/>
    <w:rsid w:val="00785229"/>
    <w:rsid w:val="00785F44"/>
    <w:rsid w:val="00786534"/>
    <w:rsid w:val="00786A01"/>
    <w:rsid w:val="00786FDD"/>
    <w:rsid w:val="00787201"/>
    <w:rsid w:val="007873E7"/>
    <w:rsid w:val="00787617"/>
    <w:rsid w:val="00787CB2"/>
    <w:rsid w:val="00787F81"/>
    <w:rsid w:val="0079006E"/>
    <w:rsid w:val="00790210"/>
    <w:rsid w:val="0079104C"/>
    <w:rsid w:val="0079147B"/>
    <w:rsid w:val="00792406"/>
    <w:rsid w:val="007924C7"/>
    <w:rsid w:val="00792A1F"/>
    <w:rsid w:val="00792BE9"/>
    <w:rsid w:val="007934E1"/>
    <w:rsid w:val="00793750"/>
    <w:rsid w:val="00793EF5"/>
    <w:rsid w:val="007945C1"/>
    <w:rsid w:val="0079482E"/>
    <w:rsid w:val="0079484B"/>
    <w:rsid w:val="0079485D"/>
    <w:rsid w:val="00794FEE"/>
    <w:rsid w:val="00795047"/>
    <w:rsid w:val="007952CD"/>
    <w:rsid w:val="007952EE"/>
    <w:rsid w:val="007956F2"/>
    <w:rsid w:val="0079581E"/>
    <w:rsid w:val="00795B2D"/>
    <w:rsid w:val="007961EC"/>
    <w:rsid w:val="007962C8"/>
    <w:rsid w:val="00796B0D"/>
    <w:rsid w:val="00796FB5"/>
    <w:rsid w:val="00797053"/>
    <w:rsid w:val="007970C8"/>
    <w:rsid w:val="00797316"/>
    <w:rsid w:val="007976D1"/>
    <w:rsid w:val="007A070B"/>
    <w:rsid w:val="007A0720"/>
    <w:rsid w:val="007A164B"/>
    <w:rsid w:val="007A16C4"/>
    <w:rsid w:val="007A188C"/>
    <w:rsid w:val="007A1CA4"/>
    <w:rsid w:val="007A1E1F"/>
    <w:rsid w:val="007A2187"/>
    <w:rsid w:val="007A2633"/>
    <w:rsid w:val="007A37EA"/>
    <w:rsid w:val="007A3A90"/>
    <w:rsid w:val="007A3C6A"/>
    <w:rsid w:val="007A3FF8"/>
    <w:rsid w:val="007A4574"/>
    <w:rsid w:val="007A47DD"/>
    <w:rsid w:val="007A4894"/>
    <w:rsid w:val="007A5C29"/>
    <w:rsid w:val="007A6908"/>
    <w:rsid w:val="007A714B"/>
    <w:rsid w:val="007A7425"/>
    <w:rsid w:val="007A7841"/>
    <w:rsid w:val="007B066B"/>
    <w:rsid w:val="007B08C1"/>
    <w:rsid w:val="007B08E0"/>
    <w:rsid w:val="007B0DE0"/>
    <w:rsid w:val="007B0EF8"/>
    <w:rsid w:val="007B1844"/>
    <w:rsid w:val="007B1FAD"/>
    <w:rsid w:val="007B2034"/>
    <w:rsid w:val="007B2348"/>
    <w:rsid w:val="007B2643"/>
    <w:rsid w:val="007B2C99"/>
    <w:rsid w:val="007B2F69"/>
    <w:rsid w:val="007B31ED"/>
    <w:rsid w:val="007B320D"/>
    <w:rsid w:val="007B3425"/>
    <w:rsid w:val="007B35ED"/>
    <w:rsid w:val="007B3611"/>
    <w:rsid w:val="007B36E2"/>
    <w:rsid w:val="007B36F4"/>
    <w:rsid w:val="007B3F24"/>
    <w:rsid w:val="007B43D4"/>
    <w:rsid w:val="007B4722"/>
    <w:rsid w:val="007B4CA0"/>
    <w:rsid w:val="007B4DCD"/>
    <w:rsid w:val="007B52D3"/>
    <w:rsid w:val="007B53E2"/>
    <w:rsid w:val="007B548A"/>
    <w:rsid w:val="007B5A1A"/>
    <w:rsid w:val="007B6A31"/>
    <w:rsid w:val="007B7683"/>
    <w:rsid w:val="007B76F2"/>
    <w:rsid w:val="007B7899"/>
    <w:rsid w:val="007B7AB5"/>
    <w:rsid w:val="007C0225"/>
    <w:rsid w:val="007C06AA"/>
    <w:rsid w:val="007C1979"/>
    <w:rsid w:val="007C1BEE"/>
    <w:rsid w:val="007C2236"/>
    <w:rsid w:val="007C3096"/>
    <w:rsid w:val="007C3184"/>
    <w:rsid w:val="007C33E5"/>
    <w:rsid w:val="007C360C"/>
    <w:rsid w:val="007C3B25"/>
    <w:rsid w:val="007C3C56"/>
    <w:rsid w:val="007C3EB9"/>
    <w:rsid w:val="007C442C"/>
    <w:rsid w:val="007C4704"/>
    <w:rsid w:val="007C4A1D"/>
    <w:rsid w:val="007C55DC"/>
    <w:rsid w:val="007C5720"/>
    <w:rsid w:val="007C5FFD"/>
    <w:rsid w:val="007C60F4"/>
    <w:rsid w:val="007C63FF"/>
    <w:rsid w:val="007C6A01"/>
    <w:rsid w:val="007C7006"/>
    <w:rsid w:val="007C73EE"/>
    <w:rsid w:val="007C7AAE"/>
    <w:rsid w:val="007C7B2C"/>
    <w:rsid w:val="007D055D"/>
    <w:rsid w:val="007D0A02"/>
    <w:rsid w:val="007D0A1E"/>
    <w:rsid w:val="007D0DBC"/>
    <w:rsid w:val="007D10CA"/>
    <w:rsid w:val="007D1903"/>
    <w:rsid w:val="007D1A1F"/>
    <w:rsid w:val="007D1AB6"/>
    <w:rsid w:val="007D1EDC"/>
    <w:rsid w:val="007D24B7"/>
    <w:rsid w:val="007D25CD"/>
    <w:rsid w:val="007D329C"/>
    <w:rsid w:val="007D3349"/>
    <w:rsid w:val="007D34BB"/>
    <w:rsid w:val="007D4704"/>
    <w:rsid w:val="007D4F9D"/>
    <w:rsid w:val="007D6338"/>
    <w:rsid w:val="007D6E5A"/>
    <w:rsid w:val="007D712C"/>
    <w:rsid w:val="007D746F"/>
    <w:rsid w:val="007D7B1C"/>
    <w:rsid w:val="007D7E11"/>
    <w:rsid w:val="007E0562"/>
    <w:rsid w:val="007E0573"/>
    <w:rsid w:val="007E0958"/>
    <w:rsid w:val="007E0EB1"/>
    <w:rsid w:val="007E182D"/>
    <w:rsid w:val="007E1899"/>
    <w:rsid w:val="007E1BAD"/>
    <w:rsid w:val="007E1ECD"/>
    <w:rsid w:val="007E2536"/>
    <w:rsid w:val="007E2555"/>
    <w:rsid w:val="007E25ED"/>
    <w:rsid w:val="007E2AA4"/>
    <w:rsid w:val="007E2AC7"/>
    <w:rsid w:val="007E338A"/>
    <w:rsid w:val="007E341F"/>
    <w:rsid w:val="007E37D8"/>
    <w:rsid w:val="007E3DCF"/>
    <w:rsid w:val="007E44DC"/>
    <w:rsid w:val="007E4794"/>
    <w:rsid w:val="007E4B91"/>
    <w:rsid w:val="007E4BCD"/>
    <w:rsid w:val="007E539C"/>
    <w:rsid w:val="007E5ED0"/>
    <w:rsid w:val="007E6665"/>
    <w:rsid w:val="007E6A36"/>
    <w:rsid w:val="007E6A6E"/>
    <w:rsid w:val="007E6BAF"/>
    <w:rsid w:val="007E6F46"/>
    <w:rsid w:val="007E75E7"/>
    <w:rsid w:val="007E7A79"/>
    <w:rsid w:val="007E7F8F"/>
    <w:rsid w:val="007F0255"/>
    <w:rsid w:val="007F0F0F"/>
    <w:rsid w:val="007F1657"/>
    <w:rsid w:val="007F1AA3"/>
    <w:rsid w:val="007F1EDD"/>
    <w:rsid w:val="007F266B"/>
    <w:rsid w:val="007F2851"/>
    <w:rsid w:val="007F2D5B"/>
    <w:rsid w:val="007F32D2"/>
    <w:rsid w:val="007F3A85"/>
    <w:rsid w:val="007F3B0F"/>
    <w:rsid w:val="007F3B29"/>
    <w:rsid w:val="007F3F04"/>
    <w:rsid w:val="007F3F77"/>
    <w:rsid w:val="007F411A"/>
    <w:rsid w:val="007F4B9C"/>
    <w:rsid w:val="007F5388"/>
    <w:rsid w:val="007F5840"/>
    <w:rsid w:val="007F5AC8"/>
    <w:rsid w:val="007F5C73"/>
    <w:rsid w:val="007F5D0F"/>
    <w:rsid w:val="007F6135"/>
    <w:rsid w:val="007F698D"/>
    <w:rsid w:val="007F6A62"/>
    <w:rsid w:val="007F6C0C"/>
    <w:rsid w:val="007F6CDE"/>
    <w:rsid w:val="007F6DB7"/>
    <w:rsid w:val="007F6DFA"/>
    <w:rsid w:val="007F76A3"/>
    <w:rsid w:val="007F77C5"/>
    <w:rsid w:val="007F7C18"/>
    <w:rsid w:val="008002A4"/>
    <w:rsid w:val="008013CD"/>
    <w:rsid w:val="0080141A"/>
    <w:rsid w:val="00801893"/>
    <w:rsid w:val="0080190B"/>
    <w:rsid w:val="00801A2D"/>
    <w:rsid w:val="00802017"/>
    <w:rsid w:val="00802840"/>
    <w:rsid w:val="00802CDA"/>
    <w:rsid w:val="00802E72"/>
    <w:rsid w:val="00802EEB"/>
    <w:rsid w:val="0080394F"/>
    <w:rsid w:val="00803A0D"/>
    <w:rsid w:val="00803FAF"/>
    <w:rsid w:val="00804116"/>
    <w:rsid w:val="00805A12"/>
    <w:rsid w:val="00805F68"/>
    <w:rsid w:val="008062CE"/>
    <w:rsid w:val="00806516"/>
    <w:rsid w:val="00806586"/>
    <w:rsid w:val="00806A3F"/>
    <w:rsid w:val="00806E31"/>
    <w:rsid w:val="008072FD"/>
    <w:rsid w:val="0080734E"/>
    <w:rsid w:val="00807AC1"/>
    <w:rsid w:val="00807EA7"/>
    <w:rsid w:val="008100E1"/>
    <w:rsid w:val="00810C2A"/>
    <w:rsid w:val="0081149F"/>
    <w:rsid w:val="008117A9"/>
    <w:rsid w:val="00812356"/>
    <w:rsid w:val="00812B28"/>
    <w:rsid w:val="00812E7D"/>
    <w:rsid w:val="0081325D"/>
    <w:rsid w:val="0081354D"/>
    <w:rsid w:val="00813A84"/>
    <w:rsid w:val="00813C93"/>
    <w:rsid w:val="00813E67"/>
    <w:rsid w:val="008142B2"/>
    <w:rsid w:val="00814343"/>
    <w:rsid w:val="00814852"/>
    <w:rsid w:val="00814B76"/>
    <w:rsid w:val="008153B8"/>
    <w:rsid w:val="00815691"/>
    <w:rsid w:val="008164DF"/>
    <w:rsid w:val="0081690E"/>
    <w:rsid w:val="00816B05"/>
    <w:rsid w:val="00816FE2"/>
    <w:rsid w:val="008174BD"/>
    <w:rsid w:val="008174FC"/>
    <w:rsid w:val="0082056E"/>
    <w:rsid w:val="00820791"/>
    <w:rsid w:val="00820AB4"/>
    <w:rsid w:val="00820D03"/>
    <w:rsid w:val="00820FD8"/>
    <w:rsid w:val="00821ABF"/>
    <w:rsid w:val="00821D14"/>
    <w:rsid w:val="00821E94"/>
    <w:rsid w:val="00822261"/>
    <w:rsid w:val="0082243A"/>
    <w:rsid w:val="008226FE"/>
    <w:rsid w:val="0082293B"/>
    <w:rsid w:val="00822C0E"/>
    <w:rsid w:val="0082341D"/>
    <w:rsid w:val="0082349F"/>
    <w:rsid w:val="00823607"/>
    <w:rsid w:val="00823FB5"/>
    <w:rsid w:val="00824494"/>
    <w:rsid w:val="00824F68"/>
    <w:rsid w:val="008251B3"/>
    <w:rsid w:val="0082592B"/>
    <w:rsid w:val="00825D56"/>
    <w:rsid w:val="008261F6"/>
    <w:rsid w:val="00826BB4"/>
    <w:rsid w:val="00826BCC"/>
    <w:rsid w:val="008273F5"/>
    <w:rsid w:val="008279AF"/>
    <w:rsid w:val="008302D8"/>
    <w:rsid w:val="00830629"/>
    <w:rsid w:val="0083073B"/>
    <w:rsid w:val="0083093C"/>
    <w:rsid w:val="00830EAB"/>
    <w:rsid w:val="00830F5C"/>
    <w:rsid w:val="008315CD"/>
    <w:rsid w:val="00831BDD"/>
    <w:rsid w:val="0083205F"/>
    <w:rsid w:val="00832B8A"/>
    <w:rsid w:val="00832DE6"/>
    <w:rsid w:val="008332CB"/>
    <w:rsid w:val="008334C0"/>
    <w:rsid w:val="00833716"/>
    <w:rsid w:val="00833792"/>
    <w:rsid w:val="00833EB4"/>
    <w:rsid w:val="00834154"/>
    <w:rsid w:val="0083440C"/>
    <w:rsid w:val="0083471E"/>
    <w:rsid w:val="00834BC0"/>
    <w:rsid w:val="00835415"/>
    <w:rsid w:val="0083586D"/>
    <w:rsid w:val="008361CD"/>
    <w:rsid w:val="00836362"/>
    <w:rsid w:val="00836AE0"/>
    <w:rsid w:val="00837068"/>
    <w:rsid w:val="008370D0"/>
    <w:rsid w:val="008374E2"/>
    <w:rsid w:val="00837707"/>
    <w:rsid w:val="00837B1B"/>
    <w:rsid w:val="00837EF1"/>
    <w:rsid w:val="00840535"/>
    <w:rsid w:val="00840F38"/>
    <w:rsid w:val="008411B5"/>
    <w:rsid w:val="0084120E"/>
    <w:rsid w:val="008412FF"/>
    <w:rsid w:val="0084200F"/>
    <w:rsid w:val="0084285B"/>
    <w:rsid w:val="00842CB4"/>
    <w:rsid w:val="00842FAA"/>
    <w:rsid w:val="0084360A"/>
    <w:rsid w:val="0084361E"/>
    <w:rsid w:val="0084373F"/>
    <w:rsid w:val="00843A33"/>
    <w:rsid w:val="0084400C"/>
    <w:rsid w:val="008445B4"/>
    <w:rsid w:val="008446DE"/>
    <w:rsid w:val="0084488D"/>
    <w:rsid w:val="00845918"/>
    <w:rsid w:val="0084621C"/>
    <w:rsid w:val="0084661E"/>
    <w:rsid w:val="0084687B"/>
    <w:rsid w:val="00846C46"/>
    <w:rsid w:val="00847084"/>
    <w:rsid w:val="008470AC"/>
    <w:rsid w:val="00847142"/>
    <w:rsid w:val="00847723"/>
    <w:rsid w:val="008478CB"/>
    <w:rsid w:val="00847AF7"/>
    <w:rsid w:val="00847DBC"/>
    <w:rsid w:val="00850426"/>
    <w:rsid w:val="0085056A"/>
    <w:rsid w:val="008505F8"/>
    <w:rsid w:val="00850A5C"/>
    <w:rsid w:val="00850F00"/>
    <w:rsid w:val="008512E9"/>
    <w:rsid w:val="00851629"/>
    <w:rsid w:val="00851A78"/>
    <w:rsid w:val="00851BA4"/>
    <w:rsid w:val="00851D2B"/>
    <w:rsid w:val="00851F0A"/>
    <w:rsid w:val="0085233A"/>
    <w:rsid w:val="008534C6"/>
    <w:rsid w:val="00853633"/>
    <w:rsid w:val="00854272"/>
    <w:rsid w:val="008544CE"/>
    <w:rsid w:val="0085485E"/>
    <w:rsid w:val="00854DC7"/>
    <w:rsid w:val="00855041"/>
    <w:rsid w:val="008556AF"/>
    <w:rsid w:val="00855D32"/>
    <w:rsid w:val="00856686"/>
    <w:rsid w:val="00857395"/>
    <w:rsid w:val="00857F52"/>
    <w:rsid w:val="008604F3"/>
    <w:rsid w:val="00860537"/>
    <w:rsid w:val="00860BA1"/>
    <w:rsid w:val="008618F9"/>
    <w:rsid w:val="00861EEF"/>
    <w:rsid w:val="00861FC7"/>
    <w:rsid w:val="00862C66"/>
    <w:rsid w:val="00862E38"/>
    <w:rsid w:val="0086315B"/>
    <w:rsid w:val="00863D6F"/>
    <w:rsid w:val="00863E97"/>
    <w:rsid w:val="00863EE3"/>
    <w:rsid w:val="00863EFE"/>
    <w:rsid w:val="008647C0"/>
    <w:rsid w:val="00864B86"/>
    <w:rsid w:val="00864C6B"/>
    <w:rsid w:val="008650B0"/>
    <w:rsid w:val="00865111"/>
    <w:rsid w:val="0086585B"/>
    <w:rsid w:val="00866047"/>
    <w:rsid w:val="00866477"/>
    <w:rsid w:val="00866587"/>
    <w:rsid w:val="00866ABD"/>
    <w:rsid w:val="00867139"/>
    <w:rsid w:val="008672F7"/>
    <w:rsid w:val="00867381"/>
    <w:rsid w:val="00867932"/>
    <w:rsid w:val="00867A8F"/>
    <w:rsid w:val="00867FA9"/>
    <w:rsid w:val="008707A5"/>
    <w:rsid w:val="0087082F"/>
    <w:rsid w:val="00870EE3"/>
    <w:rsid w:val="008711E3"/>
    <w:rsid w:val="00871A0D"/>
    <w:rsid w:val="00871DB9"/>
    <w:rsid w:val="00872599"/>
    <w:rsid w:val="008726DB"/>
    <w:rsid w:val="00872DC3"/>
    <w:rsid w:val="00872FE7"/>
    <w:rsid w:val="0087301D"/>
    <w:rsid w:val="008733F8"/>
    <w:rsid w:val="008735CA"/>
    <w:rsid w:val="00873B5D"/>
    <w:rsid w:val="00873E8F"/>
    <w:rsid w:val="008746F2"/>
    <w:rsid w:val="00874BAF"/>
    <w:rsid w:val="0087592A"/>
    <w:rsid w:val="008763C0"/>
    <w:rsid w:val="008766FB"/>
    <w:rsid w:val="00876A6D"/>
    <w:rsid w:val="00876F59"/>
    <w:rsid w:val="008770AD"/>
    <w:rsid w:val="008777F5"/>
    <w:rsid w:val="00877F6D"/>
    <w:rsid w:val="00880258"/>
    <w:rsid w:val="00880384"/>
    <w:rsid w:val="008803F6"/>
    <w:rsid w:val="008808C0"/>
    <w:rsid w:val="00880A0C"/>
    <w:rsid w:val="00881380"/>
    <w:rsid w:val="00881A9A"/>
    <w:rsid w:val="00881FB3"/>
    <w:rsid w:val="008828CA"/>
    <w:rsid w:val="008833A2"/>
    <w:rsid w:val="00883B3D"/>
    <w:rsid w:val="00883EF3"/>
    <w:rsid w:val="0088487D"/>
    <w:rsid w:val="00885201"/>
    <w:rsid w:val="00885439"/>
    <w:rsid w:val="008857D4"/>
    <w:rsid w:val="00886005"/>
    <w:rsid w:val="008861E6"/>
    <w:rsid w:val="00886720"/>
    <w:rsid w:val="008873EC"/>
    <w:rsid w:val="00887911"/>
    <w:rsid w:val="00887B12"/>
    <w:rsid w:val="00887C6C"/>
    <w:rsid w:val="00887E91"/>
    <w:rsid w:val="00887F3D"/>
    <w:rsid w:val="008901FD"/>
    <w:rsid w:val="00890235"/>
    <w:rsid w:val="00890472"/>
    <w:rsid w:val="00890749"/>
    <w:rsid w:val="00890813"/>
    <w:rsid w:val="00890E42"/>
    <w:rsid w:val="00891076"/>
    <w:rsid w:val="00891A59"/>
    <w:rsid w:val="00891AC4"/>
    <w:rsid w:val="008920F2"/>
    <w:rsid w:val="008930A0"/>
    <w:rsid w:val="008932A1"/>
    <w:rsid w:val="008933E8"/>
    <w:rsid w:val="008934B8"/>
    <w:rsid w:val="00893D48"/>
    <w:rsid w:val="00893EC0"/>
    <w:rsid w:val="00893F51"/>
    <w:rsid w:val="008940F0"/>
    <w:rsid w:val="0089468D"/>
    <w:rsid w:val="00894E53"/>
    <w:rsid w:val="0089506D"/>
    <w:rsid w:val="008952C6"/>
    <w:rsid w:val="00895795"/>
    <w:rsid w:val="00895A8D"/>
    <w:rsid w:val="00895E7B"/>
    <w:rsid w:val="0089600C"/>
    <w:rsid w:val="0089657A"/>
    <w:rsid w:val="008968A8"/>
    <w:rsid w:val="00896AC9"/>
    <w:rsid w:val="00896B85"/>
    <w:rsid w:val="00896D49"/>
    <w:rsid w:val="00896E4F"/>
    <w:rsid w:val="00896E6D"/>
    <w:rsid w:val="00897377"/>
    <w:rsid w:val="00897774"/>
    <w:rsid w:val="00897788"/>
    <w:rsid w:val="00897F4D"/>
    <w:rsid w:val="008A0AA4"/>
    <w:rsid w:val="008A0C89"/>
    <w:rsid w:val="008A1278"/>
    <w:rsid w:val="008A1996"/>
    <w:rsid w:val="008A1A0E"/>
    <w:rsid w:val="008A206E"/>
    <w:rsid w:val="008A2072"/>
    <w:rsid w:val="008A20AE"/>
    <w:rsid w:val="008A2648"/>
    <w:rsid w:val="008A2DF9"/>
    <w:rsid w:val="008A3808"/>
    <w:rsid w:val="008A3991"/>
    <w:rsid w:val="008A3C36"/>
    <w:rsid w:val="008A488A"/>
    <w:rsid w:val="008A53C5"/>
    <w:rsid w:val="008A54C1"/>
    <w:rsid w:val="008A5AC4"/>
    <w:rsid w:val="008A5D5D"/>
    <w:rsid w:val="008A615C"/>
    <w:rsid w:val="008A6A1F"/>
    <w:rsid w:val="008A6F18"/>
    <w:rsid w:val="008A7011"/>
    <w:rsid w:val="008A701F"/>
    <w:rsid w:val="008A7312"/>
    <w:rsid w:val="008A755C"/>
    <w:rsid w:val="008A7CEF"/>
    <w:rsid w:val="008B0133"/>
    <w:rsid w:val="008B059D"/>
    <w:rsid w:val="008B07BD"/>
    <w:rsid w:val="008B0C01"/>
    <w:rsid w:val="008B0C7B"/>
    <w:rsid w:val="008B0F9A"/>
    <w:rsid w:val="008B0FB6"/>
    <w:rsid w:val="008B1126"/>
    <w:rsid w:val="008B1348"/>
    <w:rsid w:val="008B13AC"/>
    <w:rsid w:val="008B1455"/>
    <w:rsid w:val="008B153D"/>
    <w:rsid w:val="008B1569"/>
    <w:rsid w:val="008B1835"/>
    <w:rsid w:val="008B28C5"/>
    <w:rsid w:val="008B2B1C"/>
    <w:rsid w:val="008B370A"/>
    <w:rsid w:val="008B3D00"/>
    <w:rsid w:val="008B41F0"/>
    <w:rsid w:val="008B4345"/>
    <w:rsid w:val="008B43DD"/>
    <w:rsid w:val="008B459E"/>
    <w:rsid w:val="008B4C00"/>
    <w:rsid w:val="008B5292"/>
    <w:rsid w:val="008B55AC"/>
    <w:rsid w:val="008B5776"/>
    <w:rsid w:val="008B652B"/>
    <w:rsid w:val="008B673C"/>
    <w:rsid w:val="008B6C59"/>
    <w:rsid w:val="008B72A5"/>
    <w:rsid w:val="008B743A"/>
    <w:rsid w:val="008B75E3"/>
    <w:rsid w:val="008B7B27"/>
    <w:rsid w:val="008B7DA9"/>
    <w:rsid w:val="008C02D5"/>
    <w:rsid w:val="008C0CA6"/>
    <w:rsid w:val="008C0FD4"/>
    <w:rsid w:val="008C1831"/>
    <w:rsid w:val="008C1901"/>
    <w:rsid w:val="008C1E60"/>
    <w:rsid w:val="008C2699"/>
    <w:rsid w:val="008C2AF7"/>
    <w:rsid w:val="008C3AA3"/>
    <w:rsid w:val="008C4117"/>
    <w:rsid w:val="008C4159"/>
    <w:rsid w:val="008C5AC4"/>
    <w:rsid w:val="008C5BBF"/>
    <w:rsid w:val="008C601D"/>
    <w:rsid w:val="008C65B8"/>
    <w:rsid w:val="008C6614"/>
    <w:rsid w:val="008C69DD"/>
    <w:rsid w:val="008C6C36"/>
    <w:rsid w:val="008C70D8"/>
    <w:rsid w:val="008C7268"/>
    <w:rsid w:val="008C7622"/>
    <w:rsid w:val="008D00F9"/>
    <w:rsid w:val="008D0E40"/>
    <w:rsid w:val="008D1C30"/>
    <w:rsid w:val="008D2510"/>
    <w:rsid w:val="008D25A5"/>
    <w:rsid w:val="008D2AF7"/>
    <w:rsid w:val="008D2DAB"/>
    <w:rsid w:val="008D3077"/>
    <w:rsid w:val="008D3563"/>
    <w:rsid w:val="008D35C8"/>
    <w:rsid w:val="008D394B"/>
    <w:rsid w:val="008D3CB8"/>
    <w:rsid w:val="008D40FA"/>
    <w:rsid w:val="008D430E"/>
    <w:rsid w:val="008D45FA"/>
    <w:rsid w:val="008D498B"/>
    <w:rsid w:val="008D4F5F"/>
    <w:rsid w:val="008D547A"/>
    <w:rsid w:val="008D55DC"/>
    <w:rsid w:val="008D5F21"/>
    <w:rsid w:val="008D60D8"/>
    <w:rsid w:val="008D65FD"/>
    <w:rsid w:val="008D6A9B"/>
    <w:rsid w:val="008D6CDA"/>
    <w:rsid w:val="008D6DA8"/>
    <w:rsid w:val="008D718C"/>
    <w:rsid w:val="008D73D8"/>
    <w:rsid w:val="008D7555"/>
    <w:rsid w:val="008D76B8"/>
    <w:rsid w:val="008D76CE"/>
    <w:rsid w:val="008D76FE"/>
    <w:rsid w:val="008D7970"/>
    <w:rsid w:val="008D7DFC"/>
    <w:rsid w:val="008E0290"/>
    <w:rsid w:val="008E0E62"/>
    <w:rsid w:val="008E16E2"/>
    <w:rsid w:val="008E1943"/>
    <w:rsid w:val="008E31DC"/>
    <w:rsid w:val="008E3BD6"/>
    <w:rsid w:val="008E3F8E"/>
    <w:rsid w:val="008E41A8"/>
    <w:rsid w:val="008E443F"/>
    <w:rsid w:val="008E498D"/>
    <w:rsid w:val="008E5E73"/>
    <w:rsid w:val="008E6287"/>
    <w:rsid w:val="008E72B8"/>
    <w:rsid w:val="008E7556"/>
    <w:rsid w:val="008E78EE"/>
    <w:rsid w:val="008E7AD0"/>
    <w:rsid w:val="008E7BA9"/>
    <w:rsid w:val="008E7C50"/>
    <w:rsid w:val="008E7DE1"/>
    <w:rsid w:val="008E7DF9"/>
    <w:rsid w:val="008F020E"/>
    <w:rsid w:val="008F0923"/>
    <w:rsid w:val="008F09D6"/>
    <w:rsid w:val="008F0ABD"/>
    <w:rsid w:val="008F188C"/>
    <w:rsid w:val="008F1C12"/>
    <w:rsid w:val="008F1E23"/>
    <w:rsid w:val="008F25E7"/>
    <w:rsid w:val="008F2B01"/>
    <w:rsid w:val="008F30B5"/>
    <w:rsid w:val="008F4045"/>
    <w:rsid w:val="008F41B1"/>
    <w:rsid w:val="008F42A3"/>
    <w:rsid w:val="008F4B69"/>
    <w:rsid w:val="008F4E75"/>
    <w:rsid w:val="008F514A"/>
    <w:rsid w:val="008F53DD"/>
    <w:rsid w:val="008F5497"/>
    <w:rsid w:val="008F5A01"/>
    <w:rsid w:val="008F6E7F"/>
    <w:rsid w:val="008F71F8"/>
    <w:rsid w:val="008F7786"/>
    <w:rsid w:val="008F77D6"/>
    <w:rsid w:val="008F7911"/>
    <w:rsid w:val="008F7AAF"/>
    <w:rsid w:val="008F7AB3"/>
    <w:rsid w:val="00900702"/>
    <w:rsid w:val="00900C3E"/>
    <w:rsid w:val="0090119D"/>
    <w:rsid w:val="009017E9"/>
    <w:rsid w:val="00901E59"/>
    <w:rsid w:val="009025B1"/>
    <w:rsid w:val="00902BA6"/>
    <w:rsid w:val="00902DE7"/>
    <w:rsid w:val="00902EE6"/>
    <w:rsid w:val="00903388"/>
    <w:rsid w:val="009035D2"/>
    <w:rsid w:val="009037BB"/>
    <w:rsid w:val="00904363"/>
    <w:rsid w:val="00904795"/>
    <w:rsid w:val="00904CC9"/>
    <w:rsid w:val="009050E0"/>
    <w:rsid w:val="00905653"/>
    <w:rsid w:val="009058FC"/>
    <w:rsid w:val="00905F22"/>
    <w:rsid w:val="009061E5"/>
    <w:rsid w:val="009063EA"/>
    <w:rsid w:val="00906F45"/>
    <w:rsid w:val="00907004"/>
    <w:rsid w:val="00907317"/>
    <w:rsid w:val="00907AD0"/>
    <w:rsid w:val="00907F1D"/>
    <w:rsid w:val="009104EB"/>
    <w:rsid w:val="00910597"/>
    <w:rsid w:val="0091083D"/>
    <w:rsid w:val="00910A0D"/>
    <w:rsid w:val="00911701"/>
    <w:rsid w:val="00911EC7"/>
    <w:rsid w:val="00912646"/>
    <w:rsid w:val="00912697"/>
    <w:rsid w:val="00912710"/>
    <w:rsid w:val="00913037"/>
    <w:rsid w:val="00913092"/>
    <w:rsid w:val="00913364"/>
    <w:rsid w:val="00913736"/>
    <w:rsid w:val="00913936"/>
    <w:rsid w:val="009139B3"/>
    <w:rsid w:val="00913EC5"/>
    <w:rsid w:val="009142E3"/>
    <w:rsid w:val="00914526"/>
    <w:rsid w:val="009147B4"/>
    <w:rsid w:val="00914CEF"/>
    <w:rsid w:val="00914DAB"/>
    <w:rsid w:val="00914EF4"/>
    <w:rsid w:val="00915211"/>
    <w:rsid w:val="00915764"/>
    <w:rsid w:val="00915F74"/>
    <w:rsid w:val="00916637"/>
    <w:rsid w:val="009166FD"/>
    <w:rsid w:val="0091739B"/>
    <w:rsid w:val="00917F9C"/>
    <w:rsid w:val="0092014B"/>
    <w:rsid w:val="00920590"/>
    <w:rsid w:val="009207A4"/>
    <w:rsid w:val="00920B4A"/>
    <w:rsid w:val="00920CBC"/>
    <w:rsid w:val="00921698"/>
    <w:rsid w:val="009218A2"/>
    <w:rsid w:val="00921A07"/>
    <w:rsid w:val="00921C55"/>
    <w:rsid w:val="00922821"/>
    <w:rsid w:val="00922833"/>
    <w:rsid w:val="00922BFC"/>
    <w:rsid w:val="00922E05"/>
    <w:rsid w:val="0092310A"/>
    <w:rsid w:val="009233C9"/>
    <w:rsid w:val="00923561"/>
    <w:rsid w:val="009238B3"/>
    <w:rsid w:val="00923EAB"/>
    <w:rsid w:val="00923EBE"/>
    <w:rsid w:val="009247C1"/>
    <w:rsid w:val="009249C0"/>
    <w:rsid w:val="0092500D"/>
    <w:rsid w:val="0092598B"/>
    <w:rsid w:val="00925AA7"/>
    <w:rsid w:val="00925CD1"/>
    <w:rsid w:val="0092607F"/>
    <w:rsid w:val="0092620E"/>
    <w:rsid w:val="00926230"/>
    <w:rsid w:val="00926D5C"/>
    <w:rsid w:val="00926F3E"/>
    <w:rsid w:val="0092712F"/>
    <w:rsid w:val="009275DF"/>
    <w:rsid w:val="0092765F"/>
    <w:rsid w:val="00927B2F"/>
    <w:rsid w:val="00927D33"/>
    <w:rsid w:val="00927E00"/>
    <w:rsid w:val="00930336"/>
    <w:rsid w:val="00930CE3"/>
    <w:rsid w:val="00930E6C"/>
    <w:rsid w:val="00931088"/>
    <w:rsid w:val="009318E9"/>
    <w:rsid w:val="00931FA7"/>
    <w:rsid w:val="00932A01"/>
    <w:rsid w:val="0093398E"/>
    <w:rsid w:val="00933D4A"/>
    <w:rsid w:val="00933FB8"/>
    <w:rsid w:val="0093420D"/>
    <w:rsid w:val="00934692"/>
    <w:rsid w:val="00934EA5"/>
    <w:rsid w:val="009357B0"/>
    <w:rsid w:val="00935919"/>
    <w:rsid w:val="00935F92"/>
    <w:rsid w:val="00936341"/>
    <w:rsid w:val="009363A3"/>
    <w:rsid w:val="00936958"/>
    <w:rsid w:val="00936D74"/>
    <w:rsid w:val="0093753F"/>
    <w:rsid w:val="00937ED1"/>
    <w:rsid w:val="00937F7A"/>
    <w:rsid w:val="00941954"/>
    <w:rsid w:val="009428C5"/>
    <w:rsid w:val="0094291A"/>
    <w:rsid w:val="00942EF8"/>
    <w:rsid w:val="00943A1B"/>
    <w:rsid w:val="00944404"/>
    <w:rsid w:val="009446F0"/>
    <w:rsid w:val="009450FB"/>
    <w:rsid w:val="009451B7"/>
    <w:rsid w:val="009451FD"/>
    <w:rsid w:val="00945AB8"/>
    <w:rsid w:val="00945C1E"/>
    <w:rsid w:val="00945D80"/>
    <w:rsid w:val="00945DAE"/>
    <w:rsid w:val="00946188"/>
    <w:rsid w:val="009467D5"/>
    <w:rsid w:val="00946EA4"/>
    <w:rsid w:val="009470E9"/>
    <w:rsid w:val="0094767B"/>
    <w:rsid w:val="00947C2D"/>
    <w:rsid w:val="0095033A"/>
    <w:rsid w:val="00950649"/>
    <w:rsid w:val="00950A70"/>
    <w:rsid w:val="00950BD7"/>
    <w:rsid w:val="00950E18"/>
    <w:rsid w:val="00952BB2"/>
    <w:rsid w:val="00952C01"/>
    <w:rsid w:val="00952CF5"/>
    <w:rsid w:val="009530F5"/>
    <w:rsid w:val="009532E0"/>
    <w:rsid w:val="00953357"/>
    <w:rsid w:val="009537E2"/>
    <w:rsid w:val="0095386A"/>
    <w:rsid w:val="00953A12"/>
    <w:rsid w:val="00953BAA"/>
    <w:rsid w:val="00953E95"/>
    <w:rsid w:val="00954081"/>
    <w:rsid w:val="0095427D"/>
    <w:rsid w:val="009547CB"/>
    <w:rsid w:val="00954D7B"/>
    <w:rsid w:val="009556A9"/>
    <w:rsid w:val="00955BFD"/>
    <w:rsid w:val="009560C5"/>
    <w:rsid w:val="0095661A"/>
    <w:rsid w:val="00956D9E"/>
    <w:rsid w:val="00957138"/>
    <w:rsid w:val="00957E78"/>
    <w:rsid w:val="00957EF5"/>
    <w:rsid w:val="009604E3"/>
    <w:rsid w:val="00960826"/>
    <w:rsid w:val="009608EA"/>
    <w:rsid w:val="009609AF"/>
    <w:rsid w:val="00960DC7"/>
    <w:rsid w:val="00961736"/>
    <w:rsid w:val="009618DB"/>
    <w:rsid w:val="00962300"/>
    <w:rsid w:val="00962788"/>
    <w:rsid w:val="00962A29"/>
    <w:rsid w:val="00963668"/>
    <w:rsid w:val="00963866"/>
    <w:rsid w:val="00963A09"/>
    <w:rsid w:val="00964008"/>
    <w:rsid w:val="00964435"/>
    <w:rsid w:val="00964991"/>
    <w:rsid w:val="009652CF"/>
    <w:rsid w:val="0096598B"/>
    <w:rsid w:val="00965B3E"/>
    <w:rsid w:val="00965E8C"/>
    <w:rsid w:val="00966310"/>
    <w:rsid w:val="00966519"/>
    <w:rsid w:val="0096661D"/>
    <w:rsid w:val="00966C33"/>
    <w:rsid w:val="00966D4C"/>
    <w:rsid w:val="009671F1"/>
    <w:rsid w:val="009673D3"/>
    <w:rsid w:val="009704F0"/>
    <w:rsid w:val="00970524"/>
    <w:rsid w:val="00970586"/>
    <w:rsid w:val="009708A2"/>
    <w:rsid w:val="00970906"/>
    <w:rsid w:val="00970CAD"/>
    <w:rsid w:val="00970EC7"/>
    <w:rsid w:val="00970F96"/>
    <w:rsid w:val="009710F0"/>
    <w:rsid w:val="0097124F"/>
    <w:rsid w:val="00971516"/>
    <w:rsid w:val="00971730"/>
    <w:rsid w:val="00972127"/>
    <w:rsid w:val="00972146"/>
    <w:rsid w:val="00972434"/>
    <w:rsid w:val="00972DE3"/>
    <w:rsid w:val="00973A97"/>
    <w:rsid w:val="0097479E"/>
    <w:rsid w:val="009748D5"/>
    <w:rsid w:val="00974FF9"/>
    <w:rsid w:val="00975315"/>
    <w:rsid w:val="00975893"/>
    <w:rsid w:val="0097589A"/>
    <w:rsid w:val="009767B4"/>
    <w:rsid w:val="00977753"/>
    <w:rsid w:val="009804F0"/>
    <w:rsid w:val="009805A3"/>
    <w:rsid w:val="00980BC8"/>
    <w:rsid w:val="0098181A"/>
    <w:rsid w:val="00981ABA"/>
    <w:rsid w:val="0098293C"/>
    <w:rsid w:val="00982BDE"/>
    <w:rsid w:val="00983455"/>
    <w:rsid w:val="009858BE"/>
    <w:rsid w:val="009858F0"/>
    <w:rsid w:val="00985AE0"/>
    <w:rsid w:val="00986C51"/>
    <w:rsid w:val="00987016"/>
    <w:rsid w:val="009875DB"/>
    <w:rsid w:val="009876A0"/>
    <w:rsid w:val="00987F7B"/>
    <w:rsid w:val="00990536"/>
    <w:rsid w:val="0099062D"/>
    <w:rsid w:val="00990BDC"/>
    <w:rsid w:val="00990C4A"/>
    <w:rsid w:val="00991411"/>
    <w:rsid w:val="00991818"/>
    <w:rsid w:val="00991ECD"/>
    <w:rsid w:val="00992119"/>
    <w:rsid w:val="009926BE"/>
    <w:rsid w:val="00992BC4"/>
    <w:rsid w:val="00992DD8"/>
    <w:rsid w:val="009936C8"/>
    <w:rsid w:val="00993FC5"/>
    <w:rsid w:val="00993FCE"/>
    <w:rsid w:val="00994629"/>
    <w:rsid w:val="00994E63"/>
    <w:rsid w:val="009950B4"/>
    <w:rsid w:val="00995697"/>
    <w:rsid w:val="009956A9"/>
    <w:rsid w:val="00995893"/>
    <w:rsid w:val="00995DA7"/>
    <w:rsid w:val="00996676"/>
    <w:rsid w:val="009966F0"/>
    <w:rsid w:val="00996A89"/>
    <w:rsid w:val="00996C4F"/>
    <w:rsid w:val="00996FC9"/>
    <w:rsid w:val="009A0CA4"/>
    <w:rsid w:val="009A0FBB"/>
    <w:rsid w:val="009A116D"/>
    <w:rsid w:val="009A11E7"/>
    <w:rsid w:val="009A1229"/>
    <w:rsid w:val="009A1243"/>
    <w:rsid w:val="009A1621"/>
    <w:rsid w:val="009A16AE"/>
    <w:rsid w:val="009A186A"/>
    <w:rsid w:val="009A1908"/>
    <w:rsid w:val="009A2108"/>
    <w:rsid w:val="009A2273"/>
    <w:rsid w:val="009A2551"/>
    <w:rsid w:val="009A25C6"/>
    <w:rsid w:val="009A27EC"/>
    <w:rsid w:val="009A2EBE"/>
    <w:rsid w:val="009A32C3"/>
    <w:rsid w:val="009A35B5"/>
    <w:rsid w:val="009A3759"/>
    <w:rsid w:val="009A3B93"/>
    <w:rsid w:val="009A4035"/>
    <w:rsid w:val="009A40E9"/>
    <w:rsid w:val="009A41CD"/>
    <w:rsid w:val="009A44E3"/>
    <w:rsid w:val="009A4682"/>
    <w:rsid w:val="009A479F"/>
    <w:rsid w:val="009A4C5C"/>
    <w:rsid w:val="009A512D"/>
    <w:rsid w:val="009A5783"/>
    <w:rsid w:val="009A59C7"/>
    <w:rsid w:val="009A7133"/>
    <w:rsid w:val="009A76AC"/>
    <w:rsid w:val="009A7D47"/>
    <w:rsid w:val="009A7F55"/>
    <w:rsid w:val="009B0583"/>
    <w:rsid w:val="009B0DE7"/>
    <w:rsid w:val="009B11FF"/>
    <w:rsid w:val="009B1BB5"/>
    <w:rsid w:val="009B2366"/>
    <w:rsid w:val="009B2368"/>
    <w:rsid w:val="009B2654"/>
    <w:rsid w:val="009B2EBF"/>
    <w:rsid w:val="009B34BF"/>
    <w:rsid w:val="009B360A"/>
    <w:rsid w:val="009B3EF7"/>
    <w:rsid w:val="009B40C5"/>
    <w:rsid w:val="009B4386"/>
    <w:rsid w:val="009B49B5"/>
    <w:rsid w:val="009B55C5"/>
    <w:rsid w:val="009B56A1"/>
    <w:rsid w:val="009B586F"/>
    <w:rsid w:val="009B5996"/>
    <w:rsid w:val="009B6802"/>
    <w:rsid w:val="009B6A93"/>
    <w:rsid w:val="009B6C17"/>
    <w:rsid w:val="009B70E1"/>
    <w:rsid w:val="009B71E8"/>
    <w:rsid w:val="009B765A"/>
    <w:rsid w:val="009B7E82"/>
    <w:rsid w:val="009C09F2"/>
    <w:rsid w:val="009C0BF3"/>
    <w:rsid w:val="009C0D7D"/>
    <w:rsid w:val="009C0FE6"/>
    <w:rsid w:val="009C1455"/>
    <w:rsid w:val="009C14C9"/>
    <w:rsid w:val="009C1CBD"/>
    <w:rsid w:val="009C1FC9"/>
    <w:rsid w:val="009C250E"/>
    <w:rsid w:val="009C2680"/>
    <w:rsid w:val="009C2F6F"/>
    <w:rsid w:val="009C3878"/>
    <w:rsid w:val="009C3955"/>
    <w:rsid w:val="009C3A5A"/>
    <w:rsid w:val="009C3AFA"/>
    <w:rsid w:val="009C416D"/>
    <w:rsid w:val="009C4C76"/>
    <w:rsid w:val="009C4F57"/>
    <w:rsid w:val="009C5058"/>
    <w:rsid w:val="009C514F"/>
    <w:rsid w:val="009C51DE"/>
    <w:rsid w:val="009C57C3"/>
    <w:rsid w:val="009C639F"/>
    <w:rsid w:val="009C7135"/>
    <w:rsid w:val="009C737C"/>
    <w:rsid w:val="009C7579"/>
    <w:rsid w:val="009C7631"/>
    <w:rsid w:val="009D0259"/>
    <w:rsid w:val="009D0558"/>
    <w:rsid w:val="009D1157"/>
    <w:rsid w:val="009D1292"/>
    <w:rsid w:val="009D185C"/>
    <w:rsid w:val="009D1B09"/>
    <w:rsid w:val="009D1C0A"/>
    <w:rsid w:val="009D1F21"/>
    <w:rsid w:val="009D20F7"/>
    <w:rsid w:val="009D27C4"/>
    <w:rsid w:val="009D2AD9"/>
    <w:rsid w:val="009D2EF1"/>
    <w:rsid w:val="009D3AF2"/>
    <w:rsid w:val="009D3EAA"/>
    <w:rsid w:val="009D4487"/>
    <w:rsid w:val="009D47A8"/>
    <w:rsid w:val="009D49F5"/>
    <w:rsid w:val="009D52DC"/>
    <w:rsid w:val="009D578E"/>
    <w:rsid w:val="009D5C48"/>
    <w:rsid w:val="009D5EA4"/>
    <w:rsid w:val="009D61B8"/>
    <w:rsid w:val="009D73A9"/>
    <w:rsid w:val="009D73EA"/>
    <w:rsid w:val="009D787B"/>
    <w:rsid w:val="009D79AD"/>
    <w:rsid w:val="009D7A3C"/>
    <w:rsid w:val="009D7BDF"/>
    <w:rsid w:val="009D7C2D"/>
    <w:rsid w:val="009D7FBF"/>
    <w:rsid w:val="009E03ED"/>
    <w:rsid w:val="009E05D1"/>
    <w:rsid w:val="009E0748"/>
    <w:rsid w:val="009E09F0"/>
    <w:rsid w:val="009E0A1C"/>
    <w:rsid w:val="009E0B86"/>
    <w:rsid w:val="009E0CB3"/>
    <w:rsid w:val="009E1026"/>
    <w:rsid w:val="009E1586"/>
    <w:rsid w:val="009E169A"/>
    <w:rsid w:val="009E16DF"/>
    <w:rsid w:val="009E1949"/>
    <w:rsid w:val="009E197F"/>
    <w:rsid w:val="009E1A2D"/>
    <w:rsid w:val="009E2318"/>
    <w:rsid w:val="009E2422"/>
    <w:rsid w:val="009E2B02"/>
    <w:rsid w:val="009E2BD4"/>
    <w:rsid w:val="009E2C20"/>
    <w:rsid w:val="009E2F90"/>
    <w:rsid w:val="009E34EA"/>
    <w:rsid w:val="009E3A11"/>
    <w:rsid w:val="009E3D2C"/>
    <w:rsid w:val="009E3E54"/>
    <w:rsid w:val="009E452F"/>
    <w:rsid w:val="009E4C6B"/>
    <w:rsid w:val="009E5520"/>
    <w:rsid w:val="009E5EC7"/>
    <w:rsid w:val="009E5FCA"/>
    <w:rsid w:val="009E64CA"/>
    <w:rsid w:val="009E6E27"/>
    <w:rsid w:val="009E7882"/>
    <w:rsid w:val="009E7A40"/>
    <w:rsid w:val="009F062C"/>
    <w:rsid w:val="009F18C3"/>
    <w:rsid w:val="009F1FBD"/>
    <w:rsid w:val="009F2365"/>
    <w:rsid w:val="009F2A7D"/>
    <w:rsid w:val="009F2EE6"/>
    <w:rsid w:val="009F374C"/>
    <w:rsid w:val="009F3851"/>
    <w:rsid w:val="009F3D5B"/>
    <w:rsid w:val="009F47F2"/>
    <w:rsid w:val="009F4E4B"/>
    <w:rsid w:val="009F4F64"/>
    <w:rsid w:val="009F50EA"/>
    <w:rsid w:val="009F529C"/>
    <w:rsid w:val="009F551A"/>
    <w:rsid w:val="009F5875"/>
    <w:rsid w:val="009F6522"/>
    <w:rsid w:val="009F6BD6"/>
    <w:rsid w:val="009F701F"/>
    <w:rsid w:val="009F776A"/>
    <w:rsid w:val="009F7834"/>
    <w:rsid w:val="009F7EBC"/>
    <w:rsid w:val="009F7FD2"/>
    <w:rsid w:val="00A0051F"/>
    <w:rsid w:val="00A00C3C"/>
    <w:rsid w:val="00A00E4E"/>
    <w:rsid w:val="00A0164D"/>
    <w:rsid w:val="00A01777"/>
    <w:rsid w:val="00A01CCC"/>
    <w:rsid w:val="00A02178"/>
    <w:rsid w:val="00A022E7"/>
    <w:rsid w:val="00A023CD"/>
    <w:rsid w:val="00A0288E"/>
    <w:rsid w:val="00A02A44"/>
    <w:rsid w:val="00A02CB4"/>
    <w:rsid w:val="00A035B0"/>
    <w:rsid w:val="00A03F68"/>
    <w:rsid w:val="00A045BA"/>
    <w:rsid w:val="00A049A2"/>
    <w:rsid w:val="00A04B7D"/>
    <w:rsid w:val="00A0500C"/>
    <w:rsid w:val="00A050E9"/>
    <w:rsid w:val="00A05C1E"/>
    <w:rsid w:val="00A0626F"/>
    <w:rsid w:val="00A06611"/>
    <w:rsid w:val="00A06635"/>
    <w:rsid w:val="00A06D29"/>
    <w:rsid w:val="00A0751D"/>
    <w:rsid w:val="00A10185"/>
    <w:rsid w:val="00A10392"/>
    <w:rsid w:val="00A10805"/>
    <w:rsid w:val="00A10E0F"/>
    <w:rsid w:val="00A1110B"/>
    <w:rsid w:val="00A11677"/>
    <w:rsid w:val="00A121CA"/>
    <w:rsid w:val="00A12FDD"/>
    <w:rsid w:val="00A12FE0"/>
    <w:rsid w:val="00A13F85"/>
    <w:rsid w:val="00A143F3"/>
    <w:rsid w:val="00A14578"/>
    <w:rsid w:val="00A1472D"/>
    <w:rsid w:val="00A15007"/>
    <w:rsid w:val="00A15058"/>
    <w:rsid w:val="00A151FF"/>
    <w:rsid w:val="00A15586"/>
    <w:rsid w:val="00A1597C"/>
    <w:rsid w:val="00A15B38"/>
    <w:rsid w:val="00A15ED1"/>
    <w:rsid w:val="00A161C7"/>
    <w:rsid w:val="00A16276"/>
    <w:rsid w:val="00A16710"/>
    <w:rsid w:val="00A16FF7"/>
    <w:rsid w:val="00A1780F"/>
    <w:rsid w:val="00A17BD9"/>
    <w:rsid w:val="00A20233"/>
    <w:rsid w:val="00A20357"/>
    <w:rsid w:val="00A20394"/>
    <w:rsid w:val="00A2044E"/>
    <w:rsid w:val="00A2180A"/>
    <w:rsid w:val="00A21CCA"/>
    <w:rsid w:val="00A21E2A"/>
    <w:rsid w:val="00A224E5"/>
    <w:rsid w:val="00A227B4"/>
    <w:rsid w:val="00A22A9D"/>
    <w:rsid w:val="00A22CAE"/>
    <w:rsid w:val="00A2334A"/>
    <w:rsid w:val="00A233A9"/>
    <w:rsid w:val="00A23617"/>
    <w:rsid w:val="00A23D6B"/>
    <w:rsid w:val="00A2425F"/>
    <w:rsid w:val="00A24C52"/>
    <w:rsid w:val="00A24D22"/>
    <w:rsid w:val="00A25705"/>
    <w:rsid w:val="00A258CA"/>
    <w:rsid w:val="00A25B30"/>
    <w:rsid w:val="00A2678A"/>
    <w:rsid w:val="00A26AA4"/>
    <w:rsid w:val="00A273AE"/>
    <w:rsid w:val="00A2745E"/>
    <w:rsid w:val="00A276C2"/>
    <w:rsid w:val="00A27902"/>
    <w:rsid w:val="00A27B08"/>
    <w:rsid w:val="00A30016"/>
    <w:rsid w:val="00A30079"/>
    <w:rsid w:val="00A3009E"/>
    <w:rsid w:val="00A30389"/>
    <w:rsid w:val="00A31BFA"/>
    <w:rsid w:val="00A326BD"/>
    <w:rsid w:val="00A326F2"/>
    <w:rsid w:val="00A32983"/>
    <w:rsid w:val="00A332EB"/>
    <w:rsid w:val="00A336B2"/>
    <w:rsid w:val="00A3374A"/>
    <w:rsid w:val="00A33D7C"/>
    <w:rsid w:val="00A33DD9"/>
    <w:rsid w:val="00A33E57"/>
    <w:rsid w:val="00A33F1B"/>
    <w:rsid w:val="00A3476C"/>
    <w:rsid w:val="00A34839"/>
    <w:rsid w:val="00A34DF5"/>
    <w:rsid w:val="00A351C5"/>
    <w:rsid w:val="00A35409"/>
    <w:rsid w:val="00A35881"/>
    <w:rsid w:val="00A35FE4"/>
    <w:rsid w:val="00A361C8"/>
    <w:rsid w:val="00A369F8"/>
    <w:rsid w:val="00A36DB4"/>
    <w:rsid w:val="00A373A4"/>
    <w:rsid w:val="00A373AB"/>
    <w:rsid w:val="00A3763A"/>
    <w:rsid w:val="00A37983"/>
    <w:rsid w:val="00A37A1E"/>
    <w:rsid w:val="00A37ACD"/>
    <w:rsid w:val="00A37FCB"/>
    <w:rsid w:val="00A4000B"/>
    <w:rsid w:val="00A401EB"/>
    <w:rsid w:val="00A4029C"/>
    <w:rsid w:val="00A40F2F"/>
    <w:rsid w:val="00A4125D"/>
    <w:rsid w:val="00A41BB5"/>
    <w:rsid w:val="00A41C68"/>
    <w:rsid w:val="00A41F84"/>
    <w:rsid w:val="00A4226F"/>
    <w:rsid w:val="00A424A9"/>
    <w:rsid w:val="00A42BFB"/>
    <w:rsid w:val="00A4343D"/>
    <w:rsid w:val="00A440DC"/>
    <w:rsid w:val="00A441DE"/>
    <w:rsid w:val="00A44669"/>
    <w:rsid w:val="00A44950"/>
    <w:rsid w:val="00A449AC"/>
    <w:rsid w:val="00A4592A"/>
    <w:rsid w:val="00A45FEB"/>
    <w:rsid w:val="00A466CA"/>
    <w:rsid w:val="00A46C5F"/>
    <w:rsid w:val="00A4725F"/>
    <w:rsid w:val="00A47501"/>
    <w:rsid w:val="00A47562"/>
    <w:rsid w:val="00A476CC"/>
    <w:rsid w:val="00A47CED"/>
    <w:rsid w:val="00A507FE"/>
    <w:rsid w:val="00A50A07"/>
    <w:rsid w:val="00A50FE7"/>
    <w:rsid w:val="00A51219"/>
    <w:rsid w:val="00A513F0"/>
    <w:rsid w:val="00A52011"/>
    <w:rsid w:val="00A5216B"/>
    <w:rsid w:val="00A521A9"/>
    <w:rsid w:val="00A5226B"/>
    <w:rsid w:val="00A524F6"/>
    <w:rsid w:val="00A52BCF"/>
    <w:rsid w:val="00A531BE"/>
    <w:rsid w:val="00A5389C"/>
    <w:rsid w:val="00A53B05"/>
    <w:rsid w:val="00A53EAC"/>
    <w:rsid w:val="00A544B6"/>
    <w:rsid w:val="00A549E7"/>
    <w:rsid w:val="00A54A8F"/>
    <w:rsid w:val="00A54C86"/>
    <w:rsid w:val="00A55209"/>
    <w:rsid w:val="00A5536B"/>
    <w:rsid w:val="00A5560B"/>
    <w:rsid w:val="00A55993"/>
    <w:rsid w:val="00A55A05"/>
    <w:rsid w:val="00A55AA4"/>
    <w:rsid w:val="00A55D2C"/>
    <w:rsid w:val="00A55D5A"/>
    <w:rsid w:val="00A55DB6"/>
    <w:rsid w:val="00A5689A"/>
    <w:rsid w:val="00A56DDB"/>
    <w:rsid w:val="00A57035"/>
    <w:rsid w:val="00A57069"/>
    <w:rsid w:val="00A5720D"/>
    <w:rsid w:val="00A575F3"/>
    <w:rsid w:val="00A6029F"/>
    <w:rsid w:val="00A603D0"/>
    <w:rsid w:val="00A605ED"/>
    <w:rsid w:val="00A615D3"/>
    <w:rsid w:val="00A62007"/>
    <w:rsid w:val="00A62516"/>
    <w:rsid w:val="00A62630"/>
    <w:rsid w:val="00A626E9"/>
    <w:rsid w:val="00A62AAA"/>
    <w:rsid w:val="00A63AE7"/>
    <w:rsid w:val="00A6510F"/>
    <w:rsid w:val="00A6517C"/>
    <w:rsid w:val="00A652C0"/>
    <w:rsid w:val="00A6540E"/>
    <w:rsid w:val="00A654BD"/>
    <w:rsid w:val="00A65505"/>
    <w:rsid w:val="00A6584F"/>
    <w:rsid w:val="00A65C5A"/>
    <w:rsid w:val="00A65E40"/>
    <w:rsid w:val="00A66266"/>
    <w:rsid w:val="00A6674B"/>
    <w:rsid w:val="00A668A9"/>
    <w:rsid w:val="00A66AB8"/>
    <w:rsid w:val="00A66C04"/>
    <w:rsid w:val="00A66D75"/>
    <w:rsid w:val="00A66FD7"/>
    <w:rsid w:val="00A6720C"/>
    <w:rsid w:val="00A67D1A"/>
    <w:rsid w:val="00A70185"/>
    <w:rsid w:val="00A7053B"/>
    <w:rsid w:val="00A714A9"/>
    <w:rsid w:val="00A71F2D"/>
    <w:rsid w:val="00A72CD6"/>
    <w:rsid w:val="00A7323A"/>
    <w:rsid w:val="00A735A3"/>
    <w:rsid w:val="00A73D7C"/>
    <w:rsid w:val="00A74490"/>
    <w:rsid w:val="00A74517"/>
    <w:rsid w:val="00A74E33"/>
    <w:rsid w:val="00A75476"/>
    <w:rsid w:val="00A757E3"/>
    <w:rsid w:val="00A758FF"/>
    <w:rsid w:val="00A7634F"/>
    <w:rsid w:val="00A77D60"/>
    <w:rsid w:val="00A8025E"/>
    <w:rsid w:val="00A8052D"/>
    <w:rsid w:val="00A8058A"/>
    <w:rsid w:val="00A81019"/>
    <w:rsid w:val="00A81875"/>
    <w:rsid w:val="00A81C62"/>
    <w:rsid w:val="00A827C3"/>
    <w:rsid w:val="00A835A2"/>
    <w:rsid w:val="00A839C5"/>
    <w:rsid w:val="00A83EC3"/>
    <w:rsid w:val="00A84BF8"/>
    <w:rsid w:val="00A84C2D"/>
    <w:rsid w:val="00A854BE"/>
    <w:rsid w:val="00A85704"/>
    <w:rsid w:val="00A85D2F"/>
    <w:rsid w:val="00A85E10"/>
    <w:rsid w:val="00A86331"/>
    <w:rsid w:val="00A87012"/>
    <w:rsid w:val="00A87016"/>
    <w:rsid w:val="00A87AEE"/>
    <w:rsid w:val="00A87E5C"/>
    <w:rsid w:val="00A87F29"/>
    <w:rsid w:val="00A9021E"/>
    <w:rsid w:val="00A9034C"/>
    <w:rsid w:val="00A90EB0"/>
    <w:rsid w:val="00A90EF8"/>
    <w:rsid w:val="00A918F3"/>
    <w:rsid w:val="00A91AA4"/>
    <w:rsid w:val="00A91FD4"/>
    <w:rsid w:val="00A924C8"/>
    <w:rsid w:val="00A92A5D"/>
    <w:rsid w:val="00A93D15"/>
    <w:rsid w:val="00A941D6"/>
    <w:rsid w:val="00A94256"/>
    <w:rsid w:val="00A9435E"/>
    <w:rsid w:val="00A9470A"/>
    <w:rsid w:val="00A94716"/>
    <w:rsid w:val="00A94775"/>
    <w:rsid w:val="00A9489C"/>
    <w:rsid w:val="00A948B6"/>
    <w:rsid w:val="00A94B34"/>
    <w:rsid w:val="00A95CB6"/>
    <w:rsid w:val="00A95CE9"/>
    <w:rsid w:val="00A96149"/>
    <w:rsid w:val="00A971ED"/>
    <w:rsid w:val="00A97617"/>
    <w:rsid w:val="00A97D6F"/>
    <w:rsid w:val="00AA01D7"/>
    <w:rsid w:val="00AA0D38"/>
    <w:rsid w:val="00AA10C1"/>
    <w:rsid w:val="00AA10E9"/>
    <w:rsid w:val="00AA138B"/>
    <w:rsid w:val="00AA13FB"/>
    <w:rsid w:val="00AA158B"/>
    <w:rsid w:val="00AA15A2"/>
    <w:rsid w:val="00AA2679"/>
    <w:rsid w:val="00AA27D2"/>
    <w:rsid w:val="00AA28FE"/>
    <w:rsid w:val="00AA338E"/>
    <w:rsid w:val="00AA3506"/>
    <w:rsid w:val="00AA3541"/>
    <w:rsid w:val="00AA3726"/>
    <w:rsid w:val="00AA3870"/>
    <w:rsid w:val="00AA46C8"/>
    <w:rsid w:val="00AA4BBD"/>
    <w:rsid w:val="00AA5157"/>
    <w:rsid w:val="00AA56C6"/>
    <w:rsid w:val="00AA5755"/>
    <w:rsid w:val="00AA5DCD"/>
    <w:rsid w:val="00AA6122"/>
    <w:rsid w:val="00AA658F"/>
    <w:rsid w:val="00AA686F"/>
    <w:rsid w:val="00AA6EC7"/>
    <w:rsid w:val="00AA7D36"/>
    <w:rsid w:val="00AA7EF6"/>
    <w:rsid w:val="00AB05A1"/>
    <w:rsid w:val="00AB05AB"/>
    <w:rsid w:val="00AB0B01"/>
    <w:rsid w:val="00AB152A"/>
    <w:rsid w:val="00AB18F7"/>
    <w:rsid w:val="00AB1C4F"/>
    <w:rsid w:val="00AB21B4"/>
    <w:rsid w:val="00AB2354"/>
    <w:rsid w:val="00AB267B"/>
    <w:rsid w:val="00AB2EC3"/>
    <w:rsid w:val="00AB3529"/>
    <w:rsid w:val="00AB3A67"/>
    <w:rsid w:val="00AB3FB6"/>
    <w:rsid w:val="00AB3FCF"/>
    <w:rsid w:val="00AB47CE"/>
    <w:rsid w:val="00AB7469"/>
    <w:rsid w:val="00AB754C"/>
    <w:rsid w:val="00AB768E"/>
    <w:rsid w:val="00AB78C5"/>
    <w:rsid w:val="00AC041C"/>
    <w:rsid w:val="00AC0DF6"/>
    <w:rsid w:val="00AC16B0"/>
    <w:rsid w:val="00AC2602"/>
    <w:rsid w:val="00AC2666"/>
    <w:rsid w:val="00AC34F7"/>
    <w:rsid w:val="00AC362F"/>
    <w:rsid w:val="00AC392E"/>
    <w:rsid w:val="00AC3BEE"/>
    <w:rsid w:val="00AC3C8E"/>
    <w:rsid w:val="00AC4099"/>
    <w:rsid w:val="00AC4509"/>
    <w:rsid w:val="00AC457B"/>
    <w:rsid w:val="00AC5658"/>
    <w:rsid w:val="00AC6102"/>
    <w:rsid w:val="00AC652F"/>
    <w:rsid w:val="00AC6942"/>
    <w:rsid w:val="00AC6A5D"/>
    <w:rsid w:val="00AC6D21"/>
    <w:rsid w:val="00AC70A4"/>
    <w:rsid w:val="00AC7136"/>
    <w:rsid w:val="00AC764D"/>
    <w:rsid w:val="00AC78AE"/>
    <w:rsid w:val="00AC7917"/>
    <w:rsid w:val="00AC7D80"/>
    <w:rsid w:val="00AC7E3F"/>
    <w:rsid w:val="00AC7EC6"/>
    <w:rsid w:val="00AC7F2D"/>
    <w:rsid w:val="00AD00B0"/>
    <w:rsid w:val="00AD044E"/>
    <w:rsid w:val="00AD0FA0"/>
    <w:rsid w:val="00AD18D6"/>
    <w:rsid w:val="00AD1C3A"/>
    <w:rsid w:val="00AD1D59"/>
    <w:rsid w:val="00AD1E1B"/>
    <w:rsid w:val="00AD2132"/>
    <w:rsid w:val="00AD2440"/>
    <w:rsid w:val="00AD2870"/>
    <w:rsid w:val="00AD3612"/>
    <w:rsid w:val="00AD37A7"/>
    <w:rsid w:val="00AD38DA"/>
    <w:rsid w:val="00AD3905"/>
    <w:rsid w:val="00AD39AC"/>
    <w:rsid w:val="00AD3A84"/>
    <w:rsid w:val="00AD3E88"/>
    <w:rsid w:val="00AD4C56"/>
    <w:rsid w:val="00AD53CE"/>
    <w:rsid w:val="00AD6226"/>
    <w:rsid w:val="00AD67A8"/>
    <w:rsid w:val="00AD6AC1"/>
    <w:rsid w:val="00AD70B5"/>
    <w:rsid w:val="00AD78DF"/>
    <w:rsid w:val="00AE005A"/>
    <w:rsid w:val="00AE04A0"/>
    <w:rsid w:val="00AE09B9"/>
    <w:rsid w:val="00AE0A95"/>
    <w:rsid w:val="00AE0D95"/>
    <w:rsid w:val="00AE135F"/>
    <w:rsid w:val="00AE1460"/>
    <w:rsid w:val="00AE1C9F"/>
    <w:rsid w:val="00AE1E67"/>
    <w:rsid w:val="00AE23CE"/>
    <w:rsid w:val="00AE29EA"/>
    <w:rsid w:val="00AE2C03"/>
    <w:rsid w:val="00AE2FCA"/>
    <w:rsid w:val="00AE3790"/>
    <w:rsid w:val="00AE4B76"/>
    <w:rsid w:val="00AE4F3F"/>
    <w:rsid w:val="00AE542B"/>
    <w:rsid w:val="00AE5818"/>
    <w:rsid w:val="00AE5C83"/>
    <w:rsid w:val="00AE60AA"/>
    <w:rsid w:val="00AE6186"/>
    <w:rsid w:val="00AE6249"/>
    <w:rsid w:val="00AE634C"/>
    <w:rsid w:val="00AE656C"/>
    <w:rsid w:val="00AE6E7E"/>
    <w:rsid w:val="00AE786F"/>
    <w:rsid w:val="00AE7F1B"/>
    <w:rsid w:val="00AF06E0"/>
    <w:rsid w:val="00AF16A6"/>
    <w:rsid w:val="00AF1794"/>
    <w:rsid w:val="00AF277B"/>
    <w:rsid w:val="00AF2961"/>
    <w:rsid w:val="00AF2A77"/>
    <w:rsid w:val="00AF2E14"/>
    <w:rsid w:val="00AF2E34"/>
    <w:rsid w:val="00AF2F77"/>
    <w:rsid w:val="00AF3131"/>
    <w:rsid w:val="00AF3535"/>
    <w:rsid w:val="00AF36A1"/>
    <w:rsid w:val="00AF3958"/>
    <w:rsid w:val="00AF3FF5"/>
    <w:rsid w:val="00AF4217"/>
    <w:rsid w:val="00AF432D"/>
    <w:rsid w:val="00AF4A8D"/>
    <w:rsid w:val="00AF59FB"/>
    <w:rsid w:val="00AF5CB4"/>
    <w:rsid w:val="00AF5FBC"/>
    <w:rsid w:val="00AF606F"/>
    <w:rsid w:val="00AF6531"/>
    <w:rsid w:val="00AF67D4"/>
    <w:rsid w:val="00AF689B"/>
    <w:rsid w:val="00AF6BB3"/>
    <w:rsid w:val="00AF74BE"/>
    <w:rsid w:val="00AF7718"/>
    <w:rsid w:val="00AF77BD"/>
    <w:rsid w:val="00AF78CD"/>
    <w:rsid w:val="00AF7912"/>
    <w:rsid w:val="00B004C7"/>
    <w:rsid w:val="00B00941"/>
    <w:rsid w:val="00B01A04"/>
    <w:rsid w:val="00B01DFB"/>
    <w:rsid w:val="00B0222C"/>
    <w:rsid w:val="00B0255E"/>
    <w:rsid w:val="00B025DE"/>
    <w:rsid w:val="00B02674"/>
    <w:rsid w:val="00B02C8A"/>
    <w:rsid w:val="00B02CFE"/>
    <w:rsid w:val="00B02D7B"/>
    <w:rsid w:val="00B02E71"/>
    <w:rsid w:val="00B03080"/>
    <w:rsid w:val="00B035ED"/>
    <w:rsid w:val="00B03B35"/>
    <w:rsid w:val="00B03F59"/>
    <w:rsid w:val="00B0455A"/>
    <w:rsid w:val="00B0457E"/>
    <w:rsid w:val="00B04F4E"/>
    <w:rsid w:val="00B051D3"/>
    <w:rsid w:val="00B067CB"/>
    <w:rsid w:val="00B06F9E"/>
    <w:rsid w:val="00B07166"/>
    <w:rsid w:val="00B07378"/>
    <w:rsid w:val="00B07882"/>
    <w:rsid w:val="00B07B4D"/>
    <w:rsid w:val="00B1010A"/>
    <w:rsid w:val="00B10727"/>
    <w:rsid w:val="00B10CC4"/>
    <w:rsid w:val="00B1119E"/>
    <w:rsid w:val="00B113CB"/>
    <w:rsid w:val="00B11B67"/>
    <w:rsid w:val="00B11CB8"/>
    <w:rsid w:val="00B123D5"/>
    <w:rsid w:val="00B12C2E"/>
    <w:rsid w:val="00B12E5F"/>
    <w:rsid w:val="00B141BA"/>
    <w:rsid w:val="00B14AD6"/>
    <w:rsid w:val="00B15256"/>
    <w:rsid w:val="00B1528F"/>
    <w:rsid w:val="00B15547"/>
    <w:rsid w:val="00B156B4"/>
    <w:rsid w:val="00B156C8"/>
    <w:rsid w:val="00B15D39"/>
    <w:rsid w:val="00B15E94"/>
    <w:rsid w:val="00B166CE"/>
    <w:rsid w:val="00B17587"/>
    <w:rsid w:val="00B17704"/>
    <w:rsid w:val="00B1786B"/>
    <w:rsid w:val="00B1798D"/>
    <w:rsid w:val="00B200F2"/>
    <w:rsid w:val="00B206B3"/>
    <w:rsid w:val="00B206B6"/>
    <w:rsid w:val="00B20A5E"/>
    <w:rsid w:val="00B20AF8"/>
    <w:rsid w:val="00B20EEE"/>
    <w:rsid w:val="00B21AE7"/>
    <w:rsid w:val="00B23303"/>
    <w:rsid w:val="00B2337F"/>
    <w:rsid w:val="00B233FE"/>
    <w:rsid w:val="00B2363F"/>
    <w:rsid w:val="00B237A4"/>
    <w:rsid w:val="00B23955"/>
    <w:rsid w:val="00B23D97"/>
    <w:rsid w:val="00B24268"/>
    <w:rsid w:val="00B244A2"/>
    <w:rsid w:val="00B24568"/>
    <w:rsid w:val="00B247A7"/>
    <w:rsid w:val="00B24A5E"/>
    <w:rsid w:val="00B24E63"/>
    <w:rsid w:val="00B2569F"/>
    <w:rsid w:val="00B26C85"/>
    <w:rsid w:val="00B277C6"/>
    <w:rsid w:val="00B27874"/>
    <w:rsid w:val="00B27B13"/>
    <w:rsid w:val="00B27FDC"/>
    <w:rsid w:val="00B304D6"/>
    <w:rsid w:val="00B30622"/>
    <w:rsid w:val="00B30735"/>
    <w:rsid w:val="00B3096B"/>
    <w:rsid w:val="00B30E38"/>
    <w:rsid w:val="00B31470"/>
    <w:rsid w:val="00B31822"/>
    <w:rsid w:val="00B32202"/>
    <w:rsid w:val="00B32376"/>
    <w:rsid w:val="00B32470"/>
    <w:rsid w:val="00B32542"/>
    <w:rsid w:val="00B32A92"/>
    <w:rsid w:val="00B3327A"/>
    <w:rsid w:val="00B3388F"/>
    <w:rsid w:val="00B339E5"/>
    <w:rsid w:val="00B33A2E"/>
    <w:rsid w:val="00B33BF9"/>
    <w:rsid w:val="00B3446A"/>
    <w:rsid w:val="00B344A9"/>
    <w:rsid w:val="00B3454E"/>
    <w:rsid w:val="00B3479B"/>
    <w:rsid w:val="00B34B9C"/>
    <w:rsid w:val="00B34C7B"/>
    <w:rsid w:val="00B3574A"/>
    <w:rsid w:val="00B35971"/>
    <w:rsid w:val="00B35BDC"/>
    <w:rsid w:val="00B36418"/>
    <w:rsid w:val="00B365FE"/>
    <w:rsid w:val="00B36D34"/>
    <w:rsid w:val="00B3735A"/>
    <w:rsid w:val="00B3796F"/>
    <w:rsid w:val="00B37C95"/>
    <w:rsid w:val="00B4024B"/>
    <w:rsid w:val="00B40589"/>
    <w:rsid w:val="00B40B5D"/>
    <w:rsid w:val="00B40F4C"/>
    <w:rsid w:val="00B41054"/>
    <w:rsid w:val="00B41246"/>
    <w:rsid w:val="00B41391"/>
    <w:rsid w:val="00B4174B"/>
    <w:rsid w:val="00B41C52"/>
    <w:rsid w:val="00B4258C"/>
    <w:rsid w:val="00B42B5E"/>
    <w:rsid w:val="00B43103"/>
    <w:rsid w:val="00B43BF4"/>
    <w:rsid w:val="00B43C57"/>
    <w:rsid w:val="00B43EAA"/>
    <w:rsid w:val="00B447AD"/>
    <w:rsid w:val="00B447F4"/>
    <w:rsid w:val="00B44F99"/>
    <w:rsid w:val="00B4515E"/>
    <w:rsid w:val="00B4518A"/>
    <w:rsid w:val="00B458C3"/>
    <w:rsid w:val="00B46B79"/>
    <w:rsid w:val="00B46C79"/>
    <w:rsid w:val="00B47603"/>
    <w:rsid w:val="00B477A1"/>
    <w:rsid w:val="00B4791D"/>
    <w:rsid w:val="00B503A9"/>
    <w:rsid w:val="00B504AA"/>
    <w:rsid w:val="00B506E7"/>
    <w:rsid w:val="00B51B16"/>
    <w:rsid w:val="00B51DF6"/>
    <w:rsid w:val="00B5207C"/>
    <w:rsid w:val="00B520E9"/>
    <w:rsid w:val="00B525DF"/>
    <w:rsid w:val="00B52899"/>
    <w:rsid w:val="00B52ED2"/>
    <w:rsid w:val="00B53161"/>
    <w:rsid w:val="00B53384"/>
    <w:rsid w:val="00B53478"/>
    <w:rsid w:val="00B5358B"/>
    <w:rsid w:val="00B5360C"/>
    <w:rsid w:val="00B538E4"/>
    <w:rsid w:val="00B5398C"/>
    <w:rsid w:val="00B54056"/>
    <w:rsid w:val="00B54181"/>
    <w:rsid w:val="00B548C5"/>
    <w:rsid w:val="00B54914"/>
    <w:rsid w:val="00B54AE9"/>
    <w:rsid w:val="00B55525"/>
    <w:rsid w:val="00B556FA"/>
    <w:rsid w:val="00B5587A"/>
    <w:rsid w:val="00B55DB0"/>
    <w:rsid w:val="00B567AE"/>
    <w:rsid w:val="00B568AF"/>
    <w:rsid w:val="00B56AFF"/>
    <w:rsid w:val="00B57533"/>
    <w:rsid w:val="00B5767E"/>
    <w:rsid w:val="00B6008D"/>
    <w:rsid w:val="00B6012C"/>
    <w:rsid w:val="00B609A0"/>
    <w:rsid w:val="00B60C03"/>
    <w:rsid w:val="00B60D0E"/>
    <w:rsid w:val="00B6138D"/>
    <w:rsid w:val="00B6141B"/>
    <w:rsid w:val="00B61920"/>
    <w:rsid w:val="00B61D2F"/>
    <w:rsid w:val="00B62227"/>
    <w:rsid w:val="00B622F2"/>
    <w:rsid w:val="00B62E67"/>
    <w:rsid w:val="00B634E0"/>
    <w:rsid w:val="00B63A94"/>
    <w:rsid w:val="00B641E4"/>
    <w:rsid w:val="00B650C1"/>
    <w:rsid w:val="00B65101"/>
    <w:rsid w:val="00B6554C"/>
    <w:rsid w:val="00B65FDE"/>
    <w:rsid w:val="00B66241"/>
    <w:rsid w:val="00B67502"/>
    <w:rsid w:val="00B6768F"/>
    <w:rsid w:val="00B67CE0"/>
    <w:rsid w:val="00B67CEF"/>
    <w:rsid w:val="00B705CC"/>
    <w:rsid w:val="00B705F9"/>
    <w:rsid w:val="00B70DCD"/>
    <w:rsid w:val="00B70E06"/>
    <w:rsid w:val="00B711F9"/>
    <w:rsid w:val="00B7141A"/>
    <w:rsid w:val="00B715D7"/>
    <w:rsid w:val="00B71DCC"/>
    <w:rsid w:val="00B72148"/>
    <w:rsid w:val="00B72331"/>
    <w:rsid w:val="00B73037"/>
    <w:rsid w:val="00B73791"/>
    <w:rsid w:val="00B73A36"/>
    <w:rsid w:val="00B744F4"/>
    <w:rsid w:val="00B74718"/>
    <w:rsid w:val="00B751EA"/>
    <w:rsid w:val="00B75D70"/>
    <w:rsid w:val="00B75F42"/>
    <w:rsid w:val="00B7611D"/>
    <w:rsid w:val="00B7706C"/>
    <w:rsid w:val="00B772D2"/>
    <w:rsid w:val="00B7741D"/>
    <w:rsid w:val="00B7787B"/>
    <w:rsid w:val="00B8032A"/>
    <w:rsid w:val="00B80447"/>
    <w:rsid w:val="00B814BA"/>
    <w:rsid w:val="00B8157D"/>
    <w:rsid w:val="00B81964"/>
    <w:rsid w:val="00B81F06"/>
    <w:rsid w:val="00B82252"/>
    <w:rsid w:val="00B82629"/>
    <w:rsid w:val="00B82CE4"/>
    <w:rsid w:val="00B83219"/>
    <w:rsid w:val="00B832EC"/>
    <w:rsid w:val="00B83C4B"/>
    <w:rsid w:val="00B83D80"/>
    <w:rsid w:val="00B840B0"/>
    <w:rsid w:val="00B84ADB"/>
    <w:rsid w:val="00B84F32"/>
    <w:rsid w:val="00B85305"/>
    <w:rsid w:val="00B85380"/>
    <w:rsid w:val="00B85CBF"/>
    <w:rsid w:val="00B868E8"/>
    <w:rsid w:val="00B86C27"/>
    <w:rsid w:val="00B8765A"/>
    <w:rsid w:val="00B87E6F"/>
    <w:rsid w:val="00B909C1"/>
    <w:rsid w:val="00B91047"/>
    <w:rsid w:val="00B91284"/>
    <w:rsid w:val="00B91793"/>
    <w:rsid w:val="00B921C4"/>
    <w:rsid w:val="00B9225C"/>
    <w:rsid w:val="00B9255C"/>
    <w:rsid w:val="00B94077"/>
    <w:rsid w:val="00B94C22"/>
    <w:rsid w:val="00B94DDB"/>
    <w:rsid w:val="00B94DE0"/>
    <w:rsid w:val="00B94FBE"/>
    <w:rsid w:val="00B95054"/>
    <w:rsid w:val="00B96273"/>
    <w:rsid w:val="00B962A2"/>
    <w:rsid w:val="00B966CD"/>
    <w:rsid w:val="00B96BC9"/>
    <w:rsid w:val="00B96C71"/>
    <w:rsid w:val="00B972E6"/>
    <w:rsid w:val="00B97368"/>
    <w:rsid w:val="00B97A5B"/>
    <w:rsid w:val="00BA0163"/>
    <w:rsid w:val="00BA0540"/>
    <w:rsid w:val="00BA05A7"/>
    <w:rsid w:val="00BA06B8"/>
    <w:rsid w:val="00BA07D8"/>
    <w:rsid w:val="00BA07FB"/>
    <w:rsid w:val="00BA0E8E"/>
    <w:rsid w:val="00BA0EDB"/>
    <w:rsid w:val="00BA11D9"/>
    <w:rsid w:val="00BA1A61"/>
    <w:rsid w:val="00BA1D42"/>
    <w:rsid w:val="00BA1DE2"/>
    <w:rsid w:val="00BA1FFB"/>
    <w:rsid w:val="00BA262D"/>
    <w:rsid w:val="00BA29DB"/>
    <w:rsid w:val="00BA2CDA"/>
    <w:rsid w:val="00BA2D3D"/>
    <w:rsid w:val="00BA2E69"/>
    <w:rsid w:val="00BA2F75"/>
    <w:rsid w:val="00BA34B9"/>
    <w:rsid w:val="00BA3CD5"/>
    <w:rsid w:val="00BA41C4"/>
    <w:rsid w:val="00BA4D79"/>
    <w:rsid w:val="00BA526A"/>
    <w:rsid w:val="00BA5419"/>
    <w:rsid w:val="00BA56F2"/>
    <w:rsid w:val="00BA5863"/>
    <w:rsid w:val="00BA597D"/>
    <w:rsid w:val="00BA5B93"/>
    <w:rsid w:val="00BA6551"/>
    <w:rsid w:val="00BA672B"/>
    <w:rsid w:val="00BA6D09"/>
    <w:rsid w:val="00BA7173"/>
    <w:rsid w:val="00BA7703"/>
    <w:rsid w:val="00BA7758"/>
    <w:rsid w:val="00BB0220"/>
    <w:rsid w:val="00BB03FF"/>
    <w:rsid w:val="00BB0D9A"/>
    <w:rsid w:val="00BB0F9D"/>
    <w:rsid w:val="00BB0FE1"/>
    <w:rsid w:val="00BB131F"/>
    <w:rsid w:val="00BB14BD"/>
    <w:rsid w:val="00BB1878"/>
    <w:rsid w:val="00BB19F3"/>
    <w:rsid w:val="00BB1D32"/>
    <w:rsid w:val="00BB23A3"/>
    <w:rsid w:val="00BB25AA"/>
    <w:rsid w:val="00BB3660"/>
    <w:rsid w:val="00BB3819"/>
    <w:rsid w:val="00BB38A5"/>
    <w:rsid w:val="00BB3929"/>
    <w:rsid w:val="00BB3BAD"/>
    <w:rsid w:val="00BB3F7B"/>
    <w:rsid w:val="00BB4042"/>
    <w:rsid w:val="00BB44E7"/>
    <w:rsid w:val="00BB45D5"/>
    <w:rsid w:val="00BB4985"/>
    <w:rsid w:val="00BB4B6F"/>
    <w:rsid w:val="00BB4D2B"/>
    <w:rsid w:val="00BB50CD"/>
    <w:rsid w:val="00BB51EB"/>
    <w:rsid w:val="00BB6EC8"/>
    <w:rsid w:val="00BB71A0"/>
    <w:rsid w:val="00BB7897"/>
    <w:rsid w:val="00BB7DF9"/>
    <w:rsid w:val="00BC0484"/>
    <w:rsid w:val="00BC0913"/>
    <w:rsid w:val="00BC0DF9"/>
    <w:rsid w:val="00BC14C5"/>
    <w:rsid w:val="00BC160B"/>
    <w:rsid w:val="00BC1615"/>
    <w:rsid w:val="00BC1839"/>
    <w:rsid w:val="00BC1C16"/>
    <w:rsid w:val="00BC22AA"/>
    <w:rsid w:val="00BC2591"/>
    <w:rsid w:val="00BC3B25"/>
    <w:rsid w:val="00BC3D92"/>
    <w:rsid w:val="00BC44A9"/>
    <w:rsid w:val="00BC494D"/>
    <w:rsid w:val="00BC4A6D"/>
    <w:rsid w:val="00BC4F57"/>
    <w:rsid w:val="00BC4F76"/>
    <w:rsid w:val="00BC52B8"/>
    <w:rsid w:val="00BC53F8"/>
    <w:rsid w:val="00BC567B"/>
    <w:rsid w:val="00BC590F"/>
    <w:rsid w:val="00BC5B28"/>
    <w:rsid w:val="00BC5F83"/>
    <w:rsid w:val="00BC61D6"/>
    <w:rsid w:val="00BC6287"/>
    <w:rsid w:val="00BC674C"/>
    <w:rsid w:val="00BC6BD6"/>
    <w:rsid w:val="00BC6E8B"/>
    <w:rsid w:val="00BC7545"/>
    <w:rsid w:val="00BD0046"/>
    <w:rsid w:val="00BD0059"/>
    <w:rsid w:val="00BD0BF5"/>
    <w:rsid w:val="00BD0D17"/>
    <w:rsid w:val="00BD0EB1"/>
    <w:rsid w:val="00BD1385"/>
    <w:rsid w:val="00BD1616"/>
    <w:rsid w:val="00BD175F"/>
    <w:rsid w:val="00BD1B5A"/>
    <w:rsid w:val="00BD2931"/>
    <w:rsid w:val="00BD2989"/>
    <w:rsid w:val="00BD339E"/>
    <w:rsid w:val="00BD33FE"/>
    <w:rsid w:val="00BD3CDD"/>
    <w:rsid w:val="00BD40E9"/>
    <w:rsid w:val="00BD4B16"/>
    <w:rsid w:val="00BD52F2"/>
    <w:rsid w:val="00BD5906"/>
    <w:rsid w:val="00BD5AD6"/>
    <w:rsid w:val="00BD5EF8"/>
    <w:rsid w:val="00BD61B4"/>
    <w:rsid w:val="00BD6617"/>
    <w:rsid w:val="00BD7865"/>
    <w:rsid w:val="00BE08F2"/>
    <w:rsid w:val="00BE0BF8"/>
    <w:rsid w:val="00BE1688"/>
    <w:rsid w:val="00BE172B"/>
    <w:rsid w:val="00BE1C6F"/>
    <w:rsid w:val="00BE24B1"/>
    <w:rsid w:val="00BE33AC"/>
    <w:rsid w:val="00BE3DF1"/>
    <w:rsid w:val="00BE3E80"/>
    <w:rsid w:val="00BE4241"/>
    <w:rsid w:val="00BE4A04"/>
    <w:rsid w:val="00BE4C0B"/>
    <w:rsid w:val="00BE5361"/>
    <w:rsid w:val="00BE54B5"/>
    <w:rsid w:val="00BE5C49"/>
    <w:rsid w:val="00BE5C62"/>
    <w:rsid w:val="00BE5EC8"/>
    <w:rsid w:val="00BE610E"/>
    <w:rsid w:val="00BE6426"/>
    <w:rsid w:val="00BE64CB"/>
    <w:rsid w:val="00BE7472"/>
    <w:rsid w:val="00BF0DE9"/>
    <w:rsid w:val="00BF11BC"/>
    <w:rsid w:val="00BF14E8"/>
    <w:rsid w:val="00BF17A8"/>
    <w:rsid w:val="00BF1954"/>
    <w:rsid w:val="00BF1DA3"/>
    <w:rsid w:val="00BF2419"/>
    <w:rsid w:val="00BF2482"/>
    <w:rsid w:val="00BF2996"/>
    <w:rsid w:val="00BF3111"/>
    <w:rsid w:val="00BF3BAF"/>
    <w:rsid w:val="00BF3C19"/>
    <w:rsid w:val="00BF3C62"/>
    <w:rsid w:val="00BF3FB0"/>
    <w:rsid w:val="00BF5078"/>
    <w:rsid w:val="00BF52E6"/>
    <w:rsid w:val="00BF5608"/>
    <w:rsid w:val="00BF6799"/>
    <w:rsid w:val="00BF6B35"/>
    <w:rsid w:val="00BF6E61"/>
    <w:rsid w:val="00BF7499"/>
    <w:rsid w:val="00BF7BE7"/>
    <w:rsid w:val="00C006BF"/>
    <w:rsid w:val="00C00E58"/>
    <w:rsid w:val="00C01028"/>
    <w:rsid w:val="00C0109B"/>
    <w:rsid w:val="00C01506"/>
    <w:rsid w:val="00C022A7"/>
    <w:rsid w:val="00C02738"/>
    <w:rsid w:val="00C0315C"/>
    <w:rsid w:val="00C03D4C"/>
    <w:rsid w:val="00C03DCF"/>
    <w:rsid w:val="00C03E53"/>
    <w:rsid w:val="00C03EDD"/>
    <w:rsid w:val="00C04A4D"/>
    <w:rsid w:val="00C0539F"/>
    <w:rsid w:val="00C05CC2"/>
    <w:rsid w:val="00C061D1"/>
    <w:rsid w:val="00C06207"/>
    <w:rsid w:val="00C06381"/>
    <w:rsid w:val="00C06702"/>
    <w:rsid w:val="00C06770"/>
    <w:rsid w:val="00C06FEF"/>
    <w:rsid w:val="00C072A6"/>
    <w:rsid w:val="00C079B5"/>
    <w:rsid w:val="00C07B43"/>
    <w:rsid w:val="00C07DC0"/>
    <w:rsid w:val="00C07E41"/>
    <w:rsid w:val="00C10085"/>
    <w:rsid w:val="00C102B8"/>
    <w:rsid w:val="00C102EB"/>
    <w:rsid w:val="00C10660"/>
    <w:rsid w:val="00C108D8"/>
    <w:rsid w:val="00C10924"/>
    <w:rsid w:val="00C11063"/>
    <w:rsid w:val="00C11245"/>
    <w:rsid w:val="00C11442"/>
    <w:rsid w:val="00C1166B"/>
    <w:rsid w:val="00C117F4"/>
    <w:rsid w:val="00C11845"/>
    <w:rsid w:val="00C11CCC"/>
    <w:rsid w:val="00C124C5"/>
    <w:rsid w:val="00C12553"/>
    <w:rsid w:val="00C12C30"/>
    <w:rsid w:val="00C12EDE"/>
    <w:rsid w:val="00C1305A"/>
    <w:rsid w:val="00C132BA"/>
    <w:rsid w:val="00C1362B"/>
    <w:rsid w:val="00C14B8B"/>
    <w:rsid w:val="00C151FF"/>
    <w:rsid w:val="00C1557D"/>
    <w:rsid w:val="00C15755"/>
    <w:rsid w:val="00C157AB"/>
    <w:rsid w:val="00C15AF7"/>
    <w:rsid w:val="00C15BEC"/>
    <w:rsid w:val="00C15EB2"/>
    <w:rsid w:val="00C16361"/>
    <w:rsid w:val="00C163E9"/>
    <w:rsid w:val="00C168B6"/>
    <w:rsid w:val="00C16FF1"/>
    <w:rsid w:val="00C175C4"/>
    <w:rsid w:val="00C17858"/>
    <w:rsid w:val="00C179BF"/>
    <w:rsid w:val="00C17FEB"/>
    <w:rsid w:val="00C20511"/>
    <w:rsid w:val="00C2183D"/>
    <w:rsid w:val="00C21B76"/>
    <w:rsid w:val="00C223C5"/>
    <w:rsid w:val="00C22851"/>
    <w:rsid w:val="00C22E5C"/>
    <w:rsid w:val="00C23284"/>
    <w:rsid w:val="00C2380C"/>
    <w:rsid w:val="00C23873"/>
    <w:rsid w:val="00C23CA3"/>
    <w:rsid w:val="00C23E63"/>
    <w:rsid w:val="00C23EC2"/>
    <w:rsid w:val="00C2440B"/>
    <w:rsid w:val="00C24FE0"/>
    <w:rsid w:val="00C25021"/>
    <w:rsid w:val="00C25398"/>
    <w:rsid w:val="00C2563F"/>
    <w:rsid w:val="00C25A13"/>
    <w:rsid w:val="00C25F3C"/>
    <w:rsid w:val="00C260B8"/>
    <w:rsid w:val="00C261F2"/>
    <w:rsid w:val="00C26B73"/>
    <w:rsid w:val="00C26D92"/>
    <w:rsid w:val="00C26E66"/>
    <w:rsid w:val="00C273C0"/>
    <w:rsid w:val="00C303DE"/>
    <w:rsid w:val="00C30406"/>
    <w:rsid w:val="00C30C77"/>
    <w:rsid w:val="00C30F21"/>
    <w:rsid w:val="00C30FB0"/>
    <w:rsid w:val="00C31056"/>
    <w:rsid w:val="00C31748"/>
    <w:rsid w:val="00C31BEC"/>
    <w:rsid w:val="00C31C7C"/>
    <w:rsid w:val="00C3221A"/>
    <w:rsid w:val="00C326B0"/>
    <w:rsid w:val="00C32AD3"/>
    <w:rsid w:val="00C32B83"/>
    <w:rsid w:val="00C331D2"/>
    <w:rsid w:val="00C331DD"/>
    <w:rsid w:val="00C3408F"/>
    <w:rsid w:val="00C34B05"/>
    <w:rsid w:val="00C34D8B"/>
    <w:rsid w:val="00C3504F"/>
    <w:rsid w:val="00C35519"/>
    <w:rsid w:val="00C35E47"/>
    <w:rsid w:val="00C35E74"/>
    <w:rsid w:val="00C35EEB"/>
    <w:rsid w:val="00C35FF9"/>
    <w:rsid w:val="00C363CE"/>
    <w:rsid w:val="00C3694C"/>
    <w:rsid w:val="00C37076"/>
    <w:rsid w:val="00C3779A"/>
    <w:rsid w:val="00C37ABF"/>
    <w:rsid w:val="00C37B08"/>
    <w:rsid w:val="00C37C5F"/>
    <w:rsid w:val="00C37E3E"/>
    <w:rsid w:val="00C403F6"/>
    <w:rsid w:val="00C40FE4"/>
    <w:rsid w:val="00C41003"/>
    <w:rsid w:val="00C41455"/>
    <w:rsid w:val="00C417AA"/>
    <w:rsid w:val="00C41BDC"/>
    <w:rsid w:val="00C41C45"/>
    <w:rsid w:val="00C41D6E"/>
    <w:rsid w:val="00C426AB"/>
    <w:rsid w:val="00C431C1"/>
    <w:rsid w:val="00C4360B"/>
    <w:rsid w:val="00C43753"/>
    <w:rsid w:val="00C43846"/>
    <w:rsid w:val="00C43FBE"/>
    <w:rsid w:val="00C44106"/>
    <w:rsid w:val="00C444EF"/>
    <w:rsid w:val="00C444FD"/>
    <w:rsid w:val="00C44990"/>
    <w:rsid w:val="00C449B9"/>
    <w:rsid w:val="00C44AA6"/>
    <w:rsid w:val="00C44DCC"/>
    <w:rsid w:val="00C44E1D"/>
    <w:rsid w:val="00C4511F"/>
    <w:rsid w:val="00C45293"/>
    <w:rsid w:val="00C45921"/>
    <w:rsid w:val="00C45CEA"/>
    <w:rsid w:val="00C461C0"/>
    <w:rsid w:val="00C465D8"/>
    <w:rsid w:val="00C469AF"/>
    <w:rsid w:val="00C46AAC"/>
    <w:rsid w:val="00C47720"/>
    <w:rsid w:val="00C47C5F"/>
    <w:rsid w:val="00C50041"/>
    <w:rsid w:val="00C5072E"/>
    <w:rsid w:val="00C50D73"/>
    <w:rsid w:val="00C50E30"/>
    <w:rsid w:val="00C50ED3"/>
    <w:rsid w:val="00C51095"/>
    <w:rsid w:val="00C51623"/>
    <w:rsid w:val="00C517DF"/>
    <w:rsid w:val="00C51F05"/>
    <w:rsid w:val="00C52411"/>
    <w:rsid w:val="00C5247B"/>
    <w:rsid w:val="00C5274D"/>
    <w:rsid w:val="00C53064"/>
    <w:rsid w:val="00C5395C"/>
    <w:rsid w:val="00C53D78"/>
    <w:rsid w:val="00C54519"/>
    <w:rsid w:val="00C54647"/>
    <w:rsid w:val="00C5498D"/>
    <w:rsid w:val="00C54BCE"/>
    <w:rsid w:val="00C55223"/>
    <w:rsid w:val="00C5533B"/>
    <w:rsid w:val="00C553E0"/>
    <w:rsid w:val="00C55520"/>
    <w:rsid w:val="00C55988"/>
    <w:rsid w:val="00C55B0C"/>
    <w:rsid w:val="00C5655F"/>
    <w:rsid w:val="00C5656E"/>
    <w:rsid w:val="00C56B37"/>
    <w:rsid w:val="00C56CC3"/>
    <w:rsid w:val="00C56D7D"/>
    <w:rsid w:val="00C57124"/>
    <w:rsid w:val="00C573D7"/>
    <w:rsid w:val="00C6004C"/>
    <w:rsid w:val="00C607CE"/>
    <w:rsid w:val="00C610BB"/>
    <w:rsid w:val="00C6113B"/>
    <w:rsid w:val="00C61344"/>
    <w:rsid w:val="00C61401"/>
    <w:rsid w:val="00C618A5"/>
    <w:rsid w:val="00C61C3D"/>
    <w:rsid w:val="00C61D02"/>
    <w:rsid w:val="00C61F74"/>
    <w:rsid w:val="00C6208A"/>
    <w:rsid w:val="00C624D7"/>
    <w:rsid w:val="00C624E4"/>
    <w:rsid w:val="00C627EA"/>
    <w:rsid w:val="00C6300E"/>
    <w:rsid w:val="00C6332E"/>
    <w:rsid w:val="00C636BC"/>
    <w:rsid w:val="00C6396E"/>
    <w:rsid w:val="00C64093"/>
    <w:rsid w:val="00C641D4"/>
    <w:rsid w:val="00C669B2"/>
    <w:rsid w:val="00C676B4"/>
    <w:rsid w:val="00C67BB6"/>
    <w:rsid w:val="00C70870"/>
    <w:rsid w:val="00C718C6"/>
    <w:rsid w:val="00C71979"/>
    <w:rsid w:val="00C71F42"/>
    <w:rsid w:val="00C72438"/>
    <w:rsid w:val="00C724DF"/>
    <w:rsid w:val="00C734CE"/>
    <w:rsid w:val="00C73B68"/>
    <w:rsid w:val="00C73E84"/>
    <w:rsid w:val="00C741B8"/>
    <w:rsid w:val="00C748E4"/>
    <w:rsid w:val="00C74B96"/>
    <w:rsid w:val="00C74DC8"/>
    <w:rsid w:val="00C75268"/>
    <w:rsid w:val="00C75521"/>
    <w:rsid w:val="00C75893"/>
    <w:rsid w:val="00C75D55"/>
    <w:rsid w:val="00C76053"/>
    <w:rsid w:val="00C765EA"/>
    <w:rsid w:val="00C76CB9"/>
    <w:rsid w:val="00C76D8F"/>
    <w:rsid w:val="00C77145"/>
    <w:rsid w:val="00C7775D"/>
    <w:rsid w:val="00C77F62"/>
    <w:rsid w:val="00C80374"/>
    <w:rsid w:val="00C811B1"/>
    <w:rsid w:val="00C8124F"/>
    <w:rsid w:val="00C817E2"/>
    <w:rsid w:val="00C81D1D"/>
    <w:rsid w:val="00C82029"/>
    <w:rsid w:val="00C82272"/>
    <w:rsid w:val="00C82E9F"/>
    <w:rsid w:val="00C83AD8"/>
    <w:rsid w:val="00C83C3E"/>
    <w:rsid w:val="00C840B2"/>
    <w:rsid w:val="00C840D3"/>
    <w:rsid w:val="00C841B2"/>
    <w:rsid w:val="00C842FE"/>
    <w:rsid w:val="00C84727"/>
    <w:rsid w:val="00C848D4"/>
    <w:rsid w:val="00C84D36"/>
    <w:rsid w:val="00C8524C"/>
    <w:rsid w:val="00C857D4"/>
    <w:rsid w:val="00C86044"/>
    <w:rsid w:val="00C860A6"/>
    <w:rsid w:val="00C86192"/>
    <w:rsid w:val="00C8668E"/>
    <w:rsid w:val="00C87FA1"/>
    <w:rsid w:val="00C90103"/>
    <w:rsid w:val="00C90130"/>
    <w:rsid w:val="00C90207"/>
    <w:rsid w:val="00C90823"/>
    <w:rsid w:val="00C90BD9"/>
    <w:rsid w:val="00C90BEF"/>
    <w:rsid w:val="00C90F33"/>
    <w:rsid w:val="00C90F98"/>
    <w:rsid w:val="00C910AB"/>
    <w:rsid w:val="00C916C2"/>
    <w:rsid w:val="00C91F1B"/>
    <w:rsid w:val="00C92A18"/>
    <w:rsid w:val="00C92FAE"/>
    <w:rsid w:val="00C9310A"/>
    <w:rsid w:val="00C93528"/>
    <w:rsid w:val="00C937DA"/>
    <w:rsid w:val="00C939BA"/>
    <w:rsid w:val="00C93BD9"/>
    <w:rsid w:val="00C93CB4"/>
    <w:rsid w:val="00C93F14"/>
    <w:rsid w:val="00C94506"/>
    <w:rsid w:val="00C94F8E"/>
    <w:rsid w:val="00C95366"/>
    <w:rsid w:val="00C95526"/>
    <w:rsid w:val="00C95985"/>
    <w:rsid w:val="00C95D91"/>
    <w:rsid w:val="00C96D9E"/>
    <w:rsid w:val="00C96F01"/>
    <w:rsid w:val="00C972A9"/>
    <w:rsid w:val="00C974A7"/>
    <w:rsid w:val="00C978BD"/>
    <w:rsid w:val="00C97BE7"/>
    <w:rsid w:val="00CA04EE"/>
    <w:rsid w:val="00CA0883"/>
    <w:rsid w:val="00CA121D"/>
    <w:rsid w:val="00CA1DB5"/>
    <w:rsid w:val="00CA1E46"/>
    <w:rsid w:val="00CA1E53"/>
    <w:rsid w:val="00CA2740"/>
    <w:rsid w:val="00CA2C72"/>
    <w:rsid w:val="00CA3567"/>
    <w:rsid w:val="00CA37F6"/>
    <w:rsid w:val="00CA3996"/>
    <w:rsid w:val="00CA3EE1"/>
    <w:rsid w:val="00CA402E"/>
    <w:rsid w:val="00CA4B84"/>
    <w:rsid w:val="00CA4C99"/>
    <w:rsid w:val="00CA4D77"/>
    <w:rsid w:val="00CA60A4"/>
    <w:rsid w:val="00CA64BE"/>
    <w:rsid w:val="00CA7075"/>
    <w:rsid w:val="00CA753E"/>
    <w:rsid w:val="00CA777E"/>
    <w:rsid w:val="00CA784F"/>
    <w:rsid w:val="00CA7DE5"/>
    <w:rsid w:val="00CA7E5D"/>
    <w:rsid w:val="00CB04D9"/>
    <w:rsid w:val="00CB0609"/>
    <w:rsid w:val="00CB061E"/>
    <w:rsid w:val="00CB08CA"/>
    <w:rsid w:val="00CB0C08"/>
    <w:rsid w:val="00CB0E52"/>
    <w:rsid w:val="00CB145A"/>
    <w:rsid w:val="00CB19D7"/>
    <w:rsid w:val="00CB19F4"/>
    <w:rsid w:val="00CB1C83"/>
    <w:rsid w:val="00CB210E"/>
    <w:rsid w:val="00CB21DB"/>
    <w:rsid w:val="00CB2A98"/>
    <w:rsid w:val="00CB2E94"/>
    <w:rsid w:val="00CB37B7"/>
    <w:rsid w:val="00CB3951"/>
    <w:rsid w:val="00CB3C46"/>
    <w:rsid w:val="00CB4038"/>
    <w:rsid w:val="00CB4AC0"/>
    <w:rsid w:val="00CB5133"/>
    <w:rsid w:val="00CB54A7"/>
    <w:rsid w:val="00CB55C8"/>
    <w:rsid w:val="00CB59F8"/>
    <w:rsid w:val="00CB5BCA"/>
    <w:rsid w:val="00CB5EE8"/>
    <w:rsid w:val="00CB64EF"/>
    <w:rsid w:val="00CB6527"/>
    <w:rsid w:val="00CB6E1F"/>
    <w:rsid w:val="00CB6FB6"/>
    <w:rsid w:val="00CB776D"/>
    <w:rsid w:val="00CB79D3"/>
    <w:rsid w:val="00CB7A60"/>
    <w:rsid w:val="00CB7EBC"/>
    <w:rsid w:val="00CC0053"/>
    <w:rsid w:val="00CC0419"/>
    <w:rsid w:val="00CC2343"/>
    <w:rsid w:val="00CC297D"/>
    <w:rsid w:val="00CC2AE1"/>
    <w:rsid w:val="00CC2FA1"/>
    <w:rsid w:val="00CC383E"/>
    <w:rsid w:val="00CC3FDB"/>
    <w:rsid w:val="00CC4157"/>
    <w:rsid w:val="00CC4CEA"/>
    <w:rsid w:val="00CC50E0"/>
    <w:rsid w:val="00CC51E5"/>
    <w:rsid w:val="00CC54CC"/>
    <w:rsid w:val="00CC5E6B"/>
    <w:rsid w:val="00CC6B73"/>
    <w:rsid w:val="00CC6C7B"/>
    <w:rsid w:val="00CC6E59"/>
    <w:rsid w:val="00CC6ED3"/>
    <w:rsid w:val="00CC72FA"/>
    <w:rsid w:val="00CC7802"/>
    <w:rsid w:val="00CC78BF"/>
    <w:rsid w:val="00CC78D4"/>
    <w:rsid w:val="00CD0951"/>
    <w:rsid w:val="00CD0C42"/>
    <w:rsid w:val="00CD0CF1"/>
    <w:rsid w:val="00CD0D9F"/>
    <w:rsid w:val="00CD0E31"/>
    <w:rsid w:val="00CD0EDC"/>
    <w:rsid w:val="00CD0F57"/>
    <w:rsid w:val="00CD1211"/>
    <w:rsid w:val="00CD1A13"/>
    <w:rsid w:val="00CD1ADF"/>
    <w:rsid w:val="00CD2388"/>
    <w:rsid w:val="00CD24B1"/>
    <w:rsid w:val="00CD2612"/>
    <w:rsid w:val="00CD2A21"/>
    <w:rsid w:val="00CD3832"/>
    <w:rsid w:val="00CD388D"/>
    <w:rsid w:val="00CD3BEC"/>
    <w:rsid w:val="00CD44AB"/>
    <w:rsid w:val="00CD44D7"/>
    <w:rsid w:val="00CD5060"/>
    <w:rsid w:val="00CD628D"/>
    <w:rsid w:val="00CD6A33"/>
    <w:rsid w:val="00CD6B5B"/>
    <w:rsid w:val="00CD70EB"/>
    <w:rsid w:val="00CD7D9B"/>
    <w:rsid w:val="00CE08BA"/>
    <w:rsid w:val="00CE1BF4"/>
    <w:rsid w:val="00CE1C18"/>
    <w:rsid w:val="00CE2491"/>
    <w:rsid w:val="00CE2632"/>
    <w:rsid w:val="00CE2786"/>
    <w:rsid w:val="00CE2BA7"/>
    <w:rsid w:val="00CE2E86"/>
    <w:rsid w:val="00CE343A"/>
    <w:rsid w:val="00CE3812"/>
    <w:rsid w:val="00CE3AE6"/>
    <w:rsid w:val="00CE41E8"/>
    <w:rsid w:val="00CE47DC"/>
    <w:rsid w:val="00CE4E07"/>
    <w:rsid w:val="00CE503B"/>
    <w:rsid w:val="00CE516A"/>
    <w:rsid w:val="00CE5439"/>
    <w:rsid w:val="00CE5D5E"/>
    <w:rsid w:val="00CE63A6"/>
    <w:rsid w:val="00CE68BC"/>
    <w:rsid w:val="00CE690F"/>
    <w:rsid w:val="00CE6C07"/>
    <w:rsid w:val="00CE6D16"/>
    <w:rsid w:val="00CE6D27"/>
    <w:rsid w:val="00CE6D75"/>
    <w:rsid w:val="00CE6EB2"/>
    <w:rsid w:val="00CE74FA"/>
    <w:rsid w:val="00CE79BC"/>
    <w:rsid w:val="00CE79E5"/>
    <w:rsid w:val="00CF0228"/>
    <w:rsid w:val="00CF0EAB"/>
    <w:rsid w:val="00CF169B"/>
    <w:rsid w:val="00CF1A43"/>
    <w:rsid w:val="00CF21FA"/>
    <w:rsid w:val="00CF290C"/>
    <w:rsid w:val="00CF2C9D"/>
    <w:rsid w:val="00CF2D11"/>
    <w:rsid w:val="00CF2FE8"/>
    <w:rsid w:val="00CF398A"/>
    <w:rsid w:val="00CF3FAC"/>
    <w:rsid w:val="00CF40DE"/>
    <w:rsid w:val="00CF4490"/>
    <w:rsid w:val="00CF4733"/>
    <w:rsid w:val="00CF4D7A"/>
    <w:rsid w:val="00CF4FFE"/>
    <w:rsid w:val="00CF5144"/>
    <w:rsid w:val="00CF5332"/>
    <w:rsid w:val="00CF561E"/>
    <w:rsid w:val="00CF618E"/>
    <w:rsid w:val="00CF62F3"/>
    <w:rsid w:val="00CF6492"/>
    <w:rsid w:val="00CF6570"/>
    <w:rsid w:val="00CF72F6"/>
    <w:rsid w:val="00CF7962"/>
    <w:rsid w:val="00CF7D79"/>
    <w:rsid w:val="00CF7FCC"/>
    <w:rsid w:val="00D0002F"/>
    <w:rsid w:val="00D0018B"/>
    <w:rsid w:val="00D003E1"/>
    <w:rsid w:val="00D0063C"/>
    <w:rsid w:val="00D016F7"/>
    <w:rsid w:val="00D01E0C"/>
    <w:rsid w:val="00D0237A"/>
    <w:rsid w:val="00D0242C"/>
    <w:rsid w:val="00D02C96"/>
    <w:rsid w:val="00D02CF0"/>
    <w:rsid w:val="00D03542"/>
    <w:rsid w:val="00D03610"/>
    <w:rsid w:val="00D03BE4"/>
    <w:rsid w:val="00D03CA8"/>
    <w:rsid w:val="00D045AC"/>
    <w:rsid w:val="00D04952"/>
    <w:rsid w:val="00D04B8D"/>
    <w:rsid w:val="00D04BEE"/>
    <w:rsid w:val="00D052AC"/>
    <w:rsid w:val="00D0548E"/>
    <w:rsid w:val="00D059CD"/>
    <w:rsid w:val="00D05E44"/>
    <w:rsid w:val="00D05E68"/>
    <w:rsid w:val="00D06254"/>
    <w:rsid w:val="00D0669E"/>
    <w:rsid w:val="00D072E8"/>
    <w:rsid w:val="00D07400"/>
    <w:rsid w:val="00D077CB"/>
    <w:rsid w:val="00D07820"/>
    <w:rsid w:val="00D078A9"/>
    <w:rsid w:val="00D07A45"/>
    <w:rsid w:val="00D07A6C"/>
    <w:rsid w:val="00D07E45"/>
    <w:rsid w:val="00D10B23"/>
    <w:rsid w:val="00D113AE"/>
    <w:rsid w:val="00D11F44"/>
    <w:rsid w:val="00D11FF7"/>
    <w:rsid w:val="00D12064"/>
    <w:rsid w:val="00D122B8"/>
    <w:rsid w:val="00D12431"/>
    <w:rsid w:val="00D12625"/>
    <w:rsid w:val="00D12A87"/>
    <w:rsid w:val="00D12D08"/>
    <w:rsid w:val="00D13298"/>
    <w:rsid w:val="00D13D2D"/>
    <w:rsid w:val="00D13D85"/>
    <w:rsid w:val="00D13DF7"/>
    <w:rsid w:val="00D140AB"/>
    <w:rsid w:val="00D1432B"/>
    <w:rsid w:val="00D1477E"/>
    <w:rsid w:val="00D14B73"/>
    <w:rsid w:val="00D15822"/>
    <w:rsid w:val="00D15ACA"/>
    <w:rsid w:val="00D15E41"/>
    <w:rsid w:val="00D16150"/>
    <w:rsid w:val="00D162A9"/>
    <w:rsid w:val="00D16A43"/>
    <w:rsid w:val="00D20118"/>
    <w:rsid w:val="00D203C5"/>
    <w:rsid w:val="00D20429"/>
    <w:rsid w:val="00D20B5F"/>
    <w:rsid w:val="00D20F77"/>
    <w:rsid w:val="00D214FD"/>
    <w:rsid w:val="00D2173A"/>
    <w:rsid w:val="00D2178A"/>
    <w:rsid w:val="00D21C14"/>
    <w:rsid w:val="00D21DEA"/>
    <w:rsid w:val="00D21EC7"/>
    <w:rsid w:val="00D22850"/>
    <w:rsid w:val="00D228A8"/>
    <w:rsid w:val="00D22E0C"/>
    <w:rsid w:val="00D22E93"/>
    <w:rsid w:val="00D22F04"/>
    <w:rsid w:val="00D2373C"/>
    <w:rsid w:val="00D23D54"/>
    <w:rsid w:val="00D23DE0"/>
    <w:rsid w:val="00D25ACE"/>
    <w:rsid w:val="00D25C02"/>
    <w:rsid w:val="00D25FCA"/>
    <w:rsid w:val="00D26404"/>
    <w:rsid w:val="00D26D65"/>
    <w:rsid w:val="00D27136"/>
    <w:rsid w:val="00D27575"/>
    <w:rsid w:val="00D27756"/>
    <w:rsid w:val="00D27EAE"/>
    <w:rsid w:val="00D27F3A"/>
    <w:rsid w:val="00D300A7"/>
    <w:rsid w:val="00D300FC"/>
    <w:rsid w:val="00D30149"/>
    <w:rsid w:val="00D30B41"/>
    <w:rsid w:val="00D31A86"/>
    <w:rsid w:val="00D31EBB"/>
    <w:rsid w:val="00D32EE4"/>
    <w:rsid w:val="00D32F0E"/>
    <w:rsid w:val="00D3327C"/>
    <w:rsid w:val="00D3362A"/>
    <w:rsid w:val="00D33788"/>
    <w:rsid w:val="00D343FC"/>
    <w:rsid w:val="00D34F4A"/>
    <w:rsid w:val="00D3507D"/>
    <w:rsid w:val="00D3577E"/>
    <w:rsid w:val="00D3586F"/>
    <w:rsid w:val="00D35A0F"/>
    <w:rsid w:val="00D35E45"/>
    <w:rsid w:val="00D37FC6"/>
    <w:rsid w:val="00D413C2"/>
    <w:rsid w:val="00D418E2"/>
    <w:rsid w:val="00D41D07"/>
    <w:rsid w:val="00D41FD6"/>
    <w:rsid w:val="00D421E9"/>
    <w:rsid w:val="00D42AB3"/>
    <w:rsid w:val="00D439A4"/>
    <w:rsid w:val="00D43C46"/>
    <w:rsid w:val="00D43D98"/>
    <w:rsid w:val="00D44EA0"/>
    <w:rsid w:val="00D44FDD"/>
    <w:rsid w:val="00D45EAE"/>
    <w:rsid w:val="00D462C1"/>
    <w:rsid w:val="00D471C2"/>
    <w:rsid w:val="00D47753"/>
    <w:rsid w:val="00D4797A"/>
    <w:rsid w:val="00D47A08"/>
    <w:rsid w:val="00D47CF2"/>
    <w:rsid w:val="00D47E1F"/>
    <w:rsid w:val="00D504C4"/>
    <w:rsid w:val="00D50837"/>
    <w:rsid w:val="00D50D38"/>
    <w:rsid w:val="00D51829"/>
    <w:rsid w:val="00D51A25"/>
    <w:rsid w:val="00D51CDF"/>
    <w:rsid w:val="00D524B7"/>
    <w:rsid w:val="00D5275A"/>
    <w:rsid w:val="00D528FC"/>
    <w:rsid w:val="00D52BA6"/>
    <w:rsid w:val="00D536BC"/>
    <w:rsid w:val="00D53E0B"/>
    <w:rsid w:val="00D544D1"/>
    <w:rsid w:val="00D5531C"/>
    <w:rsid w:val="00D5565D"/>
    <w:rsid w:val="00D55697"/>
    <w:rsid w:val="00D556C9"/>
    <w:rsid w:val="00D559E1"/>
    <w:rsid w:val="00D55A1C"/>
    <w:rsid w:val="00D55B00"/>
    <w:rsid w:val="00D5691D"/>
    <w:rsid w:val="00D569D9"/>
    <w:rsid w:val="00D56A76"/>
    <w:rsid w:val="00D56FB9"/>
    <w:rsid w:val="00D57657"/>
    <w:rsid w:val="00D576D6"/>
    <w:rsid w:val="00D57877"/>
    <w:rsid w:val="00D57E9C"/>
    <w:rsid w:val="00D601F2"/>
    <w:rsid w:val="00D605F4"/>
    <w:rsid w:val="00D60AC9"/>
    <w:rsid w:val="00D60BE1"/>
    <w:rsid w:val="00D60CA1"/>
    <w:rsid w:val="00D6110E"/>
    <w:rsid w:val="00D615B0"/>
    <w:rsid w:val="00D6178C"/>
    <w:rsid w:val="00D62125"/>
    <w:rsid w:val="00D624A3"/>
    <w:rsid w:val="00D62A48"/>
    <w:rsid w:val="00D62DBD"/>
    <w:rsid w:val="00D62FEA"/>
    <w:rsid w:val="00D643FD"/>
    <w:rsid w:val="00D644C1"/>
    <w:rsid w:val="00D647C5"/>
    <w:rsid w:val="00D648EC"/>
    <w:rsid w:val="00D64C68"/>
    <w:rsid w:val="00D64ED8"/>
    <w:rsid w:val="00D65050"/>
    <w:rsid w:val="00D6592A"/>
    <w:rsid w:val="00D65997"/>
    <w:rsid w:val="00D6682C"/>
    <w:rsid w:val="00D66A75"/>
    <w:rsid w:val="00D66C2F"/>
    <w:rsid w:val="00D6710A"/>
    <w:rsid w:val="00D674B5"/>
    <w:rsid w:val="00D7004C"/>
    <w:rsid w:val="00D704AF"/>
    <w:rsid w:val="00D7068F"/>
    <w:rsid w:val="00D70C6A"/>
    <w:rsid w:val="00D70DC7"/>
    <w:rsid w:val="00D70DEF"/>
    <w:rsid w:val="00D71003"/>
    <w:rsid w:val="00D71A43"/>
    <w:rsid w:val="00D71F46"/>
    <w:rsid w:val="00D71FFB"/>
    <w:rsid w:val="00D7220A"/>
    <w:rsid w:val="00D724DF"/>
    <w:rsid w:val="00D7306C"/>
    <w:rsid w:val="00D73232"/>
    <w:rsid w:val="00D7339A"/>
    <w:rsid w:val="00D74F08"/>
    <w:rsid w:val="00D7529C"/>
    <w:rsid w:val="00D75E77"/>
    <w:rsid w:val="00D76179"/>
    <w:rsid w:val="00D7647C"/>
    <w:rsid w:val="00D76A23"/>
    <w:rsid w:val="00D76A4E"/>
    <w:rsid w:val="00D76FC1"/>
    <w:rsid w:val="00D77390"/>
    <w:rsid w:val="00D77435"/>
    <w:rsid w:val="00D7788E"/>
    <w:rsid w:val="00D77CD3"/>
    <w:rsid w:val="00D80285"/>
    <w:rsid w:val="00D80C8F"/>
    <w:rsid w:val="00D80EE4"/>
    <w:rsid w:val="00D81EF3"/>
    <w:rsid w:val="00D8222C"/>
    <w:rsid w:val="00D826DE"/>
    <w:rsid w:val="00D82C23"/>
    <w:rsid w:val="00D835E4"/>
    <w:rsid w:val="00D83902"/>
    <w:rsid w:val="00D83AAB"/>
    <w:rsid w:val="00D83FFE"/>
    <w:rsid w:val="00D84133"/>
    <w:rsid w:val="00D84868"/>
    <w:rsid w:val="00D851D1"/>
    <w:rsid w:val="00D85479"/>
    <w:rsid w:val="00D86489"/>
    <w:rsid w:val="00D86E50"/>
    <w:rsid w:val="00D87163"/>
    <w:rsid w:val="00D873A0"/>
    <w:rsid w:val="00D87422"/>
    <w:rsid w:val="00D878AF"/>
    <w:rsid w:val="00D87B10"/>
    <w:rsid w:val="00D87B73"/>
    <w:rsid w:val="00D90F8D"/>
    <w:rsid w:val="00D91438"/>
    <w:rsid w:val="00D91747"/>
    <w:rsid w:val="00D91FC1"/>
    <w:rsid w:val="00D92233"/>
    <w:rsid w:val="00D927C1"/>
    <w:rsid w:val="00D92AC7"/>
    <w:rsid w:val="00D93281"/>
    <w:rsid w:val="00D93AA9"/>
    <w:rsid w:val="00D93BCB"/>
    <w:rsid w:val="00D93CB0"/>
    <w:rsid w:val="00D9497F"/>
    <w:rsid w:val="00D953EC"/>
    <w:rsid w:val="00D956F3"/>
    <w:rsid w:val="00D96229"/>
    <w:rsid w:val="00D96428"/>
    <w:rsid w:val="00D964CA"/>
    <w:rsid w:val="00D96712"/>
    <w:rsid w:val="00D968A2"/>
    <w:rsid w:val="00D96B1D"/>
    <w:rsid w:val="00D96BA2"/>
    <w:rsid w:val="00D96F8E"/>
    <w:rsid w:val="00D97371"/>
    <w:rsid w:val="00D97413"/>
    <w:rsid w:val="00D97F77"/>
    <w:rsid w:val="00DA06F1"/>
    <w:rsid w:val="00DA107B"/>
    <w:rsid w:val="00DA1AAF"/>
    <w:rsid w:val="00DA243F"/>
    <w:rsid w:val="00DA24F3"/>
    <w:rsid w:val="00DA2997"/>
    <w:rsid w:val="00DA2999"/>
    <w:rsid w:val="00DA334B"/>
    <w:rsid w:val="00DA3689"/>
    <w:rsid w:val="00DA36F2"/>
    <w:rsid w:val="00DA37F5"/>
    <w:rsid w:val="00DA3C28"/>
    <w:rsid w:val="00DA3F24"/>
    <w:rsid w:val="00DA3F59"/>
    <w:rsid w:val="00DA437B"/>
    <w:rsid w:val="00DA5A60"/>
    <w:rsid w:val="00DA6407"/>
    <w:rsid w:val="00DA65B8"/>
    <w:rsid w:val="00DA727E"/>
    <w:rsid w:val="00DA7E2B"/>
    <w:rsid w:val="00DB0340"/>
    <w:rsid w:val="00DB0C53"/>
    <w:rsid w:val="00DB10E8"/>
    <w:rsid w:val="00DB1131"/>
    <w:rsid w:val="00DB127A"/>
    <w:rsid w:val="00DB12AA"/>
    <w:rsid w:val="00DB139F"/>
    <w:rsid w:val="00DB1929"/>
    <w:rsid w:val="00DB1F7A"/>
    <w:rsid w:val="00DB30EA"/>
    <w:rsid w:val="00DB368F"/>
    <w:rsid w:val="00DB37A3"/>
    <w:rsid w:val="00DB38C1"/>
    <w:rsid w:val="00DB3EE6"/>
    <w:rsid w:val="00DB47D9"/>
    <w:rsid w:val="00DB4AFC"/>
    <w:rsid w:val="00DB4D82"/>
    <w:rsid w:val="00DB4E96"/>
    <w:rsid w:val="00DB57E9"/>
    <w:rsid w:val="00DB6769"/>
    <w:rsid w:val="00DB6C8E"/>
    <w:rsid w:val="00DB71F1"/>
    <w:rsid w:val="00DB7225"/>
    <w:rsid w:val="00DB73B8"/>
    <w:rsid w:val="00DB78A1"/>
    <w:rsid w:val="00DB7E18"/>
    <w:rsid w:val="00DB7EF3"/>
    <w:rsid w:val="00DB7FC2"/>
    <w:rsid w:val="00DC0211"/>
    <w:rsid w:val="00DC0BB2"/>
    <w:rsid w:val="00DC0C9A"/>
    <w:rsid w:val="00DC0F15"/>
    <w:rsid w:val="00DC1800"/>
    <w:rsid w:val="00DC1850"/>
    <w:rsid w:val="00DC2346"/>
    <w:rsid w:val="00DC25A2"/>
    <w:rsid w:val="00DC2615"/>
    <w:rsid w:val="00DC264F"/>
    <w:rsid w:val="00DC28F9"/>
    <w:rsid w:val="00DC2E62"/>
    <w:rsid w:val="00DC3015"/>
    <w:rsid w:val="00DC328A"/>
    <w:rsid w:val="00DC3472"/>
    <w:rsid w:val="00DC3E4E"/>
    <w:rsid w:val="00DC463D"/>
    <w:rsid w:val="00DC54F9"/>
    <w:rsid w:val="00DC575C"/>
    <w:rsid w:val="00DC6030"/>
    <w:rsid w:val="00DC6EAD"/>
    <w:rsid w:val="00DC6F21"/>
    <w:rsid w:val="00DC7050"/>
    <w:rsid w:val="00DC7174"/>
    <w:rsid w:val="00DC748D"/>
    <w:rsid w:val="00DC7AA6"/>
    <w:rsid w:val="00DC7E2D"/>
    <w:rsid w:val="00DC7FD7"/>
    <w:rsid w:val="00DD0026"/>
    <w:rsid w:val="00DD0C52"/>
    <w:rsid w:val="00DD0DA5"/>
    <w:rsid w:val="00DD165F"/>
    <w:rsid w:val="00DD18DF"/>
    <w:rsid w:val="00DD1A10"/>
    <w:rsid w:val="00DD1FFC"/>
    <w:rsid w:val="00DD23FE"/>
    <w:rsid w:val="00DD253A"/>
    <w:rsid w:val="00DD2FC5"/>
    <w:rsid w:val="00DD36EE"/>
    <w:rsid w:val="00DD3807"/>
    <w:rsid w:val="00DD4867"/>
    <w:rsid w:val="00DD4A7A"/>
    <w:rsid w:val="00DD4CFF"/>
    <w:rsid w:val="00DD5223"/>
    <w:rsid w:val="00DD54AE"/>
    <w:rsid w:val="00DD5CBE"/>
    <w:rsid w:val="00DD6419"/>
    <w:rsid w:val="00DD6C1B"/>
    <w:rsid w:val="00DD6D7B"/>
    <w:rsid w:val="00DD7289"/>
    <w:rsid w:val="00DD7BA8"/>
    <w:rsid w:val="00DD7D13"/>
    <w:rsid w:val="00DD7E22"/>
    <w:rsid w:val="00DD7FD5"/>
    <w:rsid w:val="00DE001D"/>
    <w:rsid w:val="00DE00FB"/>
    <w:rsid w:val="00DE02CE"/>
    <w:rsid w:val="00DE042C"/>
    <w:rsid w:val="00DE0947"/>
    <w:rsid w:val="00DE0ED2"/>
    <w:rsid w:val="00DE0F50"/>
    <w:rsid w:val="00DE0F6A"/>
    <w:rsid w:val="00DE148B"/>
    <w:rsid w:val="00DE1B51"/>
    <w:rsid w:val="00DE1BC6"/>
    <w:rsid w:val="00DE2535"/>
    <w:rsid w:val="00DE2961"/>
    <w:rsid w:val="00DE332B"/>
    <w:rsid w:val="00DE3367"/>
    <w:rsid w:val="00DE352C"/>
    <w:rsid w:val="00DE3E88"/>
    <w:rsid w:val="00DE41AC"/>
    <w:rsid w:val="00DE4215"/>
    <w:rsid w:val="00DE42BE"/>
    <w:rsid w:val="00DE5232"/>
    <w:rsid w:val="00DE55F8"/>
    <w:rsid w:val="00DE61A0"/>
    <w:rsid w:val="00DE636B"/>
    <w:rsid w:val="00DE65CA"/>
    <w:rsid w:val="00DE6842"/>
    <w:rsid w:val="00DE6A66"/>
    <w:rsid w:val="00DE7095"/>
    <w:rsid w:val="00DE757E"/>
    <w:rsid w:val="00DE75FA"/>
    <w:rsid w:val="00DE76F8"/>
    <w:rsid w:val="00DE7739"/>
    <w:rsid w:val="00DE7BB1"/>
    <w:rsid w:val="00DE7E19"/>
    <w:rsid w:val="00DF00AE"/>
    <w:rsid w:val="00DF0248"/>
    <w:rsid w:val="00DF03CE"/>
    <w:rsid w:val="00DF0415"/>
    <w:rsid w:val="00DF0A13"/>
    <w:rsid w:val="00DF0B8D"/>
    <w:rsid w:val="00DF0EC5"/>
    <w:rsid w:val="00DF20BE"/>
    <w:rsid w:val="00DF25AB"/>
    <w:rsid w:val="00DF2CF8"/>
    <w:rsid w:val="00DF30A9"/>
    <w:rsid w:val="00DF3312"/>
    <w:rsid w:val="00DF35DE"/>
    <w:rsid w:val="00DF37D6"/>
    <w:rsid w:val="00DF3C95"/>
    <w:rsid w:val="00DF4200"/>
    <w:rsid w:val="00DF429A"/>
    <w:rsid w:val="00DF458E"/>
    <w:rsid w:val="00DF4A1E"/>
    <w:rsid w:val="00DF4A3D"/>
    <w:rsid w:val="00DF4C5E"/>
    <w:rsid w:val="00DF5085"/>
    <w:rsid w:val="00DF51DE"/>
    <w:rsid w:val="00DF5367"/>
    <w:rsid w:val="00DF5651"/>
    <w:rsid w:val="00DF5A05"/>
    <w:rsid w:val="00DF5AD9"/>
    <w:rsid w:val="00DF6058"/>
    <w:rsid w:val="00DF62F7"/>
    <w:rsid w:val="00DF689F"/>
    <w:rsid w:val="00DF7581"/>
    <w:rsid w:val="00DF75CD"/>
    <w:rsid w:val="00DF7CE3"/>
    <w:rsid w:val="00E00205"/>
    <w:rsid w:val="00E00357"/>
    <w:rsid w:val="00E00741"/>
    <w:rsid w:val="00E00967"/>
    <w:rsid w:val="00E00BB9"/>
    <w:rsid w:val="00E0135B"/>
    <w:rsid w:val="00E01CCC"/>
    <w:rsid w:val="00E021F0"/>
    <w:rsid w:val="00E0231C"/>
    <w:rsid w:val="00E03518"/>
    <w:rsid w:val="00E03AC1"/>
    <w:rsid w:val="00E04211"/>
    <w:rsid w:val="00E04CDE"/>
    <w:rsid w:val="00E05A45"/>
    <w:rsid w:val="00E05A66"/>
    <w:rsid w:val="00E05B20"/>
    <w:rsid w:val="00E06527"/>
    <w:rsid w:val="00E06E11"/>
    <w:rsid w:val="00E06E4E"/>
    <w:rsid w:val="00E06FA3"/>
    <w:rsid w:val="00E108DF"/>
    <w:rsid w:val="00E10C6E"/>
    <w:rsid w:val="00E1129A"/>
    <w:rsid w:val="00E11425"/>
    <w:rsid w:val="00E11908"/>
    <w:rsid w:val="00E12315"/>
    <w:rsid w:val="00E12A36"/>
    <w:rsid w:val="00E12D4C"/>
    <w:rsid w:val="00E12E9D"/>
    <w:rsid w:val="00E131C0"/>
    <w:rsid w:val="00E13353"/>
    <w:rsid w:val="00E133D1"/>
    <w:rsid w:val="00E14AA6"/>
    <w:rsid w:val="00E14FD1"/>
    <w:rsid w:val="00E15030"/>
    <w:rsid w:val="00E15076"/>
    <w:rsid w:val="00E151CD"/>
    <w:rsid w:val="00E154AC"/>
    <w:rsid w:val="00E15DAE"/>
    <w:rsid w:val="00E15F10"/>
    <w:rsid w:val="00E16BEE"/>
    <w:rsid w:val="00E16BF2"/>
    <w:rsid w:val="00E16D9B"/>
    <w:rsid w:val="00E17549"/>
    <w:rsid w:val="00E1792B"/>
    <w:rsid w:val="00E17B79"/>
    <w:rsid w:val="00E17D37"/>
    <w:rsid w:val="00E17FB7"/>
    <w:rsid w:val="00E2029C"/>
    <w:rsid w:val="00E2059D"/>
    <w:rsid w:val="00E207F1"/>
    <w:rsid w:val="00E20A1B"/>
    <w:rsid w:val="00E20B23"/>
    <w:rsid w:val="00E20E70"/>
    <w:rsid w:val="00E21175"/>
    <w:rsid w:val="00E21896"/>
    <w:rsid w:val="00E21CF9"/>
    <w:rsid w:val="00E21FD4"/>
    <w:rsid w:val="00E23E47"/>
    <w:rsid w:val="00E23E57"/>
    <w:rsid w:val="00E24178"/>
    <w:rsid w:val="00E24269"/>
    <w:rsid w:val="00E243F5"/>
    <w:rsid w:val="00E2471C"/>
    <w:rsid w:val="00E2536B"/>
    <w:rsid w:val="00E2562E"/>
    <w:rsid w:val="00E25928"/>
    <w:rsid w:val="00E25B14"/>
    <w:rsid w:val="00E26428"/>
    <w:rsid w:val="00E26601"/>
    <w:rsid w:val="00E27910"/>
    <w:rsid w:val="00E27BC8"/>
    <w:rsid w:val="00E3026C"/>
    <w:rsid w:val="00E30586"/>
    <w:rsid w:val="00E30D4D"/>
    <w:rsid w:val="00E30D5F"/>
    <w:rsid w:val="00E3184C"/>
    <w:rsid w:val="00E322D9"/>
    <w:rsid w:val="00E3247F"/>
    <w:rsid w:val="00E324E7"/>
    <w:rsid w:val="00E3270F"/>
    <w:rsid w:val="00E32E84"/>
    <w:rsid w:val="00E32F02"/>
    <w:rsid w:val="00E33581"/>
    <w:rsid w:val="00E335B7"/>
    <w:rsid w:val="00E33BFF"/>
    <w:rsid w:val="00E33C49"/>
    <w:rsid w:val="00E33E08"/>
    <w:rsid w:val="00E34AAE"/>
    <w:rsid w:val="00E34C7C"/>
    <w:rsid w:val="00E34EA1"/>
    <w:rsid w:val="00E3500E"/>
    <w:rsid w:val="00E352E1"/>
    <w:rsid w:val="00E35542"/>
    <w:rsid w:val="00E35A6E"/>
    <w:rsid w:val="00E35F6F"/>
    <w:rsid w:val="00E36AD8"/>
    <w:rsid w:val="00E371E0"/>
    <w:rsid w:val="00E3735A"/>
    <w:rsid w:val="00E377B8"/>
    <w:rsid w:val="00E40128"/>
    <w:rsid w:val="00E4177E"/>
    <w:rsid w:val="00E41C61"/>
    <w:rsid w:val="00E4291F"/>
    <w:rsid w:val="00E42A6F"/>
    <w:rsid w:val="00E430FC"/>
    <w:rsid w:val="00E432DA"/>
    <w:rsid w:val="00E4347D"/>
    <w:rsid w:val="00E43DA9"/>
    <w:rsid w:val="00E43DE9"/>
    <w:rsid w:val="00E44402"/>
    <w:rsid w:val="00E44677"/>
    <w:rsid w:val="00E44BCB"/>
    <w:rsid w:val="00E44CC8"/>
    <w:rsid w:val="00E45C98"/>
    <w:rsid w:val="00E469FB"/>
    <w:rsid w:val="00E47001"/>
    <w:rsid w:val="00E47036"/>
    <w:rsid w:val="00E50084"/>
    <w:rsid w:val="00E502BB"/>
    <w:rsid w:val="00E5076F"/>
    <w:rsid w:val="00E507F5"/>
    <w:rsid w:val="00E50ED6"/>
    <w:rsid w:val="00E515C1"/>
    <w:rsid w:val="00E515F1"/>
    <w:rsid w:val="00E51CD1"/>
    <w:rsid w:val="00E523BC"/>
    <w:rsid w:val="00E53466"/>
    <w:rsid w:val="00E53DF0"/>
    <w:rsid w:val="00E541CA"/>
    <w:rsid w:val="00E5456C"/>
    <w:rsid w:val="00E5464C"/>
    <w:rsid w:val="00E54AD2"/>
    <w:rsid w:val="00E54CDE"/>
    <w:rsid w:val="00E55329"/>
    <w:rsid w:val="00E555A1"/>
    <w:rsid w:val="00E5581C"/>
    <w:rsid w:val="00E55CE5"/>
    <w:rsid w:val="00E5631C"/>
    <w:rsid w:val="00E56465"/>
    <w:rsid w:val="00E56F71"/>
    <w:rsid w:val="00E574F6"/>
    <w:rsid w:val="00E57881"/>
    <w:rsid w:val="00E57C74"/>
    <w:rsid w:val="00E6097B"/>
    <w:rsid w:val="00E6140B"/>
    <w:rsid w:val="00E6174B"/>
    <w:rsid w:val="00E61C78"/>
    <w:rsid w:val="00E620D2"/>
    <w:rsid w:val="00E6274B"/>
    <w:rsid w:val="00E6283D"/>
    <w:rsid w:val="00E62852"/>
    <w:rsid w:val="00E63990"/>
    <w:rsid w:val="00E63FC8"/>
    <w:rsid w:val="00E645BB"/>
    <w:rsid w:val="00E64E4C"/>
    <w:rsid w:val="00E64EBD"/>
    <w:rsid w:val="00E65202"/>
    <w:rsid w:val="00E657DC"/>
    <w:rsid w:val="00E65AFC"/>
    <w:rsid w:val="00E65E88"/>
    <w:rsid w:val="00E65F50"/>
    <w:rsid w:val="00E663C0"/>
    <w:rsid w:val="00E66F96"/>
    <w:rsid w:val="00E67359"/>
    <w:rsid w:val="00E67CA0"/>
    <w:rsid w:val="00E70C44"/>
    <w:rsid w:val="00E70CD8"/>
    <w:rsid w:val="00E70F72"/>
    <w:rsid w:val="00E7130C"/>
    <w:rsid w:val="00E7281B"/>
    <w:rsid w:val="00E72B75"/>
    <w:rsid w:val="00E73060"/>
    <w:rsid w:val="00E7328F"/>
    <w:rsid w:val="00E73928"/>
    <w:rsid w:val="00E74A91"/>
    <w:rsid w:val="00E74D19"/>
    <w:rsid w:val="00E75947"/>
    <w:rsid w:val="00E75A9A"/>
    <w:rsid w:val="00E75FB8"/>
    <w:rsid w:val="00E7676E"/>
    <w:rsid w:val="00E76C9D"/>
    <w:rsid w:val="00E76D8D"/>
    <w:rsid w:val="00E7712F"/>
    <w:rsid w:val="00E77626"/>
    <w:rsid w:val="00E7773E"/>
    <w:rsid w:val="00E77752"/>
    <w:rsid w:val="00E77913"/>
    <w:rsid w:val="00E77BA6"/>
    <w:rsid w:val="00E77E14"/>
    <w:rsid w:val="00E80393"/>
    <w:rsid w:val="00E807C7"/>
    <w:rsid w:val="00E810C2"/>
    <w:rsid w:val="00E811BA"/>
    <w:rsid w:val="00E815F4"/>
    <w:rsid w:val="00E81EB4"/>
    <w:rsid w:val="00E82064"/>
    <w:rsid w:val="00E8261F"/>
    <w:rsid w:val="00E8296D"/>
    <w:rsid w:val="00E82994"/>
    <w:rsid w:val="00E82AB3"/>
    <w:rsid w:val="00E82F2F"/>
    <w:rsid w:val="00E830C7"/>
    <w:rsid w:val="00E8345C"/>
    <w:rsid w:val="00E8358A"/>
    <w:rsid w:val="00E83764"/>
    <w:rsid w:val="00E8379E"/>
    <w:rsid w:val="00E84DA3"/>
    <w:rsid w:val="00E8542D"/>
    <w:rsid w:val="00E85A60"/>
    <w:rsid w:val="00E85D02"/>
    <w:rsid w:val="00E86313"/>
    <w:rsid w:val="00E869F3"/>
    <w:rsid w:val="00E86A8A"/>
    <w:rsid w:val="00E86ED2"/>
    <w:rsid w:val="00E87884"/>
    <w:rsid w:val="00E87A14"/>
    <w:rsid w:val="00E87C36"/>
    <w:rsid w:val="00E87E5C"/>
    <w:rsid w:val="00E90043"/>
    <w:rsid w:val="00E9044D"/>
    <w:rsid w:val="00E90C3E"/>
    <w:rsid w:val="00E90D91"/>
    <w:rsid w:val="00E919D6"/>
    <w:rsid w:val="00E920EA"/>
    <w:rsid w:val="00E92517"/>
    <w:rsid w:val="00E92633"/>
    <w:rsid w:val="00E928F3"/>
    <w:rsid w:val="00E9395A"/>
    <w:rsid w:val="00E945A6"/>
    <w:rsid w:val="00E94729"/>
    <w:rsid w:val="00E94A92"/>
    <w:rsid w:val="00E94B6B"/>
    <w:rsid w:val="00E94FBD"/>
    <w:rsid w:val="00E95489"/>
    <w:rsid w:val="00E957E1"/>
    <w:rsid w:val="00E95AC4"/>
    <w:rsid w:val="00E95D2B"/>
    <w:rsid w:val="00E95DD1"/>
    <w:rsid w:val="00E975D6"/>
    <w:rsid w:val="00E9770D"/>
    <w:rsid w:val="00E97A30"/>
    <w:rsid w:val="00EA0F2E"/>
    <w:rsid w:val="00EA1658"/>
    <w:rsid w:val="00EA17C9"/>
    <w:rsid w:val="00EA1A1C"/>
    <w:rsid w:val="00EA1E47"/>
    <w:rsid w:val="00EA24EF"/>
    <w:rsid w:val="00EA2542"/>
    <w:rsid w:val="00EA2C94"/>
    <w:rsid w:val="00EA2EEB"/>
    <w:rsid w:val="00EA316C"/>
    <w:rsid w:val="00EA3359"/>
    <w:rsid w:val="00EA33BE"/>
    <w:rsid w:val="00EA3B84"/>
    <w:rsid w:val="00EA40EF"/>
    <w:rsid w:val="00EA4220"/>
    <w:rsid w:val="00EA459E"/>
    <w:rsid w:val="00EA480C"/>
    <w:rsid w:val="00EA4A61"/>
    <w:rsid w:val="00EA4A76"/>
    <w:rsid w:val="00EA4AF6"/>
    <w:rsid w:val="00EA4E5D"/>
    <w:rsid w:val="00EA4E9B"/>
    <w:rsid w:val="00EA51F3"/>
    <w:rsid w:val="00EA576D"/>
    <w:rsid w:val="00EA5942"/>
    <w:rsid w:val="00EA60DF"/>
    <w:rsid w:val="00EA64B1"/>
    <w:rsid w:val="00EA6EBA"/>
    <w:rsid w:val="00EA7F90"/>
    <w:rsid w:val="00EB029C"/>
    <w:rsid w:val="00EB088C"/>
    <w:rsid w:val="00EB092D"/>
    <w:rsid w:val="00EB1085"/>
    <w:rsid w:val="00EB1148"/>
    <w:rsid w:val="00EB13A7"/>
    <w:rsid w:val="00EB2078"/>
    <w:rsid w:val="00EB27F1"/>
    <w:rsid w:val="00EB2A1B"/>
    <w:rsid w:val="00EB2C31"/>
    <w:rsid w:val="00EB334A"/>
    <w:rsid w:val="00EB34ED"/>
    <w:rsid w:val="00EB3E3A"/>
    <w:rsid w:val="00EB48A1"/>
    <w:rsid w:val="00EB4A5A"/>
    <w:rsid w:val="00EB4FC5"/>
    <w:rsid w:val="00EB54C1"/>
    <w:rsid w:val="00EB5502"/>
    <w:rsid w:val="00EB5563"/>
    <w:rsid w:val="00EB566D"/>
    <w:rsid w:val="00EB5BA1"/>
    <w:rsid w:val="00EB5DDE"/>
    <w:rsid w:val="00EB5F95"/>
    <w:rsid w:val="00EB63CA"/>
    <w:rsid w:val="00EB6C61"/>
    <w:rsid w:val="00EB717C"/>
    <w:rsid w:val="00EB7B5B"/>
    <w:rsid w:val="00EB7C43"/>
    <w:rsid w:val="00EB7CBB"/>
    <w:rsid w:val="00EB7E62"/>
    <w:rsid w:val="00EB7F7E"/>
    <w:rsid w:val="00EC0270"/>
    <w:rsid w:val="00EC0753"/>
    <w:rsid w:val="00EC0F37"/>
    <w:rsid w:val="00EC14AA"/>
    <w:rsid w:val="00EC1E66"/>
    <w:rsid w:val="00EC263E"/>
    <w:rsid w:val="00EC277B"/>
    <w:rsid w:val="00EC288D"/>
    <w:rsid w:val="00EC28EA"/>
    <w:rsid w:val="00EC369F"/>
    <w:rsid w:val="00EC3F0D"/>
    <w:rsid w:val="00EC42BE"/>
    <w:rsid w:val="00EC4753"/>
    <w:rsid w:val="00EC47A7"/>
    <w:rsid w:val="00EC48FD"/>
    <w:rsid w:val="00EC4967"/>
    <w:rsid w:val="00EC4C97"/>
    <w:rsid w:val="00EC4FA3"/>
    <w:rsid w:val="00EC5113"/>
    <w:rsid w:val="00EC5407"/>
    <w:rsid w:val="00EC55E8"/>
    <w:rsid w:val="00EC59FD"/>
    <w:rsid w:val="00EC5D24"/>
    <w:rsid w:val="00EC60D5"/>
    <w:rsid w:val="00EC6C1E"/>
    <w:rsid w:val="00EC6D34"/>
    <w:rsid w:val="00EC72A6"/>
    <w:rsid w:val="00EC7E44"/>
    <w:rsid w:val="00ED0438"/>
    <w:rsid w:val="00ED04B0"/>
    <w:rsid w:val="00ED0C4D"/>
    <w:rsid w:val="00ED0E16"/>
    <w:rsid w:val="00ED0E2A"/>
    <w:rsid w:val="00ED1461"/>
    <w:rsid w:val="00ED260D"/>
    <w:rsid w:val="00ED284C"/>
    <w:rsid w:val="00ED320E"/>
    <w:rsid w:val="00ED34CD"/>
    <w:rsid w:val="00ED359F"/>
    <w:rsid w:val="00ED35F5"/>
    <w:rsid w:val="00ED3AA3"/>
    <w:rsid w:val="00ED3EE8"/>
    <w:rsid w:val="00ED4338"/>
    <w:rsid w:val="00ED4443"/>
    <w:rsid w:val="00ED45B3"/>
    <w:rsid w:val="00ED4676"/>
    <w:rsid w:val="00ED50B6"/>
    <w:rsid w:val="00ED5277"/>
    <w:rsid w:val="00ED5428"/>
    <w:rsid w:val="00ED557A"/>
    <w:rsid w:val="00ED5963"/>
    <w:rsid w:val="00ED5DB1"/>
    <w:rsid w:val="00ED61F5"/>
    <w:rsid w:val="00ED658C"/>
    <w:rsid w:val="00ED69C3"/>
    <w:rsid w:val="00ED743A"/>
    <w:rsid w:val="00ED776E"/>
    <w:rsid w:val="00ED7A0D"/>
    <w:rsid w:val="00ED7BC4"/>
    <w:rsid w:val="00ED7D2D"/>
    <w:rsid w:val="00EE0039"/>
    <w:rsid w:val="00EE036F"/>
    <w:rsid w:val="00EE0371"/>
    <w:rsid w:val="00EE11F7"/>
    <w:rsid w:val="00EE151F"/>
    <w:rsid w:val="00EE1BC1"/>
    <w:rsid w:val="00EE25CF"/>
    <w:rsid w:val="00EE38DB"/>
    <w:rsid w:val="00EE3CCD"/>
    <w:rsid w:val="00EE4288"/>
    <w:rsid w:val="00EE4B28"/>
    <w:rsid w:val="00EE51D1"/>
    <w:rsid w:val="00EE5243"/>
    <w:rsid w:val="00EE5334"/>
    <w:rsid w:val="00EE5661"/>
    <w:rsid w:val="00EE5AC6"/>
    <w:rsid w:val="00EE5D45"/>
    <w:rsid w:val="00EE5E93"/>
    <w:rsid w:val="00EE6302"/>
    <w:rsid w:val="00EE6603"/>
    <w:rsid w:val="00EE6AC2"/>
    <w:rsid w:val="00EE7121"/>
    <w:rsid w:val="00EE7530"/>
    <w:rsid w:val="00EE75A8"/>
    <w:rsid w:val="00EE7747"/>
    <w:rsid w:val="00EE791E"/>
    <w:rsid w:val="00EF03A7"/>
    <w:rsid w:val="00EF086A"/>
    <w:rsid w:val="00EF09EA"/>
    <w:rsid w:val="00EF0D5D"/>
    <w:rsid w:val="00EF0DD7"/>
    <w:rsid w:val="00EF0FDD"/>
    <w:rsid w:val="00EF1AA6"/>
    <w:rsid w:val="00EF2678"/>
    <w:rsid w:val="00EF2AFE"/>
    <w:rsid w:val="00EF2C32"/>
    <w:rsid w:val="00EF3449"/>
    <w:rsid w:val="00EF39D1"/>
    <w:rsid w:val="00EF3DE1"/>
    <w:rsid w:val="00EF487A"/>
    <w:rsid w:val="00EF5719"/>
    <w:rsid w:val="00EF5D3B"/>
    <w:rsid w:val="00EF6269"/>
    <w:rsid w:val="00EF63AB"/>
    <w:rsid w:val="00EF64D6"/>
    <w:rsid w:val="00EF65D5"/>
    <w:rsid w:val="00EF71D7"/>
    <w:rsid w:val="00EF762E"/>
    <w:rsid w:val="00EF7632"/>
    <w:rsid w:val="00EF7C63"/>
    <w:rsid w:val="00F00BED"/>
    <w:rsid w:val="00F0153D"/>
    <w:rsid w:val="00F0155E"/>
    <w:rsid w:val="00F01D23"/>
    <w:rsid w:val="00F02342"/>
    <w:rsid w:val="00F02478"/>
    <w:rsid w:val="00F0326A"/>
    <w:rsid w:val="00F03FCE"/>
    <w:rsid w:val="00F040A7"/>
    <w:rsid w:val="00F0416A"/>
    <w:rsid w:val="00F04705"/>
    <w:rsid w:val="00F0478A"/>
    <w:rsid w:val="00F055A9"/>
    <w:rsid w:val="00F05659"/>
    <w:rsid w:val="00F05C16"/>
    <w:rsid w:val="00F0705C"/>
    <w:rsid w:val="00F07C11"/>
    <w:rsid w:val="00F102F6"/>
    <w:rsid w:val="00F10D2F"/>
    <w:rsid w:val="00F10FFA"/>
    <w:rsid w:val="00F1110A"/>
    <w:rsid w:val="00F1129C"/>
    <w:rsid w:val="00F1187C"/>
    <w:rsid w:val="00F1197A"/>
    <w:rsid w:val="00F1202A"/>
    <w:rsid w:val="00F1204F"/>
    <w:rsid w:val="00F12485"/>
    <w:rsid w:val="00F1283B"/>
    <w:rsid w:val="00F12B19"/>
    <w:rsid w:val="00F13735"/>
    <w:rsid w:val="00F13C67"/>
    <w:rsid w:val="00F13C90"/>
    <w:rsid w:val="00F14067"/>
    <w:rsid w:val="00F140B2"/>
    <w:rsid w:val="00F14538"/>
    <w:rsid w:val="00F14C7F"/>
    <w:rsid w:val="00F15071"/>
    <w:rsid w:val="00F150E0"/>
    <w:rsid w:val="00F15762"/>
    <w:rsid w:val="00F15A4A"/>
    <w:rsid w:val="00F16DDA"/>
    <w:rsid w:val="00F16F64"/>
    <w:rsid w:val="00F170E9"/>
    <w:rsid w:val="00F17714"/>
    <w:rsid w:val="00F17797"/>
    <w:rsid w:val="00F179C7"/>
    <w:rsid w:val="00F17E02"/>
    <w:rsid w:val="00F2001F"/>
    <w:rsid w:val="00F201D1"/>
    <w:rsid w:val="00F20D5D"/>
    <w:rsid w:val="00F20DF7"/>
    <w:rsid w:val="00F20F19"/>
    <w:rsid w:val="00F21396"/>
    <w:rsid w:val="00F21604"/>
    <w:rsid w:val="00F21F90"/>
    <w:rsid w:val="00F2240A"/>
    <w:rsid w:val="00F22764"/>
    <w:rsid w:val="00F228F8"/>
    <w:rsid w:val="00F22957"/>
    <w:rsid w:val="00F22EA0"/>
    <w:rsid w:val="00F23141"/>
    <w:rsid w:val="00F239AB"/>
    <w:rsid w:val="00F240C9"/>
    <w:rsid w:val="00F2443F"/>
    <w:rsid w:val="00F24A1A"/>
    <w:rsid w:val="00F24D86"/>
    <w:rsid w:val="00F259BE"/>
    <w:rsid w:val="00F25A0A"/>
    <w:rsid w:val="00F268A5"/>
    <w:rsid w:val="00F27756"/>
    <w:rsid w:val="00F27CDF"/>
    <w:rsid w:val="00F27EA0"/>
    <w:rsid w:val="00F27FEB"/>
    <w:rsid w:val="00F30305"/>
    <w:rsid w:val="00F309B5"/>
    <w:rsid w:val="00F31242"/>
    <w:rsid w:val="00F31786"/>
    <w:rsid w:val="00F31A71"/>
    <w:rsid w:val="00F31BBE"/>
    <w:rsid w:val="00F32C88"/>
    <w:rsid w:val="00F32FA9"/>
    <w:rsid w:val="00F33065"/>
    <w:rsid w:val="00F33091"/>
    <w:rsid w:val="00F333AC"/>
    <w:rsid w:val="00F33810"/>
    <w:rsid w:val="00F33B86"/>
    <w:rsid w:val="00F33F0C"/>
    <w:rsid w:val="00F33F45"/>
    <w:rsid w:val="00F34614"/>
    <w:rsid w:val="00F3473C"/>
    <w:rsid w:val="00F347A3"/>
    <w:rsid w:val="00F34BAB"/>
    <w:rsid w:val="00F34EF4"/>
    <w:rsid w:val="00F35885"/>
    <w:rsid w:val="00F367B9"/>
    <w:rsid w:val="00F36BC2"/>
    <w:rsid w:val="00F37242"/>
    <w:rsid w:val="00F37535"/>
    <w:rsid w:val="00F378D0"/>
    <w:rsid w:val="00F37D22"/>
    <w:rsid w:val="00F40217"/>
    <w:rsid w:val="00F4027B"/>
    <w:rsid w:val="00F403C8"/>
    <w:rsid w:val="00F4098F"/>
    <w:rsid w:val="00F40ABA"/>
    <w:rsid w:val="00F416F5"/>
    <w:rsid w:val="00F41731"/>
    <w:rsid w:val="00F41763"/>
    <w:rsid w:val="00F42303"/>
    <w:rsid w:val="00F4241D"/>
    <w:rsid w:val="00F42474"/>
    <w:rsid w:val="00F42C4B"/>
    <w:rsid w:val="00F42EB1"/>
    <w:rsid w:val="00F42F58"/>
    <w:rsid w:val="00F43D8E"/>
    <w:rsid w:val="00F43FD4"/>
    <w:rsid w:val="00F4480D"/>
    <w:rsid w:val="00F44963"/>
    <w:rsid w:val="00F453BF"/>
    <w:rsid w:val="00F45414"/>
    <w:rsid w:val="00F45416"/>
    <w:rsid w:val="00F45453"/>
    <w:rsid w:val="00F45869"/>
    <w:rsid w:val="00F45D1B"/>
    <w:rsid w:val="00F45F2F"/>
    <w:rsid w:val="00F4601B"/>
    <w:rsid w:val="00F462CE"/>
    <w:rsid w:val="00F462DC"/>
    <w:rsid w:val="00F46802"/>
    <w:rsid w:val="00F46E54"/>
    <w:rsid w:val="00F47848"/>
    <w:rsid w:val="00F500B1"/>
    <w:rsid w:val="00F50464"/>
    <w:rsid w:val="00F50E31"/>
    <w:rsid w:val="00F517A0"/>
    <w:rsid w:val="00F51CCF"/>
    <w:rsid w:val="00F51F44"/>
    <w:rsid w:val="00F521AC"/>
    <w:rsid w:val="00F52358"/>
    <w:rsid w:val="00F5287F"/>
    <w:rsid w:val="00F52F7A"/>
    <w:rsid w:val="00F54222"/>
    <w:rsid w:val="00F54702"/>
    <w:rsid w:val="00F54790"/>
    <w:rsid w:val="00F54A05"/>
    <w:rsid w:val="00F54FA6"/>
    <w:rsid w:val="00F5549C"/>
    <w:rsid w:val="00F55887"/>
    <w:rsid w:val="00F56F13"/>
    <w:rsid w:val="00F571D9"/>
    <w:rsid w:val="00F57230"/>
    <w:rsid w:val="00F57373"/>
    <w:rsid w:val="00F573E7"/>
    <w:rsid w:val="00F578F2"/>
    <w:rsid w:val="00F57D30"/>
    <w:rsid w:val="00F57FF4"/>
    <w:rsid w:val="00F605AE"/>
    <w:rsid w:val="00F60962"/>
    <w:rsid w:val="00F60D71"/>
    <w:rsid w:val="00F60E90"/>
    <w:rsid w:val="00F6143F"/>
    <w:rsid w:val="00F61634"/>
    <w:rsid w:val="00F61675"/>
    <w:rsid w:val="00F61B8F"/>
    <w:rsid w:val="00F61D9F"/>
    <w:rsid w:val="00F625BB"/>
    <w:rsid w:val="00F62DF6"/>
    <w:rsid w:val="00F62FE9"/>
    <w:rsid w:val="00F6486B"/>
    <w:rsid w:val="00F64BE0"/>
    <w:rsid w:val="00F650CC"/>
    <w:rsid w:val="00F651EE"/>
    <w:rsid w:val="00F6555B"/>
    <w:rsid w:val="00F65588"/>
    <w:rsid w:val="00F65DF0"/>
    <w:rsid w:val="00F65E30"/>
    <w:rsid w:val="00F673BF"/>
    <w:rsid w:val="00F67713"/>
    <w:rsid w:val="00F67D48"/>
    <w:rsid w:val="00F70383"/>
    <w:rsid w:val="00F70C7E"/>
    <w:rsid w:val="00F71168"/>
    <w:rsid w:val="00F7144F"/>
    <w:rsid w:val="00F71D01"/>
    <w:rsid w:val="00F71F2A"/>
    <w:rsid w:val="00F724D1"/>
    <w:rsid w:val="00F72688"/>
    <w:rsid w:val="00F73520"/>
    <w:rsid w:val="00F7368C"/>
    <w:rsid w:val="00F739C1"/>
    <w:rsid w:val="00F74144"/>
    <w:rsid w:val="00F7456F"/>
    <w:rsid w:val="00F745F6"/>
    <w:rsid w:val="00F74AB3"/>
    <w:rsid w:val="00F74ACB"/>
    <w:rsid w:val="00F74C90"/>
    <w:rsid w:val="00F752C1"/>
    <w:rsid w:val="00F755D4"/>
    <w:rsid w:val="00F75778"/>
    <w:rsid w:val="00F75FF2"/>
    <w:rsid w:val="00F7613F"/>
    <w:rsid w:val="00F7618F"/>
    <w:rsid w:val="00F761BB"/>
    <w:rsid w:val="00F7620C"/>
    <w:rsid w:val="00F76E57"/>
    <w:rsid w:val="00F77CB0"/>
    <w:rsid w:val="00F77F59"/>
    <w:rsid w:val="00F80A75"/>
    <w:rsid w:val="00F80F51"/>
    <w:rsid w:val="00F812ED"/>
    <w:rsid w:val="00F814EE"/>
    <w:rsid w:val="00F8248B"/>
    <w:rsid w:val="00F824AD"/>
    <w:rsid w:val="00F82832"/>
    <w:rsid w:val="00F82ECB"/>
    <w:rsid w:val="00F8374D"/>
    <w:rsid w:val="00F83EB5"/>
    <w:rsid w:val="00F84080"/>
    <w:rsid w:val="00F84134"/>
    <w:rsid w:val="00F846A9"/>
    <w:rsid w:val="00F84A14"/>
    <w:rsid w:val="00F85115"/>
    <w:rsid w:val="00F8533F"/>
    <w:rsid w:val="00F85857"/>
    <w:rsid w:val="00F85A35"/>
    <w:rsid w:val="00F85E7B"/>
    <w:rsid w:val="00F85F5E"/>
    <w:rsid w:val="00F8601D"/>
    <w:rsid w:val="00F860D7"/>
    <w:rsid w:val="00F8639D"/>
    <w:rsid w:val="00F867F1"/>
    <w:rsid w:val="00F87EF6"/>
    <w:rsid w:val="00F901F7"/>
    <w:rsid w:val="00F90243"/>
    <w:rsid w:val="00F90425"/>
    <w:rsid w:val="00F9051B"/>
    <w:rsid w:val="00F90C6A"/>
    <w:rsid w:val="00F92724"/>
    <w:rsid w:val="00F935C3"/>
    <w:rsid w:val="00F93798"/>
    <w:rsid w:val="00F93970"/>
    <w:rsid w:val="00F93D9D"/>
    <w:rsid w:val="00F942EF"/>
    <w:rsid w:val="00F948D7"/>
    <w:rsid w:val="00F94FFC"/>
    <w:rsid w:val="00F95B06"/>
    <w:rsid w:val="00F95F98"/>
    <w:rsid w:val="00F96558"/>
    <w:rsid w:val="00F9657D"/>
    <w:rsid w:val="00F96909"/>
    <w:rsid w:val="00F96B77"/>
    <w:rsid w:val="00FA02C7"/>
    <w:rsid w:val="00FA0373"/>
    <w:rsid w:val="00FA1078"/>
    <w:rsid w:val="00FA13AC"/>
    <w:rsid w:val="00FA1620"/>
    <w:rsid w:val="00FA16B9"/>
    <w:rsid w:val="00FA1A9F"/>
    <w:rsid w:val="00FA2BBB"/>
    <w:rsid w:val="00FA2DED"/>
    <w:rsid w:val="00FA2EEA"/>
    <w:rsid w:val="00FA3DC8"/>
    <w:rsid w:val="00FA497B"/>
    <w:rsid w:val="00FA576E"/>
    <w:rsid w:val="00FA5ACC"/>
    <w:rsid w:val="00FA5B55"/>
    <w:rsid w:val="00FA5F0E"/>
    <w:rsid w:val="00FA655A"/>
    <w:rsid w:val="00FA6651"/>
    <w:rsid w:val="00FA6670"/>
    <w:rsid w:val="00FA6AA6"/>
    <w:rsid w:val="00FA7176"/>
    <w:rsid w:val="00FA7306"/>
    <w:rsid w:val="00FA7343"/>
    <w:rsid w:val="00FA7E4E"/>
    <w:rsid w:val="00FB0DCE"/>
    <w:rsid w:val="00FB18D0"/>
    <w:rsid w:val="00FB1B24"/>
    <w:rsid w:val="00FB1B4E"/>
    <w:rsid w:val="00FB1B9C"/>
    <w:rsid w:val="00FB1E56"/>
    <w:rsid w:val="00FB217F"/>
    <w:rsid w:val="00FB260E"/>
    <w:rsid w:val="00FB26C7"/>
    <w:rsid w:val="00FB3225"/>
    <w:rsid w:val="00FB46CC"/>
    <w:rsid w:val="00FB475A"/>
    <w:rsid w:val="00FB4B93"/>
    <w:rsid w:val="00FB4FD3"/>
    <w:rsid w:val="00FB51CA"/>
    <w:rsid w:val="00FB52D8"/>
    <w:rsid w:val="00FB5ABA"/>
    <w:rsid w:val="00FB717B"/>
    <w:rsid w:val="00FB7B88"/>
    <w:rsid w:val="00FC0115"/>
    <w:rsid w:val="00FC0A41"/>
    <w:rsid w:val="00FC0FBF"/>
    <w:rsid w:val="00FC1B2D"/>
    <w:rsid w:val="00FC1C2D"/>
    <w:rsid w:val="00FC2625"/>
    <w:rsid w:val="00FC27BB"/>
    <w:rsid w:val="00FC2B68"/>
    <w:rsid w:val="00FC2C64"/>
    <w:rsid w:val="00FC3B9F"/>
    <w:rsid w:val="00FC3E2A"/>
    <w:rsid w:val="00FC3E68"/>
    <w:rsid w:val="00FC50DB"/>
    <w:rsid w:val="00FC5C2B"/>
    <w:rsid w:val="00FC63F3"/>
    <w:rsid w:val="00FC6621"/>
    <w:rsid w:val="00FC66E0"/>
    <w:rsid w:val="00FC747C"/>
    <w:rsid w:val="00FC793E"/>
    <w:rsid w:val="00FC7AB1"/>
    <w:rsid w:val="00FD03A8"/>
    <w:rsid w:val="00FD069E"/>
    <w:rsid w:val="00FD0E0D"/>
    <w:rsid w:val="00FD1730"/>
    <w:rsid w:val="00FD1FEA"/>
    <w:rsid w:val="00FD250C"/>
    <w:rsid w:val="00FD29BF"/>
    <w:rsid w:val="00FD2DA5"/>
    <w:rsid w:val="00FD3323"/>
    <w:rsid w:val="00FD4591"/>
    <w:rsid w:val="00FD5140"/>
    <w:rsid w:val="00FD51B6"/>
    <w:rsid w:val="00FD56DD"/>
    <w:rsid w:val="00FD5881"/>
    <w:rsid w:val="00FD5DAB"/>
    <w:rsid w:val="00FD652C"/>
    <w:rsid w:val="00FD6867"/>
    <w:rsid w:val="00FD6E77"/>
    <w:rsid w:val="00FD6F43"/>
    <w:rsid w:val="00FD79F4"/>
    <w:rsid w:val="00FD7B05"/>
    <w:rsid w:val="00FD7E3B"/>
    <w:rsid w:val="00FD7FD5"/>
    <w:rsid w:val="00FE05F3"/>
    <w:rsid w:val="00FE0972"/>
    <w:rsid w:val="00FE0BD8"/>
    <w:rsid w:val="00FE17DF"/>
    <w:rsid w:val="00FE1A26"/>
    <w:rsid w:val="00FE1BB1"/>
    <w:rsid w:val="00FE22D0"/>
    <w:rsid w:val="00FE2D6A"/>
    <w:rsid w:val="00FE301E"/>
    <w:rsid w:val="00FE34DE"/>
    <w:rsid w:val="00FE3951"/>
    <w:rsid w:val="00FE3A6A"/>
    <w:rsid w:val="00FE4A53"/>
    <w:rsid w:val="00FE4BE4"/>
    <w:rsid w:val="00FE4E4B"/>
    <w:rsid w:val="00FE59E2"/>
    <w:rsid w:val="00FE5A4D"/>
    <w:rsid w:val="00FE63BF"/>
    <w:rsid w:val="00FE64B3"/>
    <w:rsid w:val="00FE6A86"/>
    <w:rsid w:val="00FE6B3C"/>
    <w:rsid w:val="00FE72D4"/>
    <w:rsid w:val="00FE7576"/>
    <w:rsid w:val="00FE7C6C"/>
    <w:rsid w:val="00FF02C0"/>
    <w:rsid w:val="00FF03AE"/>
    <w:rsid w:val="00FF0459"/>
    <w:rsid w:val="00FF0485"/>
    <w:rsid w:val="00FF0496"/>
    <w:rsid w:val="00FF06A7"/>
    <w:rsid w:val="00FF072C"/>
    <w:rsid w:val="00FF092D"/>
    <w:rsid w:val="00FF0AD2"/>
    <w:rsid w:val="00FF0CBD"/>
    <w:rsid w:val="00FF1032"/>
    <w:rsid w:val="00FF1488"/>
    <w:rsid w:val="00FF1539"/>
    <w:rsid w:val="00FF15C8"/>
    <w:rsid w:val="00FF16B0"/>
    <w:rsid w:val="00FF1CDA"/>
    <w:rsid w:val="00FF24A0"/>
    <w:rsid w:val="00FF26F6"/>
    <w:rsid w:val="00FF2F00"/>
    <w:rsid w:val="00FF3431"/>
    <w:rsid w:val="00FF371A"/>
    <w:rsid w:val="00FF3E3A"/>
    <w:rsid w:val="00FF4134"/>
    <w:rsid w:val="00FF497A"/>
    <w:rsid w:val="00FF4ABC"/>
    <w:rsid w:val="00FF5161"/>
    <w:rsid w:val="00FF569C"/>
    <w:rsid w:val="00FF57FB"/>
    <w:rsid w:val="00FF584C"/>
    <w:rsid w:val="00FF6791"/>
    <w:rsid w:val="00FF6943"/>
    <w:rsid w:val="00FF6D39"/>
    <w:rsid w:val="00FF6EA9"/>
    <w:rsid w:val="00FF7155"/>
    <w:rsid w:val="00FF740C"/>
    <w:rsid w:val="00FF74FF"/>
    <w:rsid w:val="00FF7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84F49"/>
  <w14:defaultImageDpi w14:val="96"/>
  <w15:docId w15:val="{EEF84307-7E62-4D4F-89B9-BB870652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qFormat="1"/>
    <w:lsdException w:name="caption" w:semiHidden="1" w:uiPriority="35" w:unhideWhenUsed="1" w:qFormat="1"/>
    <w:lsdException w:name="footnote reference" w:qFormat="1"/>
    <w:lsdException w:name="page number" w:semiHidden="1" w:uiPriority="0" w:unhideWhenUsed="1"/>
    <w:lsdException w:name="List Number" w:semiHidden="1" w:unhideWhenUsed="1"/>
    <w:lsdException w:name="List 4" w:semiHidden="1" w:unhideWhenUsed="1"/>
    <w:lsdException w:name="List 5" w:semiHidden="1" w:unhideWhenUsed="1"/>
    <w:lsdException w:name="List Bullet 2" w:semiHidden="1" w:uiPriority="0"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C7E"/>
    <w:rPr>
      <w:rFonts w:ascii="Times New Roman" w:hAnsi="Times New Roman" w:cs="Times New Roman"/>
      <w:szCs w:val="36"/>
    </w:rPr>
  </w:style>
  <w:style w:type="paragraph" w:styleId="Nadpis1">
    <w:name w:val="heading 1"/>
    <w:basedOn w:val="Normlny"/>
    <w:next w:val="Normlny"/>
    <w:link w:val="Nadpis1Char"/>
    <w:qFormat/>
    <w:rsid w:val="003A760D"/>
    <w:pPr>
      <w:keepNext/>
      <w:keepLines/>
      <w:numPr>
        <w:numId w:val="1"/>
      </w:numPr>
      <w:outlineLvl w:val="0"/>
    </w:pPr>
    <w:rPr>
      <w:rFonts w:eastAsiaTheme="majorEastAsia"/>
      <w:b/>
      <w:bCs/>
      <w:sz w:val="26"/>
      <w:szCs w:val="26"/>
    </w:rPr>
  </w:style>
  <w:style w:type="paragraph" w:styleId="Nadpis2">
    <w:name w:val="heading 2"/>
    <w:basedOn w:val="Normlny"/>
    <w:next w:val="Normlny"/>
    <w:link w:val="Nadpis2Char"/>
    <w:unhideWhenUsed/>
    <w:qFormat/>
    <w:rsid w:val="00AA46C8"/>
    <w:pPr>
      <w:keepNext/>
      <w:keepLines/>
      <w:numPr>
        <w:ilvl w:val="1"/>
        <w:numId w:val="7"/>
      </w:numPr>
      <w:spacing w:before="200" w:after="120" w:line="336" w:lineRule="auto"/>
      <w:outlineLvl w:val="1"/>
    </w:pPr>
    <w:rPr>
      <w:b/>
      <w:bCs/>
      <w:sz w:val="24"/>
      <w:szCs w:val="24"/>
    </w:rPr>
  </w:style>
  <w:style w:type="paragraph" w:styleId="Nadpis3">
    <w:name w:val="heading 3"/>
    <w:basedOn w:val="Odsekzoznamu"/>
    <w:next w:val="Normlny"/>
    <w:link w:val="Nadpis3Char"/>
    <w:uiPriority w:val="9"/>
    <w:qFormat/>
    <w:rsid w:val="00AA46C8"/>
    <w:pPr>
      <w:numPr>
        <w:ilvl w:val="2"/>
        <w:numId w:val="10"/>
      </w:numPr>
      <w:spacing w:before="120" w:after="120" w:line="336" w:lineRule="auto"/>
      <w:jc w:val="both"/>
      <w:outlineLvl w:val="2"/>
    </w:pPr>
    <w:rPr>
      <w:rFonts w:eastAsiaTheme="majorEastAsia" w:cs="Times New Roman"/>
      <w:b/>
      <w:lang w:eastAsia="en-US"/>
    </w:rPr>
  </w:style>
  <w:style w:type="paragraph" w:styleId="Nadpis4">
    <w:name w:val="heading 4"/>
    <w:basedOn w:val="Normlny"/>
    <w:next w:val="Normlny"/>
    <w:link w:val="Nadpis4Char"/>
    <w:unhideWhenUsed/>
    <w:qFormat/>
    <w:rsid w:val="000F366E"/>
    <w:pPr>
      <w:spacing w:after="0" w:line="360" w:lineRule="auto"/>
      <w:jc w:val="both"/>
      <w:outlineLvl w:val="3"/>
    </w:pPr>
    <w:rPr>
      <w:b/>
      <w:sz w:val="24"/>
      <w:szCs w:val="24"/>
    </w:rPr>
  </w:style>
  <w:style w:type="paragraph" w:styleId="Nadpis5">
    <w:name w:val="heading 5"/>
    <w:basedOn w:val="Normlny"/>
    <w:next w:val="Normlny"/>
    <w:link w:val="Nadpis5Char"/>
    <w:qFormat/>
    <w:rsid w:val="003F1365"/>
    <w:pPr>
      <w:keepNext/>
      <w:tabs>
        <w:tab w:val="num" w:pos="1008"/>
      </w:tabs>
      <w:spacing w:after="0" w:line="240" w:lineRule="auto"/>
      <w:ind w:left="1008" w:hanging="1008"/>
      <w:jc w:val="center"/>
      <w:outlineLvl w:val="4"/>
    </w:pPr>
    <w:rPr>
      <w:b/>
      <w:bCs/>
      <w:sz w:val="20"/>
      <w:szCs w:val="20"/>
      <w:lang w:eastAsia="cs-CZ"/>
    </w:rPr>
  </w:style>
  <w:style w:type="paragraph" w:styleId="Nadpis6">
    <w:name w:val="heading 6"/>
    <w:basedOn w:val="Normlny"/>
    <w:next w:val="Normlny"/>
    <w:link w:val="Nadpis6Char"/>
    <w:qFormat/>
    <w:rsid w:val="003F1365"/>
    <w:pPr>
      <w:tabs>
        <w:tab w:val="num" w:pos="1152"/>
      </w:tabs>
      <w:spacing w:before="240" w:after="60" w:line="240" w:lineRule="auto"/>
      <w:ind w:left="1152" w:hanging="1152"/>
      <w:outlineLvl w:val="5"/>
    </w:pPr>
    <w:rPr>
      <w:b/>
      <w:bCs/>
      <w:sz w:val="20"/>
      <w:szCs w:val="22"/>
    </w:rPr>
  </w:style>
  <w:style w:type="paragraph" w:styleId="Nadpis7">
    <w:name w:val="heading 7"/>
    <w:basedOn w:val="Normlny"/>
    <w:next w:val="Normlny"/>
    <w:link w:val="Nadpis7Char"/>
    <w:qFormat/>
    <w:rsid w:val="003F1365"/>
    <w:pPr>
      <w:tabs>
        <w:tab w:val="num" w:pos="1296"/>
      </w:tabs>
      <w:spacing w:before="240" w:after="60" w:line="240" w:lineRule="auto"/>
      <w:ind w:left="1296" w:hanging="1296"/>
      <w:outlineLvl w:val="6"/>
    </w:pPr>
    <w:rPr>
      <w:sz w:val="24"/>
      <w:szCs w:val="24"/>
    </w:rPr>
  </w:style>
  <w:style w:type="paragraph" w:styleId="Nadpis8">
    <w:name w:val="heading 8"/>
    <w:basedOn w:val="Normlny"/>
    <w:next w:val="Normlny"/>
    <w:link w:val="Nadpis8Char"/>
    <w:qFormat/>
    <w:rsid w:val="003F1365"/>
    <w:pPr>
      <w:tabs>
        <w:tab w:val="num" w:pos="1440"/>
      </w:tabs>
      <w:spacing w:before="240" w:after="60" w:line="240" w:lineRule="auto"/>
      <w:ind w:left="1440" w:hanging="1440"/>
      <w:outlineLvl w:val="7"/>
    </w:pPr>
    <w:rPr>
      <w:i/>
      <w:iCs/>
      <w:sz w:val="24"/>
      <w:szCs w:val="24"/>
    </w:rPr>
  </w:style>
  <w:style w:type="paragraph" w:styleId="Nadpis9">
    <w:name w:val="heading 9"/>
    <w:basedOn w:val="Normlny"/>
    <w:next w:val="Normlny"/>
    <w:link w:val="Nadpis9Char"/>
    <w:qFormat/>
    <w:rsid w:val="003F1365"/>
    <w:pPr>
      <w:tabs>
        <w:tab w:val="num" w:pos="1584"/>
      </w:tabs>
      <w:spacing w:before="240" w:after="60" w:line="240" w:lineRule="auto"/>
      <w:ind w:left="1584" w:hanging="1584"/>
      <w:outlineLvl w:val="8"/>
    </w:pPr>
    <w:rPr>
      <w:rFonts w:ascii="Arial" w:hAnsi="Arial"/>
      <w:sz w:val="20"/>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3A760D"/>
    <w:rPr>
      <w:rFonts w:ascii="Times New Roman" w:eastAsiaTheme="majorEastAsia" w:hAnsi="Times New Roman" w:cs="Times New Roman"/>
      <w:b/>
      <w:bCs/>
      <w:sz w:val="26"/>
      <w:szCs w:val="26"/>
    </w:rPr>
  </w:style>
  <w:style w:type="character" w:customStyle="1" w:styleId="Nadpis2Char">
    <w:name w:val="Nadpis 2 Char"/>
    <w:basedOn w:val="Predvolenpsmoodseku"/>
    <w:link w:val="Nadpis2"/>
    <w:locked/>
    <w:rsid w:val="00AA46C8"/>
    <w:rPr>
      <w:rFonts w:ascii="Times New Roman" w:hAnsi="Times New Roman" w:cs="Times New Roman"/>
      <w:b/>
      <w:bCs/>
      <w:sz w:val="24"/>
      <w:szCs w:val="24"/>
    </w:rPr>
  </w:style>
  <w:style w:type="character" w:customStyle="1" w:styleId="Nadpis3Char">
    <w:name w:val="Nadpis 3 Char"/>
    <w:basedOn w:val="Predvolenpsmoodseku"/>
    <w:link w:val="Nadpis3"/>
    <w:uiPriority w:val="9"/>
    <w:locked/>
    <w:rsid w:val="00AA46C8"/>
    <w:rPr>
      <w:rFonts w:ascii="Times New Roman" w:eastAsiaTheme="majorEastAsia" w:hAnsi="Times New Roman" w:cs="Times New Roman"/>
      <w:b/>
    </w:rPr>
  </w:style>
  <w:style w:type="character" w:customStyle="1" w:styleId="Nadpis4Char">
    <w:name w:val="Nadpis 4 Char"/>
    <w:basedOn w:val="Predvolenpsmoodseku"/>
    <w:link w:val="Nadpis4"/>
    <w:locked/>
    <w:rsid w:val="000F366E"/>
    <w:rPr>
      <w:rFonts w:ascii="Times New Roman" w:hAnsi="Times New Roman" w:cs="Times New Roman"/>
      <w:b/>
      <w:sz w:val="24"/>
      <w:szCs w:val="24"/>
    </w:rPr>
  </w:style>
  <w:style w:type="character" w:customStyle="1" w:styleId="Nadpis5Char">
    <w:name w:val="Nadpis 5 Char"/>
    <w:basedOn w:val="Predvolenpsmoodseku"/>
    <w:link w:val="Nadpis5"/>
    <w:locked/>
    <w:rsid w:val="003F1365"/>
    <w:rPr>
      <w:rFonts w:ascii="Times New Roman" w:hAnsi="Times New Roman" w:cs="Times New Roman"/>
      <w:b/>
      <w:bCs/>
      <w:sz w:val="20"/>
      <w:szCs w:val="20"/>
      <w:lang w:val="x-none" w:eastAsia="cs-CZ"/>
    </w:rPr>
  </w:style>
  <w:style w:type="character" w:customStyle="1" w:styleId="Nadpis6Char">
    <w:name w:val="Nadpis 6 Char"/>
    <w:basedOn w:val="Predvolenpsmoodseku"/>
    <w:link w:val="Nadpis6"/>
    <w:locked/>
    <w:rsid w:val="003F1365"/>
    <w:rPr>
      <w:rFonts w:ascii="Times New Roman" w:hAnsi="Times New Roman" w:cs="Times New Roman"/>
      <w:b/>
      <w:bCs/>
      <w:sz w:val="22"/>
      <w:szCs w:val="22"/>
      <w:lang w:val="x-none" w:eastAsia="x-none"/>
    </w:rPr>
  </w:style>
  <w:style w:type="character" w:customStyle="1" w:styleId="Nadpis7Char">
    <w:name w:val="Nadpis 7 Char"/>
    <w:basedOn w:val="Predvolenpsmoodseku"/>
    <w:link w:val="Nadpis7"/>
    <w:locked/>
    <w:rsid w:val="003F1365"/>
    <w:rPr>
      <w:rFonts w:ascii="Times New Roman" w:hAnsi="Times New Roman" w:cs="Times New Roman"/>
      <w:sz w:val="24"/>
      <w:szCs w:val="24"/>
      <w:lang w:val="x-none" w:eastAsia="x-none"/>
    </w:rPr>
  </w:style>
  <w:style w:type="character" w:customStyle="1" w:styleId="Nadpis8Char">
    <w:name w:val="Nadpis 8 Char"/>
    <w:basedOn w:val="Predvolenpsmoodseku"/>
    <w:link w:val="Nadpis8"/>
    <w:locked/>
    <w:rsid w:val="003F1365"/>
    <w:rPr>
      <w:rFonts w:ascii="Times New Roman" w:hAnsi="Times New Roman" w:cs="Times New Roman"/>
      <w:i/>
      <w:iCs/>
      <w:sz w:val="24"/>
      <w:szCs w:val="24"/>
      <w:lang w:val="x-none" w:eastAsia="x-none"/>
    </w:rPr>
  </w:style>
  <w:style w:type="character" w:customStyle="1" w:styleId="Nadpis9Char">
    <w:name w:val="Nadpis 9 Char"/>
    <w:basedOn w:val="Predvolenpsmoodseku"/>
    <w:link w:val="Nadpis9"/>
    <w:locked/>
    <w:rsid w:val="003F1365"/>
    <w:rPr>
      <w:rFonts w:ascii="Arial" w:hAnsi="Arial" w:cs="Times New Roman"/>
      <w:sz w:val="22"/>
      <w:szCs w:val="22"/>
      <w:lang w:val="x-none" w:eastAsia="x-none"/>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 Char Char Char Char Char,Plonk,f"/>
    <w:basedOn w:val="Normlny"/>
    <w:link w:val="TextpoznmkypodiarouChar"/>
    <w:unhideWhenUsed/>
    <w:qFormat/>
    <w:rsid w:val="007304A5"/>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Plonk Char,f Char"/>
    <w:basedOn w:val="Predvolenpsmoodseku"/>
    <w:link w:val="Textpoznmkypodiarou"/>
    <w:locked/>
    <w:rsid w:val="007304A5"/>
    <w:rPr>
      <w:rFonts w:cs="Times New Roman"/>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7304A5"/>
    <w:rPr>
      <w:rFonts w:cs="Times New Roman"/>
      <w:vertAlign w:val="superscript"/>
    </w:rPr>
  </w:style>
  <w:style w:type="paragraph" w:styleId="Hlavika">
    <w:name w:val="header"/>
    <w:basedOn w:val="Normlny"/>
    <w:link w:val="HlavikaChar"/>
    <w:uiPriority w:val="99"/>
    <w:unhideWhenUsed/>
    <w:rsid w:val="00B200F2"/>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B200F2"/>
    <w:rPr>
      <w:rFonts w:cs="Times New Roman"/>
    </w:rPr>
  </w:style>
  <w:style w:type="paragraph" w:styleId="Pta">
    <w:name w:val="footer"/>
    <w:basedOn w:val="Normlny"/>
    <w:link w:val="PtaChar"/>
    <w:uiPriority w:val="99"/>
    <w:unhideWhenUsed/>
    <w:rsid w:val="00B200F2"/>
    <w:pPr>
      <w:tabs>
        <w:tab w:val="center" w:pos="4536"/>
        <w:tab w:val="right" w:pos="9072"/>
      </w:tabs>
      <w:spacing w:after="0" w:line="240" w:lineRule="auto"/>
    </w:pPr>
  </w:style>
  <w:style w:type="character" w:customStyle="1" w:styleId="PtaChar">
    <w:name w:val="Päta Char"/>
    <w:basedOn w:val="Predvolenpsmoodseku"/>
    <w:link w:val="Pta"/>
    <w:uiPriority w:val="99"/>
    <w:locked/>
    <w:rsid w:val="00B200F2"/>
    <w:rPr>
      <w:rFonts w:cs="Times New Roman"/>
    </w:rPr>
  </w:style>
  <w:style w:type="paragraph" w:customStyle="1" w:styleId="NormalList">
    <w:name w:val="NormalList"/>
    <w:basedOn w:val="Normlny"/>
    <w:qFormat/>
    <w:rsid w:val="006B3B40"/>
    <w:pPr>
      <w:spacing w:after="0" w:line="240" w:lineRule="auto"/>
      <w:jc w:val="both"/>
    </w:pPr>
    <w:rPr>
      <w:rFonts w:cs="Book Antiqua"/>
      <w:szCs w:val="22"/>
    </w:rPr>
  </w:style>
  <w:style w:type="paragraph" w:styleId="Odsekzoznamu">
    <w:name w:val="List Paragraph"/>
    <w:aliases w:val="body,Odsek zoznamu2,Odsek,Odražka 1,List Paragraph,Farebný zoznam – zvýraznenie 11,lp1,a-OdsekNormal,Lettre d'introduction,Paragrafo elenco,List Paragraph1,1st level - Bullet List Paragraph,Odsek zoznamu21,Colorful List - Accent 11"/>
    <w:basedOn w:val="Normlny"/>
    <w:link w:val="OdsekzoznamuChar"/>
    <w:uiPriority w:val="34"/>
    <w:qFormat/>
    <w:rsid w:val="006B3B40"/>
    <w:pPr>
      <w:spacing w:after="0" w:line="240" w:lineRule="auto"/>
      <w:ind w:left="720"/>
      <w:contextualSpacing/>
    </w:pPr>
    <w:rPr>
      <w:rFonts w:cs="Book Antiqua"/>
      <w:szCs w:val="22"/>
      <w:lang w:eastAsia="sk-SK"/>
    </w:rPr>
  </w:style>
  <w:style w:type="character" w:styleId="Odkaznakomentr">
    <w:name w:val="annotation reference"/>
    <w:basedOn w:val="Predvolenpsmoodseku"/>
    <w:uiPriority w:val="99"/>
    <w:semiHidden/>
    <w:unhideWhenUsed/>
    <w:rsid w:val="006752EF"/>
    <w:rPr>
      <w:rFonts w:cs="Times New Roman"/>
      <w:sz w:val="16"/>
      <w:szCs w:val="16"/>
    </w:rPr>
  </w:style>
  <w:style w:type="paragraph" w:styleId="Textkomentra">
    <w:name w:val="annotation text"/>
    <w:basedOn w:val="Normlny"/>
    <w:link w:val="TextkomentraChar"/>
    <w:uiPriority w:val="99"/>
    <w:unhideWhenUsed/>
    <w:rsid w:val="006752EF"/>
    <w:pPr>
      <w:spacing w:after="0" w:line="240" w:lineRule="auto"/>
    </w:pPr>
    <w:rPr>
      <w:sz w:val="20"/>
      <w:szCs w:val="20"/>
      <w:lang w:eastAsia="sk-SK"/>
    </w:rPr>
  </w:style>
  <w:style w:type="character" w:customStyle="1" w:styleId="TextkomentraChar">
    <w:name w:val="Text komentára Char"/>
    <w:basedOn w:val="Predvolenpsmoodseku"/>
    <w:link w:val="Textkomentra"/>
    <w:uiPriority w:val="99"/>
    <w:locked/>
    <w:rsid w:val="006752EF"/>
    <w:rPr>
      <w:rFonts w:ascii="Times New Roman" w:hAnsi="Times New Roman" w:cs="Times New Roman"/>
      <w:sz w:val="20"/>
      <w:szCs w:val="20"/>
      <w:lang w:val="x-none" w:eastAsia="sk-SK"/>
    </w:rPr>
  </w:style>
  <w:style w:type="paragraph" w:styleId="Textbubliny">
    <w:name w:val="Balloon Text"/>
    <w:basedOn w:val="Normlny"/>
    <w:link w:val="TextbublinyChar"/>
    <w:uiPriority w:val="99"/>
    <w:semiHidden/>
    <w:unhideWhenUsed/>
    <w:rsid w:val="006752E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752EF"/>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9F701F"/>
    <w:pPr>
      <w:spacing w:after="200"/>
    </w:pPr>
    <w:rPr>
      <w:rFonts w:ascii="Arial Narrow" w:hAnsi="Arial Narrow"/>
      <w:b/>
      <w:bCs/>
      <w:lang w:eastAsia="en-US"/>
    </w:rPr>
  </w:style>
  <w:style w:type="character" w:customStyle="1" w:styleId="PredmetkomentraChar">
    <w:name w:val="Predmet komentára Char"/>
    <w:basedOn w:val="TextkomentraChar"/>
    <w:link w:val="Predmetkomentra"/>
    <w:uiPriority w:val="99"/>
    <w:semiHidden/>
    <w:locked/>
    <w:rsid w:val="009F701F"/>
    <w:rPr>
      <w:rFonts w:ascii="Times New Roman" w:hAnsi="Times New Roman" w:cs="Times New Roman"/>
      <w:b/>
      <w:bCs/>
      <w:sz w:val="20"/>
      <w:szCs w:val="20"/>
      <w:lang w:val="x-none" w:eastAsia="sk-SK"/>
    </w:rPr>
  </w:style>
  <w:style w:type="paragraph" w:styleId="Zkladntext">
    <w:name w:val="Body Text"/>
    <w:basedOn w:val="Normlny"/>
    <w:link w:val="ZkladntextChar"/>
    <w:rsid w:val="003A760D"/>
    <w:pPr>
      <w:spacing w:after="0" w:line="240" w:lineRule="auto"/>
      <w:jc w:val="both"/>
    </w:pPr>
    <w:rPr>
      <w:sz w:val="24"/>
      <w:szCs w:val="20"/>
      <w:lang w:eastAsia="cs-CZ"/>
    </w:rPr>
  </w:style>
  <w:style w:type="character" w:customStyle="1" w:styleId="ZkladntextChar">
    <w:name w:val="Základný text Char"/>
    <w:basedOn w:val="Predvolenpsmoodseku"/>
    <w:link w:val="Zkladntext"/>
    <w:locked/>
    <w:rsid w:val="003A760D"/>
    <w:rPr>
      <w:rFonts w:ascii="Times New Roman" w:hAnsi="Times New Roman" w:cs="Times New Roman"/>
      <w:sz w:val="20"/>
      <w:szCs w:val="20"/>
      <w:lang w:val="x-none" w:eastAsia="cs-CZ"/>
    </w:rPr>
  </w:style>
  <w:style w:type="paragraph" w:styleId="Revzia">
    <w:name w:val="Revision"/>
    <w:hidden/>
    <w:uiPriority w:val="99"/>
    <w:semiHidden/>
    <w:rsid w:val="003A760D"/>
    <w:pPr>
      <w:spacing w:after="0" w:line="240" w:lineRule="auto"/>
    </w:pPr>
    <w:rPr>
      <w:rFonts w:cs="Times New Roman"/>
      <w:szCs w:val="36"/>
    </w:rPr>
  </w:style>
  <w:style w:type="character" w:styleId="Vrazn">
    <w:name w:val="Strong"/>
    <w:basedOn w:val="Predvolenpsmoodseku"/>
    <w:uiPriority w:val="22"/>
    <w:qFormat/>
    <w:rsid w:val="00D072E8"/>
    <w:rPr>
      <w:rFonts w:cs="Times New Roman"/>
      <w:bCs/>
    </w:rPr>
  </w:style>
  <w:style w:type="character" w:customStyle="1" w:styleId="OdsekzoznamuChar">
    <w:name w:val="Odsek zoznamu Char"/>
    <w:aliases w:val="body Char,Odsek zoznamu2 Char,Odsek Char,Odražka 1 Char,List Paragraph Char,Farebný zoznam – zvýraznenie 11 Char,lp1 Char,a-OdsekNormal Char,Lettre d'introduction Char,Paragrafo elenco Char,List Paragraph1 Char,Odsek zoznamu21 Char"/>
    <w:link w:val="Odsekzoznamu"/>
    <w:uiPriority w:val="34"/>
    <w:qFormat/>
    <w:locked/>
    <w:rsid w:val="005D5220"/>
    <w:rPr>
      <w:rFonts w:eastAsia="Times New Roman"/>
      <w:sz w:val="22"/>
      <w:lang w:val="x-none" w:eastAsia="sk-SK"/>
    </w:rPr>
  </w:style>
  <w:style w:type="paragraph" w:customStyle="1" w:styleId="Pismenka">
    <w:name w:val="Pismenka"/>
    <w:basedOn w:val="Zkladntext"/>
    <w:uiPriority w:val="99"/>
    <w:rsid w:val="005D5220"/>
    <w:pPr>
      <w:tabs>
        <w:tab w:val="num" w:pos="426"/>
      </w:tabs>
      <w:ind w:left="426" w:hanging="426"/>
    </w:pPr>
    <w:rPr>
      <w:b/>
      <w:bCs/>
      <w:sz w:val="18"/>
      <w:szCs w:val="18"/>
      <w:lang w:eastAsia="sk-SK"/>
    </w:rPr>
  </w:style>
  <w:style w:type="paragraph" w:styleId="Bezriadkovania">
    <w:name w:val="No Spacing"/>
    <w:uiPriority w:val="1"/>
    <w:qFormat/>
    <w:rsid w:val="005D5220"/>
    <w:pPr>
      <w:spacing w:after="0" w:line="240" w:lineRule="auto"/>
    </w:pPr>
    <w:rPr>
      <w:rFonts w:cs="Times New Roman"/>
      <w:szCs w:val="36"/>
    </w:rPr>
  </w:style>
  <w:style w:type="paragraph" w:styleId="Normlnywebov">
    <w:name w:val="Normal (Web)"/>
    <w:basedOn w:val="Normlny"/>
    <w:uiPriority w:val="99"/>
    <w:unhideWhenUsed/>
    <w:rsid w:val="003F1365"/>
    <w:pPr>
      <w:spacing w:after="100" w:afterAutospacing="1" w:line="240" w:lineRule="auto"/>
    </w:pPr>
    <w:rPr>
      <w:sz w:val="24"/>
      <w:szCs w:val="24"/>
      <w:lang w:eastAsia="sk-SK"/>
    </w:rPr>
  </w:style>
  <w:style w:type="character" w:styleId="Hypertextovprepojenie">
    <w:name w:val="Hyperlink"/>
    <w:basedOn w:val="Predvolenpsmoodseku"/>
    <w:uiPriority w:val="99"/>
    <w:unhideWhenUsed/>
    <w:rsid w:val="003F1365"/>
    <w:rPr>
      <w:color w:val="9E150F"/>
      <w:u w:val="single"/>
    </w:rPr>
  </w:style>
  <w:style w:type="table" w:styleId="Mriekatabuky">
    <w:name w:val="Table Grid"/>
    <w:basedOn w:val="Normlnatabuka"/>
    <w:uiPriority w:val="39"/>
    <w:rsid w:val="003F1365"/>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3F1365"/>
  </w:style>
  <w:style w:type="paragraph" w:customStyle="1" w:styleId="Zkladntext1">
    <w:name w:val="Základní text1"/>
    <w:uiPriority w:val="99"/>
    <w:rsid w:val="003F1365"/>
    <w:pPr>
      <w:spacing w:before="144" w:after="144" w:line="240" w:lineRule="auto"/>
      <w:ind w:firstLine="709"/>
      <w:jc w:val="both"/>
    </w:pPr>
    <w:rPr>
      <w:rFonts w:ascii="Times New Roman" w:hAnsi="Times New Roman" w:cs="Times New Roman"/>
      <w:color w:val="000000"/>
      <w:sz w:val="24"/>
      <w:szCs w:val="24"/>
      <w:lang w:eastAsia="sk-SK"/>
    </w:rPr>
  </w:style>
  <w:style w:type="paragraph" w:customStyle="1" w:styleId="odstavec">
    <w:name w:val="odstavec"/>
    <w:basedOn w:val="Normlny"/>
    <w:autoRedefine/>
    <w:rsid w:val="003F1365"/>
    <w:pPr>
      <w:spacing w:after="0" w:line="240" w:lineRule="auto"/>
      <w:ind w:right="-79"/>
      <w:jc w:val="both"/>
    </w:pPr>
    <w:rPr>
      <w:sz w:val="20"/>
      <w:szCs w:val="24"/>
      <w:lang w:eastAsia="sk-SK"/>
    </w:rPr>
  </w:style>
  <w:style w:type="paragraph" w:customStyle="1" w:styleId="abc">
    <w:name w:val="abc"/>
    <w:basedOn w:val="Normlny"/>
    <w:autoRedefine/>
    <w:rsid w:val="003F1365"/>
    <w:pPr>
      <w:numPr>
        <w:numId w:val="3"/>
      </w:numPr>
      <w:spacing w:before="60" w:after="120" w:line="240" w:lineRule="auto"/>
      <w:jc w:val="both"/>
    </w:pPr>
    <w:rPr>
      <w:b/>
      <w:sz w:val="20"/>
      <w:szCs w:val="20"/>
      <w:lang w:eastAsia="sk-SK"/>
    </w:rPr>
  </w:style>
  <w:style w:type="character" w:customStyle="1" w:styleId="spanr">
    <w:name w:val="span_r"/>
    <w:basedOn w:val="Predvolenpsmoodseku"/>
    <w:rsid w:val="003F1365"/>
    <w:rPr>
      <w:rFonts w:cs="Times New Roman"/>
    </w:rPr>
  </w:style>
  <w:style w:type="paragraph" w:customStyle="1" w:styleId="CharChar1">
    <w:name w:val="Char Char1"/>
    <w:basedOn w:val="Normlny"/>
    <w:rsid w:val="003F1365"/>
    <w:pPr>
      <w:spacing w:after="160" w:line="240" w:lineRule="exact"/>
    </w:pPr>
    <w:rPr>
      <w:rFonts w:ascii="Tahoma" w:hAnsi="Tahoma"/>
      <w:sz w:val="20"/>
      <w:szCs w:val="20"/>
    </w:rPr>
  </w:style>
  <w:style w:type="character" w:customStyle="1" w:styleId="poradna-tl-reaguj1">
    <w:name w:val="poradna-tl-reaguj1"/>
    <w:rsid w:val="003F1365"/>
    <w:rPr>
      <w:color w:val="A55570"/>
      <w:sz w:val="20"/>
    </w:rPr>
  </w:style>
  <w:style w:type="paragraph" w:customStyle="1" w:styleId="Zakladnmtext">
    <w:name w:val="Z&lt;/a&gt;kladn&lt;/m&gt; text"/>
    <w:rsid w:val="003F1365"/>
    <w:pPr>
      <w:spacing w:after="0" w:line="240" w:lineRule="auto"/>
    </w:pPr>
    <w:rPr>
      <w:rFonts w:ascii="Times New Roman" w:hAnsi="Times New Roman" w:cs="Times New Roman"/>
      <w:color w:val="000000"/>
      <w:sz w:val="24"/>
      <w:szCs w:val="20"/>
      <w:lang w:val="en-US" w:eastAsia="sk-SK"/>
    </w:rPr>
  </w:style>
  <w:style w:type="paragraph" w:customStyle="1" w:styleId="Xadka">
    <w:name w:val="&lt;/X&gt;&lt;/a&gt;dka"/>
    <w:rsid w:val="003F1365"/>
    <w:pPr>
      <w:spacing w:after="0" w:line="240" w:lineRule="auto"/>
    </w:pPr>
    <w:rPr>
      <w:rFonts w:ascii="Times New Roman" w:hAnsi="Times New Roman" w:cs="Times New Roman"/>
      <w:color w:val="000000"/>
      <w:sz w:val="24"/>
      <w:szCs w:val="20"/>
      <w:lang w:val="en-US" w:eastAsia="sk-SK"/>
    </w:rPr>
  </w:style>
  <w:style w:type="paragraph" w:customStyle="1" w:styleId="Znahka">
    <w:name w:val="Zna&lt;/h&gt;ka"/>
    <w:rsid w:val="003F1365"/>
    <w:pPr>
      <w:spacing w:after="0" w:line="240" w:lineRule="auto"/>
      <w:ind w:left="288" w:hanging="288"/>
    </w:pPr>
    <w:rPr>
      <w:rFonts w:ascii="Times New Roman" w:hAnsi="Times New Roman" w:cs="Times New Roman"/>
      <w:color w:val="000000"/>
      <w:sz w:val="24"/>
      <w:szCs w:val="20"/>
      <w:lang w:val="en-US" w:eastAsia="sk-SK"/>
    </w:rPr>
  </w:style>
  <w:style w:type="paragraph" w:customStyle="1" w:styleId="Znahka1">
    <w:name w:val="Zna&lt;/h&gt;ka 1"/>
    <w:rsid w:val="003F1365"/>
    <w:pPr>
      <w:spacing w:after="0" w:line="240" w:lineRule="auto"/>
    </w:pPr>
    <w:rPr>
      <w:rFonts w:ascii="Times New Roman" w:hAnsi="Times New Roman" w:cs="Times New Roman"/>
      <w:color w:val="000000"/>
      <w:sz w:val="24"/>
      <w:szCs w:val="20"/>
      <w:lang w:val="en-US" w:eastAsia="sk-SK"/>
    </w:rPr>
  </w:style>
  <w:style w:type="paragraph" w:customStyle="1" w:styleId="Hmsloseznamu">
    <w:name w:val="&lt;/H&gt;&lt;/m&gt;slo seznamu"/>
    <w:rsid w:val="003F1365"/>
    <w:pPr>
      <w:tabs>
        <w:tab w:val="left" w:pos="576"/>
      </w:tabs>
      <w:spacing w:after="0" w:line="240" w:lineRule="auto"/>
    </w:pPr>
    <w:rPr>
      <w:rFonts w:ascii="Times New Roman" w:hAnsi="Times New Roman" w:cs="Times New Roman"/>
      <w:color w:val="000000"/>
      <w:sz w:val="24"/>
      <w:szCs w:val="20"/>
      <w:lang w:val="en-US" w:eastAsia="sk-SK"/>
    </w:rPr>
  </w:style>
  <w:style w:type="paragraph" w:customStyle="1" w:styleId="Podnadpis">
    <w:name w:val="Podnadpis"/>
    <w:rsid w:val="003F1365"/>
    <w:pPr>
      <w:spacing w:after="0" w:line="240" w:lineRule="auto"/>
    </w:pPr>
    <w:rPr>
      <w:rFonts w:ascii="Times New Roman" w:hAnsi="Times New Roman" w:cs="Times New Roman"/>
      <w:b/>
      <w:i/>
      <w:color w:val="000000"/>
      <w:sz w:val="24"/>
      <w:szCs w:val="20"/>
      <w:lang w:val="en-US" w:eastAsia="sk-SK"/>
    </w:rPr>
  </w:style>
  <w:style w:type="paragraph" w:customStyle="1" w:styleId="Nadpis">
    <w:name w:val="Nadpis"/>
    <w:rsid w:val="003F1365"/>
    <w:pPr>
      <w:spacing w:after="0" w:line="240" w:lineRule="auto"/>
      <w:jc w:val="center"/>
    </w:pPr>
    <w:rPr>
      <w:rFonts w:ascii="Arial" w:hAnsi="Arial" w:cs="Times New Roman"/>
      <w:b/>
      <w:color w:val="000000"/>
      <w:sz w:val="36"/>
      <w:szCs w:val="20"/>
      <w:lang w:val="en-US" w:eastAsia="sk-SK"/>
    </w:rPr>
  </w:style>
  <w:style w:type="paragraph" w:customStyle="1" w:styleId="Zahlavm">
    <w:name w:val="Z&lt;/a&gt;hlav&lt;/m&gt;"/>
    <w:rsid w:val="003F1365"/>
    <w:pPr>
      <w:spacing w:after="0" w:line="240" w:lineRule="auto"/>
    </w:pPr>
    <w:rPr>
      <w:rFonts w:ascii="Times New Roman" w:hAnsi="Times New Roman" w:cs="Times New Roman"/>
      <w:color w:val="000000"/>
      <w:sz w:val="24"/>
      <w:szCs w:val="20"/>
      <w:lang w:val="en-US" w:eastAsia="sk-SK"/>
    </w:rPr>
  </w:style>
  <w:style w:type="paragraph" w:customStyle="1" w:styleId="Pata">
    <w:name w:val="Pata"/>
    <w:rsid w:val="003F1365"/>
    <w:pPr>
      <w:spacing w:after="0" w:line="240" w:lineRule="auto"/>
    </w:pPr>
    <w:rPr>
      <w:rFonts w:ascii="Times New Roman" w:hAnsi="Times New Roman" w:cs="Times New Roman"/>
      <w:color w:val="000000"/>
      <w:sz w:val="24"/>
      <w:szCs w:val="20"/>
      <w:lang w:val="en-US" w:eastAsia="sk-SK"/>
    </w:rPr>
  </w:style>
  <w:style w:type="paragraph" w:customStyle="1" w:styleId="Texttabulky">
    <w:name w:val="Text tabulky"/>
    <w:rsid w:val="003F1365"/>
    <w:pPr>
      <w:spacing w:after="0" w:line="240" w:lineRule="auto"/>
    </w:pPr>
    <w:rPr>
      <w:rFonts w:ascii="Times New Roman" w:hAnsi="Times New Roman" w:cs="Times New Roman"/>
      <w:color w:val="000000"/>
      <w:sz w:val="24"/>
      <w:szCs w:val="20"/>
      <w:lang w:val="en-US" w:eastAsia="sk-SK"/>
    </w:rPr>
  </w:style>
  <w:style w:type="paragraph" w:customStyle="1" w:styleId="Zkladntext10">
    <w:name w:val="Základný text1"/>
    <w:rsid w:val="003F1365"/>
    <w:pPr>
      <w:spacing w:after="0" w:line="240" w:lineRule="auto"/>
    </w:pPr>
    <w:rPr>
      <w:rFonts w:ascii="Dutch801 SWC" w:hAnsi="Dutch801 SWC" w:cs="Times New Roman"/>
      <w:color w:val="000000"/>
      <w:sz w:val="24"/>
      <w:szCs w:val="20"/>
      <w:lang w:val="en-US" w:eastAsia="sk-SK"/>
    </w:rPr>
  </w:style>
  <w:style w:type="paragraph" w:customStyle="1" w:styleId="Zkladntext0">
    <w:name w:val="Základní text"/>
    <w:rsid w:val="003F1365"/>
    <w:pPr>
      <w:autoSpaceDE w:val="0"/>
      <w:autoSpaceDN w:val="0"/>
      <w:adjustRightInd w:val="0"/>
      <w:spacing w:after="0" w:line="240" w:lineRule="auto"/>
    </w:pPr>
    <w:rPr>
      <w:rFonts w:ascii="Times New Roman" w:hAnsi="Times New Roman" w:cs="Times New Roman"/>
      <w:color w:val="000000"/>
      <w:sz w:val="20"/>
      <w:szCs w:val="24"/>
      <w:lang w:eastAsia="sk-SK"/>
    </w:rPr>
  </w:style>
  <w:style w:type="paragraph" w:styleId="Zkladntext2">
    <w:name w:val="Body Text 2"/>
    <w:aliases w:val="Char, Char"/>
    <w:basedOn w:val="Normlny"/>
    <w:link w:val="Zkladntext2Char"/>
    <w:rsid w:val="003F1365"/>
    <w:pPr>
      <w:spacing w:after="160" w:line="240" w:lineRule="exact"/>
    </w:pPr>
    <w:rPr>
      <w:rFonts w:ascii="Tahoma" w:hAnsi="Tahoma" w:cs="Tahoma"/>
      <w:sz w:val="20"/>
      <w:szCs w:val="20"/>
      <w:lang w:val="en-US"/>
    </w:rPr>
  </w:style>
  <w:style w:type="character" w:customStyle="1" w:styleId="Zkladntext2Char">
    <w:name w:val="Základný text 2 Char"/>
    <w:aliases w:val="Char Char, Char Char"/>
    <w:basedOn w:val="Predvolenpsmoodseku"/>
    <w:link w:val="Zkladntext2"/>
    <w:locked/>
    <w:rsid w:val="003F1365"/>
    <w:rPr>
      <w:rFonts w:ascii="Times New Roman" w:hAnsi="Times New Roman" w:cs="Times New Roman"/>
      <w:sz w:val="20"/>
      <w:szCs w:val="20"/>
      <w:lang w:val="x-none" w:eastAsia="x-none"/>
    </w:rPr>
  </w:style>
  <w:style w:type="paragraph" w:styleId="Zarkazkladnhotextu">
    <w:name w:val="Body Text Indent"/>
    <w:basedOn w:val="Normlny"/>
    <w:link w:val="ZarkazkladnhotextuChar"/>
    <w:rsid w:val="003F1365"/>
    <w:pPr>
      <w:spacing w:after="0" w:line="240" w:lineRule="auto"/>
      <w:ind w:firstLine="708"/>
      <w:jc w:val="both"/>
    </w:pPr>
    <w:rPr>
      <w:rFonts w:ascii="Dutch801 SWC" w:hAnsi="Dutch801 SWC"/>
      <w:sz w:val="24"/>
      <w:szCs w:val="20"/>
    </w:rPr>
  </w:style>
  <w:style w:type="character" w:customStyle="1" w:styleId="ZarkazkladnhotextuChar">
    <w:name w:val="Zarážka základného textu Char"/>
    <w:basedOn w:val="Predvolenpsmoodseku"/>
    <w:link w:val="Zarkazkladnhotextu"/>
    <w:locked/>
    <w:rsid w:val="003F1365"/>
    <w:rPr>
      <w:rFonts w:ascii="Dutch801 SWC" w:hAnsi="Dutch801 SWC" w:cs="Times New Roman"/>
      <w:sz w:val="20"/>
      <w:szCs w:val="20"/>
      <w:lang w:val="x-none" w:eastAsia="x-none"/>
    </w:rPr>
  </w:style>
  <w:style w:type="paragraph" w:styleId="Zkladntext3">
    <w:name w:val="Body Text 3"/>
    <w:basedOn w:val="Normlny"/>
    <w:link w:val="Zkladntext3Char"/>
    <w:rsid w:val="003F1365"/>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21" w:lineRule="atLeast"/>
    </w:pPr>
    <w:rPr>
      <w:b/>
      <w:bCs/>
      <w:sz w:val="28"/>
      <w:szCs w:val="24"/>
    </w:rPr>
  </w:style>
  <w:style w:type="character" w:customStyle="1" w:styleId="Zkladntext3Char">
    <w:name w:val="Základný text 3 Char"/>
    <w:basedOn w:val="Predvolenpsmoodseku"/>
    <w:link w:val="Zkladntext3"/>
    <w:locked/>
    <w:rsid w:val="003F1365"/>
    <w:rPr>
      <w:rFonts w:ascii="Times New Roman" w:hAnsi="Times New Roman" w:cs="Times New Roman"/>
      <w:b/>
      <w:bCs/>
      <w:sz w:val="24"/>
      <w:szCs w:val="24"/>
      <w:lang w:val="x-none" w:eastAsia="x-none"/>
    </w:rPr>
  </w:style>
  <w:style w:type="paragraph" w:customStyle="1" w:styleId="Zkladntext21">
    <w:name w:val="Základný text 21"/>
    <w:basedOn w:val="Normlny"/>
    <w:rsid w:val="003F1365"/>
    <w:pPr>
      <w:widowControl w:val="0"/>
      <w:spacing w:before="120" w:after="120" w:line="240" w:lineRule="auto"/>
      <w:ind w:left="426"/>
      <w:jc w:val="both"/>
    </w:pPr>
    <w:rPr>
      <w:sz w:val="24"/>
      <w:szCs w:val="20"/>
      <w:lang w:val="cs-CZ"/>
    </w:rPr>
  </w:style>
  <w:style w:type="paragraph" w:customStyle="1" w:styleId="08Textsprvy">
    <w:name w:val="08. Text správy"/>
    <w:basedOn w:val="Normlny"/>
    <w:rsid w:val="003F1365"/>
    <w:pPr>
      <w:spacing w:after="0" w:line="240" w:lineRule="auto"/>
      <w:jc w:val="both"/>
    </w:pPr>
    <w:rPr>
      <w:sz w:val="24"/>
      <w:szCs w:val="20"/>
      <w:lang w:eastAsia="cs-CZ"/>
    </w:rPr>
  </w:style>
  <w:style w:type="table" w:customStyle="1" w:styleId="Mriekatabuky1">
    <w:name w:val="Mriežka tabuľky1"/>
    <w:basedOn w:val="Normlnatabuka"/>
    <w:next w:val="Mriekatabuky"/>
    <w:rsid w:val="003F1365"/>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lny"/>
    <w:rsid w:val="003F1365"/>
    <w:pPr>
      <w:spacing w:after="160" w:line="240" w:lineRule="exact"/>
    </w:pPr>
    <w:rPr>
      <w:rFonts w:ascii="Tahoma" w:hAnsi="Tahoma"/>
      <w:sz w:val="20"/>
      <w:szCs w:val="20"/>
    </w:rPr>
  </w:style>
  <w:style w:type="paragraph" w:customStyle="1" w:styleId="titulok">
    <w:name w:val="titulok"/>
    <w:basedOn w:val="Normlny"/>
    <w:rsid w:val="003F1365"/>
    <w:pPr>
      <w:spacing w:before="100" w:beforeAutospacing="1" w:after="100" w:afterAutospacing="1" w:line="240" w:lineRule="auto"/>
      <w:jc w:val="center"/>
    </w:pPr>
    <w:rPr>
      <w:rFonts w:ascii="Arial" w:hAnsi="Arial" w:cs="Arial"/>
      <w:b/>
      <w:bCs/>
      <w:color w:val="007060"/>
      <w:sz w:val="24"/>
      <w:szCs w:val="24"/>
      <w:lang w:eastAsia="sk-SK"/>
    </w:rPr>
  </w:style>
  <w:style w:type="paragraph" w:customStyle="1" w:styleId="CharCharCharCharCharCharCharCharChar1Char">
    <w:name w:val="Char Char Char Char Char Char Char Char Char1 Char"/>
    <w:basedOn w:val="Normlny"/>
    <w:rsid w:val="003F1365"/>
    <w:pPr>
      <w:spacing w:after="160" w:line="240" w:lineRule="exact"/>
    </w:pPr>
    <w:rPr>
      <w:rFonts w:ascii="Tahoma" w:hAnsi="Tahoma"/>
      <w:sz w:val="20"/>
      <w:szCs w:val="20"/>
      <w:lang w:val="en-US"/>
    </w:rPr>
  </w:style>
  <w:style w:type="paragraph" w:customStyle="1" w:styleId="Char1">
    <w:name w:val="Char1"/>
    <w:basedOn w:val="Normlny"/>
    <w:rsid w:val="003F1365"/>
    <w:pPr>
      <w:spacing w:after="160" w:line="240" w:lineRule="exact"/>
    </w:pPr>
    <w:rPr>
      <w:rFonts w:ascii="Tahoma" w:hAnsi="Tahoma" w:cs="Tahoma"/>
      <w:sz w:val="20"/>
      <w:szCs w:val="20"/>
      <w:lang w:val="en-US"/>
    </w:rPr>
  </w:style>
  <w:style w:type="paragraph" w:customStyle="1" w:styleId="tlCharCharChar1CharCharCharChar">
    <w:name w:val="Štýl Char Char Char1 Char Char Char Char"/>
    <w:basedOn w:val="Normlny"/>
    <w:rsid w:val="003F1365"/>
    <w:pPr>
      <w:spacing w:after="160" w:line="240" w:lineRule="exact"/>
    </w:pPr>
    <w:rPr>
      <w:rFonts w:ascii="Tahoma" w:hAnsi="Tahoma" w:cs="Tahoma"/>
      <w:sz w:val="20"/>
      <w:szCs w:val="20"/>
      <w:lang w:val="en-US"/>
    </w:rPr>
  </w:style>
  <w:style w:type="paragraph" w:customStyle="1" w:styleId="AUTunVycentrovan">
    <w:name w:val="AU Tučné Vycentrované"/>
    <w:basedOn w:val="Normlny"/>
    <w:rsid w:val="003F1365"/>
    <w:pPr>
      <w:spacing w:after="0" w:line="240" w:lineRule="auto"/>
      <w:jc w:val="center"/>
    </w:pPr>
    <w:rPr>
      <w:b/>
      <w:bCs/>
      <w:sz w:val="24"/>
      <w:szCs w:val="20"/>
      <w:lang w:eastAsia="cs-CZ"/>
    </w:rPr>
  </w:style>
  <w:style w:type="paragraph" w:customStyle="1" w:styleId="AUODRAKA">
    <w:name w:val="AU ODRAŽKA"/>
    <w:basedOn w:val="Normlny"/>
    <w:rsid w:val="003F1365"/>
    <w:pPr>
      <w:numPr>
        <w:numId w:val="4"/>
      </w:numPr>
      <w:spacing w:before="120" w:after="0" w:line="240" w:lineRule="auto"/>
      <w:jc w:val="both"/>
    </w:pPr>
    <w:rPr>
      <w:sz w:val="24"/>
      <w:szCs w:val="20"/>
      <w:lang w:eastAsia="cs-CZ"/>
    </w:rPr>
  </w:style>
  <w:style w:type="paragraph" w:customStyle="1" w:styleId="CharCharCharCharCharChar1">
    <w:name w:val="Char Char Char Char Char Char1"/>
    <w:basedOn w:val="Normlny"/>
    <w:rsid w:val="003F1365"/>
    <w:pPr>
      <w:spacing w:after="160" w:line="240" w:lineRule="exact"/>
    </w:pPr>
    <w:rPr>
      <w:rFonts w:ascii="Tahoma" w:hAnsi="Tahoma" w:cs="Tahoma"/>
      <w:sz w:val="20"/>
      <w:szCs w:val="20"/>
      <w:lang w:val="en-US"/>
    </w:rPr>
  </w:style>
  <w:style w:type="paragraph" w:customStyle="1" w:styleId="Zarkazkladnhotextu21">
    <w:name w:val="Zarážka základného textu 21"/>
    <w:basedOn w:val="Normlny"/>
    <w:rsid w:val="003F1365"/>
    <w:pPr>
      <w:overflowPunct w:val="0"/>
      <w:autoSpaceDE w:val="0"/>
      <w:autoSpaceDN w:val="0"/>
      <w:adjustRightInd w:val="0"/>
      <w:spacing w:before="120" w:after="0" w:line="240" w:lineRule="auto"/>
      <w:ind w:left="284" w:hanging="284"/>
      <w:jc w:val="both"/>
      <w:textAlignment w:val="baseline"/>
    </w:pPr>
    <w:rPr>
      <w:sz w:val="24"/>
      <w:szCs w:val="20"/>
      <w:lang w:eastAsia="cs-CZ"/>
    </w:rPr>
  </w:style>
  <w:style w:type="paragraph" w:styleId="Zoznamsodrkami2">
    <w:name w:val="List Bullet 2"/>
    <w:basedOn w:val="Normlny"/>
    <w:autoRedefine/>
    <w:rsid w:val="003F1365"/>
    <w:pPr>
      <w:numPr>
        <w:numId w:val="5"/>
      </w:numPr>
      <w:spacing w:after="0" w:line="240" w:lineRule="auto"/>
    </w:pPr>
    <w:rPr>
      <w:rFonts w:ascii="Courier" w:hAnsi="Courier" w:cs="Courier"/>
      <w:sz w:val="24"/>
      <w:szCs w:val="24"/>
      <w:lang w:eastAsia="cs-CZ"/>
    </w:rPr>
  </w:style>
  <w:style w:type="paragraph" w:customStyle="1" w:styleId="CharCharChar2CharCharCharCharChar">
    <w:name w:val="Char Char Char2 Char Char Char Char Char"/>
    <w:basedOn w:val="Normlny"/>
    <w:rsid w:val="003F1365"/>
    <w:pPr>
      <w:spacing w:after="160" w:line="240" w:lineRule="exact"/>
    </w:pPr>
    <w:rPr>
      <w:rFonts w:ascii="Tahoma" w:hAnsi="Tahoma"/>
      <w:sz w:val="20"/>
      <w:szCs w:val="20"/>
      <w:lang w:val="en-US"/>
    </w:rPr>
  </w:style>
  <w:style w:type="table" w:customStyle="1" w:styleId="Normlnatabuka1">
    <w:name w:val="Normálna tabuľka1"/>
    <w:next w:val="Normlnatabuka"/>
    <w:semiHidden/>
    <w:unhideWhenUsed/>
    <w:qFormat/>
    <w:rsid w:val="003F1365"/>
    <w:pPr>
      <w:spacing w:after="0" w:line="240" w:lineRule="auto"/>
    </w:pPr>
    <w:rPr>
      <w:rFonts w:ascii="Dutch801 SWC" w:hAnsi="Dutch801 SWC" w:cs="Times New Roman"/>
      <w:sz w:val="20"/>
      <w:szCs w:val="20"/>
      <w:lang w:eastAsia="sk-SK"/>
    </w:rPr>
    <w:tblPr>
      <w:tblInd w:w="0" w:type="dxa"/>
      <w:tblCellMar>
        <w:top w:w="0" w:type="dxa"/>
        <w:left w:w="108" w:type="dxa"/>
        <w:bottom w:w="0" w:type="dxa"/>
        <w:right w:w="108" w:type="dxa"/>
      </w:tblCellMar>
    </w:tblPr>
  </w:style>
  <w:style w:type="character" w:customStyle="1" w:styleId="ZkladntextodsazenChar">
    <w:name w:val="Základní text odsazený Char"/>
    <w:rsid w:val="003F1365"/>
    <w:rPr>
      <w:rFonts w:ascii="AT* Times New Roman" w:hAnsi="AT* Times New Roman"/>
      <w:sz w:val="24"/>
      <w:lang w:val="sk-SK" w:eastAsia="cs-CZ"/>
    </w:rPr>
  </w:style>
  <w:style w:type="table" w:customStyle="1" w:styleId="Normlnatabuka2">
    <w:name w:val="Normálna tabuľka2"/>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3">
    <w:name w:val="Normálna tabuľka3"/>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4">
    <w:name w:val="Normálna tabuľka4"/>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5">
    <w:name w:val="Normálna tabuľka5"/>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6">
    <w:name w:val="Normálna tabuľka6"/>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7">
    <w:name w:val="Normálna tabuľka7"/>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8">
    <w:name w:val="Normálna tabuľka8"/>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9">
    <w:name w:val="Normálna tabuľka9"/>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0">
    <w:name w:val="Normálna tabuľka10"/>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1">
    <w:name w:val="Normálna tabuľka11"/>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2">
    <w:name w:val="Normálna tabuľka12"/>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3">
    <w:name w:val="Normálna tabuľka13"/>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table" w:customStyle="1" w:styleId="Normlnatabuka14">
    <w:name w:val="Normálna tabuľka14"/>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paragraph" w:customStyle="1" w:styleId="CharCharCharChar1CharChar">
    <w:name w:val="Char Char Char Char1 Char Char"/>
    <w:basedOn w:val="Normlny"/>
    <w:rsid w:val="003F1365"/>
    <w:pPr>
      <w:spacing w:after="160" w:line="240" w:lineRule="exact"/>
    </w:pPr>
    <w:rPr>
      <w:rFonts w:ascii="Tahoma" w:hAnsi="Tahoma" w:cs="Tahoma"/>
      <w:sz w:val="20"/>
      <w:szCs w:val="20"/>
      <w:lang w:val="en-US"/>
    </w:rPr>
  </w:style>
  <w:style w:type="table" w:customStyle="1" w:styleId="Normlnatabuka15">
    <w:name w:val="Normálna tabuľka15"/>
    <w:next w:val="Normlnatabuka"/>
    <w:semiHidden/>
    <w:unhideWhenUsed/>
    <w:qFormat/>
    <w:rsid w:val="003F1365"/>
    <w:pPr>
      <w:spacing w:after="0" w:line="240" w:lineRule="auto"/>
    </w:pPr>
    <w:rPr>
      <w:rFonts w:ascii="Calibri" w:hAnsi="Calibri" w:cs="Times New Roman"/>
      <w:sz w:val="20"/>
      <w:szCs w:val="20"/>
      <w:lang w:eastAsia="sk-SK"/>
    </w:rPr>
    <w:tblPr>
      <w:tblInd w:w="0" w:type="dxa"/>
      <w:tblCellMar>
        <w:top w:w="0" w:type="dxa"/>
        <w:left w:w="108" w:type="dxa"/>
        <w:bottom w:w="0" w:type="dxa"/>
        <w:right w:w="108" w:type="dxa"/>
      </w:tblCellMar>
    </w:tblPr>
  </w:style>
  <w:style w:type="paragraph" w:styleId="Obsah1">
    <w:name w:val="toc 1"/>
    <w:basedOn w:val="Normlny"/>
    <w:next w:val="Normlny"/>
    <w:autoRedefine/>
    <w:uiPriority w:val="39"/>
    <w:unhideWhenUsed/>
    <w:rsid w:val="000231EB"/>
    <w:pPr>
      <w:tabs>
        <w:tab w:val="left" w:pos="426"/>
        <w:tab w:val="right" w:leader="dot" w:pos="9062"/>
      </w:tabs>
      <w:spacing w:after="120" w:line="240" w:lineRule="auto"/>
    </w:pPr>
    <w:rPr>
      <w:rFonts w:cs="Courier"/>
      <w:noProof/>
      <w:szCs w:val="22"/>
      <w:lang w:eastAsia="cs-CZ"/>
    </w:rPr>
  </w:style>
  <w:style w:type="paragraph" w:styleId="Obyajntext">
    <w:name w:val="Plain Text"/>
    <w:basedOn w:val="Normlny"/>
    <w:link w:val="ObyajntextChar"/>
    <w:uiPriority w:val="99"/>
    <w:unhideWhenUsed/>
    <w:rsid w:val="003F1365"/>
    <w:pPr>
      <w:spacing w:after="0" w:line="240" w:lineRule="auto"/>
    </w:pPr>
    <w:rPr>
      <w:szCs w:val="21"/>
    </w:rPr>
  </w:style>
  <w:style w:type="character" w:customStyle="1" w:styleId="ObyajntextChar">
    <w:name w:val="Obyčajný text Char"/>
    <w:basedOn w:val="Predvolenpsmoodseku"/>
    <w:link w:val="Obyajntext"/>
    <w:uiPriority w:val="99"/>
    <w:locked/>
    <w:rsid w:val="003F1365"/>
    <w:rPr>
      <w:rFonts w:eastAsia="Times New Roman" w:cs="Times New Roman"/>
      <w:sz w:val="21"/>
      <w:szCs w:val="21"/>
      <w:lang w:val="x-none" w:eastAsia="x-none"/>
    </w:rPr>
  </w:style>
  <w:style w:type="paragraph" w:customStyle="1" w:styleId="Default">
    <w:name w:val="Default"/>
    <w:rsid w:val="003F1365"/>
    <w:pPr>
      <w:autoSpaceDE w:val="0"/>
      <w:autoSpaceDN w:val="0"/>
      <w:adjustRightInd w:val="0"/>
      <w:spacing w:after="0" w:line="240" w:lineRule="auto"/>
    </w:pPr>
    <w:rPr>
      <w:rFonts w:ascii="Times New Roman" w:hAnsi="Times New Roman" w:cs="Times New Roman"/>
      <w:color w:val="000000"/>
      <w:sz w:val="24"/>
      <w:szCs w:val="24"/>
      <w:lang w:eastAsia="sk-SK"/>
    </w:rPr>
  </w:style>
  <w:style w:type="character" w:styleId="PouitHypertextovPrepojenie">
    <w:name w:val="FollowedHyperlink"/>
    <w:basedOn w:val="Predvolenpsmoodseku"/>
    <w:uiPriority w:val="99"/>
    <w:semiHidden/>
    <w:unhideWhenUsed/>
    <w:rsid w:val="003F1365"/>
    <w:rPr>
      <w:color w:val="800080"/>
      <w:u w:val="single"/>
    </w:rPr>
  </w:style>
  <w:style w:type="paragraph" w:customStyle="1" w:styleId="xl687">
    <w:name w:val="xl687"/>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88">
    <w:name w:val="xl688"/>
    <w:basedOn w:val="Normlny"/>
    <w:rsid w:val="003F1365"/>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89">
    <w:name w:val="xl689"/>
    <w:basedOn w:val="Normlny"/>
    <w:rsid w:val="003F1365"/>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0">
    <w:name w:val="xl690"/>
    <w:basedOn w:val="Normlny"/>
    <w:rsid w:val="003F1365"/>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691">
    <w:name w:val="xl691"/>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hAnsi="Arial" w:cs="Arial"/>
      <w:sz w:val="20"/>
      <w:szCs w:val="20"/>
      <w:lang w:eastAsia="sk-SK"/>
    </w:rPr>
  </w:style>
  <w:style w:type="paragraph" w:customStyle="1" w:styleId="xl692">
    <w:name w:val="xl692"/>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3">
    <w:name w:val="xl693"/>
    <w:basedOn w:val="Normlny"/>
    <w:rsid w:val="003F1365"/>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4">
    <w:name w:val="xl694"/>
    <w:basedOn w:val="Normlny"/>
    <w:rsid w:val="003F1365"/>
    <w:pPr>
      <w:pBdr>
        <w:bottom w:val="single" w:sz="4" w:space="0" w:color="000000"/>
      </w:pBd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5">
    <w:name w:val="xl695"/>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6">
    <w:name w:val="xl696"/>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697">
    <w:name w:val="xl697"/>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698">
    <w:name w:val="xl698"/>
    <w:basedOn w:val="Normlny"/>
    <w:rsid w:val="003F1365"/>
    <w:pPr>
      <w:shd w:val="clear" w:color="000000" w:fill="FFFFFF"/>
      <w:spacing w:before="100" w:beforeAutospacing="1" w:after="100" w:afterAutospacing="1" w:line="240" w:lineRule="auto"/>
      <w:jc w:val="center"/>
    </w:pPr>
    <w:rPr>
      <w:rFonts w:ascii="Arial" w:hAnsi="Arial" w:cs="Arial"/>
      <w:b/>
      <w:bCs/>
      <w:sz w:val="20"/>
      <w:szCs w:val="20"/>
      <w:lang w:eastAsia="sk-SK"/>
    </w:rPr>
  </w:style>
  <w:style w:type="paragraph" w:customStyle="1" w:styleId="xl699">
    <w:name w:val="xl699"/>
    <w:basedOn w:val="Normlny"/>
    <w:rsid w:val="003F1365"/>
    <w:pPr>
      <w:shd w:val="clear" w:color="000000" w:fill="FFFFFF"/>
      <w:spacing w:before="100" w:beforeAutospacing="1" w:after="100" w:afterAutospacing="1" w:line="240" w:lineRule="auto"/>
      <w:jc w:val="right"/>
    </w:pPr>
    <w:rPr>
      <w:rFonts w:ascii="Arial" w:hAnsi="Arial" w:cs="Arial"/>
      <w:b/>
      <w:bCs/>
      <w:sz w:val="20"/>
      <w:szCs w:val="20"/>
      <w:lang w:eastAsia="sk-SK"/>
    </w:rPr>
  </w:style>
  <w:style w:type="paragraph" w:customStyle="1" w:styleId="xl700">
    <w:name w:val="xl700"/>
    <w:basedOn w:val="Normlny"/>
    <w:rsid w:val="003F1365"/>
    <w:pPr>
      <w:shd w:val="clear" w:color="000000" w:fill="FFFFFF"/>
      <w:spacing w:before="100" w:beforeAutospacing="1" w:after="100" w:afterAutospacing="1" w:line="240" w:lineRule="auto"/>
    </w:pPr>
    <w:rPr>
      <w:rFonts w:ascii="Arial" w:hAnsi="Arial" w:cs="Arial"/>
      <w:b/>
      <w:bCs/>
      <w:sz w:val="20"/>
      <w:szCs w:val="20"/>
      <w:lang w:eastAsia="sk-SK"/>
    </w:rPr>
  </w:style>
  <w:style w:type="paragraph" w:customStyle="1" w:styleId="xl701">
    <w:name w:val="xl701"/>
    <w:basedOn w:val="Normlny"/>
    <w:rsid w:val="003F1365"/>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2">
    <w:name w:val="xl702"/>
    <w:basedOn w:val="Normlny"/>
    <w:rsid w:val="003F1365"/>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3">
    <w:name w:val="xl703"/>
    <w:basedOn w:val="Normlny"/>
    <w:rsid w:val="003F1365"/>
    <w:pPr>
      <w:pBdr>
        <w:left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4">
    <w:name w:val="xl704"/>
    <w:basedOn w:val="Normlny"/>
    <w:rsid w:val="003F1365"/>
    <w:pP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5">
    <w:name w:val="xl705"/>
    <w:basedOn w:val="Normlny"/>
    <w:rsid w:val="003F1365"/>
    <w:pPr>
      <w:pBdr>
        <w:bottom w:val="single" w:sz="4" w:space="0" w:color="000000"/>
      </w:pBdr>
      <w:shd w:val="clear" w:color="000000" w:fill="FFFFFF"/>
      <w:spacing w:before="100" w:beforeAutospacing="1" w:after="100" w:afterAutospacing="1" w:line="240" w:lineRule="auto"/>
      <w:textAlignment w:val="center"/>
    </w:pPr>
    <w:rPr>
      <w:rFonts w:ascii="Arial" w:hAnsi="Arial" w:cs="Arial"/>
      <w:sz w:val="20"/>
      <w:szCs w:val="20"/>
      <w:lang w:eastAsia="sk-SK"/>
    </w:rPr>
  </w:style>
  <w:style w:type="paragraph" w:customStyle="1" w:styleId="xl706">
    <w:name w:val="xl706"/>
    <w:basedOn w:val="Normlny"/>
    <w:rsid w:val="003F13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07">
    <w:name w:val="xl707"/>
    <w:basedOn w:val="Normlny"/>
    <w:rsid w:val="003F1365"/>
    <w:pPr>
      <w:pBdr>
        <w:top w:val="single" w:sz="4" w:space="0" w:color="000000"/>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8">
    <w:name w:val="xl708"/>
    <w:basedOn w:val="Normlny"/>
    <w:rsid w:val="003F1365"/>
    <w:pPr>
      <w:pBdr>
        <w:top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09">
    <w:name w:val="xl709"/>
    <w:basedOn w:val="Normlny"/>
    <w:rsid w:val="003F1365"/>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0">
    <w:name w:val="xl710"/>
    <w:basedOn w:val="Normlny"/>
    <w:rsid w:val="003F1365"/>
    <w:pPr>
      <w:pBdr>
        <w:lef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1">
    <w:name w:val="xl711"/>
    <w:basedOn w:val="Normlny"/>
    <w:rsid w:val="003F1365"/>
    <w:pP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2">
    <w:name w:val="xl712"/>
    <w:basedOn w:val="Normlny"/>
    <w:rsid w:val="003F1365"/>
    <w:pPr>
      <w:pBdr>
        <w:right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13">
    <w:name w:val="xl713"/>
    <w:basedOn w:val="Normlny"/>
    <w:rsid w:val="003F1365"/>
    <w:pPr>
      <w:spacing w:before="100" w:beforeAutospacing="1" w:after="100" w:afterAutospacing="1" w:line="240" w:lineRule="auto"/>
      <w:textAlignment w:val="top"/>
    </w:pPr>
    <w:rPr>
      <w:rFonts w:ascii="Arial" w:hAnsi="Arial" w:cs="Arial"/>
      <w:sz w:val="20"/>
      <w:szCs w:val="20"/>
      <w:lang w:eastAsia="sk-SK"/>
    </w:rPr>
  </w:style>
  <w:style w:type="paragraph" w:customStyle="1" w:styleId="xl714">
    <w:name w:val="xl714"/>
    <w:basedOn w:val="Normlny"/>
    <w:rsid w:val="003F1365"/>
    <w:pPr>
      <w:pBdr>
        <w:right w:val="single" w:sz="4" w:space="0" w:color="000000"/>
      </w:pBdr>
      <w:spacing w:before="100" w:beforeAutospacing="1" w:after="100" w:afterAutospacing="1" w:line="240" w:lineRule="auto"/>
    </w:pPr>
    <w:rPr>
      <w:rFonts w:ascii="Arial" w:hAnsi="Arial" w:cs="Arial"/>
      <w:sz w:val="20"/>
      <w:szCs w:val="20"/>
      <w:lang w:eastAsia="sk-SK"/>
    </w:rPr>
  </w:style>
  <w:style w:type="paragraph" w:customStyle="1" w:styleId="xl715">
    <w:name w:val="xl715"/>
    <w:basedOn w:val="Normlny"/>
    <w:rsid w:val="003F1365"/>
    <w:pPr>
      <w:pBdr>
        <w:lef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6">
    <w:name w:val="xl716"/>
    <w:basedOn w:val="Normlny"/>
    <w:rsid w:val="003F1365"/>
    <w:pPr>
      <w:pBdr>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7">
    <w:name w:val="xl717"/>
    <w:basedOn w:val="Normlny"/>
    <w:rsid w:val="003F1365"/>
    <w:pPr>
      <w:pBdr>
        <w:left w:val="single" w:sz="4" w:space="0" w:color="000000"/>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8">
    <w:name w:val="xl718"/>
    <w:basedOn w:val="Normlny"/>
    <w:rsid w:val="003F1365"/>
    <w:pPr>
      <w:pBdr>
        <w:bottom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19">
    <w:name w:val="xl719"/>
    <w:basedOn w:val="Normlny"/>
    <w:rsid w:val="003F1365"/>
    <w:pPr>
      <w:pBdr>
        <w:bottom w:val="single" w:sz="4" w:space="0" w:color="000000"/>
        <w:right w:val="single" w:sz="4" w:space="0" w:color="000000"/>
      </w:pBdr>
      <w:shd w:val="clear" w:color="000000" w:fill="FFFFFF"/>
      <w:spacing w:before="100" w:beforeAutospacing="1" w:after="100" w:afterAutospacing="1" w:line="240" w:lineRule="auto"/>
    </w:pPr>
    <w:rPr>
      <w:rFonts w:ascii="Arial" w:hAnsi="Arial" w:cs="Arial"/>
      <w:sz w:val="20"/>
      <w:szCs w:val="20"/>
      <w:lang w:eastAsia="sk-SK"/>
    </w:rPr>
  </w:style>
  <w:style w:type="paragraph" w:customStyle="1" w:styleId="xl720">
    <w:name w:val="xl720"/>
    <w:basedOn w:val="Normlny"/>
    <w:rsid w:val="003F1365"/>
    <w:pPr>
      <w:pBdr>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customStyle="1" w:styleId="xl721">
    <w:name w:val="xl721"/>
    <w:basedOn w:val="Normlny"/>
    <w:rsid w:val="003F136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Arial" w:hAnsi="Arial" w:cs="Arial"/>
      <w:b/>
      <w:bCs/>
      <w:sz w:val="20"/>
      <w:szCs w:val="20"/>
      <w:lang w:eastAsia="sk-SK"/>
    </w:rPr>
  </w:style>
  <w:style w:type="paragraph" w:styleId="Textvysvetlivky">
    <w:name w:val="endnote text"/>
    <w:basedOn w:val="Normlny"/>
    <w:link w:val="TextvysvetlivkyChar"/>
    <w:uiPriority w:val="99"/>
    <w:semiHidden/>
    <w:unhideWhenUsed/>
    <w:rsid w:val="00096FC8"/>
    <w:pPr>
      <w:spacing w:after="0" w:line="240" w:lineRule="auto"/>
    </w:pPr>
    <w:rPr>
      <w:sz w:val="20"/>
      <w:szCs w:val="20"/>
    </w:rPr>
  </w:style>
  <w:style w:type="character" w:customStyle="1" w:styleId="TextvysvetlivkyChar">
    <w:name w:val="Text vysvetlivky Char"/>
    <w:basedOn w:val="Predvolenpsmoodseku"/>
    <w:link w:val="Textvysvetlivky"/>
    <w:uiPriority w:val="99"/>
    <w:semiHidden/>
    <w:locked/>
    <w:rsid w:val="00096FC8"/>
    <w:rPr>
      <w:rFonts w:cs="Times New Roman"/>
      <w:sz w:val="20"/>
      <w:szCs w:val="20"/>
    </w:rPr>
  </w:style>
  <w:style w:type="character" w:styleId="Odkaznavysvetlivku">
    <w:name w:val="endnote reference"/>
    <w:basedOn w:val="Predvolenpsmoodseku"/>
    <w:uiPriority w:val="99"/>
    <w:semiHidden/>
    <w:unhideWhenUsed/>
    <w:rsid w:val="00096FC8"/>
    <w:rPr>
      <w:rFonts w:cs="Times New Roman"/>
      <w:vertAlign w:val="superscript"/>
    </w:rPr>
  </w:style>
  <w:style w:type="paragraph" w:styleId="Obsah2">
    <w:name w:val="toc 2"/>
    <w:basedOn w:val="Normlny"/>
    <w:next w:val="Normlny"/>
    <w:autoRedefine/>
    <w:uiPriority w:val="39"/>
    <w:unhideWhenUsed/>
    <w:rsid w:val="00FC793E"/>
    <w:pPr>
      <w:tabs>
        <w:tab w:val="left" w:pos="709"/>
        <w:tab w:val="right" w:leader="dot" w:pos="9062"/>
      </w:tabs>
      <w:spacing w:after="120" w:line="240" w:lineRule="auto"/>
      <w:ind w:left="709" w:hanging="488"/>
    </w:pPr>
  </w:style>
  <w:style w:type="paragraph" w:styleId="Obsah3">
    <w:name w:val="toc 3"/>
    <w:basedOn w:val="Normlny"/>
    <w:next w:val="Normlny"/>
    <w:autoRedefine/>
    <w:uiPriority w:val="39"/>
    <w:unhideWhenUsed/>
    <w:rsid w:val="00802EEB"/>
    <w:pPr>
      <w:tabs>
        <w:tab w:val="left" w:pos="1134"/>
        <w:tab w:val="right" w:leader="dot" w:pos="9062"/>
      </w:tabs>
      <w:spacing w:after="100" w:line="240" w:lineRule="auto"/>
      <w:ind w:left="440"/>
    </w:pPr>
  </w:style>
  <w:style w:type="paragraph" w:styleId="Hlavikaobsahu">
    <w:name w:val="TOC Heading"/>
    <w:basedOn w:val="Nadpis1"/>
    <w:next w:val="Normlny"/>
    <w:uiPriority w:val="39"/>
    <w:unhideWhenUsed/>
    <w:qFormat/>
    <w:rsid w:val="00B43103"/>
    <w:pPr>
      <w:numPr>
        <w:numId w:val="0"/>
      </w:numPr>
      <w:spacing w:before="480" w:after="0"/>
      <w:outlineLvl w:val="9"/>
    </w:pPr>
    <w:rPr>
      <w:rFonts w:asciiTheme="majorHAnsi" w:hAnsiTheme="majorHAnsi"/>
      <w:color w:val="365F91" w:themeColor="accent1" w:themeShade="BF"/>
      <w:sz w:val="28"/>
      <w:szCs w:val="28"/>
      <w:lang w:eastAsia="sk-SK"/>
    </w:rPr>
  </w:style>
  <w:style w:type="paragraph" w:customStyle="1" w:styleId="Pa14">
    <w:name w:val="Pa14"/>
    <w:basedOn w:val="Default"/>
    <w:next w:val="Default"/>
    <w:uiPriority w:val="99"/>
    <w:rsid w:val="00CE1C18"/>
    <w:pPr>
      <w:spacing w:line="181" w:lineRule="atLeast"/>
    </w:pPr>
    <w:rPr>
      <w:rFonts w:ascii="Franklin Got Itc TCE" w:hAnsi="Franklin Got Itc TCE"/>
      <w:color w:val="auto"/>
      <w:lang w:eastAsia="en-US"/>
    </w:rPr>
  </w:style>
  <w:style w:type="paragraph" w:customStyle="1" w:styleId="Char2">
    <w:name w:val="Char2"/>
    <w:basedOn w:val="Normlny"/>
    <w:link w:val="Odkaznapoznmkupodiarou"/>
    <w:uiPriority w:val="99"/>
    <w:rsid w:val="009A116D"/>
    <w:pPr>
      <w:spacing w:after="0" w:line="240" w:lineRule="exact"/>
    </w:pPr>
    <w:rPr>
      <w:rFonts w:ascii="Arial Narrow" w:hAnsi="Arial Narrow"/>
      <w:szCs w:val="22"/>
      <w:vertAlign w:val="superscript"/>
    </w:rPr>
  </w:style>
  <w:style w:type="numbering" w:customStyle="1" w:styleId="Bezzoznamu1">
    <w:name w:val="Bez zoznamu1"/>
    <w:next w:val="Bezzoznamu"/>
    <w:semiHidden/>
    <w:unhideWhenUsed/>
    <w:rsid w:val="004E5304"/>
  </w:style>
  <w:style w:type="numbering" w:customStyle="1" w:styleId="Bezzoznamu2">
    <w:name w:val="Bez zoznamu2"/>
    <w:next w:val="Bezzoznamu"/>
    <w:semiHidden/>
    <w:unhideWhenUsed/>
    <w:rsid w:val="004E5304"/>
  </w:style>
  <w:style w:type="numbering" w:customStyle="1" w:styleId="Bezzoznamu3">
    <w:name w:val="Bez zoznamu3"/>
    <w:next w:val="Bezzoznamu"/>
    <w:uiPriority w:val="99"/>
    <w:semiHidden/>
    <w:unhideWhenUsed/>
    <w:rsid w:val="004E5304"/>
  </w:style>
  <w:style w:type="character" w:customStyle="1" w:styleId="h1a2">
    <w:name w:val="h1a2"/>
    <w:basedOn w:val="Predvolenpsmoodseku"/>
    <w:rsid w:val="00563559"/>
    <w:rPr>
      <w:vanish/>
      <w:webHidden w:val="0"/>
      <w:sz w:val="24"/>
      <w:szCs w:val="24"/>
      <w:specVanish/>
    </w:rPr>
  </w:style>
  <w:style w:type="paragraph" w:customStyle="1" w:styleId="1">
    <w:name w:val="1"/>
    <w:basedOn w:val="Normlny"/>
    <w:rsid w:val="00563559"/>
    <w:pPr>
      <w:spacing w:after="160" w:line="240" w:lineRule="exact"/>
    </w:pPr>
    <w:rPr>
      <w:rFonts w:ascii="Tahoma" w:hAnsi="Tahoma" w:cs="Tahoma"/>
      <w:sz w:val="20"/>
      <w:szCs w:val="20"/>
    </w:rPr>
  </w:style>
  <w:style w:type="character" w:customStyle="1" w:styleId="awspan">
    <w:name w:val="awspan"/>
    <w:basedOn w:val="Predvolenpsmoodseku"/>
    <w:rsid w:val="00563559"/>
  </w:style>
  <w:style w:type="paragraph" w:customStyle="1" w:styleId="Graf">
    <w:name w:val="Graf"/>
    <w:autoRedefine/>
    <w:qFormat/>
    <w:rsid w:val="00EF2678"/>
    <w:pPr>
      <w:spacing w:after="0"/>
      <w:ind w:firstLine="567"/>
      <w:jc w:val="both"/>
    </w:pPr>
    <w:rPr>
      <w:rFonts w:ascii="Times New Roman" w:eastAsia="Arial Narrow" w:hAnsi="Times New Roman" w:cs="Times New Roman"/>
      <w:b/>
      <w:bCs/>
      <w:noProof/>
      <w:color w:val="4F81BD" w:themeColor="accent1"/>
      <w:sz w:val="20"/>
      <w:szCs w:val="20"/>
      <w:lang w:eastAsia="sk-SK"/>
    </w:rPr>
  </w:style>
  <w:style w:type="paragraph" w:customStyle="1" w:styleId="popistabuliek">
    <w:name w:val="popis tabuliek"/>
    <w:basedOn w:val="Normlny"/>
    <w:link w:val="popistabuliekChar"/>
    <w:qFormat/>
    <w:rsid w:val="003C23FA"/>
    <w:pPr>
      <w:spacing w:after="0" w:line="240" w:lineRule="auto"/>
    </w:pPr>
    <w:rPr>
      <w:b/>
      <w:bCs/>
      <w:color w:val="FFFFFF"/>
      <w:sz w:val="18"/>
      <w:szCs w:val="18"/>
      <w:lang w:eastAsia="sk-SK"/>
    </w:rPr>
  </w:style>
  <w:style w:type="character" w:customStyle="1" w:styleId="popistabuliekChar">
    <w:name w:val="popis tabuliek Char"/>
    <w:basedOn w:val="Predvolenpsmoodseku"/>
    <w:link w:val="popistabuliek"/>
    <w:rsid w:val="003C23FA"/>
    <w:rPr>
      <w:rFonts w:ascii="Times New Roman" w:hAnsi="Times New Roman" w:cs="Times New Roman"/>
      <w:b/>
      <w:bCs/>
      <w:color w:val="FFFFFF"/>
      <w:sz w:val="18"/>
      <w:szCs w:val="18"/>
      <w:lang w:eastAsia="sk-SK"/>
    </w:rPr>
  </w:style>
  <w:style w:type="character" w:styleId="Zvraznenie">
    <w:name w:val="Emphasis"/>
    <w:basedOn w:val="Predvolenpsmoodseku"/>
    <w:uiPriority w:val="20"/>
    <w:qFormat/>
    <w:rsid w:val="00661C75"/>
    <w:rPr>
      <w:i/>
      <w:iCs/>
    </w:rPr>
  </w:style>
  <w:style w:type="paragraph" w:customStyle="1" w:styleId="Box">
    <w:name w:val="Box"/>
    <w:qFormat/>
    <w:rsid w:val="00DD0DA5"/>
    <w:pPr>
      <w:spacing w:before="120" w:after="240" w:line="240" w:lineRule="auto"/>
    </w:pPr>
    <w:rPr>
      <w:rFonts w:eastAsiaTheme="majorEastAsia" w:cstheme="majorBidi"/>
      <w:b/>
      <w:bCs/>
      <w:sz w:val="20"/>
      <w:szCs w:val="36"/>
    </w:rPr>
  </w:style>
  <w:style w:type="paragraph" w:styleId="Popis">
    <w:name w:val="caption"/>
    <w:basedOn w:val="Normlny"/>
    <w:next w:val="Normlny"/>
    <w:autoRedefine/>
    <w:uiPriority w:val="35"/>
    <w:unhideWhenUsed/>
    <w:qFormat/>
    <w:rsid w:val="00D162A9"/>
    <w:pPr>
      <w:keepNext/>
      <w:spacing w:before="120" w:after="0" w:line="240" w:lineRule="auto"/>
    </w:pPr>
    <w:rPr>
      <w:b/>
      <w:iCs/>
      <w:color w:val="548DD4" w:themeColor="text2" w:themeTint="99"/>
      <w:sz w:val="20"/>
      <w:szCs w:val="18"/>
    </w:rPr>
  </w:style>
  <w:style w:type="character" w:customStyle="1" w:styleId="Nevyrieenzmienka1">
    <w:name w:val="Nevyriešená zmienka1"/>
    <w:basedOn w:val="Predvolenpsmoodseku"/>
    <w:uiPriority w:val="99"/>
    <w:semiHidden/>
    <w:unhideWhenUsed/>
    <w:rsid w:val="006447F4"/>
    <w:rPr>
      <w:color w:val="605E5C"/>
      <w:shd w:val="clear" w:color="auto" w:fill="E1DFDD"/>
    </w:rPr>
  </w:style>
  <w:style w:type="character" w:customStyle="1" w:styleId="Nevyrieenzmienka2">
    <w:name w:val="Nevyriešená zmienka2"/>
    <w:basedOn w:val="Predvolenpsmoodseku"/>
    <w:uiPriority w:val="99"/>
    <w:semiHidden/>
    <w:unhideWhenUsed/>
    <w:rsid w:val="009875DB"/>
    <w:rPr>
      <w:color w:val="605E5C"/>
      <w:shd w:val="clear" w:color="auto" w:fill="E1DFDD"/>
    </w:rPr>
  </w:style>
  <w:style w:type="character" w:styleId="Nevyrieenzmienka">
    <w:name w:val="Unresolved Mention"/>
    <w:basedOn w:val="Predvolenpsmoodseku"/>
    <w:uiPriority w:val="99"/>
    <w:semiHidden/>
    <w:unhideWhenUsed/>
    <w:rsid w:val="00FA3DC8"/>
    <w:rPr>
      <w:color w:val="605E5C"/>
      <w:shd w:val="clear" w:color="auto" w:fill="E1DFDD"/>
    </w:rPr>
  </w:style>
  <w:style w:type="paragraph" w:styleId="Nzov">
    <w:name w:val="Title"/>
    <w:basedOn w:val="Normlny"/>
    <w:next w:val="Normlny"/>
    <w:link w:val="NzovChar"/>
    <w:uiPriority w:val="10"/>
    <w:qFormat/>
    <w:rsid w:val="0085485E"/>
    <w:pPr>
      <w:snapToGrid w:val="0"/>
      <w:spacing w:after="0" w:line="240" w:lineRule="auto"/>
      <w:contextualSpacing/>
    </w:pPr>
    <w:rPr>
      <w:rFonts w:asciiTheme="majorHAnsi" w:eastAsiaTheme="majorEastAsia" w:hAnsiTheme="majorHAnsi"/>
      <w:spacing w:val="-10"/>
      <w:kern w:val="28"/>
      <w:position w:val="6"/>
      <w:sz w:val="56"/>
      <w:szCs w:val="56"/>
      <w:vertAlign w:val="superscript"/>
      <w:lang w:eastAsia="cs-CZ"/>
    </w:rPr>
  </w:style>
  <w:style w:type="character" w:customStyle="1" w:styleId="NzovChar">
    <w:name w:val="Názov Char"/>
    <w:basedOn w:val="Predvolenpsmoodseku"/>
    <w:link w:val="Nzov"/>
    <w:uiPriority w:val="10"/>
    <w:rsid w:val="0085485E"/>
    <w:rPr>
      <w:rFonts w:asciiTheme="majorHAnsi" w:eastAsiaTheme="majorEastAsia" w:hAnsiTheme="majorHAnsi" w:cs="Times New Roman"/>
      <w:spacing w:val="-10"/>
      <w:kern w:val="28"/>
      <w:position w:val="6"/>
      <w:sz w:val="56"/>
      <w:szCs w:val="56"/>
      <w:vertAlign w:val="superscript"/>
      <w:lang w:eastAsia="cs-CZ"/>
    </w:rPr>
  </w:style>
  <w:style w:type="character" w:customStyle="1" w:styleId="ms-1">
    <w:name w:val="ms-1"/>
    <w:basedOn w:val="Predvolenpsmoodseku"/>
    <w:rsid w:val="004C4174"/>
  </w:style>
  <w:style w:type="character" w:customStyle="1" w:styleId="max-w-15ch">
    <w:name w:val="max-w-[15ch]"/>
    <w:basedOn w:val="Predvolenpsmoodseku"/>
    <w:rsid w:val="004C4174"/>
  </w:style>
  <w:style w:type="paragraph" w:styleId="Zoznamobrzkov">
    <w:name w:val="table of figures"/>
    <w:basedOn w:val="Normlny"/>
    <w:next w:val="Normlny"/>
    <w:uiPriority w:val="99"/>
    <w:rsid w:val="00CA753E"/>
    <w:pPr>
      <w:spacing w:after="0"/>
    </w:pPr>
  </w:style>
  <w:style w:type="paragraph" w:customStyle="1" w:styleId="zdrojpodtabukou">
    <w:name w:val="zdroj pod tabuľkou"/>
    <w:basedOn w:val="Normlny"/>
    <w:qFormat/>
    <w:rsid w:val="00041EA0"/>
    <w:pPr>
      <w:spacing w:after="120" w:line="240" w:lineRule="auto"/>
      <w:jc w:val="right"/>
    </w:pPr>
    <w:rPr>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410">
      <w:bodyDiv w:val="1"/>
      <w:marLeft w:val="0"/>
      <w:marRight w:val="0"/>
      <w:marTop w:val="0"/>
      <w:marBottom w:val="0"/>
      <w:divBdr>
        <w:top w:val="none" w:sz="0" w:space="0" w:color="auto"/>
        <w:left w:val="none" w:sz="0" w:space="0" w:color="auto"/>
        <w:bottom w:val="none" w:sz="0" w:space="0" w:color="auto"/>
        <w:right w:val="none" w:sz="0" w:space="0" w:color="auto"/>
      </w:divBdr>
    </w:div>
    <w:div w:id="50615806">
      <w:bodyDiv w:val="1"/>
      <w:marLeft w:val="0"/>
      <w:marRight w:val="0"/>
      <w:marTop w:val="0"/>
      <w:marBottom w:val="0"/>
      <w:divBdr>
        <w:top w:val="none" w:sz="0" w:space="0" w:color="auto"/>
        <w:left w:val="none" w:sz="0" w:space="0" w:color="auto"/>
        <w:bottom w:val="none" w:sz="0" w:space="0" w:color="auto"/>
        <w:right w:val="none" w:sz="0" w:space="0" w:color="auto"/>
      </w:divBdr>
    </w:div>
    <w:div w:id="56831342">
      <w:bodyDiv w:val="1"/>
      <w:marLeft w:val="0"/>
      <w:marRight w:val="0"/>
      <w:marTop w:val="0"/>
      <w:marBottom w:val="0"/>
      <w:divBdr>
        <w:top w:val="none" w:sz="0" w:space="0" w:color="auto"/>
        <w:left w:val="none" w:sz="0" w:space="0" w:color="auto"/>
        <w:bottom w:val="none" w:sz="0" w:space="0" w:color="auto"/>
        <w:right w:val="none" w:sz="0" w:space="0" w:color="auto"/>
      </w:divBdr>
    </w:div>
    <w:div w:id="61569139">
      <w:bodyDiv w:val="1"/>
      <w:marLeft w:val="0"/>
      <w:marRight w:val="0"/>
      <w:marTop w:val="0"/>
      <w:marBottom w:val="0"/>
      <w:divBdr>
        <w:top w:val="none" w:sz="0" w:space="0" w:color="auto"/>
        <w:left w:val="none" w:sz="0" w:space="0" w:color="auto"/>
        <w:bottom w:val="none" w:sz="0" w:space="0" w:color="auto"/>
        <w:right w:val="none" w:sz="0" w:space="0" w:color="auto"/>
      </w:divBdr>
    </w:div>
    <w:div w:id="64766857">
      <w:bodyDiv w:val="1"/>
      <w:marLeft w:val="0"/>
      <w:marRight w:val="0"/>
      <w:marTop w:val="0"/>
      <w:marBottom w:val="0"/>
      <w:divBdr>
        <w:top w:val="none" w:sz="0" w:space="0" w:color="auto"/>
        <w:left w:val="none" w:sz="0" w:space="0" w:color="auto"/>
        <w:bottom w:val="none" w:sz="0" w:space="0" w:color="auto"/>
        <w:right w:val="none" w:sz="0" w:space="0" w:color="auto"/>
      </w:divBdr>
    </w:div>
    <w:div w:id="67267759">
      <w:bodyDiv w:val="1"/>
      <w:marLeft w:val="0"/>
      <w:marRight w:val="0"/>
      <w:marTop w:val="0"/>
      <w:marBottom w:val="0"/>
      <w:divBdr>
        <w:top w:val="none" w:sz="0" w:space="0" w:color="auto"/>
        <w:left w:val="none" w:sz="0" w:space="0" w:color="auto"/>
        <w:bottom w:val="none" w:sz="0" w:space="0" w:color="auto"/>
        <w:right w:val="none" w:sz="0" w:space="0" w:color="auto"/>
      </w:divBdr>
    </w:div>
    <w:div w:id="75249874">
      <w:bodyDiv w:val="1"/>
      <w:marLeft w:val="0"/>
      <w:marRight w:val="0"/>
      <w:marTop w:val="0"/>
      <w:marBottom w:val="0"/>
      <w:divBdr>
        <w:top w:val="none" w:sz="0" w:space="0" w:color="auto"/>
        <w:left w:val="none" w:sz="0" w:space="0" w:color="auto"/>
        <w:bottom w:val="none" w:sz="0" w:space="0" w:color="auto"/>
        <w:right w:val="none" w:sz="0" w:space="0" w:color="auto"/>
      </w:divBdr>
    </w:div>
    <w:div w:id="75447522">
      <w:bodyDiv w:val="1"/>
      <w:marLeft w:val="0"/>
      <w:marRight w:val="0"/>
      <w:marTop w:val="0"/>
      <w:marBottom w:val="0"/>
      <w:divBdr>
        <w:top w:val="none" w:sz="0" w:space="0" w:color="auto"/>
        <w:left w:val="none" w:sz="0" w:space="0" w:color="auto"/>
        <w:bottom w:val="none" w:sz="0" w:space="0" w:color="auto"/>
        <w:right w:val="none" w:sz="0" w:space="0" w:color="auto"/>
      </w:divBdr>
    </w:div>
    <w:div w:id="95566852">
      <w:bodyDiv w:val="1"/>
      <w:marLeft w:val="0"/>
      <w:marRight w:val="0"/>
      <w:marTop w:val="0"/>
      <w:marBottom w:val="0"/>
      <w:divBdr>
        <w:top w:val="none" w:sz="0" w:space="0" w:color="auto"/>
        <w:left w:val="none" w:sz="0" w:space="0" w:color="auto"/>
        <w:bottom w:val="none" w:sz="0" w:space="0" w:color="auto"/>
        <w:right w:val="none" w:sz="0" w:space="0" w:color="auto"/>
      </w:divBdr>
    </w:div>
    <w:div w:id="106585916">
      <w:bodyDiv w:val="1"/>
      <w:marLeft w:val="0"/>
      <w:marRight w:val="0"/>
      <w:marTop w:val="0"/>
      <w:marBottom w:val="0"/>
      <w:divBdr>
        <w:top w:val="none" w:sz="0" w:space="0" w:color="auto"/>
        <w:left w:val="none" w:sz="0" w:space="0" w:color="auto"/>
        <w:bottom w:val="none" w:sz="0" w:space="0" w:color="auto"/>
        <w:right w:val="none" w:sz="0" w:space="0" w:color="auto"/>
      </w:divBdr>
    </w:div>
    <w:div w:id="107941209">
      <w:bodyDiv w:val="1"/>
      <w:marLeft w:val="0"/>
      <w:marRight w:val="0"/>
      <w:marTop w:val="0"/>
      <w:marBottom w:val="0"/>
      <w:divBdr>
        <w:top w:val="none" w:sz="0" w:space="0" w:color="auto"/>
        <w:left w:val="none" w:sz="0" w:space="0" w:color="auto"/>
        <w:bottom w:val="none" w:sz="0" w:space="0" w:color="auto"/>
        <w:right w:val="none" w:sz="0" w:space="0" w:color="auto"/>
      </w:divBdr>
    </w:div>
    <w:div w:id="113524743">
      <w:bodyDiv w:val="1"/>
      <w:marLeft w:val="0"/>
      <w:marRight w:val="0"/>
      <w:marTop w:val="0"/>
      <w:marBottom w:val="0"/>
      <w:divBdr>
        <w:top w:val="none" w:sz="0" w:space="0" w:color="auto"/>
        <w:left w:val="none" w:sz="0" w:space="0" w:color="auto"/>
        <w:bottom w:val="none" w:sz="0" w:space="0" w:color="auto"/>
        <w:right w:val="none" w:sz="0" w:space="0" w:color="auto"/>
      </w:divBdr>
    </w:div>
    <w:div w:id="185141826">
      <w:bodyDiv w:val="1"/>
      <w:marLeft w:val="0"/>
      <w:marRight w:val="0"/>
      <w:marTop w:val="0"/>
      <w:marBottom w:val="0"/>
      <w:divBdr>
        <w:top w:val="none" w:sz="0" w:space="0" w:color="auto"/>
        <w:left w:val="none" w:sz="0" w:space="0" w:color="auto"/>
        <w:bottom w:val="none" w:sz="0" w:space="0" w:color="auto"/>
        <w:right w:val="none" w:sz="0" w:space="0" w:color="auto"/>
      </w:divBdr>
    </w:div>
    <w:div w:id="193277332">
      <w:bodyDiv w:val="1"/>
      <w:marLeft w:val="0"/>
      <w:marRight w:val="0"/>
      <w:marTop w:val="0"/>
      <w:marBottom w:val="0"/>
      <w:divBdr>
        <w:top w:val="none" w:sz="0" w:space="0" w:color="auto"/>
        <w:left w:val="none" w:sz="0" w:space="0" w:color="auto"/>
        <w:bottom w:val="none" w:sz="0" w:space="0" w:color="auto"/>
        <w:right w:val="none" w:sz="0" w:space="0" w:color="auto"/>
      </w:divBdr>
    </w:div>
    <w:div w:id="234248338">
      <w:bodyDiv w:val="1"/>
      <w:marLeft w:val="0"/>
      <w:marRight w:val="0"/>
      <w:marTop w:val="0"/>
      <w:marBottom w:val="0"/>
      <w:divBdr>
        <w:top w:val="none" w:sz="0" w:space="0" w:color="auto"/>
        <w:left w:val="none" w:sz="0" w:space="0" w:color="auto"/>
        <w:bottom w:val="none" w:sz="0" w:space="0" w:color="auto"/>
        <w:right w:val="none" w:sz="0" w:space="0" w:color="auto"/>
      </w:divBdr>
    </w:div>
    <w:div w:id="279839807">
      <w:bodyDiv w:val="1"/>
      <w:marLeft w:val="0"/>
      <w:marRight w:val="0"/>
      <w:marTop w:val="0"/>
      <w:marBottom w:val="0"/>
      <w:divBdr>
        <w:top w:val="none" w:sz="0" w:space="0" w:color="auto"/>
        <w:left w:val="none" w:sz="0" w:space="0" w:color="auto"/>
        <w:bottom w:val="none" w:sz="0" w:space="0" w:color="auto"/>
        <w:right w:val="none" w:sz="0" w:space="0" w:color="auto"/>
      </w:divBdr>
    </w:div>
    <w:div w:id="293371123">
      <w:bodyDiv w:val="1"/>
      <w:marLeft w:val="0"/>
      <w:marRight w:val="0"/>
      <w:marTop w:val="0"/>
      <w:marBottom w:val="0"/>
      <w:divBdr>
        <w:top w:val="none" w:sz="0" w:space="0" w:color="auto"/>
        <w:left w:val="none" w:sz="0" w:space="0" w:color="auto"/>
        <w:bottom w:val="none" w:sz="0" w:space="0" w:color="auto"/>
        <w:right w:val="none" w:sz="0" w:space="0" w:color="auto"/>
      </w:divBdr>
    </w:div>
    <w:div w:id="316228904">
      <w:bodyDiv w:val="1"/>
      <w:marLeft w:val="0"/>
      <w:marRight w:val="0"/>
      <w:marTop w:val="0"/>
      <w:marBottom w:val="0"/>
      <w:divBdr>
        <w:top w:val="none" w:sz="0" w:space="0" w:color="auto"/>
        <w:left w:val="none" w:sz="0" w:space="0" w:color="auto"/>
        <w:bottom w:val="none" w:sz="0" w:space="0" w:color="auto"/>
        <w:right w:val="none" w:sz="0" w:space="0" w:color="auto"/>
      </w:divBdr>
    </w:div>
    <w:div w:id="322513985">
      <w:bodyDiv w:val="1"/>
      <w:marLeft w:val="0"/>
      <w:marRight w:val="0"/>
      <w:marTop w:val="0"/>
      <w:marBottom w:val="0"/>
      <w:divBdr>
        <w:top w:val="none" w:sz="0" w:space="0" w:color="auto"/>
        <w:left w:val="none" w:sz="0" w:space="0" w:color="auto"/>
        <w:bottom w:val="none" w:sz="0" w:space="0" w:color="auto"/>
        <w:right w:val="none" w:sz="0" w:space="0" w:color="auto"/>
      </w:divBdr>
    </w:div>
    <w:div w:id="329530094">
      <w:bodyDiv w:val="1"/>
      <w:marLeft w:val="0"/>
      <w:marRight w:val="0"/>
      <w:marTop w:val="0"/>
      <w:marBottom w:val="0"/>
      <w:divBdr>
        <w:top w:val="none" w:sz="0" w:space="0" w:color="auto"/>
        <w:left w:val="none" w:sz="0" w:space="0" w:color="auto"/>
        <w:bottom w:val="none" w:sz="0" w:space="0" w:color="auto"/>
        <w:right w:val="none" w:sz="0" w:space="0" w:color="auto"/>
      </w:divBdr>
    </w:div>
    <w:div w:id="332756711">
      <w:bodyDiv w:val="1"/>
      <w:marLeft w:val="0"/>
      <w:marRight w:val="0"/>
      <w:marTop w:val="0"/>
      <w:marBottom w:val="0"/>
      <w:divBdr>
        <w:top w:val="none" w:sz="0" w:space="0" w:color="auto"/>
        <w:left w:val="none" w:sz="0" w:space="0" w:color="auto"/>
        <w:bottom w:val="none" w:sz="0" w:space="0" w:color="auto"/>
        <w:right w:val="none" w:sz="0" w:space="0" w:color="auto"/>
      </w:divBdr>
    </w:div>
    <w:div w:id="363098761">
      <w:bodyDiv w:val="1"/>
      <w:marLeft w:val="0"/>
      <w:marRight w:val="0"/>
      <w:marTop w:val="0"/>
      <w:marBottom w:val="0"/>
      <w:divBdr>
        <w:top w:val="none" w:sz="0" w:space="0" w:color="auto"/>
        <w:left w:val="none" w:sz="0" w:space="0" w:color="auto"/>
        <w:bottom w:val="none" w:sz="0" w:space="0" w:color="auto"/>
        <w:right w:val="none" w:sz="0" w:space="0" w:color="auto"/>
      </w:divBdr>
    </w:div>
    <w:div w:id="369692821">
      <w:bodyDiv w:val="1"/>
      <w:marLeft w:val="0"/>
      <w:marRight w:val="0"/>
      <w:marTop w:val="0"/>
      <w:marBottom w:val="0"/>
      <w:divBdr>
        <w:top w:val="none" w:sz="0" w:space="0" w:color="auto"/>
        <w:left w:val="none" w:sz="0" w:space="0" w:color="auto"/>
        <w:bottom w:val="none" w:sz="0" w:space="0" w:color="auto"/>
        <w:right w:val="none" w:sz="0" w:space="0" w:color="auto"/>
      </w:divBdr>
    </w:div>
    <w:div w:id="370152441">
      <w:bodyDiv w:val="1"/>
      <w:marLeft w:val="0"/>
      <w:marRight w:val="0"/>
      <w:marTop w:val="0"/>
      <w:marBottom w:val="0"/>
      <w:divBdr>
        <w:top w:val="none" w:sz="0" w:space="0" w:color="auto"/>
        <w:left w:val="none" w:sz="0" w:space="0" w:color="auto"/>
        <w:bottom w:val="none" w:sz="0" w:space="0" w:color="auto"/>
        <w:right w:val="none" w:sz="0" w:space="0" w:color="auto"/>
      </w:divBdr>
    </w:div>
    <w:div w:id="381294871">
      <w:bodyDiv w:val="1"/>
      <w:marLeft w:val="0"/>
      <w:marRight w:val="0"/>
      <w:marTop w:val="0"/>
      <w:marBottom w:val="0"/>
      <w:divBdr>
        <w:top w:val="none" w:sz="0" w:space="0" w:color="auto"/>
        <w:left w:val="none" w:sz="0" w:space="0" w:color="auto"/>
        <w:bottom w:val="none" w:sz="0" w:space="0" w:color="auto"/>
        <w:right w:val="none" w:sz="0" w:space="0" w:color="auto"/>
      </w:divBdr>
    </w:div>
    <w:div w:id="386688607">
      <w:bodyDiv w:val="1"/>
      <w:marLeft w:val="0"/>
      <w:marRight w:val="0"/>
      <w:marTop w:val="0"/>
      <w:marBottom w:val="0"/>
      <w:divBdr>
        <w:top w:val="none" w:sz="0" w:space="0" w:color="auto"/>
        <w:left w:val="none" w:sz="0" w:space="0" w:color="auto"/>
        <w:bottom w:val="none" w:sz="0" w:space="0" w:color="auto"/>
        <w:right w:val="none" w:sz="0" w:space="0" w:color="auto"/>
      </w:divBdr>
    </w:div>
    <w:div w:id="400711165">
      <w:bodyDiv w:val="1"/>
      <w:marLeft w:val="0"/>
      <w:marRight w:val="0"/>
      <w:marTop w:val="0"/>
      <w:marBottom w:val="0"/>
      <w:divBdr>
        <w:top w:val="none" w:sz="0" w:space="0" w:color="auto"/>
        <w:left w:val="none" w:sz="0" w:space="0" w:color="auto"/>
        <w:bottom w:val="none" w:sz="0" w:space="0" w:color="auto"/>
        <w:right w:val="none" w:sz="0" w:space="0" w:color="auto"/>
      </w:divBdr>
    </w:div>
    <w:div w:id="439759993">
      <w:bodyDiv w:val="1"/>
      <w:marLeft w:val="0"/>
      <w:marRight w:val="0"/>
      <w:marTop w:val="0"/>
      <w:marBottom w:val="0"/>
      <w:divBdr>
        <w:top w:val="none" w:sz="0" w:space="0" w:color="auto"/>
        <w:left w:val="none" w:sz="0" w:space="0" w:color="auto"/>
        <w:bottom w:val="none" w:sz="0" w:space="0" w:color="auto"/>
        <w:right w:val="none" w:sz="0" w:space="0" w:color="auto"/>
      </w:divBdr>
    </w:div>
    <w:div w:id="441346092">
      <w:bodyDiv w:val="1"/>
      <w:marLeft w:val="0"/>
      <w:marRight w:val="0"/>
      <w:marTop w:val="0"/>
      <w:marBottom w:val="0"/>
      <w:divBdr>
        <w:top w:val="none" w:sz="0" w:space="0" w:color="auto"/>
        <w:left w:val="none" w:sz="0" w:space="0" w:color="auto"/>
        <w:bottom w:val="none" w:sz="0" w:space="0" w:color="auto"/>
        <w:right w:val="none" w:sz="0" w:space="0" w:color="auto"/>
      </w:divBdr>
    </w:div>
    <w:div w:id="443110894">
      <w:bodyDiv w:val="1"/>
      <w:marLeft w:val="0"/>
      <w:marRight w:val="0"/>
      <w:marTop w:val="0"/>
      <w:marBottom w:val="0"/>
      <w:divBdr>
        <w:top w:val="none" w:sz="0" w:space="0" w:color="auto"/>
        <w:left w:val="none" w:sz="0" w:space="0" w:color="auto"/>
        <w:bottom w:val="none" w:sz="0" w:space="0" w:color="auto"/>
        <w:right w:val="none" w:sz="0" w:space="0" w:color="auto"/>
      </w:divBdr>
    </w:div>
    <w:div w:id="471562892">
      <w:bodyDiv w:val="1"/>
      <w:marLeft w:val="0"/>
      <w:marRight w:val="0"/>
      <w:marTop w:val="0"/>
      <w:marBottom w:val="0"/>
      <w:divBdr>
        <w:top w:val="none" w:sz="0" w:space="0" w:color="auto"/>
        <w:left w:val="none" w:sz="0" w:space="0" w:color="auto"/>
        <w:bottom w:val="none" w:sz="0" w:space="0" w:color="auto"/>
        <w:right w:val="none" w:sz="0" w:space="0" w:color="auto"/>
      </w:divBdr>
    </w:div>
    <w:div w:id="485320466">
      <w:bodyDiv w:val="1"/>
      <w:marLeft w:val="0"/>
      <w:marRight w:val="0"/>
      <w:marTop w:val="0"/>
      <w:marBottom w:val="0"/>
      <w:divBdr>
        <w:top w:val="none" w:sz="0" w:space="0" w:color="auto"/>
        <w:left w:val="none" w:sz="0" w:space="0" w:color="auto"/>
        <w:bottom w:val="none" w:sz="0" w:space="0" w:color="auto"/>
        <w:right w:val="none" w:sz="0" w:space="0" w:color="auto"/>
      </w:divBdr>
    </w:div>
    <w:div w:id="509376996">
      <w:bodyDiv w:val="1"/>
      <w:marLeft w:val="0"/>
      <w:marRight w:val="0"/>
      <w:marTop w:val="0"/>
      <w:marBottom w:val="0"/>
      <w:divBdr>
        <w:top w:val="none" w:sz="0" w:space="0" w:color="auto"/>
        <w:left w:val="none" w:sz="0" w:space="0" w:color="auto"/>
        <w:bottom w:val="none" w:sz="0" w:space="0" w:color="auto"/>
        <w:right w:val="none" w:sz="0" w:space="0" w:color="auto"/>
      </w:divBdr>
    </w:div>
    <w:div w:id="512111306">
      <w:bodyDiv w:val="1"/>
      <w:marLeft w:val="0"/>
      <w:marRight w:val="0"/>
      <w:marTop w:val="0"/>
      <w:marBottom w:val="0"/>
      <w:divBdr>
        <w:top w:val="none" w:sz="0" w:space="0" w:color="auto"/>
        <w:left w:val="none" w:sz="0" w:space="0" w:color="auto"/>
        <w:bottom w:val="none" w:sz="0" w:space="0" w:color="auto"/>
        <w:right w:val="none" w:sz="0" w:space="0" w:color="auto"/>
      </w:divBdr>
    </w:div>
    <w:div w:id="517352930">
      <w:bodyDiv w:val="1"/>
      <w:marLeft w:val="0"/>
      <w:marRight w:val="0"/>
      <w:marTop w:val="0"/>
      <w:marBottom w:val="0"/>
      <w:divBdr>
        <w:top w:val="none" w:sz="0" w:space="0" w:color="auto"/>
        <w:left w:val="none" w:sz="0" w:space="0" w:color="auto"/>
        <w:bottom w:val="none" w:sz="0" w:space="0" w:color="auto"/>
        <w:right w:val="none" w:sz="0" w:space="0" w:color="auto"/>
      </w:divBdr>
    </w:div>
    <w:div w:id="538861588">
      <w:bodyDiv w:val="1"/>
      <w:marLeft w:val="0"/>
      <w:marRight w:val="0"/>
      <w:marTop w:val="0"/>
      <w:marBottom w:val="0"/>
      <w:divBdr>
        <w:top w:val="none" w:sz="0" w:space="0" w:color="auto"/>
        <w:left w:val="none" w:sz="0" w:space="0" w:color="auto"/>
        <w:bottom w:val="none" w:sz="0" w:space="0" w:color="auto"/>
        <w:right w:val="none" w:sz="0" w:space="0" w:color="auto"/>
      </w:divBdr>
    </w:div>
    <w:div w:id="544412988">
      <w:bodyDiv w:val="1"/>
      <w:marLeft w:val="0"/>
      <w:marRight w:val="0"/>
      <w:marTop w:val="0"/>
      <w:marBottom w:val="0"/>
      <w:divBdr>
        <w:top w:val="none" w:sz="0" w:space="0" w:color="auto"/>
        <w:left w:val="none" w:sz="0" w:space="0" w:color="auto"/>
        <w:bottom w:val="none" w:sz="0" w:space="0" w:color="auto"/>
        <w:right w:val="none" w:sz="0" w:space="0" w:color="auto"/>
      </w:divBdr>
    </w:div>
    <w:div w:id="641422617">
      <w:bodyDiv w:val="1"/>
      <w:marLeft w:val="0"/>
      <w:marRight w:val="0"/>
      <w:marTop w:val="0"/>
      <w:marBottom w:val="0"/>
      <w:divBdr>
        <w:top w:val="none" w:sz="0" w:space="0" w:color="auto"/>
        <w:left w:val="none" w:sz="0" w:space="0" w:color="auto"/>
        <w:bottom w:val="none" w:sz="0" w:space="0" w:color="auto"/>
        <w:right w:val="none" w:sz="0" w:space="0" w:color="auto"/>
      </w:divBdr>
    </w:div>
    <w:div w:id="646131001">
      <w:bodyDiv w:val="1"/>
      <w:marLeft w:val="0"/>
      <w:marRight w:val="0"/>
      <w:marTop w:val="0"/>
      <w:marBottom w:val="0"/>
      <w:divBdr>
        <w:top w:val="none" w:sz="0" w:space="0" w:color="auto"/>
        <w:left w:val="none" w:sz="0" w:space="0" w:color="auto"/>
        <w:bottom w:val="none" w:sz="0" w:space="0" w:color="auto"/>
        <w:right w:val="none" w:sz="0" w:space="0" w:color="auto"/>
      </w:divBdr>
    </w:div>
    <w:div w:id="671764093">
      <w:bodyDiv w:val="1"/>
      <w:marLeft w:val="0"/>
      <w:marRight w:val="0"/>
      <w:marTop w:val="0"/>
      <w:marBottom w:val="0"/>
      <w:divBdr>
        <w:top w:val="none" w:sz="0" w:space="0" w:color="auto"/>
        <w:left w:val="none" w:sz="0" w:space="0" w:color="auto"/>
        <w:bottom w:val="none" w:sz="0" w:space="0" w:color="auto"/>
        <w:right w:val="none" w:sz="0" w:space="0" w:color="auto"/>
      </w:divBdr>
    </w:div>
    <w:div w:id="705327723">
      <w:bodyDiv w:val="1"/>
      <w:marLeft w:val="0"/>
      <w:marRight w:val="0"/>
      <w:marTop w:val="0"/>
      <w:marBottom w:val="0"/>
      <w:divBdr>
        <w:top w:val="none" w:sz="0" w:space="0" w:color="auto"/>
        <w:left w:val="none" w:sz="0" w:space="0" w:color="auto"/>
        <w:bottom w:val="none" w:sz="0" w:space="0" w:color="auto"/>
        <w:right w:val="none" w:sz="0" w:space="0" w:color="auto"/>
      </w:divBdr>
    </w:div>
    <w:div w:id="715350834">
      <w:bodyDiv w:val="1"/>
      <w:marLeft w:val="0"/>
      <w:marRight w:val="0"/>
      <w:marTop w:val="0"/>
      <w:marBottom w:val="0"/>
      <w:divBdr>
        <w:top w:val="none" w:sz="0" w:space="0" w:color="auto"/>
        <w:left w:val="none" w:sz="0" w:space="0" w:color="auto"/>
        <w:bottom w:val="none" w:sz="0" w:space="0" w:color="auto"/>
        <w:right w:val="none" w:sz="0" w:space="0" w:color="auto"/>
      </w:divBdr>
    </w:div>
    <w:div w:id="732121109">
      <w:bodyDiv w:val="1"/>
      <w:marLeft w:val="0"/>
      <w:marRight w:val="0"/>
      <w:marTop w:val="0"/>
      <w:marBottom w:val="0"/>
      <w:divBdr>
        <w:top w:val="none" w:sz="0" w:space="0" w:color="auto"/>
        <w:left w:val="none" w:sz="0" w:space="0" w:color="auto"/>
        <w:bottom w:val="none" w:sz="0" w:space="0" w:color="auto"/>
        <w:right w:val="none" w:sz="0" w:space="0" w:color="auto"/>
      </w:divBdr>
    </w:div>
    <w:div w:id="73682317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829519161">
      <w:bodyDiv w:val="1"/>
      <w:marLeft w:val="0"/>
      <w:marRight w:val="0"/>
      <w:marTop w:val="0"/>
      <w:marBottom w:val="0"/>
      <w:divBdr>
        <w:top w:val="none" w:sz="0" w:space="0" w:color="auto"/>
        <w:left w:val="none" w:sz="0" w:space="0" w:color="auto"/>
        <w:bottom w:val="none" w:sz="0" w:space="0" w:color="auto"/>
        <w:right w:val="none" w:sz="0" w:space="0" w:color="auto"/>
      </w:divBdr>
    </w:div>
    <w:div w:id="835262656">
      <w:bodyDiv w:val="1"/>
      <w:marLeft w:val="0"/>
      <w:marRight w:val="0"/>
      <w:marTop w:val="0"/>
      <w:marBottom w:val="0"/>
      <w:divBdr>
        <w:top w:val="none" w:sz="0" w:space="0" w:color="auto"/>
        <w:left w:val="none" w:sz="0" w:space="0" w:color="auto"/>
        <w:bottom w:val="none" w:sz="0" w:space="0" w:color="auto"/>
        <w:right w:val="none" w:sz="0" w:space="0" w:color="auto"/>
      </w:divBdr>
    </w:div>
    <w:div w:id="837890354">
      <w:bodyDiv w:val="1"/>
      <w:marLeft w:val="0"/>
      <w:marRight w:val="0"/>
      <w:marTop w:val="0"/>
      <w:marBottom w:val="0"/>
      <w:divBdr>
        <w:top w:val="none" w:sz="0" w:space="0" w:color="auto"/>
        <w:left w:val="none" w:sz="0" w:space="0" w:color="auto"/>
        <w:bottom w:val="none" w:sz="0" w:space="0" w:color="auto"/>
        <w:right w:val="none" w:sz="0" w:space="0" w:color="auto"/>
      </w:divBdr>
    </w:div>
    <w:div w:id="838228281">
      <w:bodyDiv w:val="1"/>
      <w:marLeft w:val="0"/>
      <w:marRight w:val="0"/>
      <w:marTop w:val="0"/>
      <w:marBottom w:val="0"/>
      <w:divBdr>
        <w:top w:val="none" w:sz="0" w:space="0" w:color="auto"/>
        <w:left w:val="none" w:sz="0" w:space="0" w:color="auto"/>
        <w:bottom w:val="none" w:sz="0" w:space="0" w:color="auto"/>
        <w:right w:val="none" w:sz="0" w:space="0" w:color="auto"/>
      </w:divBdr>
    </w:div>
    <w:div w:id="838891255">
      <w:bodyDiv w:val="1"/>
      <w:marLeft w:val="0"/>
      <w:marRight w:val="0"/>
      <w:marTop w:val="0"/>
      <w:marBottom w:val="0"/>
      <w:divBdr>
        <w:top w:val="none" w:sz="0" w:space="0" w:color="auto"/>
        <w:left w:val="none" w:sz="0" w:space="0" w:color="auto"/>
        <w:bottom w:val="none" w:sz="0" w:space="0" w:color="auto"/>
        <w:right w:val="none" w:sz="0" w:space="0" w:color="auto"/>
      </w:divBdr>
    </w:div>
    <w:div w:id="885336854">
      <w:bodyDiv w:val="1"/>
      <w:marLeft w:val="0"/>
      <w:marRight w:val="0"/>
      <w:marTop w:val="0"/>
      <w:marBottom w:val="0"/>
      <w:divBdr>
        <w:top w:val="none" w:sz="0" w:space="0" w:color="auto"/>
        <w:left w:val="none" w:sz="0" w:space="0" w:color="auto"/>
        <w:bottom w:val="none" w:sz="0" w:space="0" w:color="auto"/>
        <w:right w:val="none" w:sz="0" w:space="0" w:color="auto"/>
      </w:divBdr>
    </w:div>
    <w:div w:id="897789820">
      <w:bodyDiv w:val="1"/>
      <w:marLeft w:val="0"/>
      <w:marRight w:val="0"/>
      <w:marTop w:val="0"/>
      <w:marBottom w:val="0"/>
      <w:divBdr>
        <w:top w:val="none" w:sz="0" w:space="0" w:color="auto"/>
        <w:left w:val="none" w:sz="0" w:space="0" w:color="auto"/>
        <w:bottom w:val="none" w:sz="0" w:space="0" w:color="auto"/>
        <w:right w:val="none" w:sz="0" w:space="0" w:color="auto"/>
      </w:divBdr>
    </w:div>
    <w:div w:id="928584828">
      <w:bodyDiv w:val="1"/>
      <w:marLeft w:val="0"/>
      <w:marRight w:val="0"/>
      <w:marTop w:val="0"/>
      <w:marBottom w:val="0"/>
      <w:divBdr>
        <w:top w:val="none" w:sz="0" w:space="0" w:color="auto"/>
        <w:left w:val="none" w:sz="0" w:space="0" w:color="auto"/>
        <w:bottom w:val="none" w:sz="0" w:space="0" w:color="auto"/>
        <w:right w:val="none" w:sz="0" w:space="0" w:color="auto"/>
      </w:divBdr>
    </w:div>
    <w:div w:id="949242871">
      <w:bodyDiv w:val="1"/>
      <w:marLeft w:val="0"/>
      <w:marRight w:val="0"/>
      <w:marTop w:val="0"/>
      <w:marBottom w:val="0"/>
      <w:divBdr>
        <w:top w:val="none" w:sz="0" w:space="0" w:color="auto"/>
        <w:left w:val="none" w:sz="0" w:space="0" w:color="auto"/>
        <w:bottom w:val="none" w:sz="0" w:space="0" w:color="auto"/>
        <w:right w:val="none" w:sz="0" w:space="0" w:color="auto"/>
      </w:divBdr>
    </w:div>
    <w:div w:id="959846317">
      <w:bodyDiv w:val="1"/>
      <w:marLeft w:val="0"/>
      <w:marRight w:val="0"/>
      <w:marTop w:val="0"/>
      <w:marBottom w:val="0"/>
      <w:divBdr>
        <w:top w:val="none" w:sz="0" w:space="0" w:color="auto"/>
        <w:left w:val="none" w:sz="0" w:space="0" w:color="auto"/>
        <w:bottom w:val="none" w:sz="0" w:space="0" w:color="auto"/>
        <w:right w:val="none" w:sz="0" w:space="0" w:color="auto"/>
      </w:divBdr>
    </w:div>
    <w:div w:id="967275789">
      <w:bodyDiv w:val="1"/>
      <w:marLeft w:val="0"/>
      <w:marRight w:val="0"/>
      <w:marTop w:val="0"/>
      <w:marBottom w:val="0"/>
      <w:divBdr>
        <w:top w:val="none" w:sz="0" w:space="0" w:color="auto"/>
        <w:left w:val="none" w:sz="0" w:space="0" w:color="auto"/>
        <w:bottom w:val="none" w:sz="0" w:space="0" w:color="auto"/>
        <w:right w:val="none" w:sz="0" w:space="0" w:color="auto"/>
      </w:divBdr>
    </w:div>
    <w:div w:id="970555068">
      <w:bodyDiv w:val="1"/>
      <w:marLeft w:val="0"/>
      <w:marRight w:val="0"/>
      <w:marTop w:val="0"/>
      <w:marBottom w:val="0"/>
      <w:divBdr>
        <w:top w:val="none" w:sz="0" w:space="0" w:color="auto"/>
        <w:left w:val="none" w:sz="0" w:space="0" w:color="auto"/>
        <w:bottom w:val="none" w:sz="0" w:space="0" w:color="auto"/>
        <w:right w:val="none" w:sz="0" w:space="0" w:color="auto"/>
      </w:divBdr>
      <w:divsChild>
        <w:div w:id="1966034681">
          <w:marLeft w:val="0"/>
          <w:marRight w:val="0"/>
          <w:marTop w:val="0"/>
          <w:marBottom w:val="0"/>
          <w:divBdr>
            <w:top w:val="none" w:sz="0" w:space="0" w:color="auto"/>
            <w:left w:val="none" w:sz="0" w:space="0" w:color="auto"/>
            <w:bottom w:val="none" w:sz="0" w:space="0" w:color="auto"/>
            <w:right w:val="none" w:sz="0" w:space="0" w:color="auto"/>
          </w:divBdr>
          <w:divsChild>
            <w:div w:id="1142426691">
              <w:marLeft w:val="0"/>
              <w:marRight w:val="0"/>
              <w:marTop w:val="0"/>
              <w:marBottom w:val="0"/>
              <w:divBdr>
                <w:top w:val="none" w:sz="0" w:space="0" w:color="auto"/>
                <w:left w:val="none" w:sz="0" w:space="0" w:color="auto"/>
                <w:bottom w:val="none" w:sz="0" w:space="0" w:color="auto"/>
                <w:right w:val="none" w:sz="0" w:space="0" w:color="auto"/>
              </w:divBdr>
              <w:divsChild>
                <w:div w:id="1404641627">
                  <w:marLeft w:val="0"/>
                  <w:marRight w:val="0"/>
                  <w:marTop w:val="0"/>
                  <w:marBottom w:val="0"/>
                  <w:divBdr>
                    <w:top w:val="none" w:sz="0" w:space="0" w:color="auto"/>
                    <w:left w:val="none" w:sz="0" w:space="0" w:color="auto"/>
                    <w:bottom w:val="none" w:sz="0" w:space="0" w:color="auto"/>
                    <w:right w:val="none" w:sz="0" w:space="0" w:color="auto"/>
                  </w:divBdr>
                  <w:divsChild>
                    <w:div w:id="172910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632733">
          <w:marLeft w:val="0"/>
          <w:marRight w:val="0"/>
          <w:marTop w:val="0"/>
          <w:marBottom w:val="0"/>
          <w:divBdr>
            <w:top w:val="none" w:sz="0" w:space="0" w:color="auto"/>
            <w:left w:val="none" w:sz="0" w:space="0" w:color="auto"/>
            <w:bottom w:val="none" w:sz="0" w:space="0" w:color="auto"/>
            <w:right w:val="none" w:sz="0" w:space="0" w:color="auto"/>
          </w:divBdr>
          <w:divsChild>
            <w:div w:id="389159023">
              <w:marLeft w:val="0"/>
              <w:marRight w:val="0"/>
              <w:marTop w:val="0"/>
              <w:marBottom w:val="0"/>
              <w:divBdr>
                <w:top w:val="none" w:sz="0" w:space="0" w:color="auto"/>
                <w:left w:val="none" w:sz="0" w:space="0" w:color="auto"/>
                <w:bottom w:val="none" w:sz="0" w:space="0" w:color="auto"/>
                <w:right w:val="none" w:sz="0" w:space="0" w:color="auto"/>
              </w:divBdr>
              <w:divsChild>
                <w:div w:id="1624923900">
                  <w:marLeft w:val="0"/>
                  <w:marRight w:val="0"/>
                  <w:marTop w:val="0"/>
                  <w:marBottom w:val="0"/>
                  <w:divBdr>
                    <w:top w:val="none" w:sz="0" w:space="0" w:color="auto"/>
                    <w:left w:val="none" w:sz="0" w:space="0" w:color="auto"/>
                    <w:bottom w:val="none" w:sz="0" w:space="0" w:color="auto"/>
                    <w:right w:val="none" w:sz="0" w:space="0" w:color="auto"/>
                  </w:divBdr>
                  <w:divsChild>
                    <w:div w:id="97382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83615">
          <w:marLeft w:val="0"/>
          <w:marRight w:val="0"/>
          <w:marTop w:val="0"/>
          <w:marBottom w:val="0"/>
          <w:divBdr>
            <w:top w:val="none" w:sz="0" w:space="0" w:color="auto"/>
            <w:left w:val="none" w:sz="0" w:space="0" w:color="auto"/>
            <w:bottom w:val="none" w:sz="0" w:space="0" w:color="auto"/>
            <w:right w:val="none" w:sz="0" w:space="0" w:color="auto"/>
          </w:divBdr>
          <w:divsChild>
            <w:div w:id="1963220586">
              <w:marLeft w:val="0"/>
              <w:marRight w:val="0"/>
              <w:marTop w:val="0"/>
              <w:marBottom w:val="0"/>
              <w:divBdr>
                <w:top w:val="none" w:sz="0" w:space="0" w:color="auto"/>
                <w:left w:val="none" w:sz="0" w:space="0" w:color="auto"/>
                <w:bottom w:val="none" w:sz="0" w:space="0" w:color="auto"/>
                <w:right w:val="none" w:sz="0" w:space="0" w:color="auto"/>
              </w:divBdr>
              <w:divsChild>
                <w:div w:id="792754134">
                  <w:marLeft w:val="0"/>
                  <w:marRight w:val="0"/>
                  <w:marTop w:val="0"/>
                  <w:marBottom w:val="0"/>
                  <w:divBdr>
                    <w:top w:val="none" w:sz="0" w:space="0" w:color="auto"/>
                    <w:left w:val="none" w:sz="0" w:space="0" w:color="auto"/>
                    <w:bottom w:val="none" w:sz="0" w:space="0" w:color="auto"/>
                    <w:right w:val="none" w:sz="0" w:space="0" w:color="auto"/>
                  </w:divBdr>
                  <w:divsChild>
                    <w:div w:id="9551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17339">
      <w:bodyDiv w:val="1"/>
      <w:marLeft w:val="0"/>
      <w:marRight w:val="0"/>
      <w:marTop w:val="0"/>
      <w:marBottom w:val="0"/>
      <w:divBdr>
        <w:top w:val="none" w:sz="0" w:space="0" w:color="auto"/>
        <w:left w:val="none" w:sz="0" w:space="0" w:color="auto"/>
        <w:bottom w:val="none" w:sz="0" w:space="0" w:color="auto"/>
        <w:right w:val="none" w:sz="0" w:space="0" w:color="auto"/>
      </w:divBdr>
    </w:div>
    <w:div w:id="1017728303">
      <w:bodyDiv w:val="1"/>
      <w:marLeft w:val="0"/>
      <w:marRight w:val="0"/>
      <w:marTop w:val="0"/>
      <w:marBottom w:val="0"/>
      <w:divBdr>
        <w:top w:val="none" w:sz="0" w:space="0" w:color="auto"/>
        <w:left w:val="none" w:sz="0" w:space="0" w:color="auto"/>
        <w:bottom w:val="none" w:sz="0" w:space="0" w:color="auto"/>
        <w:right w:val="none" w:sz="0" w:space="0" w:color="auto"/>
      </w:divBdr>
    </w:div>
    <w:div w:id="1029455632">
      <w:bodyDiv w:val="1"/>
      <w:marLeft w:val="0"/>
      <w:marRight w:val="0"/>
      <w:marTop w:val="0"/>
      <w:marBottom w:val="0"/>
      <w:divBdr>
        <w:top w:val="none" w:sz="0" w:space="0" w:color="auto"/>
        <w:left w:val="none" w:sz="0" w:space="0" w:color="auto"/>
        <w:bottom w:val="none" w:sz="0" w:space="0" w:color="auto"/>
        <w:right w:val="none" w:sz="0" w:space="0" w:color="auto"/>
      </w:divBdr>
    </w:div>
    <w:div w:id="1035469546">
      <w:bodyDiv w:val="1"/>
      <w:marLeft w:val="0"/>
      <w:marRight w:val="0"/>
      <w:marTop w:val="0"/>
      <w:marBottom w:val="0"/>
      <w:divBdr>
        <w:top w:val="none" w:sz="0" w:space="0" w:color="auto"/>
        <w:left w:val="none" w:sz="0" w:space="0" w:color="auto"/>
        <w:bottom w:val="none" w:sz="0" w:space="0" w:color="auto"/>
        <w:right w:val="none" w:sz="0" w:space="0" w:color="auto"/>
      </w:divBdr>
    </w:div>
    <w:div w:id="1078405482">
      <w:bodyDiv w:val="1"/>
      <w:marLeft w:val="0"/>
      <w:marRight w:val="0"/>
      <w:marTop w:val="0"/>
      <w:marBottom w:val="0"/>
      <w:divBdr>
        <w:top w:val="none" w:sz="0" w:space="0" w:color="auto"/>
        <w:left w:val="none" w:sz="0" w:space="0" w:color="auto"/>
        <w:bottom w:val="none" w:sz="0" w:space="0" w:color="auto"/>
        <w:right w:val="none" w:sz="0" w:space="0" w:color="auto"/>
      </w:divBdr>
    </w:div>
    <w:div w:id="1094786392">
      <w:bodyDiv w:val="1"/>
      <w:marLeft w:val="0"/>
      <w:marRight w:val="0"/>
      <w:marTop w:val="0"/>
      <w:marBottom w:val="0"/>
      <w:divBdr>
        <w:top w:val="none" w:sz="0" w:space="0" w:color="auto"/>
        <w:left w:val="none" w:sz="0" w:space="0" w:color="auto"/>
        <w:bottom w:val="none" w:sz="0" w:space="0" w:color="auto"/>
        <w:right w:val="none" w:sz="0" w:space="0" w:color="auto"/>
      </w:divBdr>
    </w:div>
    <w:div w:id="1116144916">
      <w:bodyDiv w:val="1"/>
      <w:marLeft w:val="0"/>
      <w:marRight w:val="0"/>
      <w:marTop w:val="0"/>
      <w:marBottom w:val="0"/>
      <w:divBdr>
        <w:top w:val="none" w:sz="0" w:space="0" w:color="auto"/>
        <w:left w:val="none" w:sz="0" w:space="0" w:color="auto"/>
        <w:bottom w:val="none" w:sz="0" w:space="0" w:color="auto"/>
        <w:right w:val="none" w:sz="0" w:space="0" w:color="auto"/>
      </w:divBdr>
    </w:div>
    <w:div w:id="1150900288">
      <w:bodyDiv w:val="1"/>
      <w:marLeft w:val="0"/>
      <w:marRight w:val="0"/>
      <w:marTop w:val="0"/>
      <w:marBottom w:val="0"/>
      <w:divBdr>
        <w:top w:val="none" w:sz="0" w:space="0" w:color="auto"/>
        <w:left w:val="none" w:sz="0" w:space="0" w:color="auto"/>
        <w:bottom w:val="none" w:sz="0" w:space="0" w:color="auto"/>
        <w:right w:val="none" w:sz="0" w:space="0" w:color="auto"/>
      </w:divBdr>
    </w:div>
    <w:div w:id="1189101466">
      <w:bodyDiv w:val="1"/>
      <w:marLeft w:val="0"/>
      <w:marRight w:val="0"/>
      <w:marTop w:val="0"/>
      <w:marBottom w:val="0"/>
      <w:divBdr>
        <w:top w:val="none" w:sz="0" w:space="0" w:color="auto"/>
        <w:left w:val="none" w:sz="0" w:space="0" w:color="auto"/>
        <w:bottom w:val="none" w:sz="0" w:space="0" w:color="auto"/>
        <w:right w:val="none" w:sz="0" w:space="0" w:color="auto"/>
      </w:divBdr>
    </w:div>
    <w:div w:id="1236278265">
      <w:bodyDiv w:val="1"/>
      <w:marLeft w:val="0"/>
      <w:marRight w:val="0"/>
      <w:marTop w:val="0"/>
      <w:marBottom w:val="0"/>
      <w:divBdr>
        <w:top w:val="none" w:sz="0" w:space="0" w:color="auto"/>
        <w:left w:val="none" w:sz="0" w:space="0" w:color="auto"/>
        <w:bottom w:val="none" w:sz="0" w:space="0" w:color="auto"/>
        <w:right w:val="none" w:sz="0" w:space="0" w:color="auto"/>
      </w:divBdr>
    </w:div>
    <w:div w:id="1238127830">
      <w:bodyDiv w:val="1"/>
      <w:marLeft w:val="0"/>
      <w:marRight w:val="0"/>
      <w:marTop w:val="0"/>
      <w:marBottom w:val="0"/>
      <w:divBdr>
        <w:top w:val="none" w:sz="0" w:space="0" w:color="auto"/>
        <w:left w:val="none" w:sz="0" w:space="0" w:color="auto"/>
        <w:bottom w:val="none" w:sz="0" w:space="0" w:color="auto"/>
        <w:right w:val="none" w:sz="0" w:space="0" w:color="auto"/>
      </w:divBdr>
    </w:div>
    <w:div w:id="1255821282">
      <w:bodyDiv w:val="1"/>
      <w:marLeft w:val="0"/>
      <w:marRight w:val="0"/>
      <w:marTop w:val="0"/>
      <w:marBottom w:val="0"/>
      <w:divBdr>
        <w:top w:val="none" w:sz="0" w:space="0" w:color="auto"/>
        <w:left w:val="none" w:sz="0" w:space="0" w:color="auto"/>
        <w:bottom w:val="none" w:sz="0" w:space="0" w:color="auto"/>
        <w:right w:val="none" w:sz="0" w:space="0" w:color="auto"/>
      </w:divBdr>
    </w:div>
    <w:div w:id="1275790413">
      <w:bodyDiv w:val="1"/>
      <w:marLeft w:val="0"/>
      <w:marRight w:val="0"/>
      <w:marTop w:val="0"/>
      <w:marBottom w:val="0"/>
      <w:divBdr>
        <w:top w:val="none" w:sz="0" w:space="0" w:color="auto"/>
        <w:left w:val="none" w:sz="0" w:space="0" w:color="auto"/>
        <w:bottom w:val="none" w:sz="0" w:space="0" w:color="auto"/>
        <w:right w:val="none" w:sz="0" w:space="0" w:color="auto"/>
      </w:divBdr>
    </w:div>
    <w:div w:id="1279947722">
      <w:bodyDiv w:val="1"/>
      <w:marLeft w:val="0"/>
      <w:marRight w:val="0"/>
      <w:marTop w:val="0"/>
      <w:marBottom w:val="0"/>
      <w:divBdr>
        <w:top w:val="none" w:sz="0" w:space="0" w:color="auto"/>
        <w:left w:val="none" w:sz="0" w:space="0" w:color="auto"/>
        <w:bottom w:val="none" w:sz="0" w:space="0" w:color="auto"/>
        <w:right w:val="none" w:sz="0" w:space="0" w:color="auto"/>
      </w:divBdr>
    </w:div>
    <w:div w:id="1280452832">
      <w:bodyDiv w:val="1"/>
      <w:marLeft w:val="0"/>
      <w:marRight w:val="0"/>
      <w:marTop w:val="0"/>
      <w:marBottom w:val="0"/>
      <w:divBdr>
        <w:top w:val="none" w:sz="0" w:space="0" w:color="auto"/>
        <w:left w:val="none" w:sz="0" w:space="0" w:color="auto"/>
        <w:bottom w:val="none" w:sz="0" w:space="0" w:color="auto"/>
        <w:right w:val="none" w:sz="0" w:space="0" w:color="auto"/>
      </w:divBdr>
    </w:div>
    <w:div w:id="1284144670">
      <w:bodyDiv w:val="1"/>
      <w:marLeft w:val="0"/>
      <w:marRight w:val="0"/>
      <w:marTop w:val="0"/>
      <w:marBottom w:val="0"/>
      <w:divBdr>
        <w:top w:val="none" w:sz="0" w:space="0" w:color="auto"/>
        <w:left w:val="none" w:sz="0" w:space="0" w:color="auto"/>
        <w:bottom w:val="none" w:sz="0" w:space="0" w:color="auto"/>
        <w:right w:val="none" w:sz="0" w:space="0" w:color="auto"/>
      </w:divBdr>
    </w:div>
    <w:div w:id="1321958945">
      <w:bodyDiv w:val="1"/>
      <w:marLeft w:val="0"/>
      <w:marRight w:val="0"/>
      <w:marTop w:val="0"/>
      <w:marBottom w:val="0"/>
      <w:divBdr>
        <w:top w:val="none" w:sz="0" w:space="0" w:color="auto"/>
        <w:left w:val="none" w:sz="0" w:space="0" w:color="auto"/>
        <w:bottom w:val="none" w:sz="0" w:space="0" w:color="auto"/>
        <w:right w:val="none" w:sz="0" w:space="0" w:color="auto"/>
      </w:divBdr>
    </w:div>
    <w:div w:id="1330018969">
      <w:bodyDiv w:val="1"/>
      <w:marLeft w:val="0"/>
      <w:marRight w:val="0"/>
      <w:marTop w:val="0"/>
      <w:marBottom w:val="0"/>
      <w:divBdr>
        <w:top w:val="none" w:sz="0" w:space="0" w:color="auto"/>
        <w:left w:val="none" w:sz="0" w:space="0" w:color="auto"/>
        <w:bottom w:val="none" w:sz="0" w:space="0" w:color="auto"/>
        <w:right w:val="none" w:sz="0" w:space="0" w:color="auto"/>
      </w:divBdr>
    </w:div>
    <w:div w:id="1331836010">
      <w:bodyDiv w:val="1"/>
      <w:marLeft w:val="0"/>
      <w:marRight w:val="0"/>
      <w:marTop w:val="0"/>
      <w:marBottom w:val="0"/>
      <w:divBdr>
        <w:top w:val="none" w:sz="0" w:space="0" w:color="auto"/>
        <w:left w:val="none" w:sz="0" w:space="0" w:color="auto"/>
        <w:bottom w:val="none" w:sz="0" w:space="0" w:color="auto"/>
        <w:right w:val="none" w:sz="0" w:space="0" w:color="auto"/>
      </w:divBdr>
    </w:div>
    <w:div w:id="1336683633">
      <w:bodyDiv w:val="1"/>
      <w:marLeft w:val="0"/>
      <w:marRight w:val="0"/>
      <w:marTop w:val="0"/>
      <w:marBottom w:val="0"/>
      <w:divBdr>
        <w:top w:val="none" w:sz="0" w:space="0" w:color="auto"/>
        <w:left w:val="none" w:sz="0" w:space="0" w:color="auto"/>
        <w:bottom w:val="none" w:sz="0" w:space="0" w:color="auto"/>
        <w:right w:val="none" w:sz="0" w:space="0" w:color="auto"/>
      </w:divBdr>
    </w:div>
    <w:div w:id="1350062370">
      <w:bodyDiv w:val="1"/>
      <w:marLeft w:val="0"/>
      <w:marRight w:val="0"/>
      <w:marTop w:val="0"/>
      <w:marBottom w:val="0"/>
      <w:divBdr>
        <w:top w:val="none" w:sz="0" w:space="0" w:color="auto"/>
        <w:left w:val="none" w:sz="0" w:space="0" w:color="auto"/>
        <w:bottom w:val="none" w:sz="0" w:space="0" w:color="auto"/>
        <w:right w:val="none" w:sz="0" w:space="0" w:color="auto"/>
      </w:divBdr>
    </w:div>
    <w:div w:id="1373574362">
      <w:bodyDiv w:val="1"/>
      <w:marLeft w:val="0"/>
      <w:marRight w:val="0"/>
      <w:marTop w:val="0"/>
      <w:marBottom w:val="0"/>
      <w:divBdr>
        <w:top w:val="none" w:sz="0" w:space="0" w:color="auto"/>
        <w:left w:val="none" w:sz="0" w:space="0" w:color="auto"/>
        <w:bottom w:val="none" w:sz="0" w:space="0" w:color="auto"/>
        <w:right w:val="none" w:sz="0" w:space="0" w:color="auto"/>
      </w:divBdr>
    </w:div>
    <w:div w:id="1412971722">
      <w:bodyDiv w:val="1"/>
      <w:marLeft w:val="0"/>
      <w:marRight w:val="0"/>
      <w:marTop w:val="0"/>
      <w:marBottom w:val="0"/>
      <w:divBdr>
        <w:top w:val="none" w:sz="0" w:space="0" w:color="auto"/>
        <w:left w:val="none" w:sz="0" w:space="0" w:color="auto"/>
        <w:bottom w:val="none" w:sz="0" w:space="0" w:color="auto"/>
        <w:right w:val="none" w:sz="0" w:space="0" w:color="auto"/>
      </w:divBdr>
    </w:div>
    <w:div w:id="1465469076">
      <w:bodyDiv w:val="1"/>
      <w:marLeft w:val="0"/>
      <w:marRight w:val="0"/>
      <w:marTop w:val="0"/>
      <w:marBottom w:val="0"/>
      <w:divBdr>
        <w:top w:val="none" w:sz="0" w:space="0" w:color="auto"/>
        <w:left w:val="none" w:sz="0" w:space="0" w:color="auto"/>
        <w:bottom w:val="none" w:sz="0" w:space="0" w:color="auto"/>
        <w:right w:val="none" w:sz="0" w:space="0" w:color="auto"/>
      </w:divBdr>
    </w:div>
    <w:div w:id="1544322201">
      <w:bodyDiv w:val="1"/>
      <w:marLeft w:val="0"/>
      <w:marRight w:val="0"/>
      <w:marTop w:val="0"/>
      <w:marBottom w:val="0"/>
      <w:divBdr>
        <w:top w:val="none" w:sz="0" w:space="0" w:color="auto"/>
        <w:left w:val="none" w:sz="0" w:space="0" w:color="auto"/>
        <w:bottom w:val="none" w:sz="0" w:space="0" w:color="auto"/>
        <w:right w:val="none" w:sz="0" w:space="0" w:color="auto"/>
      </w:divBdr>
    </w:div>
    <w:div w:id="1547985729">
      <w:bodyDiv w:val="1"/>
      <w:marLeft w:val="0"/>
      <w:marRight w:val="0"/>
      <w:marTop w:val="0"/>
      <w:marBottom w:val="0"/>
      <w:divBdr>
        <w:top w:val="none" w:sz="0" w:space="0" w:color="auto"/>
        <w:left w:val="none" w:sz="0" w:space="0" w:color="auto"/>
        <w:bottom w:val="none" w:sz="0" w:space="0" w:color="auto"/>
        <w:right w:val="none" w:sz="0" w:space="0" w:color="auto"/>
      </w:divBdr>
    </w:div>
    <w:div w:id="1562130707">
      <w:bodyDiv w:val="1"/>
      <w:marLeft w:val="0"/>
      <w:marRight w:val="0"/>
      <w:marTop w:val="0"/>
      <w:marBottom w:val="0"/>
      <w:divBdr>
        <w:top w:val="none" w:sz="0" w:space="0" w:color="auto"/>
        <w:left w:val="none" w:sz="0" w:space="0" w:color="auto"/>
        <w:bottom w:val="none" w:sz="0" w:space="0" w:color="auto"/>
        <w:right w:val="none" w:sz="0" w:space="0" w:color="auto"/>
      </w:divBdr>
    </w:div>
    <w:div w:id="1584535414">
      <w:bodyDiv w:val="1"/>
      <w:marLeft w:val="0"/>
      <w:marRight w:val="0"/>
      <w:marTop w:val="0"/>
      <w:marBottom w:val="0"/>
      <w:divBdr>
        <w:top w:val="none" w:sz="0" w:space="0" w:color="auto"/>
        <w:left w:val="none" w:sz="0" w:space="0" w:color="auto"/>
        <w:bottom w:val="none" w:sz="0" w:space="0" w:color="auto"/>
        <w:right w:val="none" w:sz="0" w:space="0" w:color="auto"/>
      </w:divBdr>
    </w:div>
    <w:div w:id="1611275109">
      <w:bodyDiv w:val="1"/>
      <w:marLeft w:val="0"/>
      <w:marRight w:val="0"/>
      <w:marTop w:val="0"/>
      <w:marBottom w:val="0"/>
      <w:divBdr>
        <w:top w:val="none" w:sz="0" w:space="0" w:color="auto"/>
        <w:left w:val="none" w:sz="0" w:space="0" w:color="auto"/>
        <w:bottom w:val="none" w:sz="0" w:space="0" w:color="auto"/>
        <w:right w:val="none" w:sz="0" w:space="0" w:color="auto"/>
      </w:divBdr>
    </w:div>
    <w:div w:id="1711878668">
      <w:bodyDiv w:val="1"/>
      <w:marLeft w:val="0"/>
      <w:marRight w:val="0"/>
      <w:marTop w:val="0"/>
      <w:marBottom w:val="0"/>
      <w:divBdr>
        <w:top w:val="none" w:sz="0" w:space="0" w:color="auto"/>
        <w:left w:val="none" w:sz="0" w:space="0" w:color="auto"/>
        <w:bottom w:val="none" w:sz="0" w:space="0" w:color="auto"/>
        <w:right w:val="none" w:sz="0" w:space="0" w:color="auto"/>
      </w:divBdr>
    </w:div>
    <w:div w:id="1723938371">
      <w:bodyDiv w:val="1"/>
      <w:marLeft w:val="0"/>
      <w:marRight w:val="0"/>
      <w:marTop w:val="0"/>
      <w:marBottom w:val="0"/>
      <w:divBdr>
        <w:top w:val="none" w:sz="0" w:space="0" w:color="auto"/>
        <w:left w:val="none" w:sz="0" w:space="0" w:color="auto"/>
        <w:bottom w:val="none" w:sz="0" w:space="0" w:color="auto"/>
        <w:right w:val="none" w:sz="0" w:space="0" w:color="auto"/>
      </w:divBdr>
    </w:div>
    <w:div w:id="1731732587">
      <w:bodyDiv w:val="1"/>
      <w:marLeft w:val="0"/>
      <w:marRight w:val="0"/>
      <w:marTop w:val="0"/>
      <w:marBottom w:val="0"/>
      <w:divBdr>
        <w:top w:val="none" w:sz="0" w:space="0" w:color="auto"/>
        <w:left w:val="none" w:sz="0" w:space="0" w:color="auto"/>
        <w:bottom w:val="none" w:sz="0" w:space="0" w:color="auto"/>
        <w:right w:val="none" w:sz="0" w:space="0" w:color="auto"/>
      </w:divBdr>
    </w:div>
    <w:div w:id="1751004728">
      <w:bodyDiv w:val="1"/>
      <w:marLeft w:val="0"/>
      <w:marRight w:val="0"/>
      <w:marTop w:val="0"/>
      <w:marBottom w:val="0"/>
      <w:divBdr>
        <w:top w:val="none" w:sz="0" w:space="0" w:color="auto"/>
        <w:left w:val="none" w:sz="0" w:space="0" w:color="auto"/>
        <w:bottom w:val="none" w:sz="0" w:space="0" w:color="auto"/>
        <w:right w:val="none" w:sz="0" w:space="0" w:color="auto"/>
      </w:divBdr>
    </w:div>
    <w:div w:id="1757284969">
      <w:bodyDiv w:val="1"/>
      <w:marLeft w:val="0"/>
      <w:marRight w:val="0"/>
      <w:marTop w:val="0"/>
      <w:marBottom w:val="0"/>
      <w:divBdr>
        <w:top w:val="none" w:sz="0" w:space="0" w:color="auto"/>
        <w:left w:val="none" w:sz="0" w:space="0" w:color="auto"/>
        <w:bottom w:val="none" w:sz="0" w:space="0" w:color="auto"/>
        <w:right w:val="none" w:sz="0" w:space="0" w:color="auto"/>
      </w:divBdr>
    </w:div>
    <w:div w:id="1764258142">
      <w:bodyDiv w:val="1"/>
      <w:marLeft w:val="0"/>
      <w:marRight w:val="0"/>
      <w:marTop w:val="0"/>
      <w:marBottom w:val="0"/>
      <w:divBdr>
        <w:top w:val="none" w:sz="0" w:space="0" w:color="auto"/>
        <w:left w:val="none" w:sz="0" w:space="0" w:color="auto"/>
        <w:bottom w:val="none" w:sz="0" w:space="0" w:color="auto"/>
        <w:right w:val="none" w:sz="0" w:space="0" w:color="auto"/>
      </w:divBdr>
    </w:div>
    <w:div w:id="1772240839">
      <w:bodyDiv w:val="1"/>
      <w:marLeft w:val="0"/>
      <w:marRight w:val="0"/>
      <w:marTop w:val="0"/>
      <w:marBottom w:val="0"/>
      <w:divBdr>
        <w:top w:val="none" w:sz="0" w:space="0" w:color="auto"/>
        <w:left w:val="none" w:sz="0" w:space="0" w:color="auto"/>
        <w:bottom w:val="none" w:sz="0" w:space="0" w:color="auto"/>
        <w:right w:val="none" w:sz="0" w:space="0" w:color="auto"/>
      </w:divBdr>
    </w:div>
    <w:div w:id="1787769129">
      <w:bodyDiv w:val="1"/>
      <w:marLeft w:val="0"/>
      <w:marRight w:val="0"/>
      <w:marTop w:val="0"/>
      <w:marBottom w:val="0"/>
      <w:divBdr>
        <w:top w:val="none" w:sz="0" w:space="0" w:color="auto"/>
        <w:left w:val="none" w:sz="0" w:space="0" w:color="auto"/>
        <w:bottom w:val="none" w:sz="0" w:space="0" w:color="auto"/>
        <w:right w:val="none" w:sz="0" w:space="0" w:color="auto"/>
      </w:divBdr>
    </w:div>
    <w:div w:id="1787850886">
      <w:bodyDiv w:val="1"/>
      <w:marLeft w:val="0"/>
      <w:marRight w:val="0"/>
      <w:marTop w:val="0"/>
      <w:marBottom w:val="0"/>
      <w:divBdr>
        <w:top w:val="none" w:sz="0" w:space="0" w:color="auto"/>
        <w:left w:val="none" w:sz="0" w:space="0" w:color="auto"/>
        <w:bottom w:val="none" w:sz="0" w:space="0" w:color="auto"/>
        <w:right w:val="none" w:sz="0" w:space="0" w:color="auto"/>
      </w:divBdr>
    </w:div>
    <w:div w:id="1802846987">
      <w:bodyDiv w:val="1"/>
      <w:marLeft w:val="0"/>
      <w:marRight w:val="0"/>
      <w:marTop w:val="0"/>
      <w:marBottom w:val="0"/>
      <w:divBdr>
        <w:top w:val="none" w:sz="0" w:space="0" w:color="auto"/>
        <w:left w:val="none" w:sz="0" w:space="0" w:color="auto"/>
        <w:bottom w:val="none" w:sz="0" w:space="0" w:color="auto"/>
        <w:right w:val="none" w:sz="0" w:space="0" w:color="auto"/>
      </w:divBdr>
    </w:div>
    <w:div w:id="1862889749">
      <w:bodyDiv w:val="1"/>
      <w:marLeft w:val="0"/>
      <w:marRight w:val="0"/>
      <w:marTop w:val="0"/>
      <w:marBottom w:val="0"/>
      <w:divBdr>
        <w:top w:val="none" w:sz="0" w:space="0" w:color="auto"/>
        <w:left w:val="none" w:sz="0" w:space="0" w:color="auto"/>
        <w:bottom w:val="none" w:sz="0" w:space="0" w:color="auto"/>
        <w:right w:val="none" w:sz="0" w:space="0" w:color="auto"/>
      </w:divBdr>
    </w:div>
    <w:div w:id="1881085109">
      <w:bodyDiv w:val="1"/>
      <w:marLeft w:val="0"/>
      <w:marRight w:val="0"/>
      <w:marTop w:val="0"/>
      <w:marBottom w:val="0"/>
      <w:divBdr>
        <w:top w:val="none" w:sz="0" w:space="0" w:color="auto"/>
        <w:left w:val="none" w:sz="0" w:space="0" w:color="auto"/>
        <w:bottom w:val="none" w:sz="0" w:space="0" w:color="auto"/>
        <w:right w:val="none" w:sz="0" w:space="0" w:color="auto"/>
      </w:divBdr>
    </w:div>
    <w:div w:id="1890338346">
      <w:bodyDiv w:val="1"/>
      <w:marLeft w:val="0"/>
      <w:marRight w:val="0"/>
      <w:marTop w:val="0"/>
      <w:marBottom w:val="0"/>
      <w:divBdr>
        <w:top w:val="none" w:sz="0" w:space="0" w:color="auto"/>
        <w:left w:val="none" w:sz="0" w:space="0" w:color="auto"/>
        <w:bottom w:val="none" w:sz="0" w:space="0" w:color="auto"/>
        <w:right w:val="none" w:sz="0" w:space="0" w:color="auto"/>
      </w:divBdr>
    </w:div>
    <w:div w:id="1893807793">
      <w:bodyDiv w:val="1"/>
      <w:marLeft w:val="0"/>
      <w:marRight w:val="0"/>
      <w:marTop w:val="0"/>
      <w:marBottom w:val="0"/>
      <w:divBdr>
        <w:top w:val="none" w:sz="0" w:space="0" w:color="auto"/>
        <w:left w:val="none" w:sz="0" w:space="0" w:color="auto"/>
        <w:bottom w:val="none" w:sz="0" w:space="0" w:color="auto"/>
        <w:right w:val="none" w:sz="0" w:space="0" w:color="auto"/>
      </w:divBdr>
    </w:div>
    <w:div w:id="1896039823">
      <w:bodyDiv w:val="1"/>
      <w:marLeft w:val="0"/>
      <w:marRight w:val="0"/>
      <w:marTop w:val="0"/>
      <w:marBottom w:val="0"/>
      <w:divBdr>
        <w:top w:val="none" w:sz="0" w:space="0" w:color="auto"/>
        <w:left w:val="none" w:sz="0" w:space="0" w:color="auto"/>
        <w:bottom w:val="none" w:sz="0" w:space="0" w:color="auto"/>
        <w:right w:val="none" w:sz="0" w:space="0" w:color="auto"/>
      </w:divBdr>
    </w:div>
    <w:div w:id="1938521178">
      <w:marLeft w:val="0"/>
      <w:marRight w:val="0"/>
      <w:marTop w:val="0"/>
      <w:marBottom w:val="0"/>
      <w:divBdr>
        <w:top w:val="none" w:sz="0" w:space="0" w:color="auto"/>
        <w:left w:val="none" w:sz="0" w:space="0" w:color="auto"/>
        <w:bottom w:val="none" w:sz="0" w:space="0" w:color="auto"/>
        <w:right w:val="none" w:sz="0" w:space="0" w:color="auto"/>
      </w:divBdr>
    </w:div>
    <w:div w:id="1938521179">
      <w:marLeft w:val="0"/>
      <w:marRight w:val="0"/>
      <w:marTop w:val="0"/>
      <w:marBottom w:val="0"/>
      <w:divBdr>
        <w:top w:val="none" w:sz="0" w:space="0" w:color="auto"/>
        <w:left w:val="none" w:sz="0" w:space="0" w:color="auto"/>
        <w:bottom w:val="none" w:sz="0" w:space="0" w:color="auto"/>
        <w:right w:val="none" w:sz="0" w:space="0" w:color="auto"/>
      </w:divBdr>
    </w:div>
    <w:div w:id="1938521180">
      <w:marLeft w:val="0"/>
      <w:marRight w:val="0"/>
      <w:marTop w:val="0"/>
      <w:marBottom w:val="0"/>
      <w:divBdr>
        <w:top w:val="none" w:sz="0" w:space="0" w:color="auto"/>
        <w:left w:val="none" w:sz="0" w:space="0" w:color="auto"/>
        <w:bottom w:val="none" w:sz="0" w:space="0" w:color="auto"/>
        <w:right w:val="none" w:sz="0" w:space="0" w:color="auto"/>
      </w:divBdr>
    </w:div>
    <w:div w:id="1938521181">
      <w:marLeft w:val="0"/>
      <w:marRight w:val="0"/>
      <w:marTop w:val="0"/>
      <w:marBottom w:val="0"/>
      <w:divBdr>
        <w:top w:val="none" w:sz="0" w:space="0" w:color="auto"/>
        <w:left w:val="none" w:sz="0" w:space="0" w:color="auto"/>
        <w:bottom w:val="none" w:sz="0" w:space="0" w:color="auto"/>
        <w:right w:val="none" w:sz="0" w:space="0" w:color="auto"/>
      </w:divBdr>
    </w:div>
    <w:div w:id="1938521182">
      <w:marLeft w:val="0"/>
      <w:marRight w:val="0"/>
      <w:marTop w:val="0"/>
      <w:marBottom w:val="0"/>
      <w:divBdr>
        <w:top w:val="none" w:sz="0" w:space="0" w:color="auto"/>
        <w:left w:val="none" w:sz="0" w:space="0" w:color="auto"/>
        <w:bottom w:val="none" w:sz="0" w:space="0" w:color="auto"/>
        <w:right w:val="none" w:sz="0" w:space="0" w:color="auto"/>
      </w:divBdr>
    </w:div>
    <w:div w:id="1938521183">
      <w:marLeft w:val="0"/>
      <w:marRight w:val="0"/>
      <w:marTop w:val="0"/>
      <w:marBottom w:val="0"/>
      <w:divBdr>
        <w:top w:val="none" w:sz="0" w:space="0" w:color="auto"/>
        <w:left w:val="none" w:sz="0" w:space="0" w:color="auto"/>
        <w:bottom w:val="none" w:sz="0" w:space="0" w:color="auto"/>
        <w:right w:val="none" w:sz="0" w:space="0" w:color="auto"/>
      </w:divBdr>
    </w:div>
    <w:div w:id="1938521184">
      <w:marLeft w:val="0"/>
      <w:marRight w:val="0"/>
      <w:marTop w:val="0"/>
      <w:marBottom w:val="0"/>
      <w:divBdr>
        <w:top w:val="none" w:sz="0" w:space="0" w:color="auto"/>
        <w:left w:val="none" w:sz="0" w:space="0" w:color="auto"/>
        <w:bottom w:val="none" w:sz="0" w:space="0" w:color="auto"/>
        <w:right w:val="none" w:sz="0" w:space="0" w:color="auto"/>
      </w:divBdr>
    </w:div>
    <w:div w:id="1938521185">
      <w:marLeft w:val="0"/>
      <w:marRight w:val="0"/>
      <w:marTop w:val="0"/>
      <w:marBottom w:val="0"/>
      <w:divBdr>
        <w:top w:val="none" w:sz="0" w:space="0" w:color="auto"/>
        <w:left w:val="none" w:sz="0" w:space="0" w:color="auto"/>
        <w:bottom w:val="none" w:sz="0" w:space="0" w:color="auto"/>
        <w:right w:val="none" w:sz="0" w:space="0" w:color="auto"/>
      </w:divBdr>
    </w:div>
    <w:div w:id="1938521186">
      <w:marLeft w:val="0"/>
      <w:marRight w:val="0"/>
      <w:marTop w:val="0"/>
      <w:marBottom w:val="0"/>
      <w:divBdr>
        <w:top w:val="none" w:sz="0" w:space="0" w:color="auto"/>
        <w:left w:val="none" w:sz="0" w:space="0" w:color="auto"/>
        <w:bottom w:val="none" w:sz="0" w:space="0" w:color="auto"/>
        <w:right w:val="none" w:sz="0" w:space="0" w:color="auto"/>
      </w:divBdr>
    </w:div>
    <w:div w:id="1938521187">
      <w:marLeft w:val="0"/>
      <w:marRight w:val="0"/>
      <w:marTop w:val="0"/>
      <w:marBottom w:val="0"/>
      <w:divBdr>
        <w:top w:val="none" w:sz="0" w:space="0" w:color="auto"/>
        <w:left w:val="none" w:sz="0" w:space="0" w:color="auto"/>
        <w:bottom w:val="none" w:sz="0" w:space="0" w:color="auto"/>
        <w:right w:val="none" w:sz="0" w:space="0" w:color="auto"/>
      </w:divBdr>
    </w:div>
    <w:div w:id="1938521188">
      <w:marLeft w:val="0"/>
      <w:marRight w:val="0"/>
      <w:marTop w:val="0"/>
      <w:marBottom w:val="0"/>
      <w:divBdr>
        <w:top w:val="none" w:sz="0" w:space="0" w:color="auto"/>
        <w:left w:val="none" w:sz="0" w:space="0" w:color="auto"/>
        <w:bottom w:val="none" w:sz="0" w:space="0" w:color="auto"/>
        <w:right w:val="none" w:sz="0" w:space="0" w:color="auto"/>
      </w:divBdr>
    </w:div>
    <w:div w:id="1938521189">
      <w:marLeft w:val="0"/>
      <w:marRight w:val="0"/>
      <w:marTop w:val="0"/>
      <w:marBottom w:val="0"/>
      <w:divBdr>
        <w:top w:val="none" w:sz="0" w:space="0" w:color="auto"/>
        <w:left w:val="none" w:sz="0" w:space="0" w:color="auto"/>
        <w:bottom w:val="none" w:sz="0" w:space="0" w:color="auto"/>
        <w:right w:val="none" w:sz="0" w:space="0" w:color="auto"/>
      </w:divBdr>
    </w:div>
    <w:div w:id="1938521190">
      <w:marLeft w:val="0"/>
      <w:marRight w:val="0"/>
      <w:marTop w:val="0"/>
      <w:marBottom w:val="0"/>
      <w:divBdr>
        <w:top w:val="none" w:sz="0" w:space="0" w:color="auto"/>
        <w:left w:val="none" w:sz="0" w:space="0" w:color="auto"/>
        <w:bottom w:val="none" w:sz="0" w:space="0" w:color="auto"/>
        <w:right w:val="none" w:sz="0" w:space="0" w:color="auto"/>
      </w:divBdr>
    </w:div>
    <w:div w:id="1938521191">
      <w:marLeft w:val="0"/>
      <w:marRight w:val="0"/>
      <w:marTop w:val="0"/>
      <w:marBottom w:val="0"/>
      <w:divBdr>
        <w:top w:val="none" w:sz="0" w:space="0" w:color="auto"/>
        <w:left w:val="none" w:sz="0" w:space="0" w:color="auto"/>
        <w:bottom w:val="none" w:sz="0" w:space="0" w:color="auto"/>
        <w:right w:val="none" w:sz="0" w:space="0" w:color="auto"/>
      </w:divBdr>
    </w:div>
    <w:div w:id="1938521192">
      <w:marLeft w:val="0"/>
      <w:marRight w:val="0"/>
      <w:marTop w:val="0"/>
      <w:marBottom w:val="0"/>
      <w:divBdr>
        <w:top w:val="none" w:sz="0" w:space="0" w:color="auto"/>
        <w:left w:val="none" w:sz="0" w:space="0" w:color="auto"/>
        <w:bottom w:val="none" w:sz="0" w:space="0" w:color="auto"/>
        <w:right w:val="none" w:sz="0" w:space="0" w:color="auto"/>
      </w:divBdr>
    </w:div>
    <w:div w:id="1938521193">
      <w:marLeft w:val="0"/>
      <w:marRight w:val="0"/>
      <w:marTop w:val="0"/>
      <w:marBottom w:val="0"/>
      <w:divBdr>
        <w:top w:val="none" w:sz="0" w:space="0" w:color="auto"/>
        <w:left w:val="none" w:sz="0" w:space="0" w:color="auto"/>
        <w:bottom w:val="none" w:sz="0" w:space="0" w:color="auto"/>
        <w:right w:val="none" w:sz="0" w:space="0" w:color="auto"/>
      </w:divBdr>
    </w:div>
    <w:div w:id="1938521194">
      <w:marLeft w:val="0"/>
      <w:marRight w:val="0"/>
      <w:marTop w:val="0"/>
      <w:marBottom w:val="0"/>
      <w:divBdr>
        <w:top w:val="none" w:sz="0" w:space="0" w:color="auto"/>
        <w:left w:val="none" w:sz="0" w:space="0" w:color="auto"/>
        <w:bottom w:val="none" w:sz="0" w:space="0" w:color="auto"/>
        <w:right w:val="none" w:sz="0" w:space="0" w:color="auto"/>
      </w:divBdr>
    </w:div>
    <w:div w:id="1938521195">
      <w:marLeft w:val="0"/>
      <w:marRight w:val="0"/>
      <w:marTop w:val="0"/>
      <w:marBottom w:val="0"/>
      <w:divBdr>
        <w:top w:val="none" w:sz="0" w:space="0" w:color="auto"/>
        <w:left w:val="none" w:sz="0" w:space="0" w:color="auto"/>
        <w:bottom w:val="none" w:sz="0" w:space="0" w:color="auto"/>
        <w:right w:val="none" w:sz="0" w:space="0" w:color="auto"/>
      </w:divBdr>
    </w:div>
    <w:div w:id="1938521196">
      <w:marLeft w:val="0"/>
      <w:marRight w:val="0"/>
      <w:marTop w:val="0"/>
      <w:marBottom w:val="0"/>
      <w:divBdr>
        <w:top w:val="none" w:sz="0" w:space="0" w:color="auto"/>
        <w:left w:val="none" w:sz="0" w:space="0" w:color="auto"/>
        <w:bottom w:val="none" w:sz="0" w:space="0" w:color="auto"/>
        <w:right w:val="none" w:sz="0" w:space="0" w:color="auto"/>
      </w:divBdr>
    </w:div>
    <w:div w:id="1938521197">
      <w:marLeft w:val="0"/>
      <w:marRight w:val="0"/>
      <w:marTop w:val="0"/>
      <w:marBottom w:val="0"/>
      <w:divBdr>
        <w:top w:val="none" w:sz="0" w:space="0" w:color="auto"/>
        <w:left w:val="none" w:sz="0" w:space="0" w:color="auto"/>
        <w:bottom w:val="none" w:sz="0" w:space="0" w:color="auto"/>
        <w:right w:val="none" w:sz="0" w:space="0" w:color="auto"/>
      </w:divBdr>
    </w:div>
    <w:div w:id="1938521198">
      <w:marLeft w:val="0"/>
      <w:marRight w:val="0"/>
      <w:marTop w:val="0"/>
      <w:marBottom w:val="0"/>
      <w:divBdr>
        <w:top w:val="none" w:sz="0" w:space="0" w:color="auto"/>
        <w:left w:val="none" w:sz="0" w:space="0" w:color="auto"/>
        <w:bottom w:val="none" w:sz="0" w:space="0" w:color="auto"/>
        <w:right w:val="none" w:sz="0" w:space="0" w:color="auto"/>
      </w:divBdr>
    </w:div>
    <w:div w:id="1938521199">
      <w:marLeft w:val="0"/>
      <w:marRight w:val="0"/>
      <w:marTop w:val="0"/>
      <w:marBottom w:val="0"/>
      <w:divBdr>
        <w:top w:val="none" w:sz="0" w:space="0" w:color="auto"/>
        <w:left w:val="none" w:sz="0" w:space="0" w:color="auto"/>
        <w:bottom w:val="none" w:sz="0" w:space="0" w:color="auto"/>
        <w:right w:val="none" w:sz="0" w:space="0" w:color="auto"/>
      </w:divBdr>
    </w:div>
    <w:div w:id="1938521200">
      <w:marLeft w:val="0"/>
      <w:marRight w:val="0"/>
      <w:marTop w:val="0"/>
      <w:marBottom w:val="0"/>
      <w:divBdr>
        <w:top w:val="none" w:sz="0" w:space="0" w:color="auto"/>
        <w:left w:val="none" w:sz="0" w:space="0" w:color="auto"/>
        <w:bottom w:val="none" w:sz="0" w:space="0" w:color="auto"/>
        <w:right w:val="none" w:sz="0" w:space="0" w:color="auto"/>
      </w:divBdr>
    </w:div>
    <w:div w:id="1938521201">
      <w:marLeft w:val="0"/>
      <w:marRight w:val="0"/>
      <w:marTop w:val="0"/>
      <w:marBottom w:val="0"/>
      <w:divBdr>
        <w:top w:val="none" w:sz="0" w:space="0" w:color="auto"/>
        <w:left w:val="none" w:sz="0" w:space="0" w:color="auto"/>
        <w:bottom w:val="none" w:sz="0" w:space="0" w:color="auto"/>
        <w:right w:val="none" w:sz="0" w:space="0" w:color="auto"/>
      </w:divBdr>
    </w:div>
    <w:div w:id="1938521202">
      <w:marLeft w:val="0"/>
      <w:marRight w:val="0"/>
      <w:marTop w:val="0"/>
      <w:marBottom w:val="0"/>
      <w:divBdr>
        <w:top w:val="none" w:sz="0" w:space="0" w:color="auto"/>
        <w:left w:val="none" w:sz="0" w:space="0" w:color="auto"/>
        <w:bottom w:val="none" w:sz="0" w:space="0" w:color="auto"/>
        <w:right w:val="none" w:sz="0" w:space="0" w:color="auto"/>
      </w:divBdr>
    </w:div>
    <w:div w:id="1938521203">
      <w:marLeft w:val="0"/>
      <w:marRight w:val="0"/>
      <w:marTop w:val="0"/>
      <w:marBottom w:val="0"/>
      <w:divBdr>
        <w:top w:val="none" w:sz="0" w:space="0" w:color="auto"/>
        <w:left w:val="none" w:sz="0" w:space="0" w:color="auto"/>
        <w:bottom w:val="none" w:sz="0" w:space="0" w:color="auto"/>
        <w:right w:val="none" w:sz="0" w:space="0" w:color="auto"/>
      </w:divBdr>
    </w:div>
    <w:div w:id="1938521204">
      <w:marLeft w:val="0"/>
      <w:marRight w:val="0"/>
      <w:marTop w:val="0"/>
      <w:marBottom w:val="0"/>
      <w:divBdr>
        <w:top w:val="none" w:sz="0" w:space="0" w:color="auto"/>
        <w:left w:val="none" w:sz="0" w:space="0" w:color="auto"/>
        <w:bottom w:val="none" w:sz="0" w:space="0" w:color="auto"/>
        <w:right w:val="none" w:sz="0" w:space="0" w:color="auto"/>
      </w:divBdr>
    </w:div>
    <w:div w:id="1938521205">
      <w:marLeft w:val="0"/>
      <w:marRight w:val="0"/>
      <w:marTop w:val="0"/>
      <w:marBottom w:val="0"/>
      <w:divBdr>
        <w:top w:val="none" w:sz="0" w:space="0" w:color="auto"/>
        <w:left w:val="none" w:sz="0" w:space="0" w:color="auto"/>
        <w:bottom w:val="none" w:sz="0" w:space="0" w:color="auto"/>
        <w:right w:val="none" w:sz="0" w:space="0" w:color="auto"/>
      </w:divBdr>
    </w:div>
    <w:div w:id="1938521206">
      <w:marLeft w:val="0"/>
      <w:marRight w:val="0"/>
      <w:marTop w:val="0"/>
      <w:marBottom w:val="0"/>
      <w:divBdr>
        <w:top w:val="none" w:sz="0" w:space="0" w:color="auto"/>
        <w:left w:val="none" w:sz="0" w:space="0" w:color="auto"/>
        <w:bottom w:val="none" w:sz="0" w:space="0" w:color="auto"/>
        <w:right w:val="none" w:sz="0" w:space="0" w:color="auto"/>
      </w:divBdr>
    </w:div>
    <w:div w:id="1938521207">
      <w:marLeft w:val="0"/>
      <w:marRight w:val="0"/>
      <w:marTop w:val="0"/>
      <w:marBottom w:val="0"/>
      <w:divBdr>
        <w:top w:val="none" w:sz="0" w:space="0" w:color="auto"/>
        <w:left w:val="none" w:sz="0" w:space="0" w:color="auto"/>
        <w:bottom w:val="none" w:sz="0" w:space="0" w:color="auto"/>
        <w:right w:val="none" w:sz="0" w:space="0" w:color="auto"/>
      </w:divBdr>
    </w:div>
    <w:div w:id="1938521208">
      <w:marLeft w:val="0"/>
      <w:marRight w:val="0"/>
      <w:marTop w:val="0"/>
      <w:marBottom w:val="0"/>
      <w:divBdr>
        <w:top w:val="none" w:sz="0" w:space="0" w:color="auto"/>
        <w:left w:val="none" w:sz="0" w:space="0" w:color="auto"/>
        <w:bottom w:val="none" w:sz="0" w:space="0" w:color="auto"/>
        <w:right w:val="none" w:sz="0" w:space="0" w:color="auto"/>
      </w:divBdr>
    </w:div>
    <w:div w:id="1938521209">
      <w:marLeft w:val="0"/>
      <w:marRight w:val="0"/>
      <w:marTop w:val="0"/>
      <w:marBottom w:val="0"/>
      <w:divBdr>
        <w:top w:val="none" w:sz="0" w:space="0" w:color="auto"/>
        <w:left w:val="none" w:sz="0" w:space="0" w:color="auto"/>
        <w:bottom w:val="none" w:sz="0" w:space="0" w:color="auto"/>
        <w:right w:val="none" w:sz="0" w:space="0" w:color="auto"/>
      </w:divBdr>
    </w:div>
    <w:div w:id="1938521210">
      <w:marLeft w:val="0"/>
      <w:marRight w:val="0"/>
      <w:marTop w:val="0"/>
      <w:marBottom w:val="0"/>
      <w:divBdr>
        <w:top w:val="none" w:sz="0" w:space="0" w:color="auto"/>
        <w:left w:val="none" w:sz="0" w:space="0" w:color="auto"/>
        <w:bottom w:val="none" w:sz="0" w:space="0" w:color="auto"/>
        <w:right w:val="none" w:sz="0" w:space="0" w:color="auto"/>
      </w:divBdr>
    </w:div>
    <w:div w:id="1938521211">
      <w:marLeft w:val="0"/>
      <w:marRight w:val="0"/>
      <w:marTop w:val="0"/>
      <w:marBottom w:val="0"/>
      <w:divBdr>
        <w:top w:val="none" w:sz="0" w:space="0" w:color="auto"/>
        <w:left w:val="none" w:sz="0" w:space="0" w:color="auto"/>
        <w:bottom w:val="none" w:sz="0" w:space="0" w:color="auto"/>
        <w:right w:val="none" w:sz="0" w:space="0" w:color="auto"/>
      </w:divBdr>
    </w:div>
    <w:div w:id="1938521212">
      <w:marLeft w:val="0"/>
      <w:marRight w:val="0"/>
      <w:marTop w:val="0"/>
      <w:marBottom w:val="0"/>
      <w:divBdr>
        <w:top w:val="none" w:sz="0" w:space="0" w:color="auto"/>
        <w:left w:val="none" w:sz="0" w:space="0" w:color="auto"/>
        <w:bottom w:val="none" w:sz="0" w:space="0" w:color="auto"/>
        <w:right w:val="none" w:sz="0" w:space="0" w:color="auto"/>
      </w:divBdr>
    </w:div>
    <w:div w:id="1938521213">
      <w:marLeft w:val="0"/>
      <w:marRight w:val="0"/>
      <w:marTop w:val="0"/>
      <w:marBottom w:val="0"/>
      <w:divBdr>
        <w:top w:val="none" w:sz="0" w:space="0" w:color="auto"/>
        <w:left w:val="none" w:sz="0" w:space="0" w:color="auto"/>
        <w:bottom w:val="none" w:sz="0" w:space="0" w:color="auto"/>
        <w:right w:val="none" w:sz="0" w:space="0" w:color="auto"/>
      </w:divBdr>
    </w:div>
    <w:div w:id="1938521214">
      <w:marLeft w:val="0"/>
      <w:marRight w:val="0"/>
      <w:marTop w:val="0"/>
      <w:marBottom w:val="0"/>
      <w:divBdr>
        <w:top w:val="none" w:sz="0" w:space="0" w:color="auto"/>
        <w:left w:val="none" w:sz="0" w:space="0" w:color="auto"/>
        <w:bottom w:val="none" w:sz="0" w:space="0" w:color="auto"/>
        <w:right w:val="none" w:sz="0" w:space="0" w:color="auto"/>
      </w:divBdr>
    </w:div>
    <w:div w:id="1938521215">
      <w:marLeft w:val="0"/>
      <w:marRight w:val="0"/>
      <w:marTop w:val="0"/>
      <w:marBottom w:val="0"/>
      <w:divBdr>
        <w:top w:val="none" w:sz="0" w:space="0" w:color="auto"/>
        <w:left w:val="none" w:sz="0" w:space="0" w:color="auto"/>
        <w:bottom w:val="none" w:sz="0" w:space="0" w:color="auto"/>
        <w:right w:val="none" w:sz="0" w:space="0" w:color="auto"/>
      </w:divBdr>
    </w:div>
    <w:div w:id="1938521216">
      <w:marLeft w:val="0"/>
      <w:marRight w:val="0"/>
      <w:marTop w:val="0"/>
      <w:marBottom w:val="0"/>
      <w:divBdr>
        <w:top w:val="none" w:sz="0" w:space="0" w:color="auto"/>
        <w:left w:val="none" w:sz="0" w:space="0" w:color="auto"/>
        <w:bottom w:val="none" w:sz="0" w:space="0" w:color="auto"/>
        <w:right w:val="none" w:sz="0" w:space="0" w:color="auto"/>
      </w:divBdr>
    </w:div>
    <w:div w:id="1938521217">
      <w:marLeft w:val="0"/>
      <w:marRight w:val="0"/>
      <w:marTop w:val="0"/>
      <w:marBottom w:val="0"/>
      <w:divBdr>
        <w:top w:val="none" w:sz="0" w:space="0" w:color="auto"/>
        <w:left w:val="none" w:sz="0" w:space="0" w:color="auto"/>
        <w:bottom w:val="none" w:sz="0" w:space="0" w:color="auto"/>
        <w:right w:val="none" w:sz="0" w:space="0" w:color="auto"/>
      </w:divBdr>
    </w:div>
    <w:div w:id="1938521218">
      <w:marLeft w:val="0"/>
      <w:marRight w:val="0"/>
      <w:marTop w:val="0"/>
      <w:marBottom w:val="0"/>
      <w:divBdr>
        <w:top w:val="none" w:sz="0" w:space="0" w:color="auto"/>
        <w:left w:val="none" w:sz="0" w:space="0" w:color="auto"/>
        <w:bottom w:val="none" w:sz="0" w:space="0" w:color="auto"/>
        <w:right w:val="none" w:sz="0" w:space="0" w:color="auto"/>
      </w:divBdr>
    </w:div>
    <w:div w:id="1938521219">
      <w:marLeft w:val="0"/>
      <w:marRight w:val="0"/>
      <w:marTop w:val="0"/>
      <w:marBottom w:val="0"/>
      <w:divBdr>
        <w:top w:val="none" w:sz="0" w:space="0" w:color="auto"/>
        <w:left w:val="none" w:sz="0" w:space="0" w:color="auto"/>
        <w:bottom w:val="none" w:sz="0" w:space="0" w:color="auto"/>
        <w:right w:val="none" w:sz="0" w:space="0" w:color="auto"/>
      </w:divBdr>
    </w:div>
    <w:div w:id="1938521220">
      <w:marLeft w:val="0"/>
      <w:marRight w:val="0"/>
      <w:marTop w:val="0"/>
      <w:marBottom w:val="0"/>
      <w:divBdr>
        <w:top w:val="none" w:sz="0" w:space="0" w:color="auto"/>
        <w:left w:val="none" w:sz="0" w:space="0" w:color="auto"/>
        <w:bottom w:val="none" w:sz="0" w:space="0" w:color="auto"/>
        <w:right w:val="none" w:sz="0" w:space="0" w:color="auto"/>
      </w:divBdr>
    </w:div>
    <w:div w:id="1938521221">
      <w:marLeft w:val="0"/>
      <w:marRight w:val="0"/>
      <w:marTop w:val="0"/>
      <w:marBottom w:val="0"/>
      <w:divBdr>
        <w:top w:val="none" w:sz="0" w:space="0" w:color="auto"/>
        <w:left w:val="none" w:sz="0" w:space="0" w:color="auto"/>
        <w:bottom w:val="none" w:sz="0" w:space="0" w:color="auto"/>
        <w:right w:val="none" w:sz="0" w:space="0" w:color="auto"/>
      </w:divBdr>
    </w:div>
    <w:div w:id="1938521222">
      <w:marLeft w:val="0"/>
      <w:marRight w:val="0"/>
      <w:marTop w:val="0"/>
      <w:marBottom w:val="0"/>
      <w:divBdr>
        <w:top w:val="none" w:sz="0" w:space="0" w:color="auto"/>
        <w:left w:val="none" w:sz="0" w:space="0" w:color="auto"/>
        <w:bottom w:val="none" w:sz="0" w:space="0" w:color="auto"/>
        <w:right w:val="none" w:sz="0" w:space="0" w:color="auto"/>
      </w:divBdr>
    </w:div>
    <w:div w:id="1938521223">
      <w:marLeft w:val="0"/>
      <w:marRight w:val="0"/>
      <w:marTop w:val="0"/>
      <w:marBottom w:val="0"/>
      <w:divBdr>
        <w:top w:val="none" w:sz="0" w:space="0" w:color="auto"/>
        <w:left w:val="none" w:sz="0" w:space="0" w:color="auto"/>
        <w:bottom w:val="none" w:sz="0" w:space="0" w:color="auto"/>
        <w:right w:val="none" w:sz="0" w:space="0" w:color="auto"/>
      </w:divBdr>
    </w:div>
    <w:div w:id="1938521224">
      <w:marLeft w:val="0"/>
      <w:marRight w:val="0"/>
      <w:marTop w:val="0"/>
      <w:marBottom w:val="0"/>
      <w:divBdr>
        <w:top w:val="none" w:sz="0" w:space="0" w:color="auto"/>
        <w:left w:val="none" w:sz="0" w:space="0" w:color="auto"/>
        <w:bottom w:val="none" w:sz="0" w:space="0" w:color="auto"/>
        <w:right w:val="none" w:sz="0" w:space="0" w:color="auto"/>
      </w:divBdr>
    </w:div>
    <w:div w:id="1938521225">
      <w:marLeft w:val="0"/>
      <w:marRight w:val="0"/>
      <w:marTop w:val="0"/>
      <w:marBottom w:val="0"/>
      <w:divBdr>
        <w:top w:val="none" w:sz="0" w:space="0" w:color="auto"/>
        <w:left w:val="none" w:sz="0" w:space="0" w:color="auto"/>
        <w:bottom w:val="none" w:sz="0" w:space="0" w:color="auto"/>
        <w:right w:val="none" w:sz="0" w:space="0" w:color="auto"/>
      </w:divBdr>
    </w:div>
    <w:div w:id="1938521226">
      <w:marLeft w:val="0"/>
      <w:marRight w:val="0"/>
      <w:marTop w:val="0"/>
      <w:marBottom w:val="0"/>
      <w:divBdr>
        <w:top w:val="none" w:sz="0" w:space="0" w:color="auto"/>
        <w:left w:val="none" w:sz="0" w:space="0" w:color="auto"/>
        <w:bottom w:val="none" w:sz="0" w:space="0" w:color="auto"/>
        <w:right w:val="none" w:sz="0" w:space="0" w:color="auto"/>
      </w:divBdr>
    </w:div>
    <w:div w:id="1938521227">
      <w:marLeft w:val="0"/>
      <w:marRight w:val="0"/>
      <w:marTop w:val="0"/>
      <w:marBottom w:val="0"/>
      <w:divBdr>
        <w:top w:val="none" w:sz="0" w:space="0" w:color="auto"/>
        <w:left w:val="none" w:sz="0" w:space="0" w:color="auto"/>
        <w:bottom w:val="none" w:sz="0" w:space="0" w:color="auto"/>
        <w:right w:val="none" w:sz="0" w:space="0" w:color="auto"/>
      </w:divBdr>
    </w:div>
    <w:div w:id="1938521228">
      <w:marLeft w:val="0"/>
      <w:marRight w:val="0"/>
      <w:marTop w:val="0"/>
      <w:marBottom w:val="0"/>
      <w:divBdr>
        <w:top w:val="none" w:sz="0" w:space="0" w:color="auto"/>
        <w:left w:val="none" w:sz="0" w:space="0" w:color="auto"/>
        <w:bottom w:val="none" w:sz="0" w:space="0" w:color="auto"/>
        <w:right w:val="none" w:sz="0" w:space="0" w:color="auto"/>
      </w:divBdr>
    </w:div>
    <w:div w:id="1938521229">
      <w:marLeft w:val="0"/>
      <w:marRight w:val="0"/>
      <w:marTop w:val="0"/>
      <w:marBottom w:val="0"/>
      <w:divBdr>
        <w:top w:val="none" w:sz="0" w:space="0" w:color="auto"/>
        <w:left w:val="none" w:sz="0" w:space="0" w:color="auto"/>
        <w:bottom w:val="none" w:sz="0" w:space="0" w:color="auto"/>
        <w:right w:val="none" w:sz="0" w:space="0" w:color="auto"/>
      </w:divBdr>
    </w:div>
    <w:div w:id="1938521230">
      <w:marLeft w:val="0"/>
      <w:marRight w:val="0"/>
      <w:marTop w:val="0"/>
      <w:marBottom w:val="0"/>
      <w:divBdr>
        <w:top w:val="none" w:sz="0" w:space="0" w:color="auto"/>
        <w:left w:val="none" w:sz="0" w:space="0" w:color="auto"/>
        <w:bottom w:val="none" w:sz="0" w:space="0" w:color="auto"/>
        <w:right w:val="none" w:sz="0" w:space="0" w:color="auto"/>
      </w:divBdr>
    </w:div>
    <w:div w:id="1938521231">
      <w:marLeft w:val="0"/>
      <w:marRight w:val="0"/>
      <w:marTop w:val="0"/>
      <w:marBottom w:val="0"/>
      <w:divBdr>
        <w:top w:val="none" w:sz="0" w:space="0" w:color="auto"/>
        <w:left w:val="none" w:sz="0" w:space="0" w:color="auto"/>
        <w:bottom w:val="none" w:sz="0" w:space="0" w:color="auto"/>
        <w:right w:val="none" w:sz="0" w:space="0" w:color="auto"/>
      </w:divBdr>
    </w:div>
    <w:div w:id="1938521232">
      <w:marLeft w:val="0"/>
      <w:marRight w:val="0"/>
      <w:marTop w:val="0"/>
      <w:marBottom w:val="0"/>
      <w:divBdr>
        <w:top w:val="none" w:sz="0" w:space="0" w:color="auto"/>
        <w:left w:val="none" w:sz="0" w:space="0" w:color="auto"/>
        <w:bottom w:val="none" w:sz="0" w:space="0" w:color="auto"/>
        <w:right w:val="none" w:sz="0" w:space="0" w:color="auto"/>
      </w:divBdr>
    </w:div>
    <w:div w:id="1938521233">
      <w:marLeft w:val="0"/>
      <w:marRight w:val="0"/>
      <w:marTop w:val="0"/>
      <w:marBottom w:val="0"/>
      <w:divBdr>
        <w:top w:val="none" w:sz="0" w:space="0" w:color="auto"/>
        <w:left w:val="none" w:sz="0" w:space="0" w:color="auto"/>
        <w:bottom w:val="none" w:sz="0" w:space="0" w:color="auto"/>
        <w:right w:val="none" w:sz="0" w:space="0" w:color="auto"/>
      </w:divBdr>
    </w:div>
    <w:div w:id="1938521234">
      <w:marLeft w:val="0"/>
      <w:marRight w:val="0"/>
      <w:marTop w:val="0"/>
      <w:marBottom w:val="0"/>
      <w:divBdr>
        <w:top w:val="none" w:sz="0" w:space="0" w:color="auto"/>
        <w:left w:val="none" w:sz="0" w:space="0" w:color="auto"/>
        <w:bottom w:val="none" w:sz="0" w:space="0" w:color="auto"/>
        <w:right w:val="none" w:sz="0" w:space="0" w:color="auto"/>
      </w:divBdr>
    </w:div>
    <w:div w:id="1938521235">
      <w:marLeft w:val="0"/>
      <w:marRight w:val="0"/>
      <w:marTop w:val="0"/>
      <w:marBottom w:val="0"/>
      <w:divBdr>
        <w:top w:val="none" w:sz="0" w:space="0" w:color="auto"/>
        <w:left w:val="none" w:sz="0" w:space="0" w:color="auto"/>
        <w:bottom w:val="none" w:sz="0" w:space="0" w:color="auto"/>
        <w:right w:val="none" w:sz="0" w:space="0" w:color="auto"/>
      </w:divBdr>
    </w:div>
    <w:div w:id="1949581762">
      <w:bodyDiv w:val="1"/>
      <w:marLeft w:val="0"/>
      <w:marRight w:val="0"/>
      <w:marTop w:val="0"/>
      <w:marBottom w:val="0"/>
      <w:divBdr>
        <w:top w:val="none" w:sz="0" w:space="0" w:color="auto"/>
        <w:left w:val="none" w:sz="0" w:space="0" w:color="auto"/>
        <w:bottom w:val="none" w:sz="0" w:space="0" w:color="auto"/>
        <w:right w:val="none" w:sz="0" w:space="0" w:color="auto"/>
      </w:divBdr>
    </w:div>
    <w:div w:id="1982810551">
      <w:bodyDiv w:val="1"/>
      <w:marLeft w:val="0"/>
      <w:marRight w:val="0"/>
      <w:marTop w:val="0"/>
      <w:marBottom w:val="0"/>
      <w:divBdr>
        <w:top w:val="none" w:sz="0" w:space="0" w:color="auto"/>
        <w:left w:val="none" w:sz="0" w:space="0" w:color="auto"/>
        <w:bottom w:val="none" w:sz="0" w:space="0" w:color="auto"/>
        <w:right w:val="none" w:sz="0" w:space="0" w:color="auto"/>
      </w:divBdr>
    </w:div>
    <w:div w:id="1996955556">
      <w:bodyDiv w:val="1"/>
      <w:marLeft w:val="0"/>
      <w:marRight w:val="0"/>
      <w:marTop w:val="0"/>
      <w:marBottom w:val="0"/>
      <w:divBdr>
        <w:top w:val="none" w:sz="0" w:space="0" w:color="auto"/>
        <w:left w:val="none" w:sz="0" w:space="0" w:color="auto"/>
        <w:bottom w:val="none" w:sz="0" w:space="0" w:color="auto"/>
        <w:right w:val="none" w:sz="0" w:space="0" w:color="auto"/>
      </w:divBdr>
    </w:div>
    <w:div w:id="2060280321">
      <w:bodyDiv w:val="1"/>
      <w:marLeft w:val="0"/>
      <w:marRight w:val="0"/>
      <w:marTop w:val="0"/>
      <w:marBottom w:val="0"/>
      <w:divBdr>
        <w:top w:val="none" w:sz="0" w:space="0" w:color="auto"/>
        <w:left w:val="none" w:sz="0" w:space="0" w:color="auto"/>
        <w:bottom w:val="none" w:sz="0" w:space="0" w:color="auto"/>
        <w:right w:val="none" w:sz="0" w:space="0" w:color="auto"/>
      </w:divBdr>
    </w:div>
    <w:div w:id="2066681342">
      <w:bodyDiv w:val="1"/>
      <w:marLeft w:val="0"/>
      <w:marRight w:val="0"/>
      <w:marTop w:val="0"/>
      <w:marBottom w:val="0"/>
      <w:divBdr>
        <w:top w:val="none" w:sz="0" w:space="0" w:color="auto"/>
        <w:left w:val="none" w:sz="0" w:space="0" w:color="auto"/>
        <w:bottom w:val="none" w:sz="0" w:space="0" w:color="auto"/>
        <w:right w:val="none" w:sz="0" w:space="0" w:color="auto"/>
      </w:divBdr>
    </w:div>
    <w:div w:id="208294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www.mhsr.sk/energetika/vyplatene-energodotacie-a-kompenzacie" TargetMode="External"/><Relationship Id="rId2" Type="http://schemas.openxmlformats.org/officeDocument/2006/relationships/hyperlink" Target="https://ec.europa.eu/eurostat/en/web/products-statistical-working-papers/-/ks-tc-14-005" TargetMode="External"/><Relationship Id="rId1" Type="http://schemas.openxmlformats.org/officeDocument/2006/relationships/hyperlink" Target="https://eur-lex.europa.eu/legal-content/SK" TargetMode="External"/><Relationship Id="rId4" Type="http://schemas.openxmlformats.org/officeDocument/2006/relationships/hyperlink" Target="https://www.mfsr.sk/sk/financie/institut-financnej-politiky/publikacie-ifp/manualy/jednorazove-vplyvy.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DFS.mf.mfsr.sk\FileShare\ADRESARE\IFP_NEW\5_MATERIALY\5_3_Strategicke_materialy\SVS\SVS_2024\SVS_IFP_dlh_za2024.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301341356435027E-2"/>
          <c:y val="3.6969691213206327E-2"/>
          <c:w val="0.52083965568693702"/>
          <c:h val="0.85482252595385766"/>
        </c:manualLayout>
      </c:layout>
      <c:barChart>
        <c:barDir val="col"/>
        <c:grouping val="stacked"/>
        <c:varyColors val="0"/>
        <c:ser>
          <c:idx val="0"/>
          <c:order val="0"/>
          <c:tx>
            <c:strRef>
              <c:f>grafy_medzirocne!$A$3</c:f>
              <c:strCache>
                <c:ptCount val="1"/>
                <c:pt idx="0">
                  <c:v>Makro</c:v>
                </c:pt>
              </c:strCache>
            </c:strRef>
          </c:tx>
          <c:spPr>
            <a:solidFill>
              <a:srgbClr val="2EAAE1"/>
            </a:solidFill>
          </c:spPr>
          <c:invertIfNegative val="0"/>
          <c:cat>
            <c:numRef>
              <c:f>grafy_medzirocne!$C$2</c:f>
              <c:numCache>
                <c:formatCode>General</c:formatCode>
                <c:ptCount val="1"/>
                <c:pt idx="0">
                  <c:v>2024</c:v>
                </c:pt>
              </c:numCache>
              <c:extLst/>
            </c:numRef>
          </c:cat>
          <c:val>
            <c:numRef>
              <c:f>grafy_medzirocne!$C$3</c:f>
              <c:numCache>
                <c:formatCode>#,##0</c:formatCode>
                <c:ptCount val="1"/>
                <c:pt idx="0">
                  <c:v>2354.3210435677038</c:v>
                </c:pt>
              </c:numCache>
              <c:extLst/>
            </c:numRef>
          </c:val>
          <c:extLst>
            <c:ext xmlns:c16="http://schemas.microsoft.com/office/drawing/2014/chart" uri="{C3380CC4-5D6E-409C-BE32-E72D297353CC}">
              <c16:uniqueId val="{00000000-8BDE-4582-848A-A5D8A36155CC}"/>
            </c:ext>
          </c:extLst>
        </c:ser>
        <c:ser>
          <c:idx val="5"/>
          <c:order val="1"/>
          <c:tx>
            <c:strRef>
              <c:f>grafy_medzirocne!$A$4</c:f>
              <c:strCache>
                <c:ptCount val="1"/>
                <c:pt idx="0">
                  <c:v>Level/EDS</c:v>
                </c:pt>
              </c:strCache>
            </c:strRef>
          </c:tx>
          <c:spPr>
            <a:solidFill>
              <a:srgbClr val="F2CA6D"/>
            </a:solidFill>
          </c:spPr>
          <c:invertIfNegative val="0"/>
          <c:cat>
            <c:numRef>
              <c:f>grafy_medzirocne!$C$2</c:f>
              <c:numCache>
                <c:formatCode>General</c:formatCode>
                <c:ptCount val="1"/>
                <c:pt idx="0">
                  <c:v>2024</c:v>
                </c:pt>
              </c:numCache>
              <c:extLst/>
            </c:numRef>
          </c:cat>
          <c:val>
            <c:numRef>
              <c:f>grafy_medzirocne!$C$4</c:f>
              <c:numCache>
                <c:formatCode>#,##0</c:formatCode>
                <c:ptCount val="1"/>
                <c:pt idx="0">
                  <c:v>-583.40026933387162</c:v>
                </c:pt>
              </c:numCache>
              <c:extLst/>
            </c:numRef>
          </c:val>
          <c:extLst>
            <c:ext xmlns:c16="http://schemas.microsoft.com/office/drawing/2014/chart" uri="{C3380CC4-5D6E-409C-BE32-E72D297353CC}">
              <c16:uniqueId val="{00000001-8BDE-4582-848A-A5D8A36155CC}"/>
            </c:ext>
          </c:extLst>
        </c:ser>
        <c:ser>
          <c:idx val="1"/>
          <c:order val="2"/>
          <c:tx>
            <c:strRef>
              <c:f>grafy_medzirocne!$A$5</c:f>
              <c:strCache>
                <c:ptCount val="1"/>
                <c:pt idx="0">
                  <c:v>Legislatíva</c:v>
                </c:pt>
              </c:strCache>
            </c:strRef>
          </c:tx>
          <c:spPr>
            <a:solidFill>
              <a:srgbClr val="1AA380"/>
            </a:solidFill>
          </c:spPr>
          <c:invertIfNegative val="0"/>
          <c:cat>
            <c:numRef>
              <c:f>grafy_medzirocne!$C$2</c:f>
              <c:numCache>
                <c:formatCode>General</c:formatCode>
                <c:ptCount val="1"/>
                <c:pt idx="0">
                  <c:v>2024</c:v>
                </c:pt>
              </c:numCache>
              <c:extLst/>
            </c:numRef>
          </c:cat>
          <c:val>
            <c:numRef>
              <c:f>grafy_medzirocne!$C$5</c:f>
              <c:numCache>
                <c:formatCode>#,##0</c:formatCode>
                <c:ptCount val="1"/>
                <c:pt idx="0">
                  <c:v>1508.0055783923847</c:v>
                </c:pt>
              </c:numCache>
              <c:extLst/>
            </c:numRef>
          </c:val>
          <c:extLst>
            <c:ext xmlns:c16="http://schemas.microsoft.com/office/drawing/2014/chart" uri="{C3380CC4-5D6E-409C-BE32-E72D297353CC}">
              <c16:uniqueId val="{00000002-8BDE-4582-848A-A5D8A36155CC}"/>
            </c:ext>
          </c:extLst>
        </c:ser>
        <c:ser>
          <c:idx val="8"/>
          <c:order val="3"/>
          <c:tx>
            <c:strRef>
              <c:f>grafy_medzirocne!$A$6</c:f>
              <c:strCache>
                <c:ptCount val="1"/>
                <c:pt idx="0">
                  <c:v>Jednorazové vplyvy</c:v>
                </c:pt>
              </c:strCache>
            </c:strRef>
          </c:tx>
          <c:spPr>
            <a:solidFill>
              <a:srgbClr val="E85477"/>
            </a:solidFill>
            <a:ln>
              <a:noFill/>
            </a:ln>
          </c:spPr>
          <c:invertIfNegative val="0"/>
          <c:cat>
            <c:numRef>
              <c:f>grafy_medzirocne!$C$2</c:f>
              <c:numCache>
                <c:formatCode>General</c:formatCode>
                <c:ptCount val="1"/>
                <c:pt idx="0">
                  <c:v>2024</c:v>
                </c:pt>
              </c:numCache>
              <c:extLst/>
            </c:numRef>
          </c:cat>
          <c:val>
            <c:numRef>
              <c:f>grafy_medzirocne!$C$6</c:f>
              <c:numCache>
                <c:formatCode>#,##0</c:formatCode>
                <c:ptCount val="1"/>
                <c:pt idx="0">
                  <c:v>28.807970651665293</c:v>
                </c:pt>
              </c:numCache>
              <c:extLst/>
            </c:numRef>
          </c:val>
          <c:extLst>
            <c:ext xmlns:c16="http://schemas.microsoft.com/office/drawing/2014/chart" uri="{C3380CC4-5D6E-409C-BE32-E72D297353CC}">
              <c16:uniqueId val="{00000003-8BDE-4582-848A-A5D8A36155CC}"/>
            </c:ext>
          </c:extLst>
        </c:ser>
        <c:ser>
          <c:idx val="3"/>
          <c:order val="4"/>
          <c:tx>
            <c:strRef>
              <c:f>grafy_medzirocne!$A$7</c:f>
              <c:strCache>
                <c:ptCount val="1"/>
                <c:pt idx="0">
                  <c:v>Iné vplyvy</c:v>
                </c:pt>
              </c:strCache>
            </c:strRef>
          </c:tx>
          <c:spPr>
            <a:solidFill>
              <a:srgbClr val="864D99"/>
            </a:solidFill>
          </c:spPr>
          <c:invertIfNegative val="0"/>
          <c:cat>
            <c:numRef>
              <c:f>grafy_medzirocne!$C$2</c:f>
              <c:numCache>
                <c:formatCode>General</c:formatCode>
                <c:ptCount val="1"/>
                <c:pt idx="0">
                  <c:v>2024</c:v>
                </c:pt>
              </c:numCache>
              <c:extLst/>
            </c:numRef>
          </c:cat>
          <c:val>
            <c:numRef>
              <c:f>grafy_medzirocne!$C$7</c:f>
              <c:numCache>
                <c:formatCode>#,##0</c:formatCode>
                <c:ptCount val="1"/>
                <c:pt idx="0">
                  <c:v>-119.6582282593313</c:v>
                </c:pt>
              </c:numCache>
              <c:extLst/>
            </c:numRef>
          </c:val>
          <c:extLst>
            <c:ext xmlns:c16="http://schemas.microsoft.com/office/drawing/2014/chart" uri="{C3380CC4-5D6E-409C-BE32-E72D297353CC}">
              <c16:uniqueId val="{00000004-8BDE-4582-848A-A5D8A36155CC}"/>
            </c:ext>
          </c:extLst>
        </c:ser>
        <c:dLbls>
          <c:showLegendKey val="0"/>
          <c:showVal val="0"/>
          <c:showCatName val="0"/>
          <c:showSerName val="0"/>
          <c:showPercent val="0"/>
          <c:showBubbleSize val="0"/>
        </c:dLbls>
        <c:gapWidth val="100"/>
        <c:overlap val="100"/>
        <c:axId val="192221152"/>
        <c:axId val="192218184"/>
      </c:barChart>
      <c:lineChart>
        <c:grouping val="standard"/>
        <c:varyColors val="0"/>
        <c:ser>
          <c:idx val="2"/>
          <c:order val="5"/>
          <c:tx>
            <c:strRef>
              <c:f>grafy_medzirocne!$A$8</c:f>
              <c:strCache>
                <c:ptCount val="1"/>
                <c:pt idx="0">
                  <c:v>Celkom</c:v>
                </c:pt>
              </c:strCache>
            </c:strRef>
          </c:tx>
          <c:spPr>
            <a:ln w="28575">
              <a:solidFill>
                <a:sysClr val="windowText" lastClr="000000"/>
              </a:solidFill>
            </a:ln>
          </c:spPr>
          <c:marker>
            <c:symbol val="circle"/>
            <c:size val="5"/>
            <c:spPr>
              <a:solidFill>
                <a:sysClr val="window" lastClr="FFFFFF"/>
              </a:solidFill>
              <a:ln w="28575">
                <a:solidFill>
                  <a:sysClr val="windowText" lastClr="000000"/>
                </a:solidFill>
              </a:ln>
            </c:spPr>
          </c:marker>
          <c:dLbls>
            <c:dLbl>
              <c:idx val="0"/>
              <c:layout>
                <c:manualLayout>
                  <c:x val="-7.0190874906016859E-2"/>
                  <c:y val="-0.162361634831834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DE-4582-848A-A5D8A36155CC}"/>
                </c:ext>
              </c:extLst>
            </c:dLbl>
            <c:spPr>
              <a:solidFill>
                <a:srgbClr val="FFFFFF"/>
              </a:solidFill>
              <a:ln w="19050">
                <a:solidFill>
                  <a:srgbClr val="131D2B"/>
                </a:solidFill>
              </a:ln>
              <a:effectLst/>
            </c:spPr>
            <c:txPr>
              <a:bodyPr/>
              <a:lstStyle/>
              <a:p>
                <a:pPr>
                  <a:defRPr sz="900"/>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grafy_medzirocne!$C$2</c:f>
              <c:numCache>
                <c:formatCode>General</c:formatCode>
                <c:ptCount val="1"/>
                <c:pt idx="0">
                  <c:v>2024</c:v>
                </c:pt>
              </c:numCache>
              <c:extLst/>
            </c:numRef>
          </c:cat>
          <c:val>
            <c:numRef>
              <c:f>grafy_medzirocne!$C$8</c:f>
              <c:numCache>
                <c:formatCode>#,##0</c:formatCode>
                <c:ptCount val="1"/>
                <c:pt idx="0">
                  <c:v>3188.0760950185499</c:v>
                </c:pt>
              </c:numCache>
              <c:extLst/>
            </c:numRef>
          </c:val>
          <c:smooth val="0"/>
          <c:extLst>
            <c:ext xmlns:c16="http://schemas.microsoft.com/office/drawing/2014/chart" uri="{C3380CC4-5D6E-409C-BE32-E72D297353CC}">
              <c16:uniqueId val="{00000006-8BDE-4582-848A-A5D8A36155CC}"/>
            </c:ext>
          </c:extLst>
        </c:ser>
        <c:dLbls>
          <c:showLegendKey val="0"/>
          <c:showVal val="0"/>
          <c:showCatName val="0"/>
          <c:showSerName val="0"/>
          <c:showPercent val="0"/>
          <c:showBubbleSize val="0"/>
        </c:dLbls>
        <c:marker val="1"/>
        <c:smooth val="0"/>
        <c:axId val="192221152"/>
        <c:axId val="192218184"/>
      </c:lineChart>
      <c:catAx>
        <c:axId val="192221152"/>
        <c:scaling>
          <c:orientation val="minMax"/>
        </c:scaling>
        <c:delete val="0"/>
        <c:axPos val="b"/>
        <c:numFmt formatCode="General" sourceLinked="1"/>
        <c:majorTickMark val="none"/>
        <c:minorTickMark val="none"/>
        <c:tickLblPos val="low"/>
        <c:spPr>
          <a:ln w="19050">
            <a:solidFill>
              <a:srgbClr val="131D2B"/>
            </a:solidFill>
          </a:ln>
        </c:spPr>
        <c:txPr>
          <a:bodyPr/>
          <a:lstStyle/>
          <a:p>
            <a:pPr>
              <a:defRPr sz="900"/>
            </a:pPr>
            <a:endParaRPr lang="sk-SK"/>
          </a:p>
        </c:txPr>
        <c:crossAx val="192218184"/>
        <c:crosses val="autoZero"/>
        <c:auto val="1"/>
        <c:lblAlgn val="ctr"/>
        <c:lblOffset val="100"/>
        <c:noMultiLvlLbl val="0"/>
      </c:catAx>
      <c:valAx>
        <c:axId val="192218184"/>
        <c:scaling>
          <c:orientation val="minMax"/>
        </c:scaling>
        <c:delete val="0"/>
        <c:axPos val="l"/>
        <c:majorGridlines>
          <c:spPr>
            <a:ln>
              <a:solidFill>
                <a:srgbClr val="686767">
                  <a:lumMod val="20000"/>
                  <a:lumOff val="80000"/>
                </a:srgbClr>
              </a:solidFill>
              <a:prstDash val="solid"/>
            </a:ln>
          </c:spPr>
        </c:majorGridlines>
        <c:numFmt formatCode="#,##0" sourceLinked="0"/>
        <c:majorTickMark val="out"/>
        <c:minorTickMark val="none"/>
        <c:tickLblPos val="nextTo"/>
        <c:spPr>
          <a:ln>
            <a:noFill/>
          </a:ln>
        </c:spPr>
        <c:txPr>
          <a:bodyPr/>
          <a:lstStyle/>
          <a:p>
            <a:pPr>
              <a:defRPr sz="900"/>
            </a:pPr>
            <a:endParaRPr lang="sk-SK"/>
          </a:p>
        </c:txPr>
        <c:crossAx val="192221152"/>
        <c:crosses val="autoZero"/>
        <c:crossBetween val="between"/>
      </c:valAx>
    </c:plotArea>
    <c:legend>
      <c:legendPos val="r"/>
      <c:layout>
        <c:manualLayout>
          <c:xMode val="edge"/>
          <c:yMode val="edge"/>
          <c:x val="0.64993988609412101"/>
          <c:y val="6.372424797925591E-2"/>
          <c:w val="0.33082164423777533"/>
          <c:h val="0.87255112411310465"/>
        </c:manualLayout>
      </c:layout>
      <c:overlay val="0"/>
      <c:txPr>
        <a:bodyPr/>
        <a:lstStyle/>
        <a:p>
          <a:pPr>
            <a:defRPr sz="900"/>
          </a:pPr>
          <a:endParaRPr lang="sk-SK"/>
        </a:p>
      </c:txPr>
    </c:legend>
    <c:plotVisOnly val="1"/>
    <c:dispBlanksAs val="gap"/>
    <c:showDLblsOverMax val="0"/>
  </c:chart>
  <c:spPr>
    <a:ln>
      <a:noFill/>
    </a:ln>
  </c:spPr>
  <c:txPr>
    <a:bodyPr/>
    <a:lstStyle/>
    <a:p>
      <a:pPr>
        <a:defRPr sz="1000">
          <a:latin typeface="Aptos" panose="020B0004020202020204" pitchFamily="34" charset="0"/>
          <a:cs typeface="Calibri Light" panose="020F0302020204030204" pitchFamily="34" charset="0"/>
        </a:defRPr>
      </a:pPr>
      <a:endParaRPr lang="sk-SK"/>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424577545784296E-2"/>
          <c:y val="7.3870600299243236E-2"/>
          <c:w val="0.53588901321990667"/>
          <c:h val="0.80017577608886015"/>
        </c:manualLayout>
      </c:layout>
      <c:barChart>
        <c:barDir val="col"/>
        <c:grouping val="stacked"/>
        <c:varyColors val="0"/>
        <c:ser>
          <c:idx val="0"/>
          <c:order val="0"/>
          <c:tx>
            <c:strRef>
              <c:f>grafy_medzirocne!$A$137</c:f>
              <c:strCache>
                <c:ptCount val="1"/>
                <c:pt idx="0">
                  <c:v>Dane z trhu práce</c:v>
                </c:pt>
              </c:strCache>
            </c:strRef>
          </c:tx>
          <c:spPr>
            <a:solidFill>
              <a:srgbClr val="2EAAE1"/>
            </a:solidFill>
          </c:spPr>
          <c:invertIfNegative val="0"/>
          <c:cat>
            <c:numRef>
              <c:f>grafy_medzirocne!$C$136</c:f>
              <c:numCache>
                <c:formatCode>General</c:formatCode>
                <c:ptCount val="1"/>
                <c:pt idx="0">
                  <c:v>2024</c:v>
                </c:pt>
              </c:numCache>
              <c:extLst/>
            </c:numRef>
          </c:cat>
          <c:val>
            <c:numRef>
              <c:f>grafy_medzirocne!$C$137</c:f>
              <c:numCache>
                <c:formatCode>#,##0</c:formatCode>
                <c:ptCount val="1"/>
                <c:pt idx="0">
                  <c:v>2038.1405699185548</c:v>
                </c:pt>
              </c:numCache>
              <c:extLst/>
            </c:numRef>
          </c:val>
          <c:extLst>
            <c:ext xmlns:c16="http://schemas.microsoft.com/office/drawing/2014/chart" uri="{C3380CC4-5D6E-409C-BE32-E72D297353CC}">
              <c16:uniqueId val="{00000000-4D16-4A62-9E58-87B3BE3B41E7}"/>
            </c:ext>
          </c:extLst>
        </c:ser>
        <c:ser>
          <c:idx val="5"/>
          <c:order val="1"/>
          <c:tx>
            <c:strRef>
              <c:f>grafy_medzirocne!$A$138</c:f>
              <c:strCache>
                <c:ptCount val="1"/>
                <c:pt idx="0">
                  <c:v>DPPO</c:v>
                </c:pt>
              </c:strCache>
            </c:strRef>
          </c:tx>
          <c:spPr>
            <a:solidFill>
              <a:srgbClr val="F2CA6D"/>
            </a:solidFill>
          </c:spPr>
          <c:invertIfNegative val="0"/>
          <c:cat>
            <c:numRef>
              <c:f>grafy_medzirocne!$C$136</c:f>
              <c:numCache>
                <c:formatCode>General</c:formatCode>
                <c:ptCount val="1"/>
                <c:pt idx="0">
                  <c:v>2024</c:v>
                </c:pt>
              </c:numCache>
              <c:extLst/>
            </c:numRef>
          </c:cat>
          <c:val>
            <c:numRef>
              <c:f>grafy_medzirocne!$C$138</c:f>
              <c:numCache>
                <c:formatCode>#,##0</c:formatCode>
                <c:ptCount val="1"/>
                <c:pt idx="0">
                  <c:v>136.98558358999972</c:v>
                </c:pt>
              </c:numCache>
              <c:extLst/>
            </c:numRef>
          </c:val>
          <c:extLst>
            <c:ext xmlns:c16="http://schemas.microsoft.com/office/drawing/2014/chart" uri="{C3380CC4-5D6E-409C-BE32-E72D297353CC}">
              <c16:uniqueId val="{00000001-4D16-4A62-9E58-87B3BE3B41E7}"/>
            </c:ext>
          </c:extLst>
        </c:ser>
        <c:ser>
          <c:idx val="1"/>
          <c:order val="2"/>
          <c:tx>
            <c:strRef>
              <c:f>grafy_medzirocne!$A$139</c:f>
              <c:strCache>
                <c:ptCount val="1"/>
                <c:pt idx="0">
                  <c:v>DPH</c:v>
                </c:pt>
              </c:strCache>
            </c:strRef>
          </c:tx>
          <c:spPr>
            <a:solidFill>
              <a:srgbClr val="1AA380"/>
            </a:solidFill>
          </c:spPr>
          <c:invertIfNegative val="0"/>
          <c:cat>
            <c:numRef>
              <c:f>grafy_medzirocne!$C$136</c:f>
              <c:numCache>
                <c:formatCode>General</c:formatCode>
                <c:ptCount val="1"/>
                <c:pt idx="0">
                  <c:v>2024</c:v>
                </c:pt>
              </c:numCache>
              <c:extLst/>
            </c:numRef>
          </c:cat>
          <c:val>
            <c:numRef>
              <c:f>grafy_medzirocne!$C$139</c:f>
              <c:numCache>
                <c:formatCode>#,##0</c:formatCode>
                <c:ptCount val="1"/>
                <c:pt idx="0">
                  <c:v>181.7360211099959</c:v>
                </c:pt>
              </c:numCache>
              <c:extLst/>
            </c:numRef>
          </c:val>
          <c:extLst>
            <c:ext xmlns:c16="http://schemas.microsoft.com/office/drawing/2014/chart" uri="{C3380CC4-5D6E-409C-BE32-E72D297353CC}">
              <c16:uniqueId val="{00000002-4D16-4A62-9E58-87B3BE3B41E7}"/>
            </c:ext>
          </c:extLst>
        </c:ser>
        <c:ser>
          <c:idx val="8"/>
          <c:order val="3"/>
          <c:tx>
            <c:strRef>
              <c:f>grafy_medzirocne!$A$140</c:f>
              <c:strCache>
                <c:ptCount val="1"/>
                <c:pt idx="0">
                  <c:v>OO reg</c:v>
                </c:pt>
              </c:strCache>
            </c:strRef>
          </c:tx>
          <c:spPr>
            <a:solidFill>
              <a:srgbClr val="E85477"/>
            </a:solidFill>
          </c:spPr>
          <c:invertIfNegative val="0"/>
          <c:cat>
            <c:numRef>
              <c:f>grafy_medzirocne!$C$136</c:f>
              <c:numCache>
                <c:formatCode>General</c:formatCode>
                <c:ptCount val="1"/>
                <c:pt idx="0">
                  <c:v>2024</c:v>
                </c:pt>
              </c:numCache>
              <c:extLst/>
            </c:numRef>
          </c:cat>
          <c:val>
            <c:numRef>
              <c:f>grafy_medzirocne!$C$140</c:f>
              <c:numCache>
                <c:formatCode>#,##0</c:formatCode>
                <c:ptCount val="1"/>
                <c:pt idx="0">
                  <c:v>398.66226252000001</c:v>
                </c:pt>
              </c:numCache>
              <c:extLst/>
            </c:numRef>
          </c:val>
          <c:extLst>
            <c:ext xmlns:c16="http://schemas.microsoft.com/office/drawing/2014/chart" uri="{C3380CC4-5D6E-409C-BE32-E72D297353CC}">
              <c16:uniqueId val="{00000003-4D16-4A62-9E58-87B3BE3B41E7}"/>
            </c:ext>
          </c:extLst>
        </c:ser>
        <c:ser>
          <c:idx val="2"/>
          <c:order val="5"/>
          <c:tx>
            <c:strRef>
              <c:f>grafy_medzirocne!$A$141</c:f>
              <c:strCache>
                <c:ptCount val="1"/>
                <c:pt idx="0">
                  <c:v>miestne dane</c:v>
                </c:pt>
              </c:strCache>
            </c:strRef>
          </c:tx>
          <c:spPr>
            <a:solidFill>
              <a:srgbClr val="686767"/>
            </a:solidFill>
          </c:spPr>
          <c:invertIfNegative val="0"/>
          <c:cat>
            <c:strLit>
              <c:ptCount val="1"/>
              <c:pt idx="0">
                <c:v>2024</c:v>
              </c:pt>
              <c:extLst>
                <c:ext xmlns:c15="http://schemas.microsoft.com/office/drawing/2012/chart" uri="{02D57815-91ED-43cb-92C2-25804820EDAC}">
                  <c15:autoCat val="1"/>
                </c:ext>
              </c:extLst>
            </c:strLit>
          </c:cat>
          <c:val>
            <c:numRef>
              <c:f>grafy_medzirocne!$C$141</c:f>
              <c:numCache>
                <c:formatCode>#,##0</c:formatCode>
                <c:ptCount val="1"/>
                <c:pt idx="0">
                  <c:v>182.27219826000001</c:v>
                </c:pt>
              </c:numCache>
              <c:extLst/>
            </c:numRef>
          </c:val>
          <c:extLst>
            <c:ext xmlns:c16="http://schemas.microsoft.com/office/drawing/2014/chart" uri="{C3380CC4-5D6E-409C-BE32-E72D297353CC}">
              <c16:uniqueId val="{00000004-4D16-4A62-9E58-87B3BE3B41E7}"/>
            </c:ext>
          </c:extLst>
        </c:ser>
        <c:ser>
          <c:idx val="4"/>
          <c:order val="6"/>
          <c:tx>
            <c:strRef>
              <c:f>grafy_medzirocne!$A$142</c:f>
              <c:strCache>
                <c:ptCount val="1"/>
                <c:pt idx="0">
                  <c:v>ostatné</c:v>
                </c:pt>
              </c:strCache>
            </c:strRef>
          </c:tx>
          <c:spPr>
            <a:solidFill>
              <a:sysClr val="window" lastClr="FFFFFF">
                <a:lumMod val="65000"/>
              </a:sysClr>
            </a:solidFill>
          </c:spPr>
          <c:invertIfNegative val="0"/>
          <c:cat>
            <c:strLit>
              <c:ptCount val="1"/>
              <c:pt idx="0">
                <c:v>2024</c:v>
              </c:pt>
              <c:extLst>
                <c:ext xmlns:c15="http://schemas.microsoft.com/office/drawing/2012/chart" uri="{02D57815-91ED-43cb-92C2-25804820EDAC}">
                  <c15:autoCat val="1"/>
                </c:ext>
              </c:extLst>
            </c:strLit>
          </c:cat>
          <c:val>
            <c:numRef>
              <c:f>grafy_medzirocne!$C$142</c:f>
              <c:numCache>
                <c:formatCode>#,##0</c:formatCode>
                <c:ptCount val="1"/>
                <c:pt idx="0">
                  <c:v>250.27945961999967</c:v>
                </c:pt>
              </c:numCache>
              <c:extLst/>
            </c:numRef>
          </c:val>
          <c:extLst>
            <c:ext xmlns:c16="http://schemas.microsoft.com/office/drawing/2014/chart" uri="{C3380CC4-5D6E-409C-BE32-E72D297353CC}">
              <c16:uniqueId val="{00000005-4D16-4A62-9E58-87B3BE3B41E7}"/>
            </c:ext>
          </c:extLst>
        </c:ser>
        <c:dLbls>
          <c:showLegendKey val="0"/>
          <c:showVal val="0"/>
          <c:showCatName val="0"/>
          <c:showSerName val="0"/>
          <c:showPercent val="0"/>
          <c:showBubbleSize val="0"/>
        </c:dLbls>
        <c:gapWidth val="150"/>
        <c:overlap val="100"/>
        <c:axId val="192221152"/>
        <c:axId val="192218184"/>
      </c:barChart>
      <c:lineChart>
        <c:grouping val="standard"/>
        <c:varyColors val="0"/>
        <c:ser>
          <c:idx val="3"/>
          <c:order val="4"/>
          <c:tx>
            <c:strRef>
              <c:f>grafy_medzirocne!$A$143</c:f>
              <c:strCache>
                <c:ptCount val="1"/>
                <c:pt idx="0">
                  <c:v>Celkom</c:v>
                </c:pt>
              </c:strCache>
            </c:strRef>
          </c:tx>
          <c:spPr>
            <a:ln w="28575">
              <a:solidFill>
                <a:srgbClr val="131D2B"/>
              </a:solidFill>
            </a:ln>
          </c:spPr>
          <c:marker>
            <c:symbol val="circle"/>
            <c:size val="5"/>
            <c:spPr>
              <a:solidFill>
                <a:sysClr val="window" lastClr="FFFFFF"/>
              </a:solidFill>
              <a:ln w="28575">
                <a:solidFill>
                  <a:srgbClr val="131D2B"/>
                </a:solidFill>
              </a:ln>
            </c:spPr>
          </c:marker>
          <c:dLbls>
            <c:spPr>
              <a:solidFill>
                <a:srgbClr val="FFFFFF"/>
              </a:solidFill>
              <a:ln w="19050">
                <a:solidFill>
                  <a:srgbClr val="131D2B"/>
                </a:solidFill>
              </a:ln>
              <a:effectLst/>
            </c:spPr>
            <c:txPr>
              <a:bodyPr/>
              <a:lstStyle/>
              <a:p>
                <a:pPr algn="ctr">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grafy_medzirocne!$C$136</c:f>
              <c:numCache>
                <c:formatCode>General</c:formatCode>
                <c:ptCount val="1"/>
                <c:pt idx="0">
                  <c:v>2024</c:v>
                </c:pt>
              </c:numCache>
              <c:extLst/>
            </c:numRef>
          </c:cat>
          <c:val>
            <c:numRef>
              <c:f>grafy_medzirocne!$C$143</c:f>
              <c:numCache>
                <c:formatCode>#,##0</c:formatCode>
                <c:ptCount val="1"/>
                <c:pt idx="0">
                  <c:v>3188.0760950185504</c:v>
                </c:pt>
              </c:numCache>
              <c:extLst/>
            </c:numRef>
          </c:val>
          <c:smooth val="0"/>
          <c:extLst>
            <c:ext xmlns:c16="http://schemas.microsoft.com/office/drawing/2014/chart" uri="{C3380CC4-5D6E-409C-BE32-E72D297353CC}">
              <c16:uniqueId val="{00000006-4D16-4A62-9E58-87B3BE3B41E7}"/>
            </c:ext>
          </c:extLst>
        </c:ser>
        <c:dLbls>
          <c:showLegendKey val="0"/>
          <c:showVal val="0"/>
          <c:showCatName val="0"/>
          <c:showSerName val="0"/>
          <c:showPercent val="0"/>
          <c:showBubbleSize val="0"/>
        </c:dLbls>
        <c:marker val="1"/>
        <c:smooth val="0"/>
        <c:axId val="192221152"/>
        <c:axId val="192218184"/>
      </c:lineChart>
      <c:catAx>
        <c:axId val="192221152"/>
        <c:scaling>
          <c:orientation val="minMax"/>
        </c:scaling>
        <c:delete val="0"/>
        <c:axPos val="b"/>
        <c:numFmt formatCode="General" sourceLinked="1"/>
        <c:majorTickMark val="none"/>
        <c:minorTickMark val="none"/>
        <c:tickLblPos val="low"/>
        <c:spPr>
          <a:ln w="19050">
            <a:solidFill>
              <a:srgbClr val="131D2B"/>
            </a:solidFill>
          </a:ln>
        </c:spPr>
        <c:crossAx val="192218184"/>
        <c:crosses val="autoZero"/>
        <c:auto val="1"/>
        <c:lblAlgn val="ctr"/>
        <c:lblOffset val="100"/>
        <c:noMultiLvlLbl val="0"/>
      </c:catAx>
      <c:valAx>
        <c:axId val="192218184"/>
        <c:scaling>
          <c:orientation val="minMax"/>
        </c:scaling>
        <c:delete val="0"/>
        <c:axPos val="l"/>
        <c:majorGridlines>
          <c:spPr>
            <a:ln>
              <a:solidFill>
                <a:srgbClr val="686767">
                  <a:lumMod val="20000"/>
                  <a:lumOff val="80000"/>
                </a:srgbClr>
              </a:solidFill>
              <a:prstDash val="solid"/>
            </a:ln>
          </c:spPr>
        </c:majorGridlines>
        <c:numFmt formatCode="#,##0" sourceLinked="0"/>
        <c:majorTickMark val="out"/>
        <c:minorTickMark val="none"/>
        <c:tickLblPos val="nextTo"/>
        <c:spPr>
          <a:ln>
            <a:noFill/>
          </a:ln>
        </c:spPr>
        <c:crossAx val="192221152"/>
        <c:crosses val="autoZero"/>
        <c:crossBetween val="between"/>
      </c:valAx>
    </c:plotArea>
    <c:legend>
      <c:legendPos val="r"/>
      <c:layout>
        <c:manualLayout>
          <c:xMode val="edge"/>
          <c:yMode val="edge"/>
          <c:x val="0.64950289618970047"/>
          <c:y val="6.6090095842611413E-2"/>
          <c:w val="0.31094850212688929"/>
          <c:h val="0.84282334818726967"/>
        </c:manualLayout>
      </c:layout>
      <c:overlay val="1"/>
    </c:legend>
    <c:plotVisOnly val="1"/>
    <c:dispBlanksAs val="gap"/>
    <c:showDLblsOverMax val="0"/>
  </c:chart>
  <c:spPr>
    <a:ln>
      <a:noFill/>
    </a:ln>
  </c:spPr>
  <c:txPr>
    <a:bodyPr/>
    <a:lstStyle/>
    <a:p>
      <a:pPr>
        <a:defRPr sz="900">
          <a:latin typeface="Aptos" panose="020B0004020202020204" pitchFamily="34" charset="0"/>
          <a:cs typeface="Calibri Light" panose="020F0302020204030204" pitchFamily="34" charset="0"/>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809425524595804E-2"/>
          <c:y val="4.5546426708398542E-2"/>
          <c:w val="0.92316236670106644"/>
          <c:h val="0.66511280646844029"/>
        </c:manualLayout>
      </c:layout>
      <c:lineChart>
        <c:grouping val="standard"/>
        <c:varyColors val="0"/>
        <c:ser>
          <c:idx val="0"/>
          <c:order val="0"/>
          <c:tx>
            <c:strRef>
              <c:f>Hárok1!$M$1</c:f>
              <c:strCache>
                <c:ptCount val="1"/>
                <c:pt idx="0">
                  <c:v>2-ročný výnos SK</c:v>
                </c:pt>
              </c:strCache>
            </c:strRef>
          </c:tx>
          <c:spPr>
            <a:ln w="19050" cap="rnd">
              <a:solidFill>
                <a:schemeClr val="accent6">
                  <a:lumMod val="40000"/>
                  <a:lumOff val="60000"/>
                </a:schemeClr>
              </a:solidFill>
              <a:round/>
            </a:ln>
            <a:effectLst/>
          </c:spPr>
          <c:marker>
            <c:symbol val="none"/>
          </c:marker>
          <c:cat>
            <c:numRef>
              <c:f>Hárok1!$L$2:$L$3652</c:f>
              <c:numCache>
                <c:formatCode>m/d/yyyy</c:formatCode>
                <c:ptCount val="3651"/>
                <c:pt idx="0">
                  <c:v>45627</c:v>
                </c:pt>
                <c:pt idx="1">
                  <c:v>45597</c:v>
                </c:pt>
                <c:pt idx="2">
                  <c:v>45566</c:v>
                </c:pt>
                <c:pt idx="3">
                  <c:v>45536</c:v>
                </c:pt>
                <c:pt idx="4">
                  <c:v>45505</c:v>
                </c:pt>
                <c:pt idx="5">
                  <c:v>45474</c:v>
                </c:pt>
                <c:pt idx="6">
                  <c:v>45444</c:v>
                </c:pt>
                <c:pt idx="7">
                  <c:v>45413</c:v>
                </c:pt>
                <c:pt idx="8">
                  <c:v>45383</c:v>
                </c:pt>
                <c:pt idx="9">
                  <c:v>45352</c:v>
                </c:pt>
                <c:pt idx="10">
                  <c:v>45323</c:v>
                </c:pt>
                <c:pt idx="11">
                  <c:v>45292</c:v>
                </c:pt>
                <c:pt idx="12">
                  <c:v>45261</c:v>
                </c:pt>
                <c:pt idx="13">
                  <c:v>45231</c:v>
                </c:pt>
                <c:pt idx="14">
                  <c:v>45200</c:v>
                </c:pt>
                <c:pt idx="15">
                  <c:v>45170</c:v>
                </c:pt>
                <c:pt idx="16">
                  <c:v>45139</c:v>
                </c:pt>
                <c:pt idx="17">
                  <c:v>45108</c:v>
                </c:pt>
                <c:pt idx="18">
                  <c:v>45078</c:v>
                </c:pt>
                <c:pt idx="19">
                  <c:v>45047</c:v>
                </c:pt>
                <c:pt idx="20">
                  <c:v>45017</c:v>
                </c:pt>
                <c:pt idx="21">
                  <c:v>44986</c:v>
                </c:pt>
                <c:pt idx="22">
                  <c:v>44958</c:v>
                </c:pt>
                <c:pt idx="23">
                  <c:v>44927</c:v>
                </c:pt>
                <c:pt idx="24">
                  <c:v>44896</c:v>
                </c:pt>
                <c:pt idx="25">
                  <c:v>44866</c:v>
                </c:pt>
                <c:pt idx="26">
                  <c:v>44835</c:v>
                </c:pt>
                <c:pt idx="27">
                  <c:v>44805</c:v>
                </c:pt>
                <c:pt idx="28">
                  <c:v>44774</c:v>
                </c:pt>
                <c:pt idx="29">
                  <c:v>44743</c:v>
                </c:pt>
                <c:pt idx="30">
                  <c:v>44713</c:v>
                </c:pt>
                <c:pt idx="31">
                  <c:v>44682</c:v>
                </c:pt>
                <c:pt idx="32">
                  <c:v>44652</c:v>
                </c:pt>
                <c:pt idx="33">
                  <c:v>44621</c:v>
                </c:pt>
                <c:pt idx="34">
                  <c:v>44593</c:v>
                </c:pt>
                <c:pt idx="35">
                  <c:v>44562</c:v>
                </c:pt>
                <c:pt idx="36">
                  <c:v>44531</c:v>
                </c:pt>
                <c:pt idx="37">
                  <c:v>44501</c:v>
                </c:pt>
                <c:pt idx="38">
                  <c:v>44470</c:v>
                </c:pt>
                <c:pt idx="39">
                  <c:v>44440</c:v>
                </c:pt>
                <c:pt idx="40">
                  <c:v>44409</c:v>
                </c:pt>
                <c:pt idx="41">
                  <c:v>44378</c:v>
                </c:pt>
                <c:pt idx="42">
                  <c:v>44348</c:v>
                </c:pt>
                <c:pt idx="43">
                  <c:v>44317</c:v>
                </c:pt>
                <c:pt idx="44">
                  <c:v>44287</c:v>
                </c:pt>
                <c:pt idx="45">
                  <c:v>44256</c:v>
                </c:pt>
                <c:pt idx="46">
                  <c:v>44228</c:v>
                </c:pt>
                <c:pt idx="47">
                  <c:v>44197</c:v>
                </c:pt>
                <c:pt idx="48">
                  <c:v>44166</c:v>
                </c:pt>
                <c:pt idx="49">
                  <c:v>44136</c:v>
                </c:pt>
                <c:pt idx="50">
                  <c:v>44105</c:v>
                </c:pt>
                <c:pt idx="51">
                  <c:v>44075</c:v>
                </c:pt>
                <c:pt idx="52">
                  <c:v>44044</c:v>
                </c:pt>
                <c:pt idx="53">
                  <c:v>44013</c:v>
                </c:pt>
                <c:pt idx="54">
                  <c:v>43983</c:v>
                </c:pt>
                <c:pt idx="55">
                  <c:v>43952</c:v>
                </c:pt>
                <c:pt idx="56">
                  <c:v>43922</c:v>
                </c:pt>
                <c:pt idx="57">
                  <c:v>43891</c:v>
                </c:pt>
                <c:pt idx="58">
                  <c:v>43862</c:v>
                </c:pt>
                <c:pt idx="59">
                  <c:v>43831</c:v>
                </c:pt>
                <c:pt idx="60">
                  <c:v>43800</c:v>
                </c:pt>
                <c:pt idx="61">
                  <c:v>43770</c:v>
                </c:pt>
                <c:pt idx="62">
                  <c:v>43739</c:v>
                </c:pt>
                <c:pt idx="63">
                  <c:v>43709</c:v>
                </c:pt>
                <c:pt idx="64">
                  <c:v>43678</c:v>
                </c:pt>
                <c:pt idx="65">
                  <c:v>43647</c:v>
                </c:pt>
                <c:pt idx="66">
                  <c:v>43617</c:v>
                </c:pt>
                <c:pt idx="67">
                  <c:v>43586</c:v>
                </c:pt>
                <c:pt idx="68">
                  <c:v>43556</c:v>
                </c:pt>
                <c:pt idx="69">
                  <c:v>43525</c:v>
                </c:pt>
                <c:pt idx="70">
                  <c:v>43497</c:v>
                </c:pt>
                <c:pt idx="71">
                  <c:v>43466</c:v>
                </c:pt>
                <c:pt idx="72">
                  <c:v>43435</c:v>
                </c:pt>
                <c:pt idx="73">
                  <c:v>43405</c:v>
                </c:pt>
                <c:pt idx="74">
                  <c:v>43374</c:v>
                </c:pt>
                <c:pt idx="75">
                  <c:v>43344</c:v>
                </c:pt>
                <c:pt idx="76">
                  <c:v>43313</c:v>
                </c:pt>
                <c:pt idx="77">
                  <c:v>43282</c:v>
                </c:pt>
                <c:pt idx="78">
                  <c:v>43252</c:v>
                </c:pt>
                <c:pt idx="79">
                  <c:v>43221</c:v>
                </c:pt>
                <c:pt idx="80">
                  <c:v>43191</c:v>
                </c:pt>
                <c:pt idx="81">
                  <c:v>43160</c:v>
                </c:pt>
                <c:pt idx="82">
                  <c:v>43132</c:v>
                </c:pt>
                <c:pt idx="83">
                  <c:v>43101</c:v>
                </c:pt>
                <c:pt idx="84">
                  <c:v>43070</c:v>
                </c:pt>
                <c:pt idx="85">
                  <c:v>43040</c:v>
                </c:pt>
                <c:pt idx="86">
                  <c:v>43009</c:v>
                </c:pt>
                <c:pt idx="87">
                  <c:v>42979</c:v>
                </c:pt>
                <c:pt idx="88">
                  <c:v>42948</c:v>
                </c:pt>
                <c:pt idx="89">
                  <c:v>42917</c:v>
                </c:pt>
                <c:pt idx="90">
                  <c:v>42887</c:v>
                </c:pt>
                <c:pt idx="91">
                  <c:v>42856</c:v>
                </c:pt>
                <c:pt idx="92">
                  <c:v>42826</c:v>
                </c:pt>
                <c:pt idx="93">
                  <c:v>42795</c:v>
                </c:pt>
                <c:pt idx="94">
                  <c:v>42767</c:v>
                </c:pt>
                <c:pt idx="95">
                  <c:v>42736</c:v>
                </c:pt>
                <c:pt idx="96">
                  <c:v>42705</c:v>
                </c:pt>
                <c:pt idx="97">
                  <c:v>42675</c:v>
                </c:pt>
                <c:pt idx="98">
                  <c:v>42644</c:v>
                </c:pt>
                <c:pt idx="99">
                  <c:v>42614</c:v>
                </c:pt>
                <c:pt idx="100">
                  <c:v>42583</c:v>
                </c:pt>
                <c:pt idx="101">
                  <c:v>42552</c:v>
                </c:pt>
                <c:pt idx="102">
                  <c:v>42522</c:v>
                </c:pt>
                <c:pt idx="103">
                  <c:v>42491</c:v>
                </c:pt>
                <c:pt idx="104">
                  <c:v>42461</c:v>
                </c:pt>
                <c:pt idx="105">
                  <c:v>42430</c:v>
                </c:pt>
                <c:pt idx="106">
                  <c:v>42401</c:v>
                </c:pt>
                <c:pt idx="107">
                  <c:v>42370</c:v>
                </c:pt>
                <c:pt idx="108">
                  <c:v>42339</c:v>
                </c:pt>
                <c:pt idx="109">
                  <c:v>42309</c:v>
                </c:pt>
                <c:pt idx="110">
                  <c:v>42278</c:v>
                </c:pt>
                <c:pt idx="111">
                  <c:v>42248</c:v>
                </c:pt>
                <c:pt idx="112">
                  <c:v>42217</c:v>
                </c:pt>
                <c:pt idx="113">
                  <c:v>42186</c:v>
                </c:pt>
                <c:pt idx="114">
                  <c:v>42156</c:v>
                </c:pt>
                <c:pt idx="115">
                  <c:v>42125</c:v>
                </c:pt>
                <c:pt idx="116">
                  <c:v>42095</c:v>
                </c:pt>
                <c:pt idx="117">
                  <c:v>42064</c:v>
                </c:pt>
                <c:pt idx="118">
                  <c:v>42036</c:v>
                </c:pt>
                <c:pt idx="119">
                  <c:v>42005</c:v>
                </c:pt>
                <c:pt idx="120">
                  <c:v>41974</c:v>
                </c:pt>
                <c:pt idx="121">
                  <c:v>41944</c:v>
                </c:pt>
                <c:pt idx="122">
                  <c:v>41913</c:v>
                </c:pt>
                <c:pt idx="123">
                  <c:v>41883</c:v>
                </c:pt>
                <c:pt idx="124">
                  <c:v>41852</c:v>
                </c:pt>
                <c:pt idx="125">
                  <c:v>41821</c:v>
                </c:pt>
                <c:pt idx="126">
                  <c:v>41791</c:v>
                </c:pt>
                <c:pt idx="127">
                  <c:v>41760</c:v>
                </c:pt>
                <c:pt idx="128">
                  <c:v>41730</c:v>
                </c:pt>
                <c:pt idx="129">
                  <c:v>41699</c:v>
                </c:pt>
                <c:pt idx="130">
                  <c:v>41671</c:v>
                </c:pt>
                <c:pt idx="131">
                  <c:v>41640</c:v>
                </c:pt>
                <c:pt idx="132">
                  <c:v>41609</c:v>
                </c:pt>
                <c:pt idx="133">
                  <c:v>41579</c:v>
                </c:pt>
                <c:pt idx="134">
                  <c:v>41548</c:v>
                </c:pt>
                <c:pt idx="135">
                  <c:v>41518</c:v>
                </c:pt>
                <c:pt idx="136">
                  <c:v>41487</c:v>
                </c:pt>
                <c:pt idx="137">
                  <c:v>41456</c:v>
                </c:pt>
                <c:pt idx="138">
                  <c:v>41426</c:v>
                </c:pt>
                <c:pt idx="139">
                  <c:v>41395</c:v>
                </c:pt>
                <c:pt idx="140">
                  <c:v>41365</c:v>
                </c:pt>
                <c:pt idx="141">
                  <c:v>41334</c:v>
                </c:pt>
                <c:pt idx="142">
                  <c:v>41306</c:v>
                </c:pt>
                <c:pt idx="143">
                  <c:v>41275</c:v>
                </c:pt>
                <c:pt idx="144">
                  <c:v>41244</c:v>
                </c:pt>
                <c:pt idx="145">
                  <c:v>41214</c:v>
                </c:pt>
                <c:pt idx="146">
                  <c:v>41183</c:v>
                </c:pt>
                <c:pt idx="147">
                  <c:v>41153</c:v>
                </c:pt>
                <c:pt idx="148">
                  <c:v>41122</c:v>
                </c:pt>
                <c:pt idx="149">
                  <c:v>41091</c:v>
                </c:pt>
                <c:pt idx="150">
                  <c:v>41061</c:v>
                </c:pt>
                <c:pt idx="151">
                  <c:v>41030</c:v>
                </c:pt>
                <c:pt idx="152">
                  <c:v>41000</c:v>
                </c:pt>
                <c:pt idx="153">
                  <c:v>40969</c:v>
                </c:pt>
                <c:pt idx="154">
                  <c:v>40940</c:v>
                </c:pt>
                <c:pt idx="155">
                  <c:v>40909</c:v>
                </c:pt>
                <c:pt idx="156">
                  <c:v>40878</c:v>
                </c:pt>
                <c:pt idx="157">
                  <c:v>40848</c:v>
                </c:pt>
                <c:pt idx="158">
                  <c:v>40817</c:v>
                </c:pt>
                <c:pt idx="159">
                  <c:v>40787</c:v>
                </c:pt>
                <c:pt idx="160">
                  <c:v>40756</c:v>
                </c:pt>
                <c:pt idx="161">
                  <c:v>40725</c:v>
                </c:pt>
                <c:pt idx="162">
                  <c:v>40695</c:v>
                </c:pt>
                <c:pt idx="163">
                  <c:v>40664</c:v>
                </c:pt>
                <c:pt idx="164">
                  <c:v>40634</c:v>
                </c:pt>
                <c:pt idx="165">
                  <c:v>40603</c:v>
                </c:pt>
                <c:pt idx="166">
                  <c:v>40575</c:v>
                </c:pt>
                <c:pt idx="167">
                  <c:v>40544</c:v>
                </c:pt>
                <c:pt idx="168">
                  <c:v>40513</c:v>
                </c:pt>
                <c:pt idx="169">
                  <c:v>40483</c:v>
                </c:pt>
                <c:pt idx="170">
                  <c:v>40452</c:v>
                </c:pt>
                <c:pt idx="171">
                  <c:v>40422</c:v>
                </c:pt>
                <c:pt idx="172">
                  <c:v>40391</c:v>
                </c:pt>
                <c:pt idx="173">
                  <c:v>40360</c:v>
                </c:pt>
                <c:pt idx="174">
                  <c:v>40330</c:v>
                </c:pt>
                <c:pt idx="175">
                  <c:v>40299</c:v>
                </c:pt>
                <c:pt idx="176">
                  <c:v>40269</c:v>
                </c:pt>
                <c:pt idx="177">
                  <c:v>40238</c:v>
                </c:pt>
                <c:pt idx="178">
                  <c:v>40210</c:v>
                </c:pt>
                <c:pt idx="179">
                  <c:v>40179</c:v>
                </c:pt>
              </c:numCache>
            </c:numRef>
          </c:cat>
          <c:val>
            <c:numRef>
              <c:f>Hárok1!$M$2:$M$3652</c:f>
              <c:numCache>
                <c:formatCode>0.00</c:formatCode>
                <c:ptCount val="3651"/>
                <c:pt idx="0">
                  <c:v>2.4180909090909095</c:v>
                </c:pt>
                <c:pt idx="1">
                  <c:v>2.4942857142857147</c:v>
                </c:pt>
                <c:pt idx="2">
                  <c:v>2.5249130434782607</c:v>
                </c:pt>
                <c:pt idx="3">
                  <c:v>2.6128095238095237</c:v>
                </c:pt>
                <c:pt idx="4">
                  <c:v>2.9090000000000003</c:v>
                </c:pt>
                <c:pt idx="5">
                  <c:v>3.2596956521739129</c:v>
                </c:pt>
                <c:pt idx="6">
                  <c:v>3.4335499999999994</c:v>
                </c:pt>
                <c:pt idx="7">
                  <c:v>3.46808695652174</c:v>
                </c:pt>
                <c:pt idx="8">
                  <c:v>3.419</c:v>
                </c:pt>
                <c:pt idx="9">
                  <c:v>3.4219047619047611</c:v>
                </c:pt>
                <c:pt idx="10">
                  <c:v>3.3707142857142847</c:v>
                </c:pt>
                <c:pt idx="11">
                  <c:v>3.2243913043478267</c:v>
                </c:pt>
                <c:pt idx="12">
                  <c:v>3.1945714285714284</c:v>
                </c:pt>
                <c:pt idx="13">
                  <c:v>3.5609999999999999</c:v>
                </c:pt>
                <c:pt idx="14">
                  <c:v>3.7209545454545458</c:v>
                </c:pt>
                <c:pt idx="15">
                  <c:v>3.6571904761904763</c:v>
                </c:pt>
                <c:pt idx="16">
                  <c:v>3.4604782608695657</c:v>
                </c:pt>
                <c:pt idx="17">
                  <c:v>3.593761904761906</c:v>
                </c:pt>
                <c:pt idx="18">
                  <c:v>3.4302727272727278</c:v>
                </c:pt>
                <c:pt idx="19">
                  <c:v>3.1532608695652171</c:v>
                </c:pt>
                <c:pt idx="20">
                  <c:v>3.2441000000000004</c:v>
                </c:pt>
                <c:pt idx="21">
                  <c:v>3.2787391304347828</c:v>
                </c:pt>
                <c:pt idx="22">
                  <c:v>3.2475500000000004</c:v>
                </c:pt>
                <c:pt idx="23">
                  <c:v>2.8967727272727273</c:v>
                </c:pt>
                <c:pt idx="24">
                  <c:v>2.7347272727272727</c:v>
                </c:pt>
                <c:pt idx="25">
                  <c:v>2.8308181818181817</c:v>
                </c:pt>
                <c:pt idx="26">
                  <c:v>2.5936666666666666</c:v>
                </c:pt>
                <c:pt idx="27">
                  <c:v>2.0584999999999996</c:v>
                </c:pt>
                <c:pt idx="28">
                  <c:v>1.0449565217391306</c:v>
                </c:pt>
                <c:pt idx="29">
                  <c:v>0.9534285714285714</c:v>
                </c:pt>
                <c:pt idx="30">
                  <c:v>1.1673636363636364</c:v>
                </c:pt>
                <c:pt idx="31">
                  <c:v>0.5333181818181818</c:v>
                </c:pt>
                <c:pt idx="32">
                  <c:v>0.36261904761904762</c:v>
                </c:pt>
                <c:pt idx="33">
                  <c:v>-0.15060869565217394</c:v>
                </c:pt>
                <c:pt idx="34">
                  <c:v>-0.31625000000000003</c:v>
                </c:pt>
                <c:pt idx="35">
                  <c:v>-0.59742857142857142</c:v>
                </c:pt>
                <c:pt idx="36">
                  <c:v>-0.72030434782608699</c:v>
                </c:pt>
                <c:pt idx="37">
                  <c:v>-1.063590909090909</c:v>
                </c:pt>
                <c:pt idx="38">
                  <c:v>-0.97209523809523801</c:v>
                </c:pt>
                <c:pt idx="39">
                  <c:v>-0.89863636363636346</c:v>
                </c:pt>
                <c:pt idx="40">
                  <c:v>-0.90745454545454551</c:v>
                </c:pt>
                <c:pt idx="41">
                  <c:v>-0.98413636363636381</c:v>
                </c:pt>
                <c:pt idx="42">
                  <c:v>-0.85095454545454541</c:v>
                </c:pt>
                <c:pt idx="43">
                  <c:v>-0.7026190476190477</c:v>
                </c:pt>
                <c:pt idx="44">
                  <c:v>-0.63277272727272726</c:v>
                </c:pt>
                <c:pt idx="45">
                  <c:v>-0.5965652173913043</c:v>
                </c:pt>
                <c:pt idx="46">
                  <c:v>-0.64519999999999977</c:v>
                </c:pt>
                <c:pt idx="47">
                  <c:v>-0.63609523809523816</c:v>
                </c:pt>
                <c:pt idx="48">
                  <c:v>-0.7122173913043478</c:v>
                </c:pt>
                <c:pt idx="49">
                  <c:v>-0.78209523809523829</c:v>
                </c:pt>
                <c:pt idx="50">
                  <c:v>-0.74231818181818177</c:v>
                </c:pt>
                <c:pt idx="51">
                  <c:v>-0.63722727272727286</c:v>
                </c:pt>
                <c:pt idx="52">
                  <c:v>-0.63400000000000012</c:v>
                </c:pt>
                <c:pt idx="53">
                  <c:v>-0.63400000000000023</c:v>
                </c:pt>
                <c:pt idx="54">
                  <c:v>-0.63400000000000023</c:v>
                </c:pt>
                <c:pt idx="55">
                  <c:v>-0.63400000000000012</c:v>
                </c:pt>
                <c:pt idx="56">
                  <c:v>-0.63400000000000023</c:v>
                </c:pt>
                <c:pt idx="57">
                  <c:v>-0.63400000000000023</c:v>
                </c:pt>
                <c:pt idx="58">
                  <c:v>-0.63400000000000012</c:v>
                </c:pt>
                <c:pt idx="59">
                  <c:v>-0.63400000000000023</c:v>
                </c:pt>
                <c:pt idx="60">
                  <c:v>-0.63400000000000023</c:v>
                </c:pt>
                <c:pt idx="61">
                  <c:v>-0.63400000000000012</c:v>
                </c:pt>
                <c:pt idx="62">
                  <c:v>-0.63008695652173929</c:v>
                </c:pt>
                <c:pt idx="63">
                  <c:v>-0.68276190476190468</c:v>
                </c:pt>
                <c:pt idx="64">
                  <c:v>-0.68559090909090903</c:v>
                </c:pt>
                <c:pt idx="65">
                  <c:v>-0.55169565217391303</c:v>
                </c:pt>
                <c:pt idx="66">
                  <c:v>-0.5835999999999999</c:v>
                </c:pt>
                <c:pt idx="67">
                  <c:v>-0.62626086956521765</c:v>
                </c:pt>
                <c:pt idx="68">
                  <c:v>-0.65272727272727271</c:v>
                </c:pt>
                <c:pt idx="69">
                  <c:v>-0.52861904761904754</c:v>
                </c:pt>
                <c:pt idx="70">
                  <c:v>-0.5161</c:v>
                </c:pt>
                <c:pt idx="71">
                  <c:v>-0.61399999999999988</c:v>
                </c:pt>
                <c:pt idx="72">
                  <c:v>-0.70847619047619048</c:v>
                </c:pt>
                <c:pt idx="73">
                  <c:v>-0.6710454545454545</c:v>
                </c:pt>
                <c:pt idx="74">
                  <c:v>-0.60647826086956524</c:v>
                </c:pt>
                <c:pt idx="75">
                  <c:v>-0.61109999999999998</c:v>
                </c:pt>
                <c:pt idx="76">
                  <c:v>-0.59804347826086957</c:v>
                </c:pt>
                <c:pt idx="77">
                  <c:v>-0.57600000000000007</c:v>
                </c:pt>
                <c:pt idx="78">
                  <c:v>-0.53966666666666663</c:v>
                </c:pt>
                <c:pt idx="79">
                  <c:v>-0.50421739130434784</c:v>
                </c:pt>
                <c:pt idx="80">
                  <c:v>-0.49738095238095231</c:v>
                </c:pt>
                <c:pt idx="81">
                  <c:v>-0.45181818181818179</c:v>
                </c:pt>
                <c:pt idx="82">
                  <c:v>-0.43109999999999998</c:v>
                </c:pt>
                <c:pt idx="83">
                  <c:v>-0.44804347826086949</c:v>
                </c:pt>
                <c:pt idx="84">
                  <c:v>-0.46071428571428574</c:v>
                </c:pt>
                <c:pt idx="85">
                  <c:v>-0.4983636363636364</c:v>
                </c:pt>
                <c:pt idx="86">
                  <c:v>-0.44177272727272732</c:v>
                </c:pt>
                <c:pt idx="87">
                  <c:v>-0.43647619047619052</c:v>
                </c:pt>
                <c:pt idx="88">
                  <c:v>-0.3765217391304348</c:v>
                </c:pt>
                <c:pt idx="89">
                  <c:v>-0.37128571428571433</c:v>
                </c:pt>
                <c:pt idx="90">
                  <c:v>-0.38222727272727275</c:v>
                </c:pt>
                <c:pt idx="91">
                  <c:v>-0.35939130434782601</c:v>
                </c:pt>
                <c:pt idx="92">
                  <c:v>-0.38154999999999994</c:v>
                </c:pt>
                <c:pt idx="93">
                  <c:v>-0.38195652173913053</c:v>
                </c:pt>
                <c:pt idx="94">
                  <c:v>-0.37590000000000001</c:v>
                </c:pt>
                <c:pt idx="95">
                  <c:v>-0.35236363636363638</c:v>
                </c:pt>
                <c:pt idx="96">
                  <c:v>-0.27395454545454545</c:v>
                </c:pt>
                <c:pt idx="97">
                  <c:v>-0.25709090909090909</c:v>
                </c:pt>
                <c:pt idx="98">
                  <c:v>-0.32790476190476187</c:v>
                </c:pt>
                <c:pt idx="99">
                  <c:v>-0.30095454545454542</c:v>
                </c:pt>
                <c:pt idx="100">
                  <c:v>-0.32765217391304352</c:v>
                </c:pt>
                <c:pt idx="101">
                  <c:v>-0.26423809523809527</c:v>
                </c:pt>
                <c:pt idx="102">
                  <c:v>-0.24395454545454545</c:v>
                </c:pt>
                <c:pt idx="103">
                  <c:v>-0.26740909090909087</c:v>
                </c:pt>
                <c:pt idx="104">
                  <c:v>-0.29185714285714287</c:v>
                </c:pt>
                <c:pt idx="105">
                  <c:v>-0.25169565217391299</c:v>
                </c:pt>
                <c:pt idx="106">
                  <c:v>-8.261904761904762E-2</c:v>
                </c:pt>
                <c:pt idx="107">
                  <c:v>-3.8142857142857145E-2</c:v>
                </c:pt>
                <c:pt idx="108">
                  <c:v>-2.4826086956521737E-2</c:v>
                </c:pt>
                <c:pt idx="109">
                  <c:v>-1.2952380952380953E-2</c:v>
                </c:pt>
                <c:pt idx="110">
                  <c:v>-0.16136363636363638</c:v>
                </c:pt>
                <c:pt idx="111">
                  <c:v>-0.10963636363636363</c:v>
                </c:pt>
                <c:pt idx="112">
                  <c:v>-1.309523809523809E-2</c:v>
                </c:pt>
                <c:pt idx="113">
                  <c:v>6.3913043478260878E-2</c:v>
                </c:pt>
                <c:pt idx="114">
                  <c:v>9.9045454545454562E-2</c:v>
                </c:pt>
                <c:pt idx="115">
                  <c:v>4.3714285714285719E-2</c:v>
                </c:pt>
                <c:pt idx="116">
                  <c:v>1.2681818181818183E-2</c:v>
                </c:pt>
                <c:pt idx="117">
                  <c:v>3.095454545454546E-2</c:v>
                </c:pt>
                <c:pt idx="118">
                  <c:v>4.6600000000000009E-2</c:v>
                </c:pt>
                <c:pt idx="119">
                  <c:v>5.5363636363636365E-2</c:v>
                </c:pt>
                <c:pt idx="120">
                  <c:v>0.12691304347826088</c:v>
                </c:pt>
                <c:pt idx="121">
                  <c:v>0.14419999999999999</c:v>
                </c:pt>
                <c:pt idx="122">
                  <c:v>9.1826086956521738E-2</c:v>
                </c:pt>
                <c:pt idx="123">
                  <c:v>9.6409090909090889E-2</c:v>
                </c:pt>
                <c:pt idx="124">
                  <c:v>0.23704761904761903</c:v>
                </c:pt>
                <c:pt idx="125">
                  <c:v>0.23739130434782613</c:v>
                </c:pt>
                <c:pt idx="126">
                  <c:v>0.29652380952380952</c:v>
                </c:pt>
                <c:pt idx="127">
                  <c:v>0.38054545454545452</c:v>
                </c:pt>
                <c:pt idx="128">
                  <c:v>0.39986363636363631</c:v>
                </c:pt>
                <c:pt idx="129">
                  <c:v>0.57799999999999985</c:v>
                </c:pt>
                <c:pt idx="130">
                  <c:v>0.57799999999999985</c:v>
                </c:pt>
                <c:pt idx="131">
                  <c:v>0.57799999999999974</c:v>
                </c:pt>
                <c:pt idx="132">
                  <c:v>0.57799999999999985</c:v>
                </c:pt>
                <c:pt idx="133">
                  <c:v>0.57799999999999985</c:v>
                </c:pt>
                <c:pt idx="134">
                  <c:v>0.57799999999999974</c:v>
                </c:pt>
                <c:pt idx="135">
                  <c:v>0.57799999999999985</c:v>
                </c:pt>
                <c:pt idx="136">
                  <c:v>0.57799999999999985</c:v>
                </c:pt>
                <c:pt idx="137">
                  <c:v>0.57799999999999974</c:v>
                </c:pt>
                <c:pt idx="138">
                  <c:v>0.57799999999999985</c:v>
                </c:pt>
                <c:pt idx="139">
                  <c:v>0.57799999999999974</c:v>
                </c:pt>
                <c:pt idx="140">
                  <c:v>0.57799999999999985</c:v>
                </c:pt>
                <c:pt idx="141">
                  <c:v>0.48742857142857138</c:v>
                </c:pt>
                <c:pt idx="142">
                  <c:v>0.47414999999999985</c:v>
                </c:pt>
                <c:pt idx="143">
                  <c:v>0.32599999999999996</c:v>
                </c:pt>
                <c:pt idx="144">
                  <c:v>0.33057142857142857</c:v>
                </c:pt>
                <c:pt idx="145">
                  <c:v>0.43181818181818188</c:v>
                </c:pt>
                <c:pt idx="146">
                  <c:v>0.60652173913043472</c:v>
                </c:pt>
                <c:pt idx="147">
                  <c:v>0.77424999999999999</c:v>
                </c:pt>
                <c:pt idx="148">
                  <c:v>1.0214347826086958</c:v>
                </c:pt>
                <c:pt idx="149">
                  <c:v>1.3347727272727274</c:v>
                </c:pt>
                <c:pt idx="150">
                  <c:v>1.5379523809523812</c:v>
                </c:pt>
                <c:pt idx="151">
                  <c:v>1.363</c:v>
                </c:pt>
                <c:pt idx="152">
                  <c:v>1.5276190476190483</c:v>
                </c:pt>
                <c:pt idx="153">
                  <c:v>2.1509545454545447</c:v>
                </c:pt>
                <c:pt idx="154">
                  <c:v>2.7605714285714278</c:v>
                </c:pt>
                <c:pt idx="155">
                  <c:v>2.6009999999999995</c:v>
                </c:pt>
                <c:pt idx="156">
                  <c:v>2.6661818181818187</c:v>
                </c:pt>
                <c:pt idx="157">
                  <c:v>2.4391363636363637</c:v>
                </c:pt>
                <c:pt idx="158">
                  <c:v>2.3859999999999997</c:v>
                </c:pt>
                <c:pt idx="159">
                  <c:v>2.2885454545454547</c:v>
                </c:pt>
                <c:pt idx="160">
                  <c:v>2.3939565217391303</c:v>
                </c:pt>
                <c:pt idx="161">
                  <c:v>2.4404285714285718</c:v>
                </c:pt>
                <c:pt idx="162">
                  <c:v>2.4848181818181816</c:v>
                </c:pt>
                <c:pt idx="163">
                  <c:v>2.5239090909090911</c:v>
                </c:pt>
                <c:pt idx="164">
                  <c:v>2.5880476190476194</c:v>
                </c:pt>
                <c:pt idx="165">
                  <c:v>2.488105263157895</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numCache>
            </c:numRef>
          </c:val>
          <c:smooth val="0"/>
          <c:extLst>
            <c:ext xmlns:c16="http://schemas.microsoft.com/office/drawing/2014/chart" uri="{C3380CC4-5D6E-409C-BE32-E72D297353CC}">
              <c16:uniqueId val="{00000000-78D9-4A3A-AE75-EBA9DC8B4CB0}"/>
            </c:ext>
          </c:extLst>
        </c:ser>
        <c:ser>
          <c:idx val="1"/>
          <c:order val="1"/>
          <c:tx>
            <c:strRef>
              <c:f>Hárok1!$N$1</c:f>
              <c:strCache>
                <c:ptCount val="1"/>
                <c:pt idx="0">
                  <c:v>riziková prirážka na 10-ročný dlhopis SK</c:v>
                </c:pt>
              </c:strCache>
            </c:strRef>
          </c:tx>
          <c:spPr>
            <a:ln w="28575" cap="rnd">
              <a:solidFill>
                <a:srgbClr val="FF0000"/>
              </a:solidFill>
              <a:round/>
            </a:ln>
            <a:effectLst/>
          </c:spPr>
          <c:marker>
            <c:symbol val="none"/>
          </c:marker>
          <c:cat>
            <c:numRef>
              <c:f>Hárok1!$L$2:$L$3652</c:f>
              <c:numCache>
                <c:formatCode>m/d/yyyy</c:formatCode>
                <c:ptCount val="3651"/>
                <c:pt idx="0">
                  <c:v>45627</c:v>
                </c:pt>
                <c:pt idx="1">
                  <c:v>45597</c:v>
                </c:pt>
                <c:pt idx="2">
                  <c:v>45566</c:v>
                </c:pt>
                <c:pt idx="3">
                  <c:v>45536</c:v>
                </c:pt>
                <c:pt idx="4">
                  <c:v>45505</c:v>
                </c:pt>
                <c:pt idx="5">
                  <c:v>45474</c:v>
                </c:pt>
                <c:pt idx="6">
                  <c:v>45444</c:v>
                </c:pt>
                <c:pt idx="7">
                  <c:v>45413</c:v>
                </c:pt>
                <c:pt idx="8">
                  <c:v>45383</c:v>
                </c:pt>
                <c:pt idx="9">
                  <c:v>45352</c:v>
                </c:pt>
                <c:pt idx="10">
                  <c:v>45323</c:v>
                </c:pt>
                <c:pt idx="11">
                  <c:v>45292</c:v>
                </c:pt>
                <c:pt idx="12">
                  <c:v>45261</c:v>
                </c:pt>
                <c:pt idx="13">
                  <c:v>45231</c:v>
                </c:pt>
                <c:pt idx="14">
                  <c:v>45200</c:v>
                </c:pt>
                <c:pt idx="15">
                  <c:v>45170</c:v>
                </c:pt>
                <c:pt idx="16">
                  <c:v>45139</c:v>
                </c:pt>
                <c:pt idx="17">
                  <c:v>45108</c:v>
                </c:pt>
                <c:pt idx="18">
                  <c:v>45078</c:v>
                </c:pt>
                <c:pt idx="19">
                  <c:v>45047</c:v>
                </c:pt>
                <c:pt idx="20">
                  <c:v>45017</c:v>
                </c:pt>
                <c:pt idx="21">
                  <c:v>44986</c:v>
                </c:pt>
                <c:pt idx="22">
                  <c:v>44958</c:v>
                </c:pt>
                <c:pt idx="23">
                  <c:v>44927</c:v>
                </c:pt>
                <c:pt idx="24">
                  <c:v>44896</c:v>
                </c:pt>
                <c:pt idx="25">
                  <c:v>44866</c:v>
                </c:pt>
                <c:pt idx="26">
                  <c:v>44835</c:v>
                </c:pt>
                <c:pt idx="27">
                  <c:v>44805</c:v>
                </c:pt>
                <c:pt idx="28">
                  <c:v>44774</c:v>
                </c:pt>
                <c:pt idx="29">
                  <c:v>44743</c:v>
                </c:pt>
                <c:pt idx="30">
                  <c:v>44713</c:v>
                </c:pt>
                <c:pt idx="31">
                  <c:v>44682</c:v>
                </c:pt>
                <c:pt idx="32">
                  <c:v>44652</c:v>
                </c:pt>
                <c:pt idx="33">
                  <c:v>44621</c:v>
                </c:pt>
                <c:pt idx="34">
                  <c:v>44593</c:v>
                </c:pt>
                <c:pt idx="35">
                  <c:v>44562</c:v>
                </c:pt>
                <c:pt idx="36">
                  <c:v>44531</c:v>
                </c:pt>
                <c:pt idx="37">
                  <c:v>44501</c:v>
                </c:pt>
                <c:pt idx="38">
                  <c:v>44470</c:v>
                </c:pt>
                <c:pt idx="39">
                  <c:v>44440</c:v>
                </c:pt>
                <c:pt idx="40">
                  <c:v>44409</c:v>
                </c:pt>
                <c:pt idx="41">
                  <c:v>44378</c:v>
                </c:pt>
                <c:pt idx="42">
                  <c:v>44348</c:v>
                </c:pt>
                <c:pt idx="43">
                  <c:v>44317</c:v>
                </c:pt>
                <c:pt idx="44">
                  <c:v>44287</c:v>
                </c:pt>
                <c:pt idx="45">
                  <c:v>44256</c:v>
                </c:pt>
                <c:pt idx="46">
                  <c:v>44228</c:v>
                </c:pt>
                <c:pt idx="47">
                  <c:v>44197</c:v>
                </c:pt>
                <c:pt idx="48">
                  <c:v>44166</c:v>
                </c:pt>
                <c:pt idx="49">
                  <c:v>44136</c:v>
                </c:pt>
                <c:pt idx="50">
                  <c:v>44105</c:v>
                </c:pt>
                <c:pt idx="51">
                  <c:v>44075</c:v>
                </c:pt>
                <c:pt idx="52">
                  <c:v>44044</c:v>
                </c:pt>
                <c:pt idx="53">
                  <c:v>44013</c:v>
                </c:pt>
                <c:pt idx="54">
                  <c:v>43983</c:v>
                </c:pt>
                <c:pt idx="55">
                  <c:v>43952</c:v>
                </c:pt>
                <c:pt idx="56">
                  <c:v>43922</c:v>
                </c:pt>
                <c:pt idx="57">
                  <c:v>43891</c:v>
                </c:pt>
                <c:pt idx="58">
                  <c:v>43862</c:v>
                </c:pt>
                <c:pt idx="59">
                  <c:v>43831</c:v>
                </c:pt>
                <c:pt idx="60">
                  <c:v>43800</c:v>
                </c:pt>
                <c:pt idx="61">
                  <c:v>43770</c:v>
                </c:pt>
                <c:pt idx="62">
                  <c:v>43739</c:v>
                </c:pt>
                <c:pt idx="63">
                  <c:v>43709</c:v>
                </c:pt>
                <c:pt idx="64">
                  <c:v>43678</c:v>
                </c:pt>
                <c:pt idx="65">
                  <c:v>43647</c:v>
                </c:pt>
                <c:pt idx="66">
                  <c:v>43617</c:v>
                </c:pt>
                <c:pt idx="67">
                  <c:v>43586</c:v>
                </c:pt>
                <c:pt idx="68">
                  <c:v>43556</c:v>
                </c:pt>
                <c:pt idx="69">
                  <c:v>43525</c:v>
                </c:pt>
                <c:pt idx="70">
                  <c:v>43497</c:v>
                </c:pt>
                <c:pt idx="71">
                  <c:v>43466</c:v>
                </c:pt>
                <c:pt idx="72">
                  <c:v>43435</c:v>
                </c:pt>
                <c:pt idx="73">
                  <c:v>43405</c:v>
                </c:pt>
                <c:pt idx="74">
                  <c:v>43374</c:v>
                </c:pt>
                <c:pt idx="75">
                  <c:v>43344</c:v>
                </c:pt>
                <c:pt idx="76">
                  <c:v>43313</c:v>
                </c:pt>
                <c:pt idx="77">
                  <c:v>43282</c:v>
                </c:pt>
                <c:pt idx="78">
                  <c:v>43252</c:v>
                </c:pt>
                <c:pt idx="79">
                  <c:v>43221</c:v>
                </c:pt>
                <c:pt idx="80">
                  <c:v>43191</c:v>
                </c:pt>
                <c:pt idx="81">
                  <c:v>43160</c:v>
                </c:pt>
                <c:pt idx="82">
                  <c:v>43132</c:v>
                </c:pt>
                <c:pt idx="83">
                  <c:v>43101</c:v>
                </c:pt>
                <c:pt idx="84">
                  <c:v>43070</c:v>
                </c:pt>
                <c:pt idx="85">
                  <c:v>43040</c:v>
                </c:pt>
                <c:pt idx="86">
                  <c:v>43009</c:v>
                </c:pt>
                <c:pt idx="87">
                  <c:v>42979</c:v>
                </c:pt>
                <c:pt idx="88">
                  <c:v>42948</c:v>
                </c:pt>
                <c:pt idx="89">
                  <c:v>42917</c:v>
                </c:pt>
                <c:pt idx="90">
                  <c:v>42887</c:v>
                </c:pt>
                <c:pt idx="91">
                  <c:v>42856</c:v>
                </c:pt>
                <c:pt idx="92">
                  <c:v>42826</c:v>
                </c:pt>
                <c:pt idx="93">
                  <c:v>42795</c:v>
                </c:pt>
                <c:pt idx="94">
                  <c:v>42767</c:v>
                </c:pt>
                <c:pt idx="95">
                  <c:v>42736</c:v>
                </c:pt>
                <c:pt idx="96">
                  <c:v>42705</c:v>
                </c:pt>
                <c:pt idx="97">
                  <c:v>42675</c:v>
                </c:pt>
                <c:pt idx="98">
                  <c:v>42644</c:v>
                </c:pt>
                <c:pt idx="99">
                  <c:v>42614</c:v>
                </c:pt>
                <c:pt idx="100">
                  <c:v>42583</c:v>
                </c:pt>
                <c:pt idx="101">
                  <c:v>42552</c:v>
                </c:pt>
                <c:pt idx="102">
                  <c:v>42522</c:v>
                </c:pt>
                <c:pt idx="103">
                  <c:v>42491</c:v>
                </c:pt>
                <c:pt idx="104">
                  <c:v>42461</c:v>
                </c:pt>
                <c:pt idx="105">
                  <c:v>42430</c:v>
                </c:pt>
                <c:pt idx="106">
                  <c:v>42401</c:v>
                </c:pt>
                <c:pt idx="107">
                  <c:v>42370</c:v>
                </c:pt>
                <c:pt idx="108">
                  <c:v>42339</c:v>
                </c:pt>
                <c:pt idx="109">
                  <c:v>42309</c:v>
                </c:pt>
                <c:pt idx="110">
                  <c:v>42278</c:v>
                </c:pt>
                <c:pt idx="111">
                  <c:v>42248</c:v>
                </c:pt>
                <c:pt idx="112">
                  <c:v>42217</c:v>
                </c:pt>
                <c:pt idx="113">
                  <c:v>42186</c:v>
                </c:pt>
                <c:pt idx="114">
                  <c:v>42156</c:v>
                </c:pt>
                <c:pt idx="115">
                  <c:v>42125</c:v>
                </c:pt>
                <c:pt idx="116">
                  <c:v>42095</c:v>
                </c:pt>
                <c:pt idx="117">
                  <c:v>42064</c:v>
                </c:pt>
                <c:pt idx="118">
                  <c:v>42036</c:v>
                </c:pt>
                <c:pt idx="119">
                  <c:v>42005</c:v>
                </c:pt>
                <c:pt idx="120">
                  <c:v>41974</c:v>
                </c:pt>
                <c:pt idx="121">
                  <c:v>41944</c:v>
                </c:pt>
                <c:pt idx="122">
                  <c:v>41913</c:v>
                </c:pt>
                <c:pt idx="123">
                  <c:v>41883</c:v>
                </c:pt>
                <c:pt idx="124">
                  <c:v>41852</c:v>
                </c:pt>
                <c:pt idx="125">
                  <c:v>41821</c:v>
                </c:pt>
                <c:pt idx="126">
                  <c:v>41791</c:v>
                </c:pt>
                <c:pt idx="127">
                  <c:v>41760</c:v>
                </c:pt>
                <c:pt idx="128">
                  <c:v>41730</c:v>
                </c:pt>
                <c:pt idx="129">
                  <c:v>41699</c:v>
                </c:pt>
                <c:pt idx="130">
                  <c:v>41671</c:v>
                </c:pt>
                <c:pt idx="131">
                  <c:v>41640</c:v>
                </c:pt>
                <c:pt idx="132">
                  <c:v>41609</c:v>
                </c:pt>
                <c:pt idx="133">
                  <c:v>41579</c:v>
                </c:pt>
                <c:pt idx="134">
                  <c:v>41548</c:v>
                </c:pt>
                <c:pt idx="135">
                  <c:v>41518</c:v>
                </c:pt>
                <c:pt idx="136">
                  <c:v>41487</c:v>
                </c:pt>
                <c:pt idx="137">
                  <c:v>41456</c:v>
                </c:pt>
                <c:pt idx="138">
                  <c:v>41426</c:v>
                </c:pt>
                <c:pt idx="139">
                  <c:v>41395</c:v>
                </c:pt>
                <c:pt idx="140">
                  <c:v>41365</c:v>
                </c:pt>
                <c:pt idx="141">
                  <c:v>41334</c:v>
                </c:pt>
                <c:pt idx="142">
                  <c:v>41306</c:v>
                </c:pt>
                <c:pt idx="143">
                  <c:v>41275</c:v>
                </c:pt>
                <c:pt idx="144">
                  <c:v>41244</c:v>
                </c:pt>
                <c:pt idx="145">
                  <c:v>41214</c:v>
                </c:pt>
                <c:pt idx="146">
                  <c:v>41183</c:v>
                </c:pt>
                <c:pt idx="147">
                  <c:v>41153</c:v>
                </c:pt>
                <c:pt idx="148">
                  <c:v>41122</c:v>
                </c:pt>
                <c:pt idx="149">
                  <c:v>41091</c:v>
                </c:pt>
                <c:pt idx="150">
                  <c:v>41061</c:v>
                </c:pt>
                <c:pt idx="151">
                  <c:v>41030</c:v>
                </c:pt>
                <c:pt idx="152">
                  <c:v>41000</c:v>
                </c:pt>
                <c:pt idx="153">
                  <c:v>40969</c:v>
                </c:pt>
                <c:pt idx="154">
                  <c:v>40940</c:v>
                </c:pt>
                <c:pt idx="155">
                  <c:v>40909</c:v>
                </c:pt>
                <c:pt idx="156">
                  <c:v>40878</c:v>
                </c:pt>
                <c:pt idx="157">
                  <c:v>40848</c:v>
                </c:pt>
                <c:pt idx="158">
                  <c:v>40817</c:v>
                </c:pt>
                <c:pt idx="159">
                  <c:v>40787</c:v>
                </c:pt>
                <c:pt idx="160">
                  <c:v>40756</c:v>
                </c:pt>
                <c:pt idx="161">
                  <c:v>40725</c:v>
                </c:pt>
                <c:pt idx="162">
                  <c:v>40695</c:v>
                </c:pt>
                <c:pt idx="163">
                  <c:v>40664</c:v>
                </c:pt>
                <c:pt idx="164">
                  <c:v>40634</c:v>
                </c:pt>
                <c:pt idx="165">
                  <c:v>40603</c:v>
                </c:pt>
                <c:pt idx="166">
                  <c:v>40575</c:v>
                </c:pt>
                <c:pt idx="167">
                  <c:v>40544</c:v>
                </c:pt>
                <c:pt idx="168">
                  <c:v>40513</c:v>
                </c:pt>
                <c:pt idx="169">
                  <c:v>40483</c:v>
                </c:pt>
                <c:pt idx="170">
                  <c:v>40452</c:v>
                </c:pt>
                <c:pt idx="171">
                  <c:v>40422</c:v>
                </c:pt>
                <c:pt idx="172">
                  <c:v>40391</c:v>
                </c:pt>
                <c:pt idx="173">
                  <c:v>40360</c:v>
                </c:pt>
                <c:pt idx="174">
                  <c:v>40330</c:v>
                </c:pt>
                <c:pt idx="175">
                  <c:v>40299</c:v>
                </c:pt>
                <c:pt idx="176">
                  <c:v>40269</c:v>
                </c:pt>
                <c:pt idx="177">
                  <c:v>40238</c:v>
                </c:pt>
                <c:pt idx="178">
                  <c:v>40210</c:v>
                </c:pt>
                <c:pt idx="179">
                  <c:v>40179</c:v>
                </c:pt>
              </c:numCache>
            </c:numRef>
          </c:cat>
          <c:val>
            <c:numRef>
              <c:f>Hárok1!$N$2:$N$3652</c:f>
              <c:numCache>
                <c:formatCode>0.00</c:formatCode>
                <c:ptCount val="3651"/>
                <c:pt idx="0">
                  <c:v>1.0043181818181819</c:v>
                </c:pt>
                <c:pt idx="1">
                  <c:v>1.0243333333333331</c:v>
                </c:pt>
                <c:pt idx="2">
                  <c:v>1.0993478260869567</c:v>
                </c:pt>
                <c:pt idx="3">
                  <c:v>1.1635238095238098</c:v>
                </c:pt>
                <c:pt idx="4">
                  <c:v>1.1437272727272729</c:v>
                </c:pt>
                <c:pt idx="5">
                  <c:v>1.093478260869565</c:v>
                </c:pt>
                <c:pt idx="6">
                  <c:v>1.1935</c:v>
                </c:pt>
                <c:pt idx="7">
                  <c:v>1.1670434782608694</c:v>
                </c:pt>
                <c:pt idx="8">
                  <c:v>1.2225000000000001</c:v>
                </c:pt>
                <c:pt idx="9">
                  <c:v>1.2577619047619046</c:v>
                </c:pt>
                <c:pt idx="10">
                  <c:v>1.1443333333333332</c:v>
                </c:pt>
                <c:pt idx="11">
                  <c:v>1.1408695652173915</c:v>
                </c:pt>
                <c:pt idx="12">
                  <c:v>1.1495714285714287</c:v>
                </c:pt>
                <c:pt idx="13">
                  <c:v>1.2037727272727272</c:v>
                </c:pt>
                <c:pt idx="14">
                  <c:v>1.2339545454545457</c:v>
                </c:pt>
                <c:pt idx="15">
                  <c:v>1.2092380952380952</c:v>
                </c:pt>
                <c:pt idx="16">
                  <c:v>1.2281739130434783</c:v>
                </c:pt>
                <c:pt idx="17">
                  <c:v>1.2660476190476193</c:v>
                </c:pt>
                <c:pt idx="18">
                  <c:v>1.2795909090909094</c:v>
                </c:pt>
                <c:pt idx="19">
                  <c:v>1.2850869565217395</c:v>
                </c:pt>
                <c:pt idx="20">
                  <c:v>1.27685</c:v>
                </c:pt>
                <c:pt idx="21">
                  <c:v>1.1738260869565218</c:v>
                </c:pt>
                <c:pt idx="22">
                  <c:v>0.95985000000000009</c:v>
                </c:pt>
                <c:pt idx="23">
                  <c:v>1.0212727272727271</c:v>
                </c:pt>
                <c:pt idx="24">
                  <c:v>1.1194545454545457</c:v>
                </c:pt>
                <c:pt idx="25">
                  <c:v>1.3302727272727273</c:v>
                </c:pt>
                <c:pt idx="26">
                  <c:v>1.368047619047619</c:v>
                </c:pt>
                <c:pt idx="27">
                  <c:v>1.071</c:v>
                </c:pt>
                <c:pt idx="28">
                  <c:v>0.97447826086956557</c:v>
                </c:pt>
                <c:pt idx="29">
                  <c:v>0.99457142857142833</c:v>
                </c:pt>
                <c:pt idx="30">
                  <c:v>0.94304545454545452</c:v>
                </c:pt>
                <c:pt idx="31">
                  <c:v>0.87068181818181822</c:v>
                </c:pt>
                <c:pt idx="32">
                  <c:v>0.75700000000000001</c:v>
                </c:pt>
                <c:pt idx="33">
                  <c:v>0.63947826086956527</c:v>
                </c:pt>
                <c:pt idx="34">
                  <c:v>0.50100000000000011</c:v>
                </c:pt>
                <c:pt idx="35">
                  <c:v>0.30719047619047624</c:v>
                </c:pt>
                <c:pt idx="36">
                  <c:v>0.31004347826086959</c:v>
                </c:pt>
                <c:pt idx="37">
                  <c:v>0.30086363636363633</c:v>
                </c:pt>
                <c:pt idx="38">
                  <c:v>0.30604761904761901</c:v>
                </c:pt>
                <c:pt idx="39">
                  <c:v>0.31909090909090915</c:v>
                </c:pt>
                <c:pt idx="40">
                  <c:v>0.33422727272727265</c:v>
                </c:pt>
                <c:pt idx="41">
                  <c:v>0.33218181818181808</c:v>
                </c:pt>
                <c:pt idx="42">
                  <c:v>0.37222727272727274</c:v>
                </c:pt>
                <c:pt idx="43">
                  <c:v>0.25661904761904764</c:v>
                </c:pt>
                <c:pt idx="44">
                  <c:v>0.16799999999999998</c:v>
                </c:pt>
                <c:pt idx="45">
                  <c:v>0.19521739130434779</c:v>
                </c:pt>
                <c:pt idx="46">
                  <c:v>0.11975000000000005</c:v>
                </c:pt>
                <c:pt idx="47">
                  <c:v>4.9761904761904778E-2</c:v>
                </c:pt>
                <c:pt idx="48">
                  <c:v>5.5260869565217356E-2</c:v>
                </c:pt>
                <c:pt idx="49">
                  <c:v>0.19985714285714282</c:v>
                </c:pt>
                <c:pt idx="50">
                  <c:v>0.29890909090909096</c:v>
                </c:pt>
                <c:pt idx="51">
                  <c:v>0.2339545454545455</c:v>
                </c:pt>
                <c:pt idx="52">
                  <c:v>0.25414285714285711</c:v>
                </c:pt>
                <c:pt idx="53">
                  <c:v>0.32265217391304352</c:v>
                </c:pt>
                <c:pt idx="54">
                  <c:v>0.45322727272727265</c:v>
                </c:pt>
                <c:pt idx="55">
                  <c:v>1.0883333333333336</c:v>
                </c:pt>
                <c:pt idx="56">
                  <c:v>1.1237272727272727</c:v>
                </c:pt>
                <c:pt idx="57">
                  <c:v>0.74213636363636371</c:v>
                </c:pt>
                <c:pt idx="58">
                  <c:v>0.4279</c:v>
                </c:pt>
                <c:pt idx="59">
                  <c:v>0.3955652173913044</c:v>
                </c:pt>
                <c:pt idx="60">
                  <c:v>0.40899999999999986</c:v>
                </c:pt>
                <c:pt idx="61">
                  <c:v>0.42028571428571421</c:v>
                </c:pt>
                <c:pt idx="62">
                  <c:v>0.39234782608695656</c:v>
                </c:pt>
                <c:pt idx="63">
                  <c:v>0.23233333333333331</c:v>
                </c:pt>
                <c:pt idx="64">
                  <c:v>0.29668181818181816</c:v>
                </c:pt>
                <c:pt idx="65">
                  <c:v>0.37834782608695644</c:v>
                </c:pt>
                <c:pt idx="66">
                  <c:v>0.51899999999999991</c:v>
                </c:pt>
                <c:pt idx="67">
                  <c:v>0.53991304347826097</c:v>
                </c:pt>
                <c:pt idx="68">
                  <c:v>0.55259090909090913</c:v>
                </c:pt>
                <c:pt idx="69">
                  <c:v>0.62238095238095237</c:v>
                </c:pt>
                <c:pt idx="70">
                  <c:v>0.64859999999999995</c:v>
                </c:pt>
                <c:pt idx="71">
                  <c:v>0.57269565217391305</c:v>
                </c:pt>
                <c:pt idx="72">
                  <c:v>0.59447619047619038</c:v>
                </c:pt>
                <c:pt idx="73">
                  <c:v>0.56490909090909092</c:v>
                </c:pt>
                <c:pt idx="74">
                  <c:v>0.53952173913043477</c:v>
                </c:pt>
                <c:pt idx="75">
                  <c:v>0.41355000000000003</c:v>
                </c:pt>
                <c:pt idx="76">
                  <c:v>0.42952173913043484</c:v>
                </c:pt>
                <c:pt idx="77">
                  <c:v>0.48804545454545445</c:v>
                </c:pt>
                <c:pt idx="78">
                  <c:v>0.49923809523809515</c:v>
                </c:pt>
                <c:pt idx="79">
                  <c:v>0.30304347826086953</c:v>
                </c:pt>
                <c:pt idx="80">
                  <c:v>0.27328571428571424</c:v>
                </c:pt>
                <c:pt idx="81">
                  <c:v>0.23409090909090907</c:v>
                </c:pt>
                <c:pt idx="82">
                  <c:v>9.6899999999999945E-2</c:v>
                </c:pt>
                <c:pt idx="83">
                  <c:v>0.26678260869565218</c:v>
                </c:pt>
                <c:pt idx="84">
                  <c:v>0.46571428571428569</c:v>
                </c:pt>
                <c:pt idx="85">
                  <c:v>0.45318181818181813</c:v>
                </c:pt>
                <c:pt idx="86">
                  <c:v>0.39954545454545459</c:v>
                </c:pt>
                <c:pt idx="87">
                  <c:v>0.42014285714285715</c:v>
                </c:pt>
                <c:pt idx="88">
                  <c:v>0.41230434782608699</c:v>
                </c:pt>
                <c:pt idx="89">
                  <c:v>0.43461904761904757</c:v>
                </c:pt>
                <c:pt idx="90">
                  <c:v>0.59977272727272724</c:v>
                </c:pt>
                <c:pt idx="91">
                  <c:v>0.64213043478260867</c:v>
                </c:pt>
                <c:pt idx="92">
                  <c:v>0.78784999999999994</c:v>
                </c:pt>
                <c:pt idx="93">
                  <c:v>0.74747826086956526</c:v>
                </c:pt>
                <c:pt idx="94">
                  <c:v>0.73740000000000006</c:v>
                </c:pt>
                <c:pt idx="95">
                  <c:v>0.66804545454545461</c:v>
                </c:pt>
                <c:pt idx="96">
                  <c:v>0.7070909090909091</c:v>
                </c:pt>
                <c:pt idx="97">
                  <c:v>0.54500000000000004</c:v>
                </c:pt>
                <c:pt idx="98">
                  <c:v>0.39114285714285707</c:v>
                </c:pt>
                <c:pt idx="99">
                  <c:v>0.36045454545454542</c:v>
                </c:pt>
                <c:pt idx="100">
                  <c:v>0.35482608695652179</c:v>
                </c:pt>
                <c:pt idx="101">
                  <c:v>0.5352380952380954</c:v>
                </c:pt>
                <c:pt idx="102">
                  <c:v>0.7178181818181818</c:v>
                </c:pt>
                <c:pt idx="103">
                  <c:v>0.3752727272727272</c:v>
                </c:pt>
                <c:pt idx="104">
                  <c:v>0.20433333333333331</c:v>
                </c:pt>
                <c:pt idx="105">
                  <c:v>0.20130434782608692</c:v>
                </c:pt>
                <c:pt idx="106">
                  <c:v>0.26623809523809522</c:v>
                </c:pt>
                <c:pt idx="107">
                  <c:v>0.18461904761904765</c:v>
                </c:pt>
                <c:pt idx="108">
                  <c:v>0.11469565217391302</c:v>
                </c:pt>
                <c:pt idx="109">
                  <c:v>0.15385714285714289</c:v>
                </c:pt>
                <c:pt idx="110">
                  <c:v>0.18331818181818182</c:v>
                </c:pt>
                <c:pt idx="111">
                  <c:v>0.20172727272727276</c:v>
                </c:pt>
                <c:pt idx="112">
                  <c:v>0.25738095238095238</c:v>
                </c:pt>
                <c:pt idx="113">
                  <c:v>0.38578260869565212</c:v>
                </c:pt>
                <c:pt idx="114">
                  <c:v>0.40386363636363637</c:v>
                </c:pt>
                <c:pt idx="115">
                  <c:v>0.20666666666666669</c:v>
                </c:pt>
                <c:pt idx="116">
                  <c:v>0.26804545454545453</c:v>
                </c:pt>
                <c:pt idx="117">
                  <c:v>0.31531818181818178</c:v>
                </c:pt>
                <c:pt idx="118">
                  <c:v>0.44144999999999995</c:v>
                </c:pt>
                <c:pt idx="119">
                  <c:v>0.48249999999999998</c:v>
                </c:pt>
                <c:pt idx="120">
                  <c:v>0.53969565217391313</c:v>
                </c:pt>
                <c:pt idx="121">
                  <c:v>0.60024999999999995</c:v>
                </c:pt>
                <c:pt idx="122">
                  <c:v>0.52478260869565219</c:v>
                </c:pt>
                <c:pt idx="123">
                  <c:v>0.57409090909090921</c:v>
                </c:pt>
                <c:pt idx="124">
                  <c:v>0.82085714285714295</c:v>
                </c:pt>
                <c:pt idx="125">
                  <c:v>0.76852173913043487</c:v>
                </c:pt>
                <c:pt idx="126">
                  <c:v>0.74509523809523825</c:v>
                </c:pt>
                <c:pt idx="127">
                  <c:v>0.86518181818181827</c:v>
                </c:pt>
                <c:pt idx="128">
                  <c:v>0.8106363636363636</c:v>
                </c:pt>
                <c:pt idx="129">
                  <c:v>0.61938095238095225</c:v>
                </c:pt>
                <c:pt idx="130">
                  <c:v>0.74535000000000007</c:v>
                </c:pt>
                <c:pt idx="131">
                  <c:v>0.73613043478260876</c:v>
                </c:pt>
                <c:pt idx="132">
                  <c:v>0.6883636363636364</c:v>
                </c:pt>
                <c:pt idx="133">
                  <c:v>0.83547619047619037</c:v>
                </c:pt>
                <c:pt idx="134">
                  <c:v>0.86534782608695648</c:v>
                </c:pt>
                <c:pt idx="135">
                  <c:v>0.80371428571428571</c:v>
                </c:pt>
                <c:pt idx="136">
                  <c:v>0.8448181818181818</c:v>
                </c:pt>
                <c:pt idx="137">
                  <c:v>0.99178260869565216</c:v>
                </c:pt>
                <c:pt idx="138">
                  <c:v>0.91430000000000022</c:v>
                </c:pt>
                <c:pt idx="139">
                  <c:v>1.0835217391304348</c:v>
                </c:pt>
                <c:pt idx="140">
                  <c:v>1.5264090909090908</c:v>
                </c:pt>
                <c:pt idx="141">
                  <c:v>1.3397142857142856</c:v>
                </c:pt>
                <c:pt idx="142">
                  <c:v>0.59720000000000006</c:v>
                </c:pt>
                <c:pt idx="143">
                  <c:v>0.59130434782608698</c:v>
                </c:pt>
                <c:pt idx="144">
                  <c:v>0.87042857142857144</c:v>
                </c:pt>
                <c:pt idx="145">
                  <c:v>0.98804545454545467</c:v>
                </c:pt>
                <c:pt idx="146">
                  <c:v>1.0213913043478262</c:v>
                </c:pt>
                <c:pt idx="147">
                  <c:v>1.2748499999999996</c:v>
                </c:pt>
                <c:pt idx="148">
                  <c:v>1.7028695652173915</c:v>
                </c:pt>
                <c:pt idx="149">
                  <c:v>2.0428636363636365</c:v>
                </c:pt>
                <c:pt idx="150">
                  <c:v>2.1137142857142854</c:v>
                </c:pt>
                <c:pt idx="151">
                  <c:v>2.1610434782608698</c:v>
                </c:pt>
                <c:pt idx="152">
                  <c:v>1.9879047619047616</c:v>
                </c:pt>
                <c:pt idx="153">
                  <c:v>2.0134545454545449</c:v>
                </c:pt>
                <c:pt idx="154">
                  <c:v>2.565952380952381</c:v>
                </c:pt>
                <c:pt idx="155">
                  <c:v>2.8646818181818179</c:v>
                </c:pt>
                <c:pt idx="156">
                  <c:v>2.7849090909090912</c:v>
                </c:pt>
                <c:pt idx="157">
                  <c:v>2.307136363636364</c:v>
                </c:pt>
                <c:pt idx="158">
                  <c:v>1.896333333333333</c:v>
                </c:pt>
                <c:pt idx="159">
                  <c:v>2.007545454545455</c:v>
                </c:pt>
                <c:pt idx="160">
                  <c:v>1.805391304347826</c:v>
                </c:pt>
                <c:pt idx="161">
                  <c:v>1.4070476190476191</c:v>
                </c:pt>
                <c:pt idx="162">
                  <c:v>1.2287272727272724</c:v>
                </c:pt>
                <c:pt idx="163">
                  <c:v>1.1534999999999997</c:v>
                </c:pt>
                <c:pt idx="164">
                  <c:v>0.97661904761904783</c:v>
                </c:pt>
                <c:pt idx="165">
                  <c:v>0.91630434782608661</c:v>
                </c:pt>
                <c:pt idx="166">
                  <c:v>1.0076500000000002</c:v>
                </c:pt>
                <c:pt idx="167">
                  <c:v>1.17425</c:v>
                </c:pt>
                <c:pt idx="168">
                  <c:v>0</c:v>
                </c:pt>
                <c:pt idx="169">
                  <c:v>0</c:v>
                </c:pt>
                <c:pt idx="170">
                  <c:v>0</c:v>
                </c:pt>
                <c:pt idx="171">
                  <c:v>0</c:v>
                </c:pt>
                <c:pt idx="172">
                  <c:v>0</c:v>
                </c:pt>
                <c:pt idx="173">
                  <c:v>0</c:v>
                </c:pt>
                <c:pt idx="174">
                  <c:v>0</c:v>
                </c:pt>
                <c:pt idx="175">
                  <c:v>0</c:v>
                </c:pt>
                <c:pt idx="176">
                  <c:v>0</c:v>
                </c:pt>
                <c:pt idx="177">
                  <c:v>0</c:v>
                </c:pt>
                <c:pt idx="178">
                  <c:v>0</c:v>
                </c:pt>
                <c:pt idx="179">
                  <c:v>0</c:v>
                </c:pt>
              </c:numCache>
            </c:numRef>
          </c:val>
          <c:smooth val="0"/>
          <c:extLst>
            <c:ext xmlns:c16="http://schemas.microsoft.com/office/drawing/2014/chart" uri="{C3380CC4-5D6E-409C-BE32-E72D297353CC}">
              <c16:uniqueId val="{00000001-78D9-4A3A-AE75-EBA9DC8B4CB0}"/>
            </c:ext>
          </c:extLst>
        </c:ser>
        <c:ser>
          <c:idx val="2"/>
          <c:order val="2"/>
          <c:tx>
            <c:strRef>
              <c:f>Hárok1!$O$1</c:f>
              <c:strCache>
                <c:ptCount val="1"/>
                <c:pt idx="0">
                  <c:v>10-ročný výnos DE</c:v>
                </c:pt>
              </c:strCache>
            </c:strRef>
          </c:tx>
          <c:spPr>
            <a:ln w="19050" cap="rnd">
              <a:solidFill>
                <a:schemeClr val="accent1"/>
              </a:solidFill>
              <a:round/>
            </a:ln>
            <a:effectLst/>
          </c:spPr>
          <c:marker>
            <c:symbol val="none"/>
          </c:marker>
          <c:cat>
            <c:numRef>
              <c:f>Hárok1!$L$2:$L$3652</c:f>
              <c:numCache>
                <c:formatCode>m/d/yyyy</c:formatCode>
                <c:ptCount val="3651"/>
                <c:pt idx="0">
                  <c:v>45627</c:v>
                </c:pt>
                <c:pt idx="1">
                  <c:v>45597</c:v>
                </c:pt>
                <c:pt idx="2">
                  <c:v>45566</c:v>
                </c:pt>
                <c:pt idx="3">
                  <c:v>45536</c:v>
                </c:pt>
                <c:pt idx="4">
                  <c:v>45505</c:v>
                </c:pt>
                <c:pt idx="5">
                  <c:v>45474</c:v>
                </c:pt>
                <c:pt idx="6">
                  <c:v>45444</c:v>
                </c:pt>
                <c:pt idx="7">
                  <c:v>45413</c:v>
                </c:pt>
                <c:pt idx="8">
                  <c:v>45383</c:v>
                </c:pt>
                <c:pt idx="9">
                  <c:v>45352</c:v>
                </c:pt>
                <c:pt idx="10">
                  <c:v>45323</c:v>
                </c:pt>
                <c:pt idx="11">
                  <c:v>45292</c:v>
                </c:pt>
                <c:pt idx="12">
                  <c:v>45261</c:v>
                </c:pt>
                <c:pt idx="13">
                  <c:v>45231</c:v>
                </c:pt>
                <c:pt idx="14">
                  <c:v>45200</c:v>
                </c:pt>
                <c:pt idx="15">
                  <c:v>45170</c:v>
                </c:pt>
                <c:pt idx="16">
                  <c:v>45139</c:v>
                </c:pt>
                <c:pt idx="17">
                  <c:v>45108</c:v>
                </c:pt>
                <c:pt idx="18">
                  <c:v>45078</c:v>
                </c:pt>
                <c:pt idx="19">
                  <c:v>45047</c:v>
                </c:pt>
                <c:pt idx="20">
                  <c:v>45017</c:v>
                </c:pt>
                <c:pt idx="21">
                  <c:v>44986</c:v>
                </c:pt>
                <c:pt idx="22">
                  <c:v>44958</c:v>
                </c:pt>
                <c:pt idx="23">
                  <c:v>44927</c:v>
                </c:pt>
                <c:pt idx="24">
                  <c:v>44896</c:v>
                </c:pt>
                <c:pt idx="25">
                  <c:v>44866</c:v>
                </c:pt>
                <c:pt idx="26">
                  <c:v>44835</c:v>
                </c:pt>
                <c:pt idx="27">
                  <c:v>44805</c:v>
                </c:pt>
                <c:pt idx="28">
                  <c:v>44774</c:v>
                </c:pt>
                <c:pt idx="29">
                  <c:v>44743</c:v>
                </c:pt>
                <c:pt idx="30">
                  <c:v>44713</c:v>
                </c:pt>
                <c:pt idx="31">
                  <c:v>44682</c:v>
                </c:pt>
                <c:pt idx="32">
                  <c:v>44652</c:v>
                </c:pt>
                <c:pt idx="33">
                  <c:v>44621</c:v>
                </c:pt>
                <c:pt idx="34">
                  <c:v>44593</c:v>
                </c:pt>
                <c:pt idx="35">
                  <c:v>44562</c:v>
                </c:pt>
                <c:pt idx="36">
                  <c:v>44531</c:v>
                </c:pt>
                <c:pt idx="37">
                  <c:v>44501</c:v>
                </c:pt>
                <c:pt idx="38">
                  <c:v>44470</c:v>
                </c:pt>
                <c:pt idx="39">
                  <c:v>44440</c:v>
                </c:pt>
                <c:pt idx="40">
                  <c:v>44409</c:v>
                </c:pt>
                <c:pt idx="41">
                  <c:v>44378</c:v>
                </c:pt>
                <c:pt idx="42">
                  <c:v>44348</c:v>
                </c:pt>
                <c:pt idx="43">
                  <c:v>44317</c:v>
                </c:pt>
                <c:pt idx="44">
                  <c:v>44287</c:v>
                </c:pt>
                <c:pt idx="45">
                  <c:v>44256</c:v>
                </c:pt>
                <c:pt idx="46">
                  <c:v>44228</c:v>
                </c:pt>
                <c:pt idx="47">
                  <c:v>44197</c:v>
                </c:pt>
                <c:pt idx="48">
                  <c:v>44166</c:v>
                </c:pt>
                <c:pt idx="49">
                  <c:v>44136</c:v>
                </c:pt>
                <c:pt idx="50">
                  <c:v>44105</c:v>
                </c:pt>
                <c:pt idx="51">
                  <c:v>44075</c:v>
                </c:pt>
                <c:pt idx="52">
                  <c:v>44044</c:v>
                </c:pt>
                <c:pt idx="53">
                  <c:v>44013</c:v>
                </c:pt>
                <c:pt idx="54">
                  <c:v>43983</c:v>
                </c:pt>
                <c:pt idx="55">
                  <c:v>43952</c:v>
                </c:pt>
                <c:pt idx="56">
                  <c:v>43922</c:v>
                </c:pt>
                <c:pt idx="57">
                  <c:v>43891</c:v>
                </c:pt>
                <c:pt idx="58">
                  <c:v>43862</c:v>
                </c:pt>
                <c:pt idx="59">
                  <c:v>43831</c:v>
                </c:pt>
                <c:pt idx="60">
                  <c:v>43800</c:v>
                </c:pt>
                <c:pt idx="61">
                  <c:v>43770</c:v>
                </c:pt>
                <c:pt idx="62">
                  <c:v>43739</c:v>
                </c:pt>
                <c:pt idx="63">
                  <c:v>43709</c:v>
                </c:pt>
                <c:pt idx="64">
                  <c:v>43678</c:v>
                </c:pt>
                <c:pt idx="65">
                  <c:v>43647</c:v>
                </c:pt>
                <c:pt idx="66">
                  <c:v>43617</c:v>
                </c:pt>
                <c:pt idx="67">
                  <c:v>43586</c:v>
                </c:pt>
                <c:pt idx="68">
                  <c:v>43556</c:v>
                </c:pt>
                <c:pt idx="69">
                  <c:v>43525</c:v>
                </c:pt>
                <c:pt idx="70">
                  <c:v>43497</c:v>
                </c:pt>
                <c:pt idx="71">
                  <c:v>43466</c:v>
                </c:pt>
                <c:pt idx="72">
                  <c:v>43435</c:v>
                </c:pt>
                <c:pt idx="73">
                  <c:v>43405</c:v>
                </c:pt>
                <c:pt idx="74">
                  <c:v>43374</c:v>
                </c:pt>
                <c:pt idx="75">
                  <c:v>43344</c:v>
                </c:pt>
                <c:pt idx="76">
                  <c:v>43313</c:v>
                </c:pt>
                <c:pt idx="77">
                  <c:v>43282</c:v>
                </c:pt>
                <c:pt idx="78">
                  <c:v>43252</c:v>
                </c:pt>
                <c:pt idx="79">
                  <c:v>43221</c:v>
                </c:pt>
                <c:pt idx="80">
                  <c:v>43191</c:v>
                </c:pt>
                <c:pt idx="81">
                  <c:v>43160</c:v>
                </c:pt>
                <c:pt idx="82">
                  <c:v>43132</c:v>
                </c:pt>
                <c:pt idx="83">
                  <c:v>43101</c:v>
                </c:pt>
                <c:pt idx="84">
                  <c:v>43070</c:v>
                </c:pt>
                <c:pt idx="85">
                  <c:v>43040</c:v>
                </c:pt>
                <c:pt idx="86">
                  <c:v>43009</c:v>
                </c:pt>
                <c:pt idx="87">
                  <c:v>42979</c:v>
                </c:pt>
                <c:pt idx="88">
                  <c:v>42948</c:v>
                </c:pt>
                <c:pt idx="89">
                  <c:v>42917</c:v>
                </c:pt>
                <c:pt idx="90">
                  <c:v>42887</c:v>
                </c:pt>
                <c:pt idx="91">
                  <c:v>42856</c:v>
                </c:pt>
                <c:pt idx="92">
                  <c:v>42826</c:v>
                </c:pt>
                <c:pt idx="93">
                  <c:v>42795</c:v>
                </c:pt>
                <c:pt idx="94">
                  <c:v>42767</c:v>
                </c:pt>
                <c:pt idx="95">
                  <c:v>42736</c:v>
                </c:pt>
                <c:pt idx="96">
                  <c:v>42705</c:v>
                </c:pt>
                <c:pt idx="97">
                  <c:v>42675</c:v>
                </c:pt>
                <c:pt idx="98">
                  <c:v>42644</c:v>
                </c:pt>
                <c:pt idx="99">
                  <c:v>42614</c:v>
                </c:pt>
                <c:pt idx="100">
                  <c:v>42583</c:v>
                </c:pt>
                <c:pt idx="101">
                  <c:v>42552</c:v>
                </c:pt>
                <c:pt idx="102">
                  <c:v>42522</c:v>
                </c:pt>
                <c:pt idx="103">
                  <c:v>42491</c:v>
                </c:pt>
                <c:pt idx="104">
                  <c:v>42461</c:v>
                </c:pt>
                <c:pt idx="105">
                  <c:v>42430</c:v>
                </c:pt>
                <c:pt idx="106">
                  <c:v>42401</c:v>
                </c:pt>
                <c:pt idx="107">
                  <c:v>42370</c:v>
                </c:pt>
                <c:pt idx="108">
                  <c:v>42339</c:v>
                </c:pt>
                <c:pt idx="109">
                  <c:v>42309</c:v>
                </c:pt>
                <c:pt idx="110">
                  <c:v>42278</c:v>
                </c:pt>
                <c:pt idx="111">
                  <c:v>42248</c:v>
                </c:pt>
                <c:pt idx="112">
                  <c:v>42217</c:v>
                </c:pt>
                <c:pt idx="113">
                  <c:v>42186</c:v>
                </c:pt>
                <c:pt idx="114">
                  <c:v>42156</c:v>
                </c:pt>
                <c:pt idx="115">
                  <c:v>42125</c:v>
                </c:pt>
                <c:pt idx="116">
                  <c:v>42095</c:v>
                </c:pt>
                <c:pt idx="117">
                  <c:v>42064</c:v>
                </c:pt>
                <c:pt idx="118">
                  <c:v>42036</c:v>
                </c:pt>
                <c:pt idx="119">
                  <c:v>42005</c:v>
                </c:pt>
                <c:pt idx="120">
                  <c:v>41974</c:v>
                </c:pt>
                <c:pt idx="121">
                  <c:v>41944</c:v>
                </c:pt>
                <c:pt idx="122">
                  <c:v>41913</c:v>
                </c:pt>
                <c:pt idx="123">
                  <c:v>41883</c:v>
                </c:pt>
                <c:pt idx="124">
                  <c:v>41852</c:v>
                </c:pt>
                <c:pt idx="125">
                  <c:v>41821</c:v>
                </c:pt>
                <c:pt idx="126">
                  <c:v>41791</c:v>
                </c:pt>
                <c:pt idx="127">
                  <c:v>41760</c:v>
                </c:pt>
                <c:pt idx="128">
                  <c:v>41730</c:v>
                </c:pt>
                <c:pt idx="129">
                  <c:v>41699</c:v>
                </c:pt>
                <c:pt idx="130">
                  <c:v>41671</c:v>
                </c:pt>
                <c:pt idx="131">
                  <c:v>41640</c:v>
                </c:pt>
                <c:pt idx="132">
                  <c:v>41609</c:v>
                </c:pt>
                <c:pt idx="133">
                  <c:v>41579</c:v>
                </c:pt>
                <c:pt idx="134">
                  <c:v>41548</c:v>
                </c:pt>
                <c:pt idx="135">
                  <c:v>41518</c:v>
                </c:pt>
                <c:pt idx="136">
                  <c:v>41487</c:v>
                </c:pt>
                <c:pt idx="137">
                  <c:v>41456</c:v>
                </c:pt>
                <c:pt idx="138">
                  <c:v>41426</c:v>
                </c:pt>
                <c:pt idx="139">
                  <c:v>41395</c:v>
                </c:pt>
                <c:pt idx="140">
                  <c:v>41365</c:v>
                </c:pt>
                <c:pt idx="141">
                  <c:v>41334</c:v>
                </c:pt>
                <c:pt idx="142">
                  <c:v>41306</c:v>
                </c:pt>
                <c:pt idx="143">
                  <c:v>41275</c:v>
                </c:pt>
                <c:pt idx="144">
                  <c:v>41244</c:v>
                </c:pt>
                <c:pt idx="145">
                  <c:v>41214</c:v>
                </c:pt>
                <c:pt idx="146">
                  <c:v>41183</c:v>
                </c:pt>
                <c:pt idx="147">
                  <c:v>41153</c:v>
                </c:pt>
                <c:pt idx="148">
                  <c:v>41122</c:v>
                </c:pt>
                <c:pt idx="149">
                  <c:v>41091</c:v>
                </c:pt>
                <c:pt idx="150">
                  <c:v>41061</c:v>
                </c:pt>
                <c:pt idx="151">
                  <c:v>41030</c:v>
                </c:pt>
                <c:pt idx="152">
                  <c:v>41000</c:v>
                </c:pt>
                <c:pt idx="153">
                  <c:v>40969</c:v>
                </c:pt>
                <c:pt idx="154">
                  <c:v>40940</c:v>
                </c:pt>
                <c:pt idx="155">
                  <c:v>40909</c:v>
                </c:pt>
                <c:pt idx="156">
                  <c:v>40878</c:v>
                </c:pt>
                <c:pt idx="157">
                  <c:v>40848</c:v>
                </c:pt>
                <c:pt idx="158">
                  <c:v>40817</c:v>
                </c:pt>
                <c:pt idx="159">
                  <c:v>40787</c:v>
                </c:pt>
                <c:pt idx="160">
                  <c:v>40756</c:v>
                </c:pt>
                <c:pt idx="161">
                  <c:v>40725</c:v>
                </c:pt>
                <c:pt idx="162">
                  <c:v>40695</c:v>
                </c:pt>
                <c:pt idx="163">
                  <c:v>40664</c:v>
                </c:pt>
                <c:pt idx="164">
                  <c:v>40634</c:v>
                </c:pt>
                <c:pt idx="165">
                  <c:v>40603</c:v>
                </c:pt>
                <c:pt idx="166">
                  <c:v>40575</c:v>
                </c:pt>
                <c:pt idx="167">
                  <c:v>40544</c:v>
                </c:pt>
                <c:pt idx="168">
                  <c:v>40513</c:v>
                </c:pt>
                <c:pt idx="169">
                  <c:v>40483</c:v>
                </c:pt>
                <c:pt idx="170">
                  <c:v>40452</c:v>
                </c:pt>
                <c:pt idx="171">
                  <c:v>40422</c:v>
                </c:pt>
                <c:pt idx="172">
                  <c:v>40391</c:v>
                </c:pt>
                <c:pt idx="173">
                  <c:v>40360</c:v>
                </c:pt>
                <c:pt idx="174">
                  <c:v>40330</c:v>
                </c:pt>
                <c:pt idx="175">
                  <c:v>40299</c:v>
                </c:pt>
                <c:pt idx="176">
                  <c:v>40269</c:v>
                </c:pt>
                <c:pt idx="177">
                  <c:v>40238</c:v>
                </c:pt>
                <c:pt idx="178">
                  <c:v>40210</c:v>
                </c:pt>
                <c:pt idx="179">
                  <c:v>40179</c:v>
                </c:pt>
              </c:numCache>
            </c:numRef>
          </c:cat>
          <c:val>
            <c:numRef>
              <c:f>Hárok1!$O$2:$O$3652</c:f>
              <c:numCache>
                <c:formatCode>0.00</c:formatCode>
                <c:ptCount val="3651"/>
                <c:pt idx="0">
                  <c:v>2.2224999999999993</c:v>
                </c:pt>
                <c:pt idx="1">
                  <c:v>2.313047619047619</c:v>
                </c:pt>
                <c:pt idx="2">
                  <c:v>2.2464347826086954</c:v>
                </c:pt>
                <c:pt idx="3">
                  <c:v>2.1749999999999998</c:v>
                </c:pt>
                <c:pt idx="4">
                  <c:v>2.2325454545454546</c:v>
                </c:pt>
                <c:pt idx="5">
                  <c:v>2.4759565217391302</c:v>
                </c:pt>
                <c:pt idx="6">
                  <c:v>2.4851999999999999</c:v>
                </c:pt>
                <c:pt idx="7">
                  <c:v>2.5349999999999997</c:v>
                </c:pt>
                <c:pt idx="8">
                  <c:v>2.4626363636363631</c:v>
                </c:pt>
                <c:pt idx="9">
                  <c:v>2.3593333333333328</c:v>
                </c:pt>
                <c:pt idx="10">
                  <c:v>2.3658571428571427</c:v>
                </c:pt>
                <c:pt idx="11">
                  <c:v>2.2199565217391308</c:v>
                </c:pt>
                <c:pt idx="12">
                  <c:v>2.1057619047619043</c:v>
                </c:pt>
                <c:pt idx="13">
                  <c:v>2.6148181818181815</c:v>
                </c:pt>
                <c:pt idx="14">
                  <c:v>2.8473636363636365</c:v>
                </c:pt>
                <c:pt idx="15">
                  <c:v>2.6956666666666664</c:v>
                </c:pt>
                <c:pt idx="16">
                  <c:v>2.5751739130434776</c:v>
                </c:pt>
                <c:pt idx="17">
                  <c:v>2.4983809523809533</c:v>
                </c:pt>
                <c:pt idx="18">
                  <c:v>2.3966818181818188</c:v>
                </c:pt>
                <c:pt idx="19">
                  <c:v>2.3520869565217395</c:v>
                </c:pt>
                <c:pt idx="20">
                  <c:v>2.3561999999999999</c:v>
                </c:pt>
                <c:pt idx="21">
                  <c:v>2.3956956521739134</c:v>
                </c:pt>
                <c:pt idx="22">
                  <c:v>2.4063000000000003</c:v>
                </c:pt>
                <c:pt idx="23">
                  <c:v>2.2138636363636364</c:v>
                </c:pt>
                <c:pt idx="24">
                  <c:v>2.1285454545454545</c:v>
                </c:pt>
                <c:pt idx="25">
                  <c:v>2.0704999999999996</c:v>
                </c:pt>
                <c:pt idx="26">
                  <c:v>2.1988571428571424</c:v>
                </c:pt>
                <c:pt idx="27">
                  <c:v>1.8268181818181821</c:v>
                </c:pt>
                <c:pt idx="28">
                  <c:v>1.103</c:v>
                </c:pt>
                <c:pt idx="29">
                  <c:v>1.1383809523809523</c:v>
                </c:pt>
                <c:pt idx="30">
                  <c:v>1.4999545454545453</c:v>
                </c:pt>
                <c:pt idx="31">
                  <c:v>0.99422727272727296</c:v>
                </c:pt>
                <c:pt idx="32">
                  <c:v>0.78742857142857148</c:v>
                </c:pt>
                <c:pt idx="33">
                  <c:v>0.32543478260869563</c:v>
                </c:pt>
                <c:pt idx="34">
                  <c:v>0.20845000000000002</c:v>
                </c:pt>
                <c:pt idx="35">
                  <c:v>-5.8380952380952381E-2</c:v>
                </c:pt>
                <c:pt idx="36">
                  <c:v>-0.316</c:v>
                </c:pt>
                <c:pt idx="37">
                  <c:v>-0.25440909090909097</c:v>
                </c:pt>
                <c:pt idx="38">
                  <c:v>-0.14771428571428571</c:v>
                </c:pt>
                <c:pt idx="39">
                  <c:v>-0.30395454545454548</c:v>
                </c:pt>
                <c:pt idx="40">
                  <c:v>-0.46354545454545454</c:v>
                </c:pt>
                <c:pt idx="41">
                  <c:v>-0.34945454545454546</c:v>
                </c:pt>
                <c:pt idx="42">
                  <c:v>-0.20650000000000002</c:v>
                </c:pt>
                <c:pt idx="43">
                  <c:v>-0.16657142857142859</c:v>
                </c:pt>
                <c:pt idx="44">
                  <c:v>-0.27627272727272723</c:v>
                </c:pt>
                <c:pt idx="45">
                  <c:v>-0.31726086956521743</c:v>
                </c:pt>
                <c:pt idx="46">
                  <c:v>-0.39040000000000002</c:v>
                </c:pt>
                <c:pt idx="47">
                  <c:v>-0.53328571428571425</c:v>
                </c:pt>
                <c:pt idx="48">
                  <c:v>-0.57643478260869574</c:v>
                </c:pt>
                <c:pt idx="49">
                  <c:v>-0.57299999999999995</c:v>
                </c:pt>
                <c:pt idx="50">
                  <c:v>-0.57345454545454544</c:v>
                </c:pt>
                <c:pt idx="51">
                  <c:v>-0.49072727272727268</c:v>
                </c:pt>
                <c:pt idx="52">
                  <c:v>-0.47019047619047616</c:v>
                </c:pt>
                <c:pt idx="53">
                  <c:v>-0.46291304347826079</c:v>
                </c:pt>
                <c:pt idx="54">
                  <c:v>-0.40327272727272728</c:v>
                </c:pt>
                <c:pt idx="55">
                  <c:v>-0.50304761904761908</c:v>
                </c:pt>
                <c:pt idx="56">
                  <c:v>-0.43195454545454548</c:v>
                </c:pt>
                <c:pt idx="57">
                  <c:v>-0.5200454545454547</c:v>
                </c:pt>
                <c:pt idx="58">
                  <c:v>-0.43509999999999999</c:v>
                </c:pt>
                <c:pt idx="59">
                  <c:v>-0.26791304347826084</c:v>
                </c:pt>
                <c:pt idx="60">
                  <c:v>-0.27072727272727276</c:v>
                </c:pt>
                <c:pt idx="61">
                  <c:v>-0.328952380952381</c:v>
                </c:pt>
                <c:pt idx="62">
                  <c:v>-0.44869565217391305</c:v>
                </c:pt>
                <c:pt idx="63">
                  <c:v>-0.57085714285714295</c:v>
                </c:pt>
                <c:pt idx="64">
                  <c:v>-0.62713636363636371</c:v>
                </c:pt>
                <c:pt idx="65">
                  <c:v>-0.34099999999999997</c:v>
                </c:pt>
                <c:pt idx="66">
                  <c:v>-0.26900000000000002</c:v>
                </c:pt>
                <c:pt idx="67">
                  <c:v>-8.2391304347826086E-2</c:v>
                </c:pt>
                <c:pt idx="68">
                  <c:v>9.5909090909090909E-3</c:v>
                </c:pt>
                <c:pt idx="69">
                  <c:v>5.3619047619047622E-2</c:v>
                </c:pt>
                <c:pt idx="70">
                  <c:v>0.12635000000000002</c:v>
                </c:pt>
                <c:pt idx="71">
                  <c:v>0.2149130434782609</c:v>
                </c:pt>
                <c:pt idx="72">
                  <c:v>0.25080952380952376</c:v>
                </c:pt>
                <c:pt idx="73">
                  <c:v>0.38222727272727275</c:v>
                </c:pt>
                <c:pt idx="74">
                  <c:v>0.45895652173913037</c:v>
                </c:pt>
                <c:pt idx="75">
                  <c:v>0.44190000000000007</c:v>
                </c:pt>
                <c:pt idx="76">
                  <c:v>0.35899999999999999</c:v>
                </c:pt>
                <c:pt idx="77">
                  <c:v>0.35386363636363632</c:v>
                </c:pt>
                <c:pt idx="78">
                  <c:v>0.39271428571428568</c:v>
                </c:pt>
                <c:pt idx="79">
                  <c:v>0.51295652173913042</c:v>
                </c:pt>
                <c:pt idx="80">
                  <c:v>0.54271428571428559</c:v>
                </c:pt>
                <c:pt idx="81">
                  <c:v>0.58190909090909093</c:v>
                </c:pt>
                <c:pt idx="82">
                  <c:v>0.71909999999999996</c:v>
                </c:pt>
                <c:pt idx="83">
                  <c:v>0.54921739130434788</c:v>
                </c:pt>
                <c:pt idx="84">
                  <c:v>0.35028571428571426</c:v>
                </c:pt>
                <c:pt idx="85">
                  <c:v>0.36281818181818176</c:v>
                </c:pt>
                <c:pt idx="86">
                  <c:v>0.42459090909090913</c:v>
                </c:pt>
                <c:pt idx="87">
                  <c:v>0.4028571428571428</c:v>
                </c:pt>
                <c:pt idx="88">
                  <c:v>0.41291304347826085</c:v>
                </c:pt>
                <c:pt idx="89">
                  <c:v>0.5403809523809523</c:v>
                </c:pt>
                <c:pt idx="90">
                  <c:v>0.29018181818181821</c:v>
                </c:pt>
                <c:pt idx="91">
                  <c:v>0.37252173913043479</c:v>
                </c:pt>
                <c:pt idx="92">
                  <c:v>0.24730000000000002</c:v>
                </c:pt>
                <c:pt idx="93">
                  <c:v>0.39078260869565207</c:v>
                </c:pt>
                <c:pt idx="94">
                  <c:v>0.31690000000000002</c:v>
                </c:pt>
                <c:pt idx="95">
                  <c:v>0.34681818181818186</c:v>
                </c:pt>
                <c:pt idx="96">
                  <c:v>0.28945454545454541</c:v>
                </c:pt>
                <c:pt idx="97">
                  <c:v>0.23281818181818181</c:v>
                </c:pt>
                <c:pt idx="98">
                  <c:v>3.9571428571428584E-2</c:v>
                </c:pt>
                <c:pt idx="99">
                  <c:v>-5.0681818181818168E-2</c:v>
                </c:pt>
                <c:pt idx="100">
                  <c:v>-7.5826086956521752E-2</c:v>
                </c:pt>
                <c:pt idx="101">
                  <c:v>-8.7428571428571439E-2</c:v>
                </c:pt>
                <c:pt idx="102">
                  <c:v>1.2363636363636361E-2</c:v>
                </c:pt>
                <c:pt idx="103">
                  <c:v>0.15845454545454543</c:v>
                </c:pt>
                <c:pt idx="104">
                  <c:v>0.17528571428571432</c:v>
                </c:pt>
                <c:pt idx="105">
                  <c:v>0.21460869565217391</c:v>
                </c:pt>
                <c:pt idx="106">
                  <c:v>0.22628571428571431</c:v>
                </c:pt>
                <c:pt idx="107">
                  <c:v>0.50561904761904763</c:v>
                </c:pt>
                <c:pt idx="108">
                  <c:v>0.59395652173913038</c:v>
                </c:pt>
                <c:pt idx="109">
                  <c:v>0.54814285714285715</c:v>
                </c:pt>
                <c:pt idx="110">
                  <c:v>0.54468181818181827</c:v>
                </c:pt>
                <c:pt idx="111">
                  <c:v>0.67445454545454531</c:v>
                </c:pt>
                <c:pt idx="112">
                  <c:v>0.6637142857142857</c:v>
                </c:pt>
                <c:pt idx="113">
                  <c:v>0.75539130434782609</c:v>
                </c:pt>
                <c:pt idx="114">
                  <c:v>0.82977272727272744</c:v>
                </c:pt>
                <c:pt idx="115">
                  <c:v>0.58161904761904759</c:v>
                </c:pt>
                <c:pt idx="116">
                  <c:v>0.16327272727272726</c:v>
                </c:pt>
                <c:pt idx="117">
                  <c:v>0.25904545454545452</c:v>
                </c:pt>
                <c:pt idx="118">
                  <c:v>0.35045000000000004</c:v>
                </c:pt>
                <c:pt idx="119">
                  <c:v>0.44481818181818172</c:v>
                </c:pt>
                <c:pt idx="120">
                  <c:v>0.64047826086956516</c:v>
                </c:pt>
                <c:pt idx="121">
                  <c:v>0.79255000000000009</c:v>
                </c:pt>
                <c:pt idx="122">
                  <c:v>0.87413043478260877</c:v>
                </c:pt>
                <c:pt idx="123">
                  <c:v>0.99781818181818194</c:v>
                </c:pt>
                <c:pt idx="124">
                  <c:v>1.0141428571428572</c:v>
                </c:pt>
                <c:pt idx="125">
                  <c:v>1.1937391304347824</c:v>
                </c:pt>
                <c:pt idx="126">
                  <c:v>1.3487619047619046</c:v>
                </c:pt>
                <c:pt idx="127">
                  <c:v>1.4032727272727277</c:v>
                </c:pt>
                <c:pt idx="128">
                  <c:v>1.526409090909091</c:v>
                </c:pt>
                <c:pt idx="129">
                  <c:v>1.5887142857142857</c:v>
                </c:pt>
                <c:pt idx="130">
                  <c:v>1.6592500000000001</c:v>
                </c:pt>
                <c:pt idx="131">
                  <c:v>1.7953043478260864</c:v>
                </c:pt>
                <c:pt idx="132">
                  <c:v>1.8516363636363635</c:v>
                </c:pt>
                <c:pt idx="133">
                  <c:v>1.7181428571428572</c:v>
                </c:pt>
                <c:pt idx="134">
                  <c:v>1.807521739130435</c:v>
                </c:pt>
                <c:pt idx="135">
                  <c:v>1.9289999999999994</c:v>
                </c:pt>
                <c:pt idx="136">
                  <c:v>1.8012727272727269</c:v>
                </c:pt>
                <c:pt idx="137">
                  <c:v>1.6253043478260871</c:v>
                </c:pt>
                <c:pt idx="138">
                  <c:v>1.6181000000000001</c:v>
                </c:pt>
                <c:pt idx="139">
                  <c:v>1.3653478260869563</c:v>
                </c:pt>
                <c:pt idx="140">
                  <c:v>1.2500909090909091</c:v>
                </c:pt>
                <c:pt idx="141">
                  <c:v>1.4069523809523812</c:v>
                </c:pt>
                <c:pt idx="142">
                  <c:v>1.5966500000000001</c:v>
                </c:pt>
                <c:pt idx="143">
                  <c:v>1.5621304347826088</c:v>
                </c:pt>
                <c:pt idx="144">
                  <c:v>1.3550952380952381</c:v>
                </c:pt>
                <c:pt idx="145">
                  <c:v>1.3902272727272729</c:v>
                </c:pt>
                <c:pt idx="146">
                  <c:v>1.5142608695652175</c:v>
                </c:pt>
                <c:pt idx="147">
                  <c:v>1.5437000000000001</c:v>
                </c:pt>
                <c:pt idx="148">
                  <c:v>1.4154347826086953</c:v>
                </c:pt>
                <c:pt idx="149">
                  <c:v>1.3049999999999999</c:v>
                </c:pt>
                <c:pt idx="150">
                  <c:v>1.4307619047619047</c:v>
                </c:pt>
                <c:pt idx="151">
                  <c:v>1.4621739130434783</c:v>
                </c:pt>
                <c:pt idx="152">
                  <c:v>1.7255238095238097</c:v>
                </c:pt>
                <c:pt idx="153">
                  <c:v>1.8764545454545456</c:v>
                </c:pt>
                <c:pt idx="154">
                  <c:v>1.9012380952380956</c:v>
                </c:pt>
                <c:pt idx="155">
                  <c:v>1.8584545454545456</c:v>
                </c:pt>
                <c:pt idx="156">
                  <c:v>1.990227272727273</c:v>
                </c:pt>
                <c:pt idx="157">
                  <c:v>1.947045454545455</c:v>
                </c:pt>
                <c:pt idx="158">
                  <c:v>2.0407619047619043</c:v>
                </c:pt>
                <c:pt idx="159">
                  <c:v>1.8655909090909086</c:v>
                </c:pt>
                <c:pt idx="160">
                  <c:v>2.2507391304347824</c:v>
                </c:pt>
                <c:pt idx="161">
                  <c:v>2.783095238095239</c:v>
                </c:pt>
                <c:pt idx="162">
                  <c:v>2.9722727272727272</c:v>
                </c:pt>
                <c:pt idx="163">
                  <c:v>3.1056363636363638</c:v>
                </c:pt>
                <c:pt idx="164">
                  <c:v>3.3458095238095233</c:v>
                </c:pt>
                <c:pt idx="165">
                  <c:v>3.2456956521739135</c:v>
                </c:pt>
                <c:pt idx="166">
                  <c:v>3.2250999999999999</c:v>
                </c:pt>
                <c:pt idx="167">
                  <c:v>3.0490476190476183</c:v>
                </c:pt>
                <c:pt idx="168">
                  <c:v>2.9612608695652178</c:v>
                </c:pt>
                <c:pt idx="169">
                  <c:v>2.5611818181818182</c:v>
                </c:pt>
                <c:pt idx="170">
                  <c:v>2.3724285714285709</c:v>
                </c:pt>
                <c:pt idx="171">
                  <c:v>2.3418636363636365</c:v>
                </c:pt>
                <c:pt idx="172">
                  <c:v>2.3698636363636361</c:v>
                </c:pt>
                <c:pt idx="173">
                  <c:v>2.647727272727272</c:v>
                </c:pt>
                <c:pt idx="174">
                  <c:v>2.6282727272727278</c:v>
                </c:pt>
                <c:pt idx="175">
                  <c:v>2.8016190476190466</c:v>
                </c:pt>
                <c:pt idx="176">
                  <c:v>3.0879999999999992</c:v>
                </c:pt>
                <c:pt idx="177">
                  <c:v>3.1269130434782615</c:v>
                </c:pt>
                <c:pt idx="178">
                  <c:v>3.1864999999999997</c:v>
                </c:pt>
                <c:pt idx="179">
                  <c:v>3.2857619047619049</c:v>
                </c:pt>
              </c:numCache>
            </c:numRef>
          </c:val>
          <c:smooth val="0"/>
          <c:extLst>
            <c:ext xmlns:c16="http://schemas.microsoft.com/office/drawing/2014/chart" uri="{C3380CC4-5D6E-409C-BE32-E72D297353CC}">
              <c16:uniqueId val="{00000002-78D9-4A3A-AE75-EBA9DC8B4CB0}"/>
            </c:ext>
          </c:extLst>
        </c:ser>
        <c:ser>
          <c:idx val="3"/>
          <c:order val="3"/>
          <c:tx>
            <c:strRef>
              <c:f>Hárok1!$P$1</c:f>
              <c:strCache>
                <c:ptCount val="1"/>
                <c:pt idx="0">
                  <c:v>10-ročný výnos SK</c:v>
                </c:pt>
              </c:strCache>
            </c:strRef>
          </c:tx>
          <c:spPr>
            <a:ln w="28575" cap="rnd">
              <a:solidFill>
                <a:schemeClr val="tx1"/>
              </a:solidFill>
              <a:round/>
            </a:ln>
            <a:effectLst/>
          </c:spPr>
          <c:marker>
            <c:symbol val="none"/>
          </c:marker>
          <c:cat>
            <c:numRef>
              <c:f>Hárok1!$L$2:$L$3652</c:f>
              <c:numCache>
                <c:formatCode>m/d/yyyy</c:formatCode>
                <c:ptCount val="3651"/>
                <c:pt idx="0">
                  <c:v>45627</c:v>
                </c:pt>
                <c:pt idx="1">
                  <c:v>45597</c:v>
                </c:pt>
                <c:pt idx="2">
                  <c:v>45566</c:v>
                </c:pt>
                <c:pt idx="3">
                  <c:v>45536</c:v>
                </c:pt>
                <c:pt idx="4">
                  <c:v>45505</c:v>
                </c:pt>
                <c:pt idx="5">
                  <c:v>45474</c:v>
                </c:pt>
                <c:pt idx="6">
                  <c:v>45444</c:v>
                </c:pt>
                <c:pt idx="7">
                  <c:v>45413</c:v>
                </c:pt>
                <c:pt idx="8">
                  <c:v>45383</c:v>
                </c:pt>
                <c:pt idx="9">
                  <c:v>45352</c:v>
                </c:pt>
                <c:pt idx="10">
                  <c:v>45323</c:v>
                </c:pt>
                <c:pt idx="11">
                  <c:v>45292</c:v>
                </c:pt>
                <c:pt idx="12">
                  <c:v>45261</c:v>
                </c:pt>
                <c:pt idx="13">
                  <c:v>45231</c:v>
                </c:pt>
                <c:pt idx="14">
                  <c:v>45200</c:v>
                </c:pt>
                <c:pt idx="15">
                  <c:v>45170</c:v>
                </c:pt>
                <c:pt idx="16">
                  <c:v>45139</c:v>
                </c:pt>
                <c:pt idx="17">
                  <c:v>45108</c:v>
                </c:pt>
                <c:pt idx="18">
                  <c:v>45078</c:v>
                </c:pt>
                <c:pt idx="19">
                  <c:v>45047</c:v>
                </c:pt>
                <c:pt idx="20">
                  <c:v>45017</c:v>
                </c:pt>
                <c:pt idx="21">
                  <c:v>44986</c:v>
                </c:pt>
                <c:pt idx="22">
                  <c:v>44958</c:v>
                </c:pt>
                <c:pt idx="23">
                  <c:v>44927</c:v>
                </c:pt>
                <c:pt idx="24">
                  <c:v>44896</c:v>
                </c:pt>
                <c:pt idx="25">
                  <c:v>44866</c:v>
                </c:pt>
                <c:pt idx="26">
                  <c:v>44835</c:v>
                </c:pt>
                <c:pt idx="27">
                  <c:v>44805</c:v>
                </c:pt>
                <c:pt idx="28">
                  <c:v>44774</c:v>
                </c:pt>
                <c:pt idx="29">
                  <c:v>44743</c:v>
                </c:pt>
                <c:pt idx="30">
                  <c:v>44713</c:v>
                </c:pt>
                <c:pt idx="31">
                  <c:v>44682</c:v>
                </c:pt>
                <c:pt idx="32">
                  <c:v>44652</c:v>
                </c:pt>
                <c:pt idx="33">
                  <c:v>44621</c:v>
                </c:pt>
                <c:pt idx="34">
                  <c:v>44593</c:v>
                </c:pt>
                <c:pt idx="35">
                  <c:v>44562</c:v>
                </c:pt>
                <c:pt idx="36">
                  <c:v>44531</c:v>
                </c:pt>
                <c:pt idx="37">
                  <c:v>44501</c:v>
                </c:pt>
                <c:pt idx="38">
                  <c:v>44470</c:v>
                </c:pt>
                <c:pt idx="39">
                  <c:v>44440</c:v>
                </c:pt>
                <c:pt idx="40">
                  <c:v>44409</c:v>
                </c:pt>
                <c:pt idx="41">
                  <c:v>44378</c:v>
                </c:pt>
                <c:pt idx="42">
                  <c:v>44348</c:v>
                </c:pt>
                <c:pt idx="43">
                  <c:v>44317</c:v>
                </c:pt>
                <c:pt idx="44">
                  <c:v>44287</c:v>
                </c:pt>
                <c:pt idx="45">
                  <c:v>44256</c:v>
                </c:pt>
                <c:pt idx="46">
                  <c:v>44228</c:v>
                </c:pt>
                <c:pt idx="47">
                  <c:v>44197</c:v>
                </c:pt>
                <c:pt idx="48">
                  <c:v>44166</c:v>
                </c:pt>
                <c:pt idx="49">
                  <c:v>44136</c:v>
                </c:pt>
                <c:pt idx="50">
                  <c:v>44105</c:v>
                </c:pt>
                <c:pt idx="51">
                  <c:v>44075</c:v>
                </c:pt>
                <c:pt idx="52">
                  <c:v>44044</c:v>
                </c:pt>
                <c:pt idx="53">
                  <c:v>44013</c:v>
                </c:pt>
                <c:pt idx="54">
                  <c:v>43983</c:v>
                </c:pt>
                <c:pt idx="55">
                  <c:v>43952</c:v>
                </c:pt>
                <c:pt idx="56">
                  <c:v>43922</c:v>
                </c:pt>
                <c:pt idx="57">
                  <c:v>43891</c:v>
                </c:pt>
                <c:pt idx="58">
                  <c:v>43862</c:v>
                </c:pt>
                <c:pt idx="59">
                  <c:v>43831</c:v>
                </c:pt>
                <c:pt idx="60">
                  <c:v>43800</c:v>
                </c:pt>
                <c:pt idx="61">
                  <c:v>43770</c:v>
                </c:pt>
                <c:pt idx="62">
                  <c:v>43739</c:v>
                </c:pt>
                <c:pt idx="63">
                  <c:v>43709</c:v>
                </c:pt>
                <c:pt idx="64">
                  <c:v>43678</c:v>
                </c:pt>
                <c:pt idx="65">
                  <c:v>43647</c:v>
                </c:pt>
                <c:pt idx="66">
                  <c:v>43617</c:v>
                </c:pt>
                <c:pt idx="67">
                  <c:v>43586</c:v>
                </c:pt>
                <c:pt idx="68">
                  <c:v>43556</c:v>
                </c:pt>
                <c:pt idx="69">
                  <c:v>43525</c:v>
                </c:pt>
                <c:pt idx="70">
                  <c:v>43497</c:v>
                </c:pt>
                <c:pt idx="71">
                  <c:v>43466</c:v>
                </c:pt>
                <c:pt idx="72">
                  <c:v>43435</c:v>
                </c:pt>
                <c:pt idx="73">
                  <c:v>43405</c:v>
                </c:pt>
                <c:pt idx="74">
                  <c:v>43374</c:v>
                </c:pt>
                <c:pt idx="75">
                  <c:v>43344</c:v>
                </c:pt>
                <c:pt idx="76">
                  <c:v>43313</c:v>
                </c:pt>
                <c:pt idx="77">
                  <c:v>43282</c:v>
                </c:pt>
                <c:pt idx="78">
                  <c:v>43252</c:v>
                </c:pt>
                <c:pt idx="79">
                  <c:v>43221</c:v>
                </c:pt>
                <c:pt idx="80">
                  <c:v>43191</c:v>
                </c:pt>
                <c:pt idx="81">
                  <c:v>43160</c:v>
                </c:pt>
                <c:pt idx="82">
                  <c:v>43132</c:v>
                </c:pt>
                <c:pt idx="83">
                  <c:v>43101</c:v>
                </c:pt>
                <c:pt idx="84">
                  <c:v>43070</c:v>
                </c:pt>
                <c:pt idx="85">
                  <c:v>43040</c:v>
                </c:pt>
                <c:pt idx="86">
                  <c:v>43009</c:v>
                </c:pt>
                <c:pt idx="87">
                  <c:v>42979</c:v>
                </c:pt>
                <c:pt idx="88">
                  <c:v>42948</c:v>
                </c:pt>
                <c:pt idx="89">
                  <c:v>42917</c:v>
                </c:pt>
                <c:pt idx="90">
                  <c:v>42887</c:v>
                </c:pt>
                <c:pt idx="91">
                  <c:v>42856</c:v>
                </c:pt>
                <c:pt idx="92">
                  <c:v>42826</c:v>
                </c:pt>
                <c:pt idx="93">
                  <c:v>42795</c:v>
                </c:pt>
                <c:pt idx="94">
                  <c:v>42767</c:v>
                </c:pt>
                <c:pt idx="95">
                  <c:v>42736</c:v>
                </c:pt>
                <c:pt idx="96">
                  <c:v>42705</c:v>
                </c:pt>
                <c:pt idx="97">
                  <c:v>42675</c:v>
                </c:pt>
                <c:pt idx="98">
                  <c:v>42644</c:v>
                </c:pt>
                <c:pt idx="99">
                  <c:v>42614</c:v>
                </c:pt>
                <c:pt idx="100">
                  <c:v>42583</c:v>
                </c:pt>
                <c:pt idx="101">
                  <c:v>42552</c:v>
                </c:pt>
                <c:pt idx="102">
                  <c:v>42522</c:v>
                </c:pt>
                <c:pt idx="103">
                  <c:v>42491</c:v>
                </c:pt>
                <c:pt idx="104">
                  <c:v>42461</c:v>
                </c:pt>
                <c:pt idx="105">
                  <c:v>42430</c:v>
                </c:pt>
                <c:pt idx="106">
                  <c:v>42401</c:v>
                </c:pt>
                <c:pt idx="107">
                  <c:v>42370</c:v>
                </c:pt>
                <c:pt idx="108">
                  <c:v>42339</c:v>
                </c:pt>
                <c:pt idx="109">
                  <c:v>42309</c:v>
                </c:pt>
                <c:pt idx="110">
                  <c:v>42278</c:v>
                </c:pt>
                <c:pt idx="111">
                  <c:v>42248</c:v>
                </c:pt>
                <c:pt idx="112">
                  <c:v>42217</c:v>
                </c:pt>
                <c:pt idx="113">
                  <c:v>42186</c:v>
                </c:pt>
                <c:pt idx="114">
                  <c:v>42156</c:v>
                </c:pt>
                <c:pt idx="115">
                  <c:v>42125</c:v>
                </c:pt>
                <c:pt idx="116">
                  <c:v>42095</c:v>
                </c:pt>
                <c:pt idx="117">
                  <c:v>42064</c:v>
                </c:pt>
                <c:pt idx="118">
                  <c:v>42036</c:v>
                </c:pt>
                <c:pt idx="119">
                  <c:v>42005</c:v>
                </c:pt>
                <c:pt idx="120">
                  <c:v>41974</c:v>
                </c:pt>
                <c:pt idx="121">
                  <c:v>41944</c:v>
                </c:pt>
                <c:pt idx="122">
                  <c:v>41913</c:v>
                </c:pt>
                <c:pt idx="123">
                  <c:v>41883</c:v>
                </c:pt>
                <c:pt idx="124">
                  <c:v>41852</c:v>
                </c:pt>
                <c:pt idx="125">
                  <c:v>41821</c:v>
                </c:pt>
                <c:pt idx="126">
                  <c:v>41791</c:v>
                </c:pt>
                <c:pt idx="127">
                  <c:v>41760</c:v>
                </c:pt>
                <c:pt idx="128">
                  <c:v>41730</c:v>
                </c:pt>
                <c:pt idx="129">
                  <c:v>41699</c:v>
                </c:pt>
                <c:pt idx="130">
                  <c:v>41671</c:v>
                </c:pt>
                <c:pt idx="131">
                  <c:v>41640</c:v>
                </c:pt>
                <c:pt idx="132">
                  <c:v>41609</c:v>
                </c:pt>
                <c:pt idx="133">
                  <c:v>41579</c:v>
                </c:pt>
                <c:pt idx="134">
                  <c:v>41548</c:v>
                </c:pt>
                <c:pt idx="135">
                  <c:v>41518</c:v>
                </c:pt>
                <c:pt idx="136">
                  <c:v>41487</c:v>
                </c:pt>
                <c:pt idx="137">
                  <c:v>41456</c:v>
                </c:pt>
                <c:pt idx="138">
                  <c:v>41426</c:v>
                </c:pt>
                <c:pt idx="139">
                  <c:v>41395</c:v>
                </c:pt>
                <c:pt idx="140">
                  <c:v>41365</c:v>
                </c:pt>
                <c:pt idx="141">
                  <c:v>41334</c:v>
                </c:pt>
                <c:pt idx="142">
                  <c:v>41306</c:v>
                </c:pt>
                <c:pt idx="143">
                  <c:v>41275</c:v>
                </c:pt>
                <c:pt idx="144">
                  <c:v>41244</c:v>
                </c:pt>
                <c:pt idx="145">
                  <c:v>41214</c:v>
                </c:pt>
                <c:pt idx="146">
                  <c:v>41183</c:v>
                </c:pt>
                <c:pt idx="147">
                  <c:v>41153</c:v>
                </c:pt>
                <c:pt idx="148">
                  <c:v>41122</c:v>
                </c:pt>
                <c:pt idx="149">
                  <c:v>41091</c:v>
                </c:pt>
                <c:pt idx="150">
                  <c:v>41061</c:v>
                </c:pt>
                <c:pt idx="151">
                  <c:v>41030</c:v>
                </c:pt>
                <c:pt idx="152">
                  <c:v>41000</c:v>
                </c:pt>
                <c:pt idx="153">
                  <c:v>40969</c:v>
                </c:pt>
                <c:pt idx="154">
                  <c:v>40940</c:v>
                </c:pt>
                <c:pt idx="155">
                  <c:v>40909</c:v>
                </c:pt>
                <c:pt idx="156">
                  <c:v>40878</c:v>
                </c:pt>
                <c:pt idx="157">
                  <c:v>40848</c:v>
                </c:pt>
                <c:pt idx="158">
                  <c:v>40817</c:v>
                </c:pt>
                <c:pt idx="159">
                  <c:v>40787</c:v>
                </c:pt>
                <c:pt idx="160">
                  <c:v>40756</c:v>
                </c:pt>
                <c:pt idx="161">
                  <c:v>40725</c:v>
                </c:pt>
                <c:pt idx="162">
                  <c:v>40695</c:v>
                </c:pt>
                <c:pt idx="163">
                  <c:v>40664</c:v>
                </c:pt>
                <c:pt idx="164">
                  <c:v>40634</c:v>
                </c:pt>
                <c:pt idx="165">
                  <c:v>40603</c:v>
                </c:pt>
                <c:pt idx="166">
                  <c:v>40575</c:v>
                </c:pt>
                <c:pt idx="167">
                  <c:v>40544</c:v>
                </c:pt>
                <c:pt idx="168">
                  <c:v>40513</c:v>
                </c:pt>
                <c:pt idx="169">
                  <c:v>40483</c:v>
                </c:pt>
                <c:pt idx="170">
                  <c:v>40452</c:v>
                </c:pt>
                <c:pt idx="171">
                  <c:v>40422</c:v>
                </c:pt>
                <c:pt idx="172">
                  <c:v>40391</c:v>
                </c:pt>
                <c:pt idx="173">
                  <c:v>40360</c:v>
                </c:pt>
                <c:pt idx="174">
                  <c:v>40330</c:v>
                </c:pt>
                <c:pt idx="175">
                  <c:v>40299</c:v>
                </c:pt>
                <c:pt idx="176">
                  <c:v>40269</c:v>
                </c:pt>
                <c:pt idx="177">
                  <c:v>40238</c:v>
                </c:pt>
                <c:pt idx="178">
                  <c:v>40210</c:v>
                </c:pt>
                <c:pt idx="179">
                  <c:v>40179</c:v>
                </c:pt>
              </c:numCache>
            </c:numRef>
          </c:cat>
          <c:val>
            <c:numRef>
              <c:f>Hárok1!$P$2:$P$3652</c:f>
              <c:numCache>
                <c:formatCode>0.00</c:formatCode>
                <c:ptCount val="3651"/>
                <c:pt idx="0">
                  <c:v>3.2268181818181816</c:v>
                </c:pt>
                <c:pt idx="1">
                  <c:v>3.3373809523809519</c:v>
                </c:pt>
                <c:pt idx="2">
                  <c:v>3.3457826086956528</c:v>
                </c:pt>
                <c:pt idx="3">
                  <c:v>3.3385238095238101</c:v>
                </c:pt>
                <c:pt idx="4">
                  <c:v>3.3762727272727275</c:v>
                </c:pt>
                <c:pt idx="5">
                  <c:v>3.5694347826086954</c:v>
                </c:pt>
                <c:pt idx="6">
                  <c:v>3.6787000000000005</c:v>
                </c:pt>
                <c:pt idx="7">
                  <c:v>3.7020434782608698</c:v>
                </c:pt>
                <c:pt idx="8">
                  <c:v>3.6851363636363632</c:v>
                </c:pt>
                <c:pt idx="9">
                  <c:v>3.6170952380952377</c:v>
                </c:pt>
                <c:pt idx="10">
                  <c:v>3.5101904761904761</c:v>
                </c:pt>
                <c:pt idx="11">
                  <c:v>3.3608260869565219</c:v>
                </c:pt>
                <c:pt idx="12">
                  <c:v>3.2553333333333336</c:v>
                </c:pt>
                <c:pt idx="13">
                  <c:v>3.8185909090909096</c:v>
                </c:pt>
                <c:pt idx="14">
                  <c:v>4.0813181818181823</c:v>
                </c:pt>
                <c:pt idx="15">
                  <c:v>3.9049047619047608</c:v>
                </c:pt>
                <c:pt idx="16">
                  <c:v>3.8033478260869553</c:v>
                </c:pt>
                <c:pt idx="17">
                  <c:v>3.7644285714285712</c:v>
                </c:pt>
                <c:pt idx="18">
                  <c:v>3.6762727272727265</c:v>
                </c:pt>
                <c:pt idx="19">
                  <c:v>3.6371739130434784</c:v>
                </c:pt>
                <c:pt idx="20">
                  <c:v>3.6330499999999999</c:v>
                </c:pt>
                <c:pt idx="21">
                  <c:v>3.569521739130435</c:v>
                </c:pt>
                <c:pt idx="22">
                  <c:v>3.3661499999999998</c:v>
                </c:pt>
                <c:pt idx="23">
                  <c:v>3.2351363636363639</c:v>
                </c:pt>
                <c:pt idx="24">
                  <c:v>3.2479999999999993</c:v>
                </c:pt>
                <c:pt idx="25">
                  <c:v>3.4007727272727277</c:v>
                </c:pt>
                <c:pt idx="26">
                  <c:v>3.566904761904762</c:v>
                </c:pt>
                <c:pt idx="27">
                  <c:v>2.8978181818181818</c:v>
                </c:pt>
                <c:pt idx="28">
                  <c:v>2.0774782608695657</c:v>
                </c:pt>
                <c:pt idx="29">
                  <c:v>2.1329523809523812</c:v>
                </c:pt>
                <c:pt idx="30">
                  <c:v>2.4429999999999996</c:v>
                </c:pt>
                <c:pt idx="31">
                  <c:v>1.8649090909090906</c:v>
                </c:pt>
                <c:pt idx="32">
                  <c:v>1.5444285714285715</c:v>
                </c:pt>
                <c:pt idx="33">
                  <c:v>0.96491304347826079</c:v>
                </c:pt>
                <c:pt idx="34">
                  <c:v>0.70944999999999991</c:v>
                </c:pt>
                <c:pt idx="35">
                  <c:v>0.24880952380952384</c:v>
                </c:pt>
                <c:pt idx="36">
                  <c:v>-5.9565217391304376E-3</c:v>
                </c:pt>
                <c:pt idx="37">
                  <c:v>4.6454545454545457E-2</c:v>
                </c:pt>
                <c:pt idx="38">
                  <c:v>0.15833333333333333</c:v>
                </c:pt>
                <c:pt idx="39">
                  <c:v>1.5136363636363635E-2</c:v>
                </c:pt>
                <c:pt idx="40">
                  <c:v>-0.12931818181818183</c:v>
                </c:pt>
                <c:pt idx="41">
                  <c:v>-1.7272727272727269E-2</c:v>
                </c:pt>
                <c:pt idx="42">
                  <c:v>0.16572727272727272</c:v>
                </c:pt>
                <c:pt idx="43">
                  <c:v>9.0047619047619001E-2</c:v>
                </c:pt>
                <c:pt idx="44">
                  <c:v>-0.10827272727272724</c:v>
                </c:pt>
                <c:pt idx="45">
                  <c:v>-0.12204347826086959</c:v>
                </c:pt>
                <c:pt idx="46">
                  <c:v>-0.27064999999999995</c:v>
                </c:pt>
                <c:pt idx="47">
                  <c:v>-0.48352380952380952</c:v>
                </c:pt>
                <c:pt idx="48">
                  <c:v>-0.52117391304347838</c:v>
                </c:pt>
                <c:pt idx="49">
                  <c:v>-0.37314285714285711</c:v>
                </c:pt>
                <c:pt idx="50">
                  <c:v>-0.27454545454545465</c:v>
                </c:pt>
                <c:pt idx="51">
                  <c:v>-0.25677272727272737</c:v>
                </c:pt>
                <c:pt idx="52">
                  <c:v>-0.2160476190476191</c:v>
                </c:pt>
                <c:pt idx="53">
                  <c:v>-0.14026086956521738</c:v>
                </c:pt>
                <c:pt idx="54">
                  <c:v>4.9954545454545453E-2</c:v>
                </c:pt>
                <c:pt idx="55">
                  <c:v>0.58528571428571419</c:v>
                </c:pt>
                <c:pt idx="56">
                  <c:v>0.69177272727272732</c:v>
                </c:pt>
                <c:pt idx="57">
                  <c:v>0.22209090909090906</c:v>
                </c:pt>
                <c:pt idx="58">
                  <c:v>-7.1999999999999937E-3</c:v>
                </c:pt>
                <c:pt idx="59">
                  <c:v>0.12765217391304348</c:v>
                </c:pt>
                <c:pt idx="60">
                  <c:v>0.13827272727272727</c:v>
                </c:pt>
                <c:pt idx="61">
                  <c:v>9.1333333333333322E-2</c:v>
                </c:pt>
                <c:pt idx="62">
                  <c:v>-5.6347826086956515E-2</c:v>
                </c:pt>
                <c:pt idx="63">
                  <c:v>-0.3385238095238095</c:v>
                </c:pt>
                <c:pt idx="64">
                  <c:v>-0.33045454545454539</c:v>
                </c:pt>
                <c:pt idx="65">
                  <c:v>3.7347826086956526E-2</c:v>
                </c:pt>
                <c:pt idx="66">
                  <c:v>0.25000000000000006</c:v>
                </c:pt>
                <c:pt idx="67">
                  <c:v>0.45752173913043476</c:v>
                </c:pt>
                <c:pt idx="68">
                  <c:v>0.56218181818181823</c:v>
                </c:pt>
                <c:pt idx="69">
                  <c:v>0.67599999999999993</c:v>
                </c:pt>
                <c:pt idx="70">
                  <c:v>0.77495000000000025</c:v>
                </c:pt>
                <c:pt idx="71">
                  <c:v>0.78760869565217395</c:v>
                </c:pt>
                <c:pt idx="72">
                  <c:v>0.84528571428571431</c:v>
                </c:pt>
                <c:pt idx="73">
                  <c:v>0.94713636363636367</c:v>
                </c:pt>
                <c:pt idx="74">
                  <c:v>0.99847826086956537</c:v>
                </c:pt>
                <c:pt idx="75">
                  <c:v>0.85544999999999993</c:v>
                </c:pt>
                <c:pt idx="76">
                  <c:v>0.78852173913043488</c:v>
                </c:pt>
                <c:pt idx="77">
                  <c:v>0.84190909090909083</c:v>
                </c:pt>
                <c:pt idx="78">
                  <c:v>0.89195238095238083</c:v>
                </c:pt>
                <c:pt idx="79">
                  <c:v>0.81600000000000017</c:v>
                </c:pt>
                <c:pt idx="80">
                  <c:v>0.81600000000000028</c:v>
                </c:pt>
                <c:pt idx="81">
                  <c:v>0.81600000000000028</c:v>
                </c:pt>
                <c:pt idx="82">
                  <c:v>0.81600000000000039</c:v>
                </c:pt>
                <c:pt idx="83">
                  <c:v>0.81600000000000017</c:v>
                </c:pt>
                <c:pt idx="84">
                  <c:v>0.81600000000000028</c:v>
                </c:pt>
                <c:pt idx="85">
                  <c:v>0.81600000000000028</c:v>
                </c:pt>
                <c:pt idx="86">
                  <c:v>0.82413636363636367</c:v>
                </c:pt>
                <c:pt idx="87">
                  <c:v>0.82300000000000006</c:v>
                </c:pt>
                <c:pt idx="88">
                  <c:v>0.82521739130434779</c:v>
                </c:pt>
                <c:pt idx="89">
                  <c:v>0.97500000000000009</c:v>
                </c:pt>
                <c:pt idx="90">
                  <c:v>0.88995454545454544</c:v>
                </c:pt>
                <c:pt idx="91">
                  <c:v>1.0146521739130436</c:v>
                </c:pt>
                <c:pt idx="92">
                  <c:v>1.03515</c:v>
                </c:pt>
                <c:pt idx="93">
                  <c:v>1.1382608695652174</c:v>
                </c:pt>
                <c:pt idx="94">
                  <c:v>1.0543</c:v>
                </c:pt>
                <c:pt idx="95">
                  <c:v>1.0148636363636365</c:v>
                </c:pt>
                <c:pt idx="96">
                  <c:v>0.99654545454545473</c:v>
                </c:pt>
                <c:pt idx="97">
                  <c:v>0.77781818181818174</c:v>
                </c:pt>
                <c:pt idx="98">
                  <c:v>0.43071428571428572</c:v>
                </c:pt>
                <c:pt idx="99">
                  <c:v>0.30977272727272726</c:v>
                </c:pt>
                <c:pt idx="100">
                  <c:v>0.27899999999999997</c:v>
                </c:pt>
                <c:pt idx="101">
                  <c:v>0.44780952380952382</c:v>
                </c:pt>
                <c:pt idx="102">
                  <c:v>0.73018181818181815</c:v>
                </c:pt>
                <c:pt idx="103">
                  <c:v>0.53372727272727272</c:v>
                </c:pt>
                <c:pt idx="104">
                  <c:v>0.37961904761904758</c:v>
                </c:pt>
                <c:pt idx="105">
                  <c:v>0.41591304347826091</c:v>
                </c:pt>
                <c:pt idx="106">
                  <c:v>0.49252380952380953</c:v>
                </c:pt>
                <c:pt idx="107">
                  <c:v>0.69023809523809532</c:v>
                </c:pt>
                <c:pt idx="108">
                  <c:v>0.70865217391304347</c:v>
                </c:pt>
                <c:pt idx="109">
                  <c:v>0.70199999999999985</c:v>
                </c:pt>
                <c:pt idx="110">
                  <c:v>0.72800000000000009</c:v>
                </c:pt>
                <c:pt idx="111">
                  <c:v>0.87618181818181817</c:v>
                </c:pt>
                <c:pt idx="112">
                  <c:v>0.92109523809523808</c:v>
                </c:pt>
                <c:pt idx="113">
                  <c:v>1.1411739130434781</c:v>
                </c:pt>
                <c:pt idx="114">
                  <c:v>1.2336363636363639</c:v>
                </c:pt>
                <c:pt idx="115">
                  <c:v>0.78828571428571426</c:v>
                </c:pt>
                <c:pt idx="116">
                  <c:v>0.43131818181818188</c:v>
                </c:pt>
                <c:pt idx="117">
                  <c:v>0.57436363636363641</c:v>
                </c:pt>
                <c:pt idx="118">
                  <c:v>0.79190000000000027</c:v>
                </c:pt>
                <c:pt idx="119">
                  <c:v>0.92731818181818193</c:v>
                </c:pt>
                <c:pt idx="120">
                  <c:v>1.1801739130434783</c:v>
                </c:pt>
                <c:pt idx="121">
                  <c:v>1.3928</c:v>
                </c:pt>
                <c:pt idx="122">
                  <c:v>1.3989130434782611</c:v>
                </c:pt>
                <c:pt idx="123">
                  <c:v>1.5719090909090914</c:v>
                </c:pt>
                <c:pt idx="124">
                  <c:v>1.8349999999999995</c:v>
                </c:pt>
                <c:pt idx="125">
                  <c:v>1.9622608695652175</c:v>
                </c:pt>
                <c:pt idx="126">
                  <c:v>2.0938571428571429</c:v>
                </c:pt>
                <c:pt idx="127">
                  <c:v>2.2684545454545457</c:v>
                </c:pt>
                <c:pt idx="128">
                  <c:v>2.337045454545454</c:v>
                </c:pt>
                <c:pt idx="129">
                  <c:v>2.2080952380952379</c:v>
                </c:pt>
                <c:pt idx="130">
                  <c:v>2.4046000000000003</c:v>
                </c:pt>
                <c:pt idx="131">
                  <c:v>2.5314347826086965</c:v>
                </c:pt>
                <c:pt idx="132">
                  <c:v>2.5399999999999996</c:v>
                </c:pt>
                <c:pt idx="133">
                  <c:v>2.5536190476190477</c:v>
                </c:pt>
                <c:pt idx="134">
                  <c:v>2.6728695652173911</c:v>
                </c:pt>
                <c:pt idx="135">
                  <c:v>2.7327142857142852</c:v>
                </c:pt>
                <c:pt idx="136">
                  <c:v>2.6460909090909093</c:v>
                </c:pt>
                <c:pt idx="137">
                  <c:v>2.6170869565217392</c:v>
                </c:pt>
                <c:pt idx="138">
                  <c:v>2.5324</c:v>
                </c:pt>
                <c:pt idx="139">
                  <c:v>2.4488695652173917</c:v>
                </c:pt>
                <c:pt idx="140">
                  <c:v>2.7765</c:v>
                </c:pt>
                <c:pt idx="141">
                  <c:v>2.7466666666666666</c:v>
                </c:pt>
                <c:pt idx="142">
                  <c:v>2.1938499999999999</c:v>
                </c:pt>
                <c:pt idx="143">
                  <c:v>2.1534347826086959</c:v>
                </c:pt>
                <c:pt idx="144">
                  <c:v>2.2255238095238101</c:v>
                </c:pt>
                <c:pt idx="145">
                  <c:v>2.3782727272727269</c:v>
                </c:pt>
                <c:pt idx="146">
                  <c:v>2.5356521739130438</c:v>
                </c:pt>
                <c:pt idx="147">
                  <c:v>2.8185500000000006</c:v>
                </c:pt>
                <c:pt idx="148">
                  <c:v>3.1183043478260877</c:v>
                </c:pt>
                <c:pt idx="149">
                  <c:v>3.3478636363636358</c:v>
                </c:pt>
                <c:pt idx="150">
                  <c:v>3.5444761904761903</c:v>
                </c:pt>
                <c:pt idx="151">
                  <c:v>3.6232173913043479</c:v>
                </c:pt>
                <c:pt idx="152">
                  <c:v>3.7134285714285715</c:v>
                </c:pt>
                <c:pt idx="153">
                  <c:v>3.8899090909090903</c:v>
                </c:pt>
                <c:pt idx="154">
                  <c:v>4.4671904761904759</c:v>
                </c:pt>
                <c:pt idx="155">
                  <c:v>4.7231363636363639</c:v>
                </c:pt>
                <c:pt idx="156">
                  <c:v>4.7751363636363635</c:v>
                </c:pt>
                <c:pt idx="157">
                  <c:v>4.2541818181818183</c:v>
                </c:pt>
                <c:pt idx="158">
                  <c:v>3.9370952380952375</c:v>
                </c:pt>
                <c:pt idx="159">
                  <c:v>3.8731363636363638</c:v>
                </c:pt>
                <c:pt idx="160">
                  <c:v>4.0561304347826086</c:v>
                </c:pt>
                <c:pt idx="161">
                  <c:v>4.1901428571428578</c:v>
                </c:pt>
                <c:pt idx="162">
                  <c:v>4.2009999999999996</c:v>
                </c:pt>
                <c:pt idx="163">
                  <c:v>4.2591363636363644</c:v>
                </c:pt>
                <c:pt idx="164">
                  <c:v>4.3224285714285724</c:v>
                </c:pt>
                <c:pt idx="165">
                  <c:v>4.1620000000000017</c:v>
                </c:pt>
                <c:pt idx="166">
                  <c:v>4.2327500000000011</c:v>
                </c:pt>
                <c:pt idx="167">
                  <c:v>4.2236666666666665</c:v>
                </c:pt>
                <c:pt idx="168">
                  <c:v>4.1725217391304348</c:v>
                </c:pt>
                <c:pt idx="169">
                  <c:v>3.863136363636364</c:v>
                </c:pt>
                <c:pt idx="170">
                  <c:v>3.7082857142857142</c:v>
                </c:pt>
                <c:pt idx="171">
                  <c:v>3.6698181818181821</c:v>
                </c:pt>
                <c:pt idx="172">
                  <c:v>3.6590454545454545</c:v>
                </c:pt>
                <c:pt idx="173">
                  <c:v>3.9205454545454548</c:v>
                </c:pt>
                <c:pt idx="174">
                  <c:v>3.9493636363636369</c:v>
                </c:pt>
                <c:pt idx="175">
                  <c:v>3.9465714285714291</c:v>
                </c:pt>
                <c:pt idx="176">
                  <c:v>3.9445909090909086</c:v>
                </c:pt>
                <c:pt idx="177">
                  <c:v>4.0081304347826094</c:v>
                </c:pt>
                <c:pt idx="178">
                  <c:v>4.0516500000000004</c:v>
                </c:pt>
                <c:pt idx="179">
                  <c:v>4.0817619047619056</c:v>
                </c:pt>
              </c:numCache>
            </c:numRef>
          </c:val>
          <c:smooth val="0"/>
          <c:extLst>
            <c:ext xmlns:c16="http://schemas.microsoft.com/office/drawing/2014/chart" uri="{C3380CC4-5D6E-409C-BE32-E72D297353CC}">
              <c16:uniqueId val="{00000003-78D9-4A3A-AE75-EBA9DC8B4CB0}"/>
            </c:ext>
          </c:extLst>
        </c:ser>
        <c:dLbls>
          <c:showLegendKey val="0"/>
          <c:showVal val="0"/>
          <c:showCatName val="0"/>
          <c:showSerName val="0"/>
          <c:showPercent val="0"/>
          <c:showBubbleSize val="0"/>
        </c:dLbls>
        <c:smooth val="0"/>
        <c:axId val="1460143056"/>
        <c:axId val="1460144496"/>
      </c:lineChart>
      <c:dateAx>
        <c:axId val="1460143056"/>
        <c:scaling>
          <c:orientation val="minMax"/>
          <c:min val="42005"/>
        </c:scaling>
        <c:delete val="0"/>
        <c:axPos val="b"/>
        <c:numFmt formatCode="m/yy" sourceLinked="0"/>
        <c:majorTickMark val="none"/>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460144496"/>
        <c:crosses val="autoZero"/>
        <c:auto val="1"/>
        <c:lblOffset val="100"/>
        <c:baseTimeUnit val="days"/>
        <c:majorUnit val="3"/>
        <c:majorTimeUnit val="months"/>
      </c:dateAx>
      <c:valAx>
        <c:axId val="1460144496"/>
        <c:scaling>
          <c:orientation val="minMax"/>
        </c:scaling>
        <c:delete val="0"/>
        <c:axPos val="l"/>
        <c:majorGridlines>
          <c:spPr>
            <a:ln w="9525" cap="flat" cmpd="sng" algn="ctr">
              <a:solidFill>
                <a:schemeClr val="bg1">
                  <a:lumMod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460143056"/>
        <c:crosses val="autoZero"/>
        <c:crossBetween val="between"/>
      </c:valAx>
      <c:spPr>
        <a:noFill/>
        <a:ln>
          <a:noFill/>
        </a:ln>
        <a:effectLst/>
      </c:spPr>
    </c:plotArea>
    <c:legend>
      <c:legendPos val="b"/>
      <c:layout>
        <c:manualLayout>
          <c:xMode val="edge"/>
          <c:yMode val="edge"/>
          <c:x val="6.3275197798417615E-2"/>
          <c:y val="0.82634846113719351"/>
          <c:w val="0.88426367389060889"/>
          <c:h val="0.152006716223265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sk-SK"/>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327779487841445E-2"/>
          <c:y val="3.9664312691273282E-2"/>
          <c:w val="0.92217705447600895"/>
          <c:h val="0.76418427531468047"/>
        </c:manualLayout>
      </c:layout>
      <c:barChart>
        <c:barDir val="col"/>
        <c:grouping val="stacked"/>
        <c:varyColors val="0"/>
        <c:ser>
          <c:idx val="1"/>
          <c:order val="0"/>
          <c:tx>
            <c:strRef>
              <c:f>Hárok1!$L$18</c:f>
              <c:strCache>
                <c:ptCount val="1"/>
                <c:pt idx="0">
                  <c:v>Dôchodkový systém</c:v>
                </c:pt>
              </c:strCache>
            </c:strRef>
          </c:tx>
          <c:spPr>
            <a:solidFill>
              <a:srgbClr val="002060"/>
            </a:solidFill>
            <a:ln>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Hárok1!$L$32:$L$44</c:f>
              <c:numCache>
                <c:formatCode>0.0</c:formatCode>
                <c:ptCount val="13"/>
                <c:pt idx="0">
                  <c:v>-17.964865302040533</c:v>
                </c:pt>
                <c:pt idx="1">
                  <c:v>-17.956374082065008</c:v>
                </c:pt>
                <c:pt idx="2">
                  <c:v>-9.2822619766779635</c:v>
                </c:pt>
                <c:pt idx="3">
                  <c:v>-8.8398316241333763</c:v>
                </c:pt>
                <c:pt idx="4">
                  <c:v>-6.9430863294205896</c:v>
                </c:pt>
                <c:pt idx="5">
                  <c:v>9.0734920816827884</c:v>
                </c:pt>
                <c:pt idx="6">
                  <c:v>5.1347066084756809</c:v>
                </c:pt>
                <c:pt idx="7">
                  <c:v>-66.020146423130484</c:v>
                </c:pt>
                <c:pt idx="8">
                  <c:v>-222.331106265193</c:v>
                </c:pt>
                <c:pt idx="9">
                  <c:v>-225.14209094887542</c:v>
                </c:pt>
                <c:pt idx="10">
                  <c:v>-195.74274923768309</c:v>
                </c:pt>
                <c:pt idx="11">
                  <c:v>-87.951398157964917</c:v>
                </c:pt>
                <c:pt idx="12">
                  <c:v>-79.961721389014357</c:v>
                </c:pt>
              </c:numCache>
            </c:numRef>
          </c:val>
          <c:extLst>
            <c:ext xmlns:c16="http://schemas.microsoft.com/office/drawing/2014/chart" uri="{C3380CC4-5D6E-409C-BE32-E72D297353CC}">
              <c16:uniqueId val="{00000000-E699-4C56-A93E-D41A081F9962}"/>
            </c:ext>
          </c:extLst>
        </c:ser>
        <c:ser>
          <c:idx val="2"/>
          <c:order val="1"/>
          <c:tx>
            <c:strRef>
              <c:f>Hárok1!$M$18</c:f>
              <c:strCache>
                <c:ptCount val="1"/>
                <c:pt idx="0">
                  <c:v>Zdravotníctvo</c:v>
                </c:pt>
              </c:strCache>
            </c:strRef>
          </c:tx>
          <c:spPr>
            <a:solidFill>
              <a:srgbClr val="369ADC"/>
            </a:solidFill>
            <a:ln>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Hárok1!$M$32:$M$44</c:f>
              <c:numCache>
                <c:formatCode>0.0</c:formatCode>
                <c:ptCount val="13"/>
                <c:pt idx="0">
                  <c:v>-59.2051335199574</c:v>
                </c:pt>
                <c:pt idx="1">
                  <c:v>-54.829589010915861</c:v>
                </c:pt>
                <c:pt idx="2">
                  <c:v>-47.826762451700546</c:v>
                </c:pt>
                <c:pt idx="3">
                  <c:v>-40.169021833139325</c:v>
                </c:pt>
                <c:pt idx="4">
                  <c:v>-27.4538249304921</c:v>
                </c:pt>
                <c:pt idx="5">
                  <c:v>-28.412226380673456</c:v>
                </c:pt>
                <c:pt idx="6">
                  <c:v>-29.827820739622513</c:v>
                </c:pt>
                <c:pt idx="7">
                  <c:v>-30.243401270719982</c:v>
                </c:pt>
                <c:pt idx="8">
                  <c:v>-87.843415078884107</c:v>
                </c:pt>
                <c:pt idx="9">
                  <c:v>-109.65130407111975</c:v>
                </c:pt>
                <c:pt idx="10">
                  <c:v>-87.97486850433333</c:v>
                </c:pt>
                <c:pt idx="11">
                  <c:v>-35.672767835291751</c:v>
                </c:pt>
                <c:pt idx="12">
                  <c:v>-33.615961129674865</c:v>
                </c:pt>
              </c:numCache>
            </c:numRef>
          </c:val>
          <c:extLst>
            <c:ext xmlns:c16="http://schemas.microsoft.com/office/drawing/2014/chart" uri="{C3380CC4-5D6E-409C-BE32-E72D297353CC}">
              <c16:uniqueId val="{00000001-E699-4C56-A93E-D41A081F9962}"/>
            </c:ext>
          </c:extLst>
        </c:ser>
        <c:ser>
          <c:idx val="3"/>
          <c:order val="2"/>
          <c:tx>
            <c:strRef>
              <c:f>Hárok1!$N$18</c:f>
              <c:strCache>
                <c:ptCount val="1"/>
                <c:pt idx="0">
                  <c:v>Dlhodobá starostlivosť</c:v>
                </c:pt>
              </c:strCache>
            </c:strRef>
          </c:tx>
          <c:spPr>
            <a:solidFill>
              <a:schemeClr val="accent5">
                <a:lumMod val="40000"/>
                <a:lumOff val="60000"/>
              </a:schemeClr>
            </a:solidFill>
            <a:ln>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Hárok1!$N$32:$N$44</c:f>
              <c:numCache>
                <c:formatCode>0.0</c:formatCode>
                <c:ptCount val="13"/>
                <c:pt idx="0">
                  <c:v>-5.6952475165154839</c:v>
                </c:pt>
                <c:pt idx="1">
                  <c:v>-5.6910380517259815</c:v>
                </c:pt>
                <c:pt idx="2">
                  <c:v>-7.3086848720784356</c:v>
                </c:pt>
                <c:pt idx="3">
                  <c:v>-6.5226979379525565</c:v>
                </c:pt>
                <c:pt idx="4">
                  <c:v>-5.7221438961813726</c:v>
                </c:pt>
                <c:pt idx="5">
                  <c:v>-12.972550661256605</c:v>
                </c:pt>
                <c:pt idx="6">
                  <c:v>-15.424589112775704</c:v>
                </c:pt>
                <c:pt idx="7">
                  <c:v>-14.250197379183849</c:v>
                </c:pt>
                <c:pt idx="8">
                  <c:v>-61.905742275398197</c:v>
                </c:pt>
                <c:pt idx="9">
                  <c:v>-71.130645171864984</c:v>
                </c:pt>
                <c:pt idx="10">
                  <c:v>-65.209746763743709</c:v>
                </c:pt>
                <c:pt idx="11">
                  <c:v>-28.996801804403173</c:v>
                </c:pt>
                <c:pt idx="12">
                  <c:v>-29.289327678938022</c:v>
                </c:pt>
              </c:numCache>
            </c:numRef>
          </c:val>
          <c:extLst>
            <c:ext xmlns:c16="http://schemas.microsoft.com/office/drawing/2014/chart" uri="{C3380CC4-5D6E-409C-BE32-E72D297353CC}">
              <c16:uniqueId val="{00000002-E699-4C56-A93E-D41A081F9962}"/>
            </c:ext>
          </c:extLst>
        </c:ser>
        <c:ser>
          <c:idx val="4"/>
          <c:order val="3"/>
          <c:tx>
            <c:strRef>
              <c:f>Hárok1!$O$18</c:f>
              <c:strCache>
                <c:ptCount val="1"/>
                <c:pt idx="0">
                  <c:v>Poistenie v nezamestnanosti</c:v>
                </c:pt>
              </c:strCache>
            </c:strRef>
          </c:tx>
          <c:spPr>
            <a:solidFill>
              <a:srgbClr val="00CC99"/>
            </a:solidFill>
            <a:ln>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Hárok1!$O$32:$O$44</c:f>
              <c:numCache>
                <c:formatCode>0.0</c:formatCode>
                <c:ptCount val="13"/>
                <c:pt idx="0">
                  <c:v>1.8272771924428444</c:v>
                </c:pt>
                <c:pt idx="1">
                  <c:v>2.1406298815536822</c:v>
                </c:pt>
                <c:pt idx="2">
                  <c:v>3.0693683934867084</c:v>
                </c:pt>
                <c:pt idx="3">
                  <c:v>2.6949308233938138</c:v>
                </c:pt>
                <c:pt idx="4">
                  <c:v>2.5431709621269132</c:v>
                </c:pt>
                <c:pt idx="5">
                  <c:v>0.39996666943253045</c:v>
                </c:pt>
                <c:pt idx="6">
                  <c:v>-5.8203740453038888E-2</c:v>
                </c:pt>
                <c:pt idx="7">
                  <c:v>8.094354897021927E-2</c:v>
                </c:pt>
                <c:pt idx="8">
                  <c:v>-1.6164522220617199</c:v>
                </c:pt>
                <c:pt idx="9">
                  <c:v>-1.1378581095016826</c:v>
                </c:pt>
                <c:pt idx="10">
                  <c:v>-1.263390190649244</c:v>
                </c:pt>
                <c:pt idx="11">
                  <c:v>0.91018771942356635</c:v>
                </c:pt>
                <c:pt idx="12">
                  <c:v>1.1572573741518237</c:v>
                </c:pt>
              </c:numCache>
            </c:numRef>
          </c:val>
          <c:extLst>
            <c:ext xmlns:c16="http://schemas.microsoft.com/office/drawing/2014/chart" uri="{C3380CC4-5D6E-409C-BE32-E72D297353CC}">
              <c16:uniqueId val="{00000003-E699-4C56-A93E-D41A081F9962}"/>
            </c:ext>
          </c:extLst>
        </c:ser>
        <c:ser>
          <c:idx val="5"/>
          <c:order val="4"/>
          <c:tx>
            <c:strRef>
              <c:f>Hárok1!$P$18</c:f>
              <c:strCache>
                <c:ptCount val="1"/>
                <c:pt idx="0">
                  <c:v>Školstvo</c:v>
                </c:pt>
              </c:strCache>
            </c:strRef>
          </c:tx>
          <c:spPr>
            <a:solidFill>
              <a:schemeClr val="accent5">
                <a:lumMod val="75000"/>
              </a:schemeClr>
            </a:solidFill>
            <a:ln>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Hárok1!$P$32:$P$44</c:f>
              <c:numCache>
                <c:formatCode>0.0</c:formatCode>
                <c:ptCount val="13"/>
                <c:pt idx="0">
                  <c:v>9.535124209111757</c:v>
                </c:pt>
                <c:pt idx="1">
                  <c:v>9.5275672876009345</c:v>
                </c:pt>
                <c:pt idx="2">
                  <c:v>11.185873359824683</c:v>
                </c:pt>
                <c:pt idx="3">
                  <c:v>9.49176931710487</c:v>
                </c:pt>
                <c:pt idx="4">
                  <c:v>9.311836414573694</c:v>
                </c:pt>
                <c:pt idx="5">
                  <c:v>1.7120660206367599</c:v>
                </c:pt>
                <c:pt idx="6">
                  <c:v>-1.4546979867157139</c:v>
                </c:pt>
                <c:pt idx="7">
                  <c:v>-3.0132376524172999</c:v>
                </c:pt>
                <c:pt idx="8">
                  <c:v>-18.089125486566601</c:v>
                </c:pt>
                <c:pt idx="9">
                  <c:v>-23.640477124198789</c:v>
                </c:pt>
                <c:pt idx="10">
                  <c:v>-13.282667571889517</c:v>
                </c:pt>
                <c:pt idx="11">
                  <c:v>-7.21151740062973</c:v>
                </c:pt>
                <c:pt idx="12">
                  <c:v>-9.2143968958540601</c:v>
                </c:pt>
              </c:numCache>
            </c:numRef>
          </c:val>
          <c:extLst>
            <c:ext xmlns:c16="http://schemas.microsoft.com/office/drawing/2014/chart" uri="{C3380CC4-5D6E-409C-BE32-E72D297353CC}">
              <c16:uniqueId val="{00000004-E699-4C56-A93E-D41A081F9962}"/>
            </c:ext>
          </c:extLst>
        </c:ser>
        <c:ser>
          <c:idx val="6"/>
          <c:order val="5"/>
          <c:tx>
            <c:strRef>
              <c:f>Hárok1!$Q$18</c:f>
              <c:strCache>
                <c:ptCount val="1"/>
                <c:pt idx="0">
                  <c:v>PPP projekty</c:v>
                </c:pt>
              </c:strCache>
            </c:strRef>
          </c:tx>
          <c:spPr>
            <a:solidFill>
              <a:schemeClr val="bg1">
                <a:lumMod val="50000"/>
              </a:schemeClr>
            </a:solidFill>
            <a:ln>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Hárok1!$Q$32:$Q$44</c:f>
              <c:numCache>
                <c:formatCode>0.0</c:formatCode>
                <c:ptCount val="13"/>
                <c:pt idx="0">
                  <c:v>-2.9922562069103704</c:v>
                </c:pt>
                <c:pt idx="1">
                  <c:v>-2.8763043553223757</c:v>
                </c:pt>
                <c:pt idx="2">
                  <c:v>-2.8106949280194504</c:v>
                </c:pt>
                <c:pt idx="3">
                  <c:v>-2.6746437733440782</c:v>
                </c:pt>
                <c:pt idx="4">
                  <c:v>-3.7620315648930522</c:v>
                </c:pt>
                <c:pt idx="5">
                  <c:v>-3.3125684879946062</c:v>
                </c:pt>
                <c:pt idx="6">
                  <c:v>-3.7789111672970264</c:v>
                </c:pt>
                <c:pt idx="7">
                  <c:v>-3.5999999999999996</c:v>
                </c:pt>
                <c:pt idx="8">
                  <c:v>-4.3978641409326604</c:v>
                </c:pt>
                <c:pt idx="9">
                  <c:v>-3.8832059199127134</c:v>
                </c:pt>
                <c:pt idx="10">
                  <c:v>-3.3908620357594677</c:v>
                </c:pt>
                <c:pt idx="11">
                  <c:v>-2.4699362662103281</c:v>
                </c:pt>
                <c:pt idx="12">
                  <c:v>-2.3374000622500408</c:v>
                </c:pt>
              </c:numCache>
            </c:numRef>
          </c:val>
          <c:extLst>
            <c:ext xmlns:c16="http://schemas.microsoft.com/office/drawing/2014/chart" uri="{C3380CC4-5D6E-409C-BE32-E72D297353CC}">
              <c16:uniqueId val="{00000005-E699-4C56-A93E-D41A081F9962}"/>
            </c:ext>
          </c:extLst>
        </c:ser>
        <c:ser>
          <c:idx val="7"/>
          <c:order val="6"/>
          <c:tx>
            <c:strRef>
              <c:f>Hárok1!$R$18</c:f>
              <c:strCache>
                <c:ptCount val="1"/>
                <c:pt idx="0">
                  <c:v>Schéma financovania jadrových zariadení</c:v>
                </c:pt>
              </c:strCache>
            </c:strRef>
          </c:tx>
          <c:spPr>
            <a:solidFill>
              <a:schemeClr val="bg1">
                <a:lumMod val="75000"/>
              </a:schemeClr>
            </a:solidFill>
            <a:ln>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Hárok1!$R$32:$R$44</c:f>
              <c:numCache>
                <c:formatCode>0.0</c:formatCode>
                <c:ptCount val="13"/>
                <c:pt idx="1">
                  <c:v>3.6816809596650706</c:v>
                </c:pt>
                <c:pt idx="2">
                  <c:v>3.2584666971140415</c:v>
                </c:pt>
                <c:pt idx="3">
                  <c:v>3.1307335102994287</c:v>
                </c:pt>
                <c:pt idx="4">
                  <c:v>3.0636250479538578</c:v>
                </c:pt>
                <c:pt idx="5">
                  <c:v>2.8629333612815739</c:v>
                </c:pt>
                <c:pt idx="6">
                  <c:v>2.9110517702295677</c:v>
                </c:pt>
                <c:pt idx="7">
                  <c:v>4.4006964724384217</c:v>
                </c:pt>
                <c:pt idx="8">
                  <c:v>5.64627166428272</c:v>
                </c:pt>
                <c:pt idx="9">
                  <c:v>4.9112688327054537</c:v>
                </c:pt>
                <c:pt idx="10">
                  <c:v>4.3180833722508378</c:v>
                </c:pt>
                <c:pt idx="11">
                  <c:v>3.025135022724919</c:v>
                </c:pt>
                <c:pt idx="12">
                  <c:v>2.9162528254414131</c:v>
                </c:pt>
              </c:numCache>
            </c:numRef>
          </c:val>
          <c:extLst>
            <c:ext xmlns:c16="http://schemas.microsoft.com/office/drawing/2014/chart" uri="{C3380CC4-5D6E-409C-BE32-E72D297353CC}">
              <c16:uniqueId val="{00000006-E699-4C56-A93E-D41A081F9962}"/>
            </c:ext>
          </c:extLst>
        </c:ser>
        <c:ser>
          <c:idx val="8"/>
          <c:order val="8"/>
          <c:tx>
            <c:strRef>
              <c:f>Hárok1!$S$31</c:f>
              <c:strCache>
                <c:ptCount val="1"/>
                <c:pt idx="0">
                  <c:v>NGEU</c:v>
                </c:pt>
              </c:strCache>
            </c:strRef>
          </c:tx>
          <c:spPr>
            <a:solidFill>
              <a:schemeClr val="accent3">
                <a:lumMod val="60000"/>
              </a:schemeClr>
            </a:solidFill>
            <a:ln w="25400">
              <a:noFill/>
            </a:ln>
            <a:effectLst/>
          </c:spPr>
          <c:invertIfNegative val="0"/>
          <c:cat>
            <c:numRef>
              <c:f>Hárok1!$J$32:$J$44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Hárok1!$S$32:$S$44</c:f>
              <c:numCache>
                <c:formatCode>General</c:formatCode>
                <c:ptCount val="13"/>
                <c:pt idx="8" formatCode="0.0">
                  <c:v>-4.1667781549307401</c:v>
                </c:pt>
                <c:pt idx="9" formatCode="0.0">
                  <c:v>-3.8601182275032118</c:v>
                </c:pt>
                <c:pt idx="10" formatCode="0.0">
                  <c:v>-3.4839834492965438</c:v>
                </c:pt>
                <c:pt idx="11" formatCode="0.0">
                  <c:v>-3.5874720460560865</c:v>
                </c:pt>
                <c:pt idx="12" formatCode="0.0">
                  <c:v>-2.6226885530523654</c:v>
                </c:pt>
              </c:numCache>
            </c:numRef>
          </c:val>
          <c:extLst>
            <c:ext xmlns:c16="http://schemas.microsoft.com/office/drawing/2014/chart" uri="{C3380CC4-5D6E-409C-BE32-E72D297353CC}">
              <c16:uniqueId val="{00000007-E699-4C56-A93E-D41A081F9962}"/>
            </c:ext>
          </c:extLst>
        </c:ser>
        <c:dLbls>
          <c:showLegendKey val="0"/>
          <c:showVal val="0"/>
          <c:showCatName val="0"/>
          <c:showSerName val="0"/>
          <c:showPercent val="0"/>
          <c:showBubbleSize val="0"/>
        </c:dLbls>
        <c:gapWidth val="150"/>
        <c:overlap val="100"/>
        <c:axId val="164587416"/>
        <c:axId val="164571216"/>
      </c:barChart>
      <c:lineChart>
        <c:grouping val="standard"/>
        <c:varyColors val="0"/>
        <c:ser>
          <c:idx val="0"/>
          <c:order val="7"/>
          <c:tx>
            <c:strRef>
              <c:f>Hárok1!$K$31</c:f>
              <c:strCache>
                <c:ptCount val="1"/>
                <c:pt idx="0">
                  <c:v>Implicitné záväzky</c:v>
                </c:pt>
              </c:strCache>
            </c:strRef>
          </c:tx>
          <c:spPr>
            <a:ln w="28575" cap="rnd">
              <a:noFill/>
              <a:round/>
            </a:ln>
            <a:effectLst/>
          </c:spPr>
          <c:marker>
            <c:symbol val="circle"/>
            <c:size val="9"/>
            <c:spPr>
              <a:solidFill>
                <a:schemeClr val="tx1"/>
              </a:solidFill>
              <a:ln w="9525">
                <a:noFill/>
              </a:ln>
              <a:effectLst/>
            </c:spPr>
          </c:marker>
          <c:dLbls>
            <c:dLbl>
              <c:idx val="11"/>
              <c:layout>
                <c:manualLayout>
                  <c:x val="-4.629629629629646E-2"/>
                  <c:y val="4.24358158285592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99-4C56-A93E-D41A081F9962}"/>
                </c:ext>
              </c:extLst>
            </c:dLbl>
            <c:dLbl>
              <c:idx val="12"/>
              <c:layout>
                <c:manualLayout>
                  <c:x val="-1.984126984126984E-2"/>
                  <c:y val="5.09229789942711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99-4C56-A93E-D41A081F9962}"/>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Hárok1!$K$32:$K$44</c:f>
              <c:numCache>
                <c:formatCode>0.0</c:formatCode>
                <c:ptCount val="13"/>
                <c:pt idx="0">
                  <c:v>-74.495101143869192</c:v>
                </c:pt>
                <c:pt idx="1">
                  <c:v>-66.003427371209739</c:v>
                </c:pt>
                <c:pt idx="2">
                  <c:v>-49.714695778050981</c:v>
                </c:pt>
                <c:pt idx="3">
                  <c:v>-42.888761517771123</c:v>
                </c:pt>
                <c:pt idx="4">
                  <c:v>-28.962454296332819</c:v>
                </c:pt>
                <c:pt idx="5">
                  <c:v>-30.648887396891254</c:v>
                </c:pt>
                <c:pt idx="6">
                  <c:v>-42.498464368158452</c:v>
                </c:pt>
                <c:pt idx="7">
                  <c:v>-112.64534270404289</c:v>
                </c:pt>
                <c:pt idx="8">
                  <c:v>-394.70421195968498</c:v>
                </c:pt>
                <c:pt idx="9">
                  <c:v>-433.53443074027132</c:v>
                </c:pt>
                <c:pt idx="10">
                  <c:v>-366.03018438110371</c:v>
                </c:pt>
                <c:pt idx="11">
                  <c:v>-161.95457076840748</c:v>
                </c:pt>
                <c:pt idx="12">
                  <c:v>-152.96798550919081</c:v>
                </c:pt>
              </c:numCache>
            </c:numRef>
          </c:val>
          <c:smooth val="0"/>
          <c:extLst>
            <c:ext xmlns:c16="http://schemas.microsoft.com/office/drawing/2014/chart" uri="{C3380CC4-5D6E-409C-BE32-E72D297353CC}">
              <c16:uniqueId val="{0000000A-E699-4C56-A93E-D41A081F9962}"/>
            </c:ext>
          </c:extLst>
        </c:ser>
        <c:dLbls>
          <c:showLegendKey val="0"/>
          <c:showVal val="0"/>
          <c:showCatName val="0"/>
          <c:showSerName val="0"/>
          <c:showPercent val="0"/>
          <c:showBubbleSize val="0"/>
        </c:dLbls>
        <c:marker val="1"/>
        <c:smooth val="0"/>
        <c:axId val="164587416"/>
        <c:axId val="164571216"/>
      </c:lineChart>
      <c:catAx>
        <c:axId val="164587416"/>
        <c:scaling>
          <c:orientation val="minMax"/>
        </c:scaling>
        <c:delete val="0"/>
        <c:axPos val="b"/>
        <c:numFmt formatCode="General" sourceLinked="1"/>
        <c:majorTickMark val="none"/>
        <c:minorTickMark val="none"/>
        <c:tickLblPos val="low"/>
        <c:spPr>
          <a:noFill/>
          <a:ln w="31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64571216"/>
        <c:crosses val="autoZero"/>
        <c:auto val="1"/>
        <c:lblAlgn val="ctr"/>
        <c:lblOffset val="100"/>
        <c:noMultiLvlLbl val="0"/>
      </c:catAx>
      <c:valAx>
        <c:axId val="164571216"/>
        <c:scaling>
          <c:orientation val="minMax"/>
          <c:max val="50"/>
        </c:scaling>
        <c:delete val="0"/>
        <c:axPos val="l"/>
        <c:majorGridlines>
          <c:spPr>
            <a:ln w="3175" cap="flat" cmpd="sng" algn="ctr">
              <a:solidFill>
                <a:schemeClr val="tx1">
                  <a:lumMod val="15000"/>
                  <a:lumOff val="85000"/>
                </a:schemeClr>
              </a:solidFill>
              <a:prstDash val="sysDot"/>
              <a:round/>
            </a:ln>
            <a:effectLst/>
          </c:spPr>
        </c:majorGridlines>
        <c:numFmt formatCode="0" sourceLinked="0"/>
        <c:majorTickMark val="none"/>
        <c:minorTickMark val="none"/>
        <c:tickLblPos val="nextTo"/>
        <c:spPr>
          <a:noFill/>
          <a:ln w="3175">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crossAx val="164587416"/>
        <c:crosses val="autoZero"/>
        <c:crossBetween val="between"/>
      </c:valAx>
      <c:spPr>
        <a:noFill/>
        <a:ln>
          <a:noFill/>
        </a:ln>
        <a:effectLst/>
      </c:spPr>
    </c:plotArea>
    <c:legend>
      <c:legendPos val="b"/>
      <c:layout>
        <c:manualLayout>
          <c:xMode val="edge"/>
          <c:yMode val="edge"/>
          <c:x val="0.12728878394647938"/>
          <c:y val="0.40939630369227159"/>
          <c:w val="0.6036950844930915"/>
          <c:h val="0.275064481657803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k-SK"/>
        </a:p>
      </c:txPr>
    </c:legend>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sk-SK"/>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122452898866274"/>
          <c:y val="7.7485660425870906E-2"/>
          <c:w val="0.67153464250703598"/>
          <c:h val="0.88057796029608404"/>
        </c:manualLayout>
      </c:layout>
      <c:barChart>
        <c:barDir val="bar"/>
        <c:grouping val="stacked"/>
        <c:varyColors val="0"/>
        <c:ser>
          <c:idx val="1"/>
          <c:order val="0"/>
          <c:tx>
            <c:v>vypln</c:v>
          </c:tx>
          <c:spPr>
            <a:noFill/>
          </c:spPr>
          <c:invertIfNegative val="0"/>
          <c:dLbls>
            <c:delete val="1"/>
          </c:dLbls>
          <c:cat>
            <c:strRef>
              <c:f>Sumar!$A$24:$A$30</c:f>
              <c:strCache>
                <c:ptCount val="7"/>
                <c:pt idx="0">
                  <c:v>SVS 2023</c:v>
                </c:pt>
                <c:pt idx="1">
                  <c:v>Aktualizácia dlhodobých predpokladov*</c:v>
                </c:pt>
                <c:pt idx="2">
                  <c:v>Posunutie obdobia*</c:v>
                </c:pt>
                <c:pt idx="3">
                  <c:v>Aktualizácia strednodobých predpokladov*</c:v>
                </c:pt>
                <c:pt idx="4">
                  <c:v>Vplyv sprísnenia PSD40</c:v>
                </c:pt>
                <c:pt idx="5">
                  <c:v>Vplyv nahradenia rodičovského dôchodku</c:v>
                </c:pt>
                <c:pt idx="6">
                  <c:v>SVS 2024</c:v>
                </c:pt>
              </c:strCache>
            </c:strRef>
          </c:cat>
          <c:val>
            <c:numRef>
              <c:f>Sumar!$H$24:$H$30</c:f>
              <c:numCache>
                <c:formatCode>#,##0</c:formatCode>
                <c:ptCount val="7"/>
                <c:pt idx="1">
                  <c:v>-158.922297478866</c:v>
                </c:pt>
                <c:pt idx="2">
                  <c:v>-167.84223125459926</c:v>
                </c:pt>
                <c:pt idx="3">
                  <c:v>-171.67335192450474</c:v>
                </c:pt>
                <c:pt idx="4">
                  <c:v>-161.40993231006641</c:v>
                </c:pt>
                <c:pt idx="5">
                  <c:v>-150.92414971932982</c:v>
                </c:pt>
              </c:numCache>
            </c:numRef>
          </c:val>
          <c:extLst>
            <c:ext xmlns:c16="http://schemas.microsoft.com/office/drawing/2014/chart" uri="{C3380CC4-5D6E-409C-BE32-E72D297353CC}">
              <c16:uniqueId val="{00000000-C16D-4A31-8C59-F9C5C7C88B2E}"/>
            </c:ext>
          </c:extLst>
        </c:ser>
        <c:ser>
          <c:idx val="2"/>
          <c:order val="1"/>
          <c:tx>
            <c:v>zmena</c:v>
          </c:tx>
          <c:spPr>
            <a:solidFill>
              <a:srgbClr val="B0D6AF"/>
            </a:solidFill>
          </c:spPr>
          <c:invertIfNegative val="0"/>
          <c:dPt>
            <c:idx val="0"/>
            <c:invertIfNegative val="0"/>
            <c:bubble3D val="0"/>
            <c:spPr>
              <a:solidFill>
                <a:schemeClr val="bg1">
                  <a:lumMod val="75000"/>
                </a:schemeClr>
              </a:solidFill>
              <a:ln>
                <a:noFill/>
              </a:ln>
            </c:spPr>
            <c:extLst>
              <c:ext xmlns:c16="http://schemas.microsoft.com/office/drawing/2014/chart" uri="{C3380CC4-5D6E-409C-BE32-E72D297353CC}">
                <c16:uniqueId val="{00000002-C16D-4A31-8C59-F9C5C7C88B2E}"/>
              </c:ext>
            </c:extLst>
          </c:dPt>
          <c:dPt>
            <c:idx val="1"/>
            <c:invertIfNegative val="0"/>
            <c:bubble3D val="0"/>
            <c:spPr>
              <a:solidFill>
                <a:schemeClr val="accent6"/>
              </a:solidFill>
            </c:spPr>
            <c:extLst>
              <c:ext xmlns:c16="http://schemas.microsoft.com/office/drawing/2014/chart" uri="{C3380CC4-5D6E-409C-BE32-E72D297353CC}">
                <c16:uniqueId val="{00000004-C16D-4A31-8C59-F9C5C7C88B2E}"/>
              </c:ext>
            </c:extLst>
          </c:dPt>
          <c:dPt>
            <c:idx val="2"/>
            <c:invertIfNegative val="0"/>
            <c:bubble3D val="0"/>
            <c:spPr>
              <a:solidFill>
                <a:schemeClr val="accent6"/>
              </a:solidFill>
            </c:spPr>
            <c:extLst>
              <c:ext xmlns:c16="http://schemas.microsoft.com/office/drawing/2014/chart" uri="{C3380CC4-5D6E-409C-BE32-E72D297353CC}">
                <c16:uniqueId val="{00000006-C16D-4A31-8C59-F9C5C7C88B2E}"/>
              </c:ext>
            </c:extLst>
          </c:dPt>
          <c:dPt>
            <c:idx val="3"/>
            <c:invertIfNegative val="0"/>
            <c:bubble3D val="0"/>
            <c:spPr>
              <a:solidFill>
                <a:schemeClr val="accent3"/>
              </a:solidFill>
            </c:spPr>
            <c:extLst>
              <c:ext xmlns:c16="http://schemas.microsoft.com/office/drawing/2014/chart" uri="{C3380CC4-5D6E-409C-BE32-E72D297353CC}">
                <c16:uniqueId val="{00000008-C16D-4A31-8C59-F9C5C7C88B2E}"/>
              </c:ext>
            </c:extLst>
          </c:dPt>
          <c:dPt>
            <c:idx val="4"/>
            <c:invertIfNegative val="0"/>
            <c:bubble3D val="0"/>
            <c:spPr>
              <a:solidFill>
                <a:schemeClr val="accent3"/>
              </a:solidFill>
              <a:ln>
                <a:noFill/>
              </a:ln>
            </c:spPr>
            <c:extLst>
              <c:ext xmlns:c16="http://schemas.microsoft.com/office/drawing/2014/chart" uri="{C3380CC4-5D6E-409C-BE32-E72D297353CC}">
                <c16:uniqueId val="{0000000A-C16D-4A31-8C59-F9C5C7C88B2E}"/>
              </c:ext>
            </c:extLst>
          </c:dPt>
          <c:dPt>
            <c:idx val="5"/>
            <c:invertIfNegative val="0"/>
            <c:bubble3D val="0"/>
            <c:spPr>
              <a:solidFill>
                <a:schemeClr val="accent3"/>
              </a:solidFill>
              <a:ln>
                <a:noFill/>
              </a:ln>
            </c:spPr>
            <c:extLst>
              <c:ext xmlns:c16="http://schemas.microsoft.com/office/drawing/2014/chart" uri="{C3380CC4-5D6E-409C-BE32-E72D297353CC}">
                <c16:uniqueId val="{0000000C-C16D-4A31-8C59-F9C5C7C88B2E}"/>
              </c:ext>
            </c:extLst>
          </c:dPt>
          <c:dPt>
            <c:idx val="6"/>
            <c:invertIfNegative val="0"/>
            <c:bubble3D val="0"/>
            <c:spPr>
              <a:solidFill>
                <a:srgbClr val="00B0F0"/>
              </a:solidFill>
            </c:spPr>
            <c:extLst>
              <c:ext xmlns:c16="http://schemas.microsoft.com/office/drawing/2014/chart" uri="{C3380CC4-5D6E-409C-BE32-E72D297353CC}">
                <c16:uniqueId val="{0000000E-C16D-4A31-8C59-F9C5C7C88B2E}"/>
              </c:ext>
            </c:extLst>
          </c:dPt>
          <c:dPt>
            <c:idx val="7"/>
            <c:invertIfNegative val="0"/>
            <c:bubble3D val="0"/>
            <c:spPr>
              <a:solidFill>
                <a:schemeClr val="accent6"/>
              </a:solidFill>
            </c:spPr>
            <c:extLst>
              <c:ext xmlns:c16="http://schemas.microsoft.com/office/drawing/2014/chart" uri="{C3380CC4-5D6E-409C-BE32-E72D297353CC}">
                <c16:uniqueId val="{00000010-C16D-4A31-8C59-F9C5C7C88B2E}"/>
              </c:ext>
            </c:extLst>
          </c:dPt>
          <c:dPt>
            <c:idx val="8"/>
            <c:invertIfNegative val="0"/>
            <c:bubble3D val="0"/>
            <c:spPr>
              <a:solidFill>
                <a:schemeClr val="accent1"/>
              </a:solidFill>
            </c:spPr>
            <c:extLst>
              <c:ext xmlns:c16="http://schemas.microsoft.com/office/drawing/2014/chart" uri="{C3380CC4-5D6E-409C-BE32-E72D297353CC}">
                <c16:uniqueId val="{00000012-C16D-4A31-8C59-F9C5C7C88B2E}"/>
              </c:ext>
            </c:extLst>
          </c:dPt>
          <c:dLbls>
            <c:dLbl>
              <c:idx val="0"/>
              <c:tx>
                <c:rich>
                  <a:bodyPr/>
                  <a:lstStyle/>
                  <a:p>
                    <a:fld id="{D2B2B706-F16B-4FB5-9464-07451208069F}" type="VALUE">
                      <a:rPr lang="en-US" b="1"/>
                      <a:pPr/>
                      <a:t>[HODNOTA]</a:t>
                    </a:fld>
                    <a:endParaRPr lang="sk-SK"/>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16D-4A31-8C59-F9C5C7C88B2E}"/>
                </c:ext>
              </c:extLst>
            </c:dLbl>
            <c:dLbl>
              <c:idx val="1"/>
              <c:tx>
                <c:rich>
                  <a:bodyPr/>
                  <a:lstStyle/>
                  <a:p>
                    <a:fld id="{4F9BDE00-94D6-436A-A254-936BEF783872}" type="CELLREF">
                      <a:rPr lang="en-US"/>
                      <a:pPr/>
                      <a:t>[CELLREF]</a:t>
                    </a:fld>
                    <a:endParaRPr lang="sk-SK"/>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{4F9BDE00-94D6-436A-A254-936BEF783872}</c15:txfldGUID>
                      <c15:f>Sumar!$B$25</c15:f>
                      <c15:dlblFieldTableCache>
                        <c:ptCount val="1"/>
                        <c:pt idx="0">
                          <c:v>-8,9   </c:v>
                        </c:pt>
                      </c15:dlblFieldTableCache>
                    </c15:dlblFTEntry>
                  </c15:dlblFieldTable>
                  <c15:showDataLabelsRange val="0"/>
                </c:ext>
                <c:ext xmlns:c16="http://schemas.microsoft.com/office/drawing/2014/chart" uri="{C3380CC4-5D6E-409C-BE32-E72D297353CC}">
                  <c16:uniqueId val="{00000004-C16D-4A31-8C59-F9C5C7C88B2E}"/>
                </c:ext>
              </c:extLst>
            </c:dLbl>
            <c:dLbl>
              <c:idx val="2"/>
              <c:tx>
                <c:rich>
                  <a:bodyPr wrap="square" lIns="38100" tIns="19050" rIns="38100" bIns="19050" anchor="ctr">
                    <a:spAutoFit/>
                  </a:bodyPr>
                  <a:lstStyle/>
                  <a:p>
                    <a:pPr>
                      <a:defRPr/>
                    </a:pPr>
                    <a:fld id="{FC675B84-F80B-4563-8B76-30388280C161}" type="CELLREF">
                      <a:rPr lang="en-US"/>
                      <a:pPr>
                        <a:defRPr/>
                      </a:pPr>
                      <a:t>[CELLREF]</a:t>
                    </a:fld>
                    <a:endParaRPr lang="sk-SK"/>
                  </a:p>
                </c:rich>
              </c:tx>
              <c:numFmt formatCode="#,##0.0;[Black]#,##0.0" sourceLinked="0"/>
              <c:spPr>
                <a:noFill/>
                <a:ln>
                  <a:noFill/>
                </a:ln>
                <a:effectLst/>
              </c:spPr>
              <c:dLblPos val="ctr"/>
              <c:showLegendKey val="0"/>
              <c:showVal val="1"/>
              <c:showCatName val="0"/>
              <c:showSerName val="0"/>
              <c:showPercent val="0"/>
              <c:showBubbleSize val="0"/>
              <c:extLst>
                <c:ext xmlns:c15="http://schemas.microsoft.com/office/drawing/2012/chart" uri="{CE6537A1-D6FC-4f65-9D91-7224C49458BB}">
                  <c15:dlblFieldTable>
                    <c15:dlblFTEntry>
                      <c15:txfldGUID>{FC675B84-F80B-4563-8B76-30388280C161}</c15:txfldGUID>
                      <c15:f>Sumar!$B$26</c15:f>
                      <c15:dlblFieldTableCache>
                        <c:ptCount val="1"/>
                        <c:pt idx="0">
                          <c:v>-17,6   </c:v>
                        </c:pt>
                      </c15:dlblFieldTableCache>
                    </c15:dlblFTEntry>
                  </c15:dlblFieldTable>
                  <c15:showDataLabelsRange val="0"/>
                </c:ext>
                <c:ext xmlns:c16="http://schemas.microsoft.com/office/drawing/2014/chart" uri="{C3380CC4-5D6E-409C-BE32-E72D297353CC}">
                  <c16:uniqueId val="{00000006-C16D-4A31-8C59-F9C5C7C88B2E}"/>
                </c:ext>
              </c:extLst>
            </c:dLbl>
            <c:dLbl>
              <c:idx val="3"/>
              <c:tx>
                <c:rich>
                  <a:bodyPr/>
                  <a:lstStyle/>
                  <a:p>
                    <a:fld id="{D1832F2E-4CE5-4013-B8DE-7D4B2D69E12D}" type="CELLREF">
                      <a:rPr lang="en-US"/>
                      <a:pPr/>
                      <a:t>[CELLREF]</a:t>
                    </a:fld>
                    <a:endParaRPr lang="sk-SK"/>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{D1832F2E-4CE5-4013-B8DE-7D4B2D69E12D}</c15:txfldGUID>
                      <c15:f>Sumar!$B$27</c15:f>
                      <c15:dlblFieldTableCache>
                        <c:ptCount val="1"/>
                        <c:pt idx="0">
                          <c:v>13,7</c:v>
                        </c:pt>
                      </c15:dlblFieldTableCache>
                    </c15:dlblFTEntry>
                  </c15:dlblFieldTable>
                  <c15:showDataLabelsRange val="0"/>
                </c:ext>
                <c:ext xmlns:c16="http://schemas.microsoft.com/office/drawing/2014/chart" uri="{C3380CC4-5D6E-409C-BE32-E72D297353CC}">
                  <c16:uniqueId val="{00000008-C16D-4A31-8C59-F9C5C7C88B2E}"/>
                </c:ext>
              </c:extLst>
            </c:dLbl>
            <c:dLbl>
              <c:idx val="4"/>
              <c:layout>
                <c:manualLayout>
                  <c:x val="-1.2740094616342418E-16"/>
                  <c:y val="0"/>
                </c:manualLayout>
              </c:layout>
              <c:tx>
                <c:rich>
                  <a:bodyPr/>
                  <a:lstStyle/>
                  <a:p>
                    <a:fld id="{47C0F536-B573-4584-9F8A-96A9DE52ABBC}" type="CELLREF">
                      <a:rPr lang="en-US"/>
                      <a:pPr/>
                      <a:t>[CELLREF]</a:t>
                    </a:fld>
                    <a:endParaRPr lang="sk-SK"/>
                  </a:p>
                </c:rich>
              </c:tx>
              <c:dLblPos val="ctr"/>
              <c:showLegendKey val="0"/>
              <c:showVal val="1"/>
              <c:showCatName val="0"/>
              <c:showSerName val="0"/>
              <c:showPercent val="0"/>
              <c:showBubbleSize val="0"/>
              <c:extLst>
                <c:ext xmlns:c15="http://schemas.microsoft.com/office/drawing/2012/chart" uri="{CE6537A1-D6FC-4f65-9D91-7224C49458BB}">
                  <c15:dlblFieldTable>
                    <c15:dlblFTEntry>
                      <c15:txfldGUID>{47C0F536-B573-4584-9F8A-96A9DE52ABBC}</c15:txfldGUID>
                      <c15:f>Sumar!$B$28</c15:f>
                      <c15:dlblFieldTableCache>
                        <c:ptCount val="1"/>
                        <c:pt idx="0">
                          <c:v> 10,3   </c:v>
                        </c:pt>
                      </c15:dlblFieldTableCache>
                    </c15:dlblFTEntry>
                  </c15:dlblFieldTable>
                  <c15:showDataLabelsRange val="0"/>
                </c:ext>
                <c:ext xmlns:c16="http://schemas.microsoft.com/office/drawing/2014/chart" uri="{C3380CC4-5D6E-409C-BE32-E72D297353CC}">
                  <c16:uniqueId val="{0000000A-C16D-4A31-8C59-F9C5C7C88B2E}"/>
                </c:ext>
              </c:extLst>
            </c:dLbl>
            <c:dLbl>
              <c:idx val="5"/>
              <c:tx>
                <c:rich>
                  <a:bodyPr wrap="square" lIns="38100" tIns="19050" rIns="38100" bIns="19050" anchor="ctr">
                    <a:spAutoFit/>
                  </a:bodyPr>
                  <a:lstStyle/>
                  <a:p>
                    <a:pPr>
                      <a:defRPr b="0"/>
                    </a:pPr>
                    <a:fld id="{B22FFA37-4623-443D-B736-8BA1BB36CCE3}" type="VALUE">
                      <a:rPr lang="en-US" b="0"/>
                      <a:pPr>
                        <a:defRPr b="0"/>
                      </a:pPr>
                      <a:t>[HODNOTA]</a:t>
                    </a:fld>
                    <a:endParaRPr lang="sk-SK"/>
                  </a:p>
                </c:rich>
              </c:tx>
              <c:numFmt formatCode="#,##0.0;[Red]#,##0.0" sourceLinked="0"/>
              <c:spPr>
                <a:noFill/>
                <a:ln>
                  <a:noFill/>
                </a:ln>
                <a:effectLst/>
              </c:sp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C16D-4A31-8C59-F9C5C7C88B2E}"/>
                </c:ext>
              </c:extLst>
            </c:dLbl>
            <c:dLbl>
              <c:idx val="6"/>
              <c:spPr>
                <a:noFill/>
                <a:ln>
                  <a:noFill/>
                </a:ln>
                <a:effectLst/>
              </c:spPr>
              <c:txPr>
                <a:bodyPr wrap="square" lIns="38100" tIns="19050" rIns="38100" bIns="19050" anchor="ctr">
                  <a:spAutoFit/>
                </a:bodyPr>
                <a:lstStyle/>
                <a:p>
                  <a:pPr>
                    <a:defRPr b="1"/>
                  </a:pPr>
                  <a:endParaRPr lang="sk-SK"/>
                </a:p>
              </c:txPr>
              <c:dLblPos val="ctr"/>
              <c:showLegendKey val="0"/>
              <c:showVal val="1"/>
              <c:showCatName val="0"/>
              <c:showSerName val="0"/>
              <c:showPercent val="0"/>
              <c:showBubbleSize val="0"/>
              <c:extLst>
                <c:ext xmlns:c16="http://schemas.microsoft.com/office/drawing/2014/chart" uri="{C3380CC4-5D6E-409C-BE32-E72D297353CC}">
                  <c16:uniqueId val="{0000000E-C16D-4A31-8C59-F9C5C7C88B2E}"/>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Sumar!$A$24:$A$30</c:f>
              <c:strCache>
                <c:ptCount val="7"/>
                <c:pt idx="0">
                  <c:v>SVS 2023</c:v>
                </c:pt>
                <c:pt idx="1">
                  <c:v>Aktualizácia dlhodobých predpokladov*</c:v>
                </c:pt>
                <c:pt idx="2">
                  <c:v>Posunutie obdobia*</c:v>
                </c:pt>
                <c:pt idx="3">
                  <c:v>Aktualizácia strednodobých predpokladov*</c:v>
                </c:pt>
                <c:pt idx="4">
                  <c:v>Vplyv sprísnenia PSD40</c:v>
                </c:pt>
                <c:pt idx="5">
                  <c:v>Vplyv nahradenia rodičovského dôchodku</c:v>
                </c:pt>
                <c:pt idx="6">
                  <c:v>SVS 2024</c:v>
                </c:pt>
              </c:strCache>
            </c:strRef>
          </c:cat>
          <c:val>
            <c:numRef>
              <c:f>Sumar!$I$24:$I$30</c:f>
              <c:numCache>
                <c:formatCode>#\ ##0.0</c:formatCode>
                <c:ptCount val="7"/>
                <c:pt idx="0">
                  <c:v>-158.922297478866</c:v>
                </c:pt>
                <c:pt idx="1">
                  <c:v>-8.9199337757332575</c:v>
                </c:pt>
                <c:pt idx="2">
                  <c:v>-17.550021205216094</c:v>
                </c:pt>
                <c:pt idx="3">
                  <c:v>-13.718900535310619</c:v>
                </c:pt>
                <c:pt idx="4">
                  <c:v>-10.26341961443833</c:v>
                </c:pt>
                <c:pt idx="5">
                  <c:v>-10.48578259073658</c:v>
                </c:pt>
                <c:pt idx="6">
                  <c:v>-150.92414971932982</c:v>
                </c:pt>
              </c:numCache>
            </c:numRef>
          </c:val>
          <c:extLst>
            <c:ext xmlns:c16="http://schemas.microsoft.com/office/drawing/2014/chart" uri="{C3380CC4-5D6E-409C-BE32-E72D297353CC}">
              <c16:uniqueId val="{00000013-C16D-4A31-8C59-F9C5C7C88B2E}"/>
            </c:ext>
          </c:extLst>
        </c:ser>
        <c:ser>
          <c:idx val="0"/>
          <c:order val="2"/>
          <c:invertIfNegative val="0"/>
          <c:dLbls>
            <c:delete val="1"/>
          </c:dLbls>
          <c:val>
            <c:numRef>
              <c:f>Sumar!$D$24:$D$30</c:f>
              <c:numCache>
                <c:formatCode>#,##0</c:formatCode>
                <c:ptCount val="7"/>
                <c:pt idx="1">
                  <c:v>0</c:v>
                </c:pt>
                <c:pt idx="2">
                  <c:v>0</c:v>
                </c:pt>
                <c:pt idx="3">
                  <c:v>0</c:v>
                </c:pt>
                <c:pt idx="4">
                  <c:v>0</c:v>
                </c:pt>
                <c:pt idx="5">
                  <c:v>0</c:v>
                </c:pt>
                <c:pt idx="6">
                  <c:v>0</c:v>
                </c:pt>
              </c:numCache>
            </c:numRef>
          </c:val>
          <c:extLst>
            <c:ext xmlns:c16="http://schemas.microsoft.com/office/drawing/2014/chart" uri="{C3380CC4-5D6E-409C-BE32-E72D297353CC}">
              <c16:uniqueId val="{00000014-C16D-4A31-8C59-F9C5C7C88B2E}"/>
            </c:ext>
          </c:extLst>
        </c:ser>
        <c:dLbls>
          <c:dLblPos val="ctr"/>
          <c:showLegendKey val="0"/>
          <c:showVal val="1"/>
          <c:showCatName val="0"/>
          <c:showSerName val="0"/>
          <c:showPercent val="0"/>
          <c:showBubbleSize val="0"/>
        </c:dLbls>
        <c:gapWidth val="60"/>
        <c:overlap val="100"/>
        <c:axId val="510658992"/>
        <c:axId val="510659384"/>
      </c:barChart>
      <c:catAx>
        <c:axId val="510658992"/>
        <c:scaling>
          <c:orientation val="maxMin"/>
        </c:scaling>
        <c:delete val="0"/>
        <c:axPos val="l"/>
        <c:numFmt formatCode="General" sourceLinked="1"/>
        <c:majorTickMark val="none"/>
        <c:minorTickMark val="none"/>
        <c:tickLblPos val="low"/>
        <c:spPr>
          <a:ln>
            <a:solidFill>
              <a:schemeClr val="tx1"/>
            </a:solidFill>
            <a:prstDash val="solid"/>
          </a:ln>
        </c:spPr>
        <c:txPr>
          <a:bodyPr rot="0" vert="horz"/>
          <a:lstStyle/>
          <a:p>
            <a:pPr>
              <a:defRPr/>
            </a:pPr>
            <a:endParaRPr lang="sk-SK"/>
          </a:p>
        </c:txPr>
        <c:crossAx val="510659384"/>
        <c:crosses val="autoZero"/>
        <c:auto val="1"/>
        <c:lblAlgn val="ctr"/>
        <c:lblOffset val="100"/>
        <c:noMultiLvlLbl val="0"/>
      </c:catAx>
      <c:valAx>
        <c:axId val="510659384"/>
        <c:scaling>
          <c:orientation val="minMax"/>
        </c:scaling>
        <c:delete val="0"/>
        <c:axPos val="t"/>
        <c:numFmt formatCode="#,##0" sourceLinked="1"/>
        <c:majorTickMark val="out"/>
        <c:minorTickMark val="none"/>
        <c:tickLblPos val="low"/>
        <c:spPr>
          <a:ln>
            <a:solidFill>
              <a:schemeClr val="tx1"/>
            </a:solidFill>
          </a:ln>
        </c:spPr>
        <c:crossAx val="510658992"/>
        <c:crosses val="autoZero"/>
        <c:crossBetween val="between"/>
      </c:valAx>
    </c:plotArea>
    <c:plotVisOnly val="1"/>
    <c:dispBlanksAs val="gap"/>
    <c:showDLblsOverMax val="0"/>
  </c:chart>
  <c:spPr>
    <a:noFill/>
    <a:ln>
      <a:solidFill>
        <a:schemeClr val="bg1"/>
      </a:solidFill>
    </a:ln>
  </c:spPr>
  <c:txPr>
    <a:bodyPr/>
    <a:lstStyle/>
    <a:p>
      <a:pPr>
        <a:defRPr sz="1000">
          <a:latin typeface="Times New Roman" panose="02020603050405020304" pitchFamily="18" charset="0"/>
          <a:cs typeface="Times New Roman" panose="02020603050405020304" pitchFamily="18" charset="0"/>
        </a:defRPr>
      </a:pPr>
      <a:endParaRPr lang="sk-SK"/>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Vlastné 1">
    <a:dk1>
      <a:srgbClr val="000000"/>
    </a:dk1>
    <a:lt1>
      <a:sysClr val="window" lastClr="FFFFFF"/>
    </a:lt1>
    <a:dk2>
      <a:srgbClr val="0C2A38"/>
    </a:dk2>
    <a:lt2>
      <a:srgbClr val="686767"/>
    </a:lt2>
    <a:accent1>
      <a:srgbClr val="2EAAE1"/>
    </a:accent1>
    <a:accent2>
      <a:srgbClr val="F2CA6D"/>
    </a:accent2>
    <a:accent3>
      <a:srgbClr val="1AA380"/>
    </a:accent3>
    <a:accent4>
      <a:srgbClr val="E85477"/>
    </a:accent4>
    <a:accent5>
      <a:srgbClr val="864D99"/>
    </a:accent5>
    <a:accent6>
      <a:srgbClr val="996B52"/>
    </a:accent6>
    <a:hlink>
      <a:srgbClr val="686767"/>
    </a:hlink>
    <a:folHlink>
      <a:srgbClr val="0C2A3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Vlastné 1">
    <a:dk1>
      <a:srgbClr val="000000"/>
    </a:dk1>
    <a:lt1>
      <a:sysClr val="window" lastClr="FFFFFF"/>
    </a:lt1>
    <a:dk2>
      <a:srgbClr val="0C2A38"/>
    </a:dk2>
    <a:lt2>
      <a:srgbClr val="686767"/>
    </a:lt2>
    <a:accent1>
      <a:srgbClr val="2EAAE1"/>
    </a:accent1>
    <a:accent2>
      <a:srgbClr val="F2CA6D"/>
    </a:accent2>
    <a:accent3>
      <a:srgbClr val="1AA380"/>
    </a:accent3>
    <a:accent4>
      <a:srgbClr val="E85477"/>
    </a:accent4>
    <a:accent5>
      <a:srgbClr val="864D99"/>
    </a:accent5>
    <a:accent6>
      <a:srgbClr val="996B52"/>
    </a:accent6>
    <a:hlink>
      <a:srgbClr val="686767"/>
    </a:hlink>
    <a:folHlink>
      <a:srgbClr val="0C2A3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IFP Farby">
    <a:dk1>
      <a:srgbClr val="131D2B"/>
    </a:dk1>
    <a:lt1>
      <a:srgbClr val="FFFFFF"/>
    </a:lt1>
    <a:dk2>
      <a:srgbClr val="FFFFFF"/>
    </a:dk2>
    <a:lt2>
      <a:srgbClr val="FFFFFF"/>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DE572-61F9-4855-B361-AEB433503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2446</TotalTime>
  <Pages>49</Pages>
  <Words>23552</Words>
  <Characters>134251</Characters>
  <Application>Microsoft Office Word</Application>
  <DocSecurity>0</DocSecurity>
  <Lines>1118</Lines>
  <Paragraphs>314</Paragraphs>
  <ScaleCrop>false</ScaleCrop>
  <HeadingPairs>
    <vt:vector size="2" baseType="variant">
      <vt:variant>
        <vt:lpstr>Názov</vt:lpstr>
      </vt:variant>
      <vt:variant>
        <vt:i4>1</vt:i4>
      </vt:variant>
    </vt:vector>
  </HeadingPairs>
  <TitlesOfParts>
    <vt:vector size="1" baseType="lpstr">
      <vt:lpstr/>
    </vt:vector>
  </TitlesOfParts>
  <Company>MF SR</Company>
  <LinksUpToDate>false</LinksUpToDate>
  <CharactersWithSpaces>157489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zkrajcir</dc:creator>
  <cp:keywords/>
  <dc:description/>
  <cp:lastModifiedBy>Ivanek Peter</cp:lastModifiedBy>
  <cp:revision>663</cp:revision>
  <cp:lastPrinted>2025-10-23T07:24:00Z</cp:lastPrinted>
  <dcterms:created xsi:type="dcterms:W3CDTF">2025-10-17T06:06:00Z</dcterms:created>
  <dcterms:modified xsi:type="dcterms:W3CDTF">2025-10-28T08:19:00Z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2bf9673c,34e5a86c,7d7f752d,3f37b3ee,1b341a83</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2025-10-06T13:04:07Z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8a7d1e37-4388-490c-8836-51c42beefbc6</vt:lpwstr>
  </property>
  <property fmtid="{D5CDD505-2E9C-101B-9397-08002B2CF9AE}" pid="11" name="MSIP_Label_4c805978-f532-4a1a-b9e1-4e19c2c6466f_ContentBits">
    <vt:lpwstr>2</vt:lpwstr>
  </property>
  <property fmtid="{D5CDD505-2E9C-101B-9397-08002B2CF9AE}" pid="12" name="MSIP_Label_4c805978-f532-4a1a-b9e1-4e19c2c6466f_Tag">
    <vt:lpwstr>10, 3, 0, 1</vt:lpwstr>
  </property>
</Properties>
</file>