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19276DEA" w:rsidR="00997948" w:rsidRPr="00161808" w:rsidRDefault="00E15087" w:rsidP="00161808">
            <w:pPr>
              <w:jc w:val="both"/>
              <w:rPr>
                <w:rFonts w:ascii="Times New Roman" w:hAnsi="Times New Roman" w:cs="Times New Roman"/>
                <w:b/>
                <w:sz w:val="20"/>
                <w:szCs w:val="20"/>
                <w:highlight w:val="yellow"/>
              </w:rPr>
            </w:pPr>
            <w:r w:rsidRPr="00161808">
              <w:rPr>
                <w:rFonts w:ascii="Times New Roman" w:hAnsi="Times New Roman" w:cs="Times New Roman"/>
                <w:b/>
                <w:bCs/>
                <w:sz w:val="20"/>
                <w:szCs w:val="20"/>
              </w:rPr>
              <w:t xml:space="preserve">Smernica Európskeho parlamentu a Rady </w:t>
            </w:r>
            <w:r w:rsidR="00161808" w:rsidRPr="00161808">
              <w:rPr>
                <w:rFonts w:ascii="Times New Roman" w:hAnsi="Times New Roman" w:cs="Times New Roman"/>
                <w:b/>
                <w:bCs/>
                <w:sz w:val="20"/>
                <w:szCs w:val="20"/>
              </w:rPr>
              <w:t>2009/102/ES zo 16. septembra 2009</w:t>
            </w:r>
            <w:r w:rsidRPr="00161808">
              <w:rPr>
                <w:rFonts w:ascii="Times New Roman" w:hAnsi="Times New Roman" w:cs="Times New Roman"/>
                <w:b/>
                <w:bCs/>
                <w:sz w:val="20"/>
                <w:szCs w:val="20"/>
              </w:rPr>
              <w:t xml:space="preserve">, </w:t>
            </w:r>
            <w:r w:rsidR="00161808" w:rsidRPr="00161808">
              <w:rPr>
                <w:rFonts w:ascii="Times New Roman" w:hAnsi="Times New Roman" w:cs="Times New Roman"/>
                <w:b/>
                <w:bCs/>
                <w:sz w:val="20"/>
                <w:szCs w:val="20"/>
              </w:rPr>
              <w:t xml:space="preserve">v oblasti práva obchodných spoločností o spoločnostiach s ručením obmedzeným s jediným spoločníkom (kodifikované znenie) </w:t>
            </w:r>
            <w:r w:rsidR="00161808">
              <w:rPr>
                <w:rFonts w:ascii="Times New Roman" w:hAnsi="Times New Roman" w:cs="Times New Roman"/>
                <w:b/>
                <w:bCs/>
                <w:sz w:val="20"/>
                <w:szCs w:val="20"/>
              </w:rPr>
              <w:t>(Ú. v. EÚ L 258</w:t>
            </w:r>
            <w:r w:rsidR="003222FF" w:rsidRPr="00161808">
              <w:rPr>
                <w:rFonts w:ascii="Times New Roman" w:hAnsi="Times New Roman" w:cs="Times New Roman"/>
                <w:b/>
                <w:bCs/>
                <w:sz w:val="20"/>
                <w:szCs w:val="20"/>
              </w:rPr>
              <w:t xml:space="preserve">, </w:t>
            </w:r>
            <w:r w:rsidR="00161808">
              <w:rPr>
                <w:rFonts w:ascii="Times New Roman" w:hAnsi="Times New Roman" w:cs="Times New Roman"/>
                <w:b/>
                <w:bCs/>
                <w:sz w:val="20"/>
                <w:szCs w:val="20"/>
              </w:rPr>
              <w:t>1.10.2009</w:t>
            </w:r>
            <w:r w:rsidR="003222FF" w:rsidRPr="00161808">
              <w:rPr>
                <w:rFonts w:ascii="Times New Roman" w:hAnsi="Times New Roman" w:cs="Times New Roman"/>
                <w:b/>
                <w:bCs/>
                <w:sz w:val="20"/>
                <w:szCs w:val="20"/>
              </w:rPr>
              <w:t>)</w:t>
            </w:r>
            <w:r w:rsidR="006E1DDA">
              <w:rPr>
                <w:rFonts w:ascii="Times New Roman" w:hAnsi="Times New Roman" w:cs="Times New Roman"/>
                <w:b/>
                <w:bCs/>
                <w:sz w:val="20"/>
                <w:szCs w:val="20"/>
              </w:rPr>
              <w:t xml:space="preserve"> v platnom znení </w:t>
            </w:r>
          </w:p>
        </w:tc>
        <w:tc>
          <w:tcPr>
            <w:tcW w:w="9888" w:type="dxa"/>
            <w:gridSpan w:val="7"/>
            <w:tcBorders>
              <w:top w:val="single" w:sz="4" w:space="0" w:color="auto"/>
              <w:left w:val="single" w:sz="4" w:space="0" w:color="auto"/>
              <w:bottom w:val="single" w:sz="4" w:space="0" w:color="auto"/>
              <w:right w:val="single" w:sz="4" w:space="0" w:color="auto"/>
            </w:tcBorders>
          </w:tcPr>
          <w:p w14:paraId="07FB3EE4" w14:textId="1F9E4967" w:rsidR="000E257D" w:rsidRPr="00AD1F8A" w:rsidRDefault="0074564D" w:rsidP="000E257D">
            <w:pPr>
              <w:pStyle w:val="Nadpis4"/>
              <w:jc w:val="both"/>
              <w:outlineLvl w:val="3"/>
              <w:rPr>
                <w:sz w:val="20"/>
                <w:szCs w:val="20"/>
              </w:rPr>
            </w:pPr>
            <w:r>
              <w:rPr>
                <w:sz w:val="20"/>
                <w:szCs w:val="20"/>
              </w:rPr>
              <w:t>1. Návrh zákona č. .../2025</w:t>
            </w:r>
            <w:r w:rsidR="000E257D" w:rsidRPr="00AD1F8A">
              <w:rPr>
                <w:sz w:val="20"/>
                <w:szCs w:val="20"/>
              </w:rPr>
              <w:t xml:space="preserve"> Z. z. </w:t>
            </w:r>
            <w:r w:rsidRPr="0074564D">
              <w:rPr>
                <w:sz w:val="20"/>
                <w:szCs w:val="20"/>
              </w:rPr>
              <w:t>o obchodnom registri a o zmene a doplnení niektorých zákonov (zákon o obchodnom registri)</w:t>
            </w:r>
          </w:p>
          <w:p w14:paraId="4CA85C36" w14:textId="6FA96443" w:rsidR="000E257D" w:rsidRPr="00AD1F8A" w:rsidRDefault="00372DBD" w:rsidP="000E257D">
            <w:pPr>
              <w:jc w:val="both"/>
              <w:rPr>
                <w:rFonts w:ascii="Times New Roman" w:hAnsi="Times New Roman" w:cs="Times New Roman"/>
                <w:sz w:val="20"/>
                <w:szCs w:val="20"/>
                <w:u w:val="single"/>
              </w:rPr>
            </w:pPr>
            <w:r>
              <w:rPr>
                <w:rFonts w:ascii="Times New Roman" w:hAnsi="Times New Roman" w:cs="Times New Roman"/>
                <w:sz w:val="20"/>
                <w:szCs w:val="20"/>
                <w:u w:val="single"/>
              </w:rPr>
              <w:t>(gestor:</w:t>
            </w:r>
            <w:r w:rsidR="000E257D" w:rsidRPr="00AD1F8A">
              <w:rPr>
                <w:rFonts w:ascii="Times New Roman" w:hAnsi="Times New Roman" w:cs="Times New Roman"/>
                <w:sz w:val="20"/>
                <w:szCs w:val="20"/>
                <w:u w:val="single"/>
              </w:rPr>
              <w:t xml:space="preserve"> Ministerstvo spravodlivosti Slovenskej republiky)</w:t>
            </w:r>
          </w:p>
          <w:p w14:paraId="3F6BCD42" w14:textId="77777777" w:rsidR="00E15087" w:rsidRPr="00161808" w:rsidRDefault="00E15087" w:rsidP="00D66713">
            <w:pPr>
              <w:pStyle w:val="Nadpis4"/>
              <w:jc w:val="both"/>
              <w:outlineLvl w:val="3"/>
              <w:rPr>
                <w:sz w:val="20"/>
                <w:szCs w:val="20"/>
                <w:highlight w:val="yellow"/>
              </w:rPr>
            </w:pPr>
          </w:p>
          <w:p w14:paraId="4AEA158A" w14:textId="2D827728" w:rsidR="00B0221F" w:rsidRPr="0016180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Spôsob transp.</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oblasti gold- platingu a  vyjadrenie k opodstatnenosti goldplatingu*</w:t>
            </w:r>
          </w:p>
        </w:tc>
      </w:tr>
      <w:tr w:rsidR="0049364D" w:rsidRPr="00480673" w14:paraId="0BD377EB" w14:textId="77777777" w:rsidTr="00464474">
        <w:tc>
          <w:tcPr>
            <w:tcW w:w="988" w:type="dxa"/>
            <w:tcBorders>
              <w:top w:val="single" w:sz="4" w:space="0" w:color="auto"/>
              <w:bottom w:val="single" w:sz="4" w:space="0" w:color="auto"/>
            </w:tcBorders>
          </w:tcPr>
          <w:p w14:paraId="0764EB1B" w14:textId="77777777" w:rsidR="0049364D" w:rsidRDefault="0049364D" w:rsidP="00D66713">
            <w:pPr>
              <w:jc w:val="both"/>
              <w:rPr>
                <w:rFonts w:ascii="Times New Roman" w:hAnsi="Times New Roman" w:cs="Times New Roman"/>
                <w:b/>
                <w:bCs/>
                <w:sz w:val="20"/>
                <w:szCs w:val="20"/>
              </w:rPr>
            </w:pPr>
            <w:r>
              <w:rPr>
                <w:rFonts w:ascii="Times New Roman" w:hAnsi="Times New Roman" w:cs="Times New Roman"/>
                <w:b/>
                <w:bCs/>
                <w:sz w:val="20"/>
                <w:szCs w:val="20"/>
              </w:rPr>
              <w:t>Č: 2</w:t>
            </w:r>
          </w:p>
          <w:p w14:paraId="1967E682" w14:textId="77777777" w:rsidR="0049364D" w:rsidRDefault="0049364D" w:rsidP="00D66713">
            <w:pPr>
              <w:jc w:val="both"/>
              <w:rPr>
                <w:rFonts w:ascii="Times New Roman" w:hAnsi="Times New Roman" w:cs="Times New Roman"/>
                <w:b/>
                <w:bCs/>
                <w:sz w:val="20"/>
                <w:szCs w:val="20"/>
              </w:rPr>
            </w:pPr>
            <w:r>
              <w:rPr>
                <w:rFonts w:ascii="Times New Roman" w:hAnsi="Times New Roman" w:cs="Times New Roman"/>
                <w:b/>
                <w:bCs/>
                <w:sz w:val="20"/>
                <w:szCs w:val="20"/>
              </w:rPr>
              <w:t>O: 2</w:t>
            </w:r>
          </w:p>
          <w:p w14:paraId="5BD45ACB" w14:textId="4BFF3A2E" w:rsidR="0049364D" w:rsidRDefault="0049364D"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AF9ABE5" w14:textId="77777777" w:rsidR="0049364D" w:rsidRDefault="0049364D" w:rsidP="00101FEC">
            <w:pPr>
              <w:adjustRightInd w:val="0"/>
              <w:jc w:val="both"/>
              <w:rPr>
                <w:rFonts w:ascii="Times New Roman" w:hAnsi="Times New Roman" w:cs="Times New Roman"/>
                <w:bCs/>
                <w:sz w:val="20"/>
                <w:szCs w:val="20"/>
              </w:rPr>
            </w:pPr>
            <w:r w:rsidRPr="0049364D">
              <w:rPr>
                <w:rFonts w:ascii="Times New Roman" w:hAnsi="Times New Roman" w:cs="Times New Roman"/>
                <w:bCs/>
                <w:sz w:val="20"/>
                <w:szCs w:val="20"/>
              </w:rPr>
              <w:t>2. Členské štáty môžu až do koordinácie vnútroštátnych právnych predpisov týkajúcich sa koncernov prijímať osobitné ustanovenia alebo sankcie v týchto prípadoch:</w:t>
            </w:r>
          </w:p>
          <w:p w14:paraId="661279EA" w14:textId="0DE2A5A7" w:rsidR="0049364D" w:rsidRDefault="0049364D" w:rsidP="00101FEC">
            <w:pPr>
              <w:adjustRightInd w:val="0"/>
              <w:jc w:val="both"/>
              <w:rPr>
                <w:rFonts w:ascii="Times New Roman" w:hAnsi="Times New Roman" w:cs="Times New Roman"/>
                <w:bCs/>
                <w:sz w:val="20"/>
                <w:szCs w:val="20"/>
              </w:rPr>
            </w:pPr>
            <w:r w:rsidRPr="0049364D">
              <w:rPr>
                <w:rFonts w:ascii="Times New Roman" w:hAnsi="Times New Roman" w:cs="Times New Roman"/>
                <w:bCs/>
                <w:sz w:val="20"/>
                <w:szCs w:val="20"/>
              </w:rPr>
              <w:t xml:space="preserve"> </w:t>
            </w:r>
          </w:p>
          <w:p w14:paraId="2ADBEED4" w14:textId="67443AD1" w:rsidR="0049364D" w:rsidRDefault="0049364D" w:rsidP="00101FEC">
            <w:pPr>
              <w:adjustRightInd w:val="0"/>
              <w:jc w:val="both"/>
              <w:rPr>
                <w:rFonts w:ascii="Times New Roman" w:hAnsi="Times New Roman" w:cs="Times New Roman"/>
                <w:bCs/>
                <w:sz w:val="20"/>
                <w:szCs w:val="20"/>
              </w:rPr>
            </w:pPr>
            <w:r w:rsidRPr="0049364D">
              <w:rPr>
                <w:rFonts w:ascii="Times New Roman" w:hAnsi="Times New Roman" w:cs="Times New Roman"/>
                <w:bCs/>
                <w:sz w:val="20"/>
                <w:szCs w:val="20"/>
              </w:rPr>
              <w:t xml:space="preserve">a) fyzická osoba je jediným spoločníkom v niekoľkých spoločnostiach; alebo </w:t>
            </w:r>
          </w:p>
          <w:p w14:paraId="3F9160D5" w14:textId="77777777" w:rsidR="0049364D" w:rsidRDefault="0049364D" w:rsidP="00101FEC">
            <w:pPr>
              <w:adjustRightInd w:val="0"/>
              <w:jc w:val="both"/>
              <w:rPr>
                <w:rFonts w:ascii="Times New Roman" w:hAnsi="Times New Roman" w:cs="Times New Roman"/>
                <w:bCs/>
                <w:sz w:val="20"/>
                <w:szCs w:val="20"/>
              </w:rPr>
            </w:pPr>
          </w:p>
          <w:p w14:paraId="7CAC11BB" w14:textId="12DBFDA1" w:rsidR="0049364D" w:rsidRPr="00161808" w:rsidRDefault="0049364D" w:rsidP="00101FEC">
            <w:pPr>
              <w:adjustRightInd w:val="0"/>
              <w:jc w:val="both"/>
              <w:rPr>
                <w:rFonts w:ascii="Times New Roman" w:hAnsi="Times New Roman" w:cs="Times New Roman"/>
                <w:bCs/>
                <w:sz w:val="20"/>
                <w:szCs w:val="20"/>
              </w:rPr>
            </w:pPr>
            <w:r w:rsidRPr="0049364D">
              <w:rPr>
                <w:rFonts w:ascii="Times New Roman" w:hAnsi="Times New Roman" w:cs="Times New Roman"/>
                <w:bCs/>
                <w:sz w:val="20"/>
                <w:szCs w:val="20"/>
              </w:rPr>
              <w:t>b) spoločnosť s jediným spoločníkom alebo iná právnická osoba je jediným spoločníkom spoločnosti.</w:t>
            </w:r>
          </w:p>
        </w:tc>
        <w:tc>
          <w:tcPr>
            <w:tcW w:w="567" w:type="dxa"/>
            <w:tcBorders>
              <w:top w:val="single" w:sz="4" w:space="0" w:color="auto"/>
              <w:bottom w:val="single" w:sz="4" w:space="0" w:color="auto"/>
            </w:tcBorders>
          </w:tcPr>
          <w:p w14:paraId="70313A07" w14:textId="368068F3" w:rsidR="0049364D" w:rsidRDefault="006E1DDA" w:rsidP="006E1DDA">
            <w:pPr>
              <w:jc w:val="center"/>
              <w:rPr>
                <w:rFonts w:ascii="Times New Roman" w:hAnsi="Times New Roman" w:cs="Times New Roman"/>
                <w:sz w:val="20"/>
                <w:szCs w:val="20"/>
              </w:rPr>
            </w:pPr>
            <w:r>
              <w:rPr>
                <w:rFonts w:ascii="Times New Roman" w:hAnsi="Times New Roman" w:cs="Times New Roman"/>
                <w:sz w:val="20"/>
                <w:szCs w:val="20"/>
              </w:rPr>
              <w:t>D</w:t>
            </w:r>
            <w:r w:rsidR="0049364D">
              <w:rPr>
                <w:rFonts w:ascii="Times New Roman" w:hAnsi="Times New Roman" w:cs="Times New Roman"/>
                <w:sz w:val="20"/>
                <w:szCs w:val="20"/>
              </w:rPr>
              <w:t xml:space="preserve"> </w:t>
            </w:r>
          </w:p>
        </w:tc>
        <w:tc>
          <w:tcPr>
            <w:tcW w:w="708" w:type="dxa"/>
            <w:tcBorders>
              <w:top w:val="single" w:sz="4" w:space="0" w:color="auto"/>
              <w:bottom w:val="single" w:sz="4" w:space="0" w:color="auto"/>
            </w:tcBorders>
          </w:tcPr>
          <w:p w14:paraId="2B8C0B91" w14:textId="77777777" w:rsidR="0049364D" w:rsidRDefault="0049364D" w:rsidP="00D6671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36A4783E" w14:textId="77777777" w:rsidR="0049364D" w:rsidRDefault="0049364D" w:rsidP="00D66713">
            <w:pPr>
              <w:pStyle w:val="Normlny0"/>
              <w:jc w:val="center"/>
            </w:pPr>
          </w:p>
        </w:tc>
        <w:tc>
          <w:tcPr>
            <w:tcW w:w="3686" w:type="dxa"/>
            <w:tcBorders>
              <w:top w:val="single" w:sz="4" w:space="0" w:color="auto"/>
              <w:bottom w:val="single" w:sz="4" w:space="0" w:color="auto"/>
            </w:tcBorders>
          </w:tcPr>
          <w:p w14:paraId="5EA5AFB3" w14:textId="77777777" w:rsidR="0049364D" w:rsidRDefault="0049364D" w:rsidP="00FF6343">
            <w:pPr>
              <w:pStyle w:val="Normlny0"/>
              <w:jc w:val="center"/>
            </w:pPr>
          </w:p>
        </w:tc>
        <w:tc>
          <w:tcPr>
            <w:tcW w:w="850" w:type="dxa"/>
            <w:tcBorders>
              <w:top w:val="single" w:sz="4" w:space="0" w:color="auto"/>
              <w:bottom w:val="single" w:sz="4" w:space="0" w:color="auto"/>
            </w:tcBorders>
          </w:tcPr>
          <w:p w14:paraId="15524351" w14:textId="60CB94B5" w:rsidR="0049364D" w:rsidRDefault="006E1DDA" w:rsidP="009F6498">
            <w:pPr>
              <w:jc w:val="center"/>
              <w:rPr>
                <w:rFonts w:ascii="Times New Roman" w:hAnsi="Times New Roman" w:cs="Times New Roman"/>
                <w:sz w:val="20"/>
                <w:szCs w:val="20"/>
              </w:rPr>
            </w:pPr>
            <w:r>
              <w:rPr>
                <w:rFonts w:ascii="Times New Roman" w:hAnsi="Times New Roman" w:cs="Times New Roman"/>
                <w:sz w:val="20"/>
                <w:szCs w:val="20"/>
              </w:rPr>
              <w:t>n.a.</w:t>
            </w:r>
          </w:p>
        </w:tc>
        <w:tc>
          <w:tcPr>
            <w:tcW w:w="1418" w:type="dxa"/>
            <w:tcBorders>
              <w:top w:val="single" w:sz="4" w:space="0" w:color="auto"/>
              <w:bottom w:val="single" w:sz="4" w:space="0" w:color="auto"/>
            </w:tcBorders>
          </w:tcPr>
          <w:p w14:paraId="696C1C3B" w14:textId="693E7F22" w:rsidR="0049364D" w:rsidRDefault="00FD49E2" w:rsidP="0049364D">
            <w:pPr>
              <w:jc w:val="both"/>
              <w:rPr>
                <w:rFonts w:ascii="Times New Roman" w:hAnsi="Times New Roman" w:cs="Times New Roman"/>
                <w:sz w:val="20"/>
                <w:szCs w:val="20"/>
              </w:rPr>
            </w:pPr>
            <w:r>
              <w:rPr>
                <w:rFonts w:ascii="Times New Roman" w:hAnsi="Times New Roman" w:cs="Times New Roman"/>
                <w:sz w:val="20"/>
                <w:szCs w:val="20"/>
              </w:rPr>
              <w:t>V čl. II novelizačný bod 8</w:t>
            </w:r>
            <w:r w:rsidR="0049364D">
              <w:rPr>
                <w:rFonts w:ascii="Times New Roman" w:hAnsi="Times New Roman" w:cs="Times New Roman"/>
                <w:sz w:val="20"/>
                <w:szCs w:val="20"/>
              </w:rPr>
              <w:t xml:space="preserve"> sa vypúšťa ustanovenie § 105a Obchodného zákonníka, ktoré predstavovalo transpozíciu tohto ustanovenia. </w:t>
            </w:r>
          </w:p>
          <w:p w14:paraId="0FED3360" w14:textId="2D92B958" w:rsidR="0049364D" w:rsidRPr="0049364D" w:rsidRDefault="0049364D" w:rsidP="0049364D">
            <w:pPr>
              <w:jc w:val="both"/>
              <w:rPr>
                <w:rFonts w:ascii="Times New Roman" w:hAnsi="Times New Roman" w:cs="Times New Roman"/>
                <w:sz w:val="20"/>
                <w:szCs w:val="20"/>
              </w:rPr>
            </w:pPr>
            <w:r>
              <w:rPr>
                <w:rFonts w:ascii="Times New Roman" w:hAnsi="Times New Roman" w:cs="Times New Roman"/>
                <w:sz w:val="20"/>
                <w:szCs w:val="20"/>
              </w:rPr>
              <w:t xml:space="preserve">V praxi sa jeho potreba nepreukázala a predkladateľ nepovažuje jeho ďalšiu úpravu za nevyhnutnú. </w:t>
            </w:r>
          </w:p>
        </w:tc>
        <w:tc>
          <w:tcPr>
            <w:tcW w:w="850" w:type="dxa"/>
            <w:tcBorders>
              <w:top w:val="single" w:sz="4" w:space="0" w:color="auto"/>
              <w:bottom w:val="single" w:sz="4" w:space="0" w:color="auto"/>
            </w:tcBorders>
          </w:tcPr>
          <w:p w14:paraId="19D89F27" w14:textId="77777777" w:rsidR="0049364D" w:rsidRPr="00480673" w:rsidRDefault="0049364D" w:rsidP="00D66713">
            <w:pPr>
              <w:jc w:val="center"/>
              <w:rPr>
                <w:rFonts w:ascii="Times New Roman" w:hAnsi="Times New Roman" w:cs="Times New Roman"/>
                <w:b/>
                <w:sz w:val="20"/>
                <w:szCs w:val="20"/>
              </w:rPr>
            </w:pPr>
          </w:p>
        </w:tc>
        <w:tc>
          <w:tcPr>
            <w:tcW w:w="1383" w:type="dxa"/>
            <w:tcBorders>
              <w:top w:val="single" w:sz="4" w:space="0" w:color="auto"/>
              <w:bottom w:val="single" w:sz="4" w:space="0" w:color="auto"/>
            </w:tcBorders>
          </w:tcPr>
          <w:p w14:paraId="265E5444" w14:textId="77777777" w:rsidR="0049364D" w:rsidRPr="00480673" w:rsidRDefault="0049364D" w:rsidP="00D66713">
            <w:pPr>
              <w:jc w:val="center"/>
              <w:rPr>
                <w:rFonts w:ascii="Times New Roman" w:hAnsi="Times New Roman" w:cs="Times New Roman"/>
                <w:sz w:val="20"/>
                <w:szCs w:val="20"/>
                <w:highlight w:val="red"/>
              </w:rPr>
            </w:pPr>
          </w:p>
        </w:tc>
      </w:tr>
      <w:tr w:rsidR="001F2595" w:rsidRPr="00480673" w14:paraId="09E0BA43" w14:textId="77777777" w:rsidTr="00464474">
        <w:tc>
          <w:tcPr>
            <w:tcW w:w="988" w:type="dxa"/>
            <w:tcBorders>
              <w:top w:val="single" w:sz="4" w:space="0" w:color="auto"/>
              <w:bottom w:val="single" w:sz="4" w:space="0" w:color="auto"/>
            </w:tcBorders>
          </w:tcPr>
          <w:p w14:paraId="110CD10E" w14:textId="7F15BB14" w:rsidR="001F2595" w:rsidRPr="00480673" w:rsidRDefault="00161808" w:rsidP="00D66713">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3</w:t>
            </w:r>
          </w:p>
          <w:p w14:paraId="33BCC7B9" w14:textId="77777777" w:rsidR="001F2595" w:rsidRPr="00480673" w:rsidRDefault="001F2595" w:rsidP="00D66713">
            <w:pPr>
              <w:jc w:val="both"/>
              <w:rPr>
                <w:rFonts w:ascii="Times New Roman" w:hAnsi="Times New Roman" w:cs="Times New Roman"/>
                <w:b/>
                <w:bCs/>
                <w:sz w:val="20"/>
                <w:szCs w:val="20"/>
              </w:rPr>
            </w:pPr>
          </w:p>
          <w:p w14:paraId="6C46E28A" w14:textId="77777777" w:rsidR="001F2595" w:rsidRPr="00480673" w:rsidRDefault="001F2595"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B48985C" w14:textId="462B5EB1" w:rsidR="00101FEC" w:rsidRPr="00480673" w:rsidRDefault="00161808" w:rsidP="00101FEC">
            <w:pPr>
              <w:adjustRightInd w:val="0"/>
              <w:jc w:val="both"/>
              <w:rPr>
                <w:rFonts w:ascii="Times New Roman" w:hAnsi="Times New Roman" w:cs="Times New Roman"/>
                <w:bCs/>
                <w:sz w:val="20"/>
                <w:szCs w:val="20"/>
              </w:rPr>
            </w:pPr>
            <w:r w:rsidRPr="00161808">
              <w:rPr>
                <w:rFonts w:ascii="Times New Roman" w:hAnsi="Times New Roman" w:cs="Times New Roman"/>
                <w:bCs/>
                <w:sz w:val="20"/>
                <w:szCs w:val="20"/>
              </w:rPr>
              <w:t>Ak sa spoločnosť stane spoločnosťou s jediným spoločníkom v dôsledku sústredenia všetkých jej podielov do rúk jedinej osoby, musí to byť spolu s totožnosťou jediného spoločníka buď zaznamenané v spisoch, alebo v uvedené v registri uvedenom v článku 3 ods. 1 a 2 smernice 68/151/EHS, alebo uvedené v registri vedenom spoločnosťou a prístupnom verejnosti.</w:t>
            </w:r>
          </w:p>
          <w:p w14:paraId="0B09EEAC" w14:textId="77777777" w:rsidR="00101FEC" w:rsidRPr="00480673" w:rsidRDefault="00101FEC" w:rsidP="00101FEC">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1715E985" w14:textId="38FE07C1" w:rsidR="001F2595" w:rsidRPr="00480673" w:rsidRDefault="00161808" w:rsidP="00D66713">
            <w:pPr>
              <w:jc w:val="center"/>
              <w:rPr>
                <w:rFonts w:ascii="Times New Roman" w:hAnsi="Times New Roman" w:cs="Times New Roman"/>
                <w:sz w:val="20"/>
                <w:szCs w:val="20"/>
              </w:rPr>
            </w:pPr>
            <w:r>
              <w:rPr>
                <w:rFonts w:ascii="Times New Roman" w:hAnsi="Times New Roman" w:cs="Times New Roman"/>
                <w:sz w:val="20"/>
                <w:szCs w:val="20"/>
              </w:rPr>
              <w:t>N</w:t>
            </w:r>
          </w:p>
        </w:tc>
        <w:tc>
          <w:tcPr>
            <w:tcW w:w="708" w:type="dxa"/>
            <w:tcBorders>
              <w:top w:val="single" w:sz="4" w:space="0" w:color="auto"/>
              <w:bottom w:val="single" w:sz="4" w:space="0" w:color="auto"/>
            </w:tcBorders>
          </w:tcPr>
          <w:p w14:paraId="42226B5B" w14:textId="77777777" w:rsidR="001F2595" w:rsidRDefault="00C46284" w:rsidP="00D66713">
            <w:pPr>
              <w:jc w:val="center"/>
              <w:rPr>
                <w:rFonts w:ascii="Times New Roman" w:hAnsi="Times New Roman" w:cs="Times New Roman"/>
                <w:sz w:val="20"/>
                <w:szCs w:val="20"/>
              </w:rPr>
            </w:pPr>
            <w:r>
              <w:rPr>
                <w:rFonts w:ascii="Times New Roman" w:hAnsi="Times New Roman" w:cs="Times New Roman"/>
                <w:sz w:val="20"/>
                <w:szCs w:val="20"/>
              </w:rPr>
              <w:t>1</w:t>
            </w:r>
          </w:p>
          <w:p w14:paraId="0B6C8D0D" w14:textId="77777777" w:rsidR="00CC2C39" w:rsidRDefault="00CC2C39" w:rsidP="00D66713">
            <w:pPr>
              <w:jc w:val="center"/>
              <w:rPr>
                <w:rFonts w:ascii="Times New Roman" w:hAnsi="Times New Roman" w:cs="Times New Roman"/>
                <w:sz w:val="20"/>
                <w:szCs w:val="20"/>
              </w:rPr>
            </w:pP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77777777" w:rsidR="00CC2C39" w:rsidRDefault="00CC2C39" w:rsidP="00D66713">
            <w:pPr>
              <w:jc w:val="center"/>
              <w:rPr>
                <w:rFonts w:ascii="Times New Roman" w:hAnsi="Times New Roman" w:cs="Times New Roman"/>
                <w:sz w:val="20"/>
                <w:szCs w:val="20"/>
              </w:rPr>
            </w:pPr>
          </w:p>
          <w:p w14:paraId="3661A945" w14:textId="77777777" w:rsidR="00CC2C39" w:rsidRDefault="00CC2C39" w:rsidP="00D66713">
            <w:pPr>
              <w:jc w:val="center"/>
              <w:rPr>
                <w:rFonts w:ascii="Times New Roman" w:hAnsi="Times New Roman" w:cs="Times New Roman"/>
                <w:sz w:val="20"/>
                <w:szCs w:val="20"/>
              </w:rPr>
            </w:pPr>
          </w:p>
          <w:p w14:paraId="436042CB" w14:textId="77777777" w:rsidR="00CC2C39" w:rsidRDefault="00CC2C39" w:rsidP="00D66713">
            <w:pPr>
              <w:jc w:val="center"/>
              <w:rPr>
                <w:rFonts w:ascii="Times New Roman" w:hAnsi="Times New Roman" w:cs="Times New Roman"/>
                <w:sz w:val="20"/>
                <w:szCs w:val="20"/>
              </w:rPr>
            </w:pPr>
          </w:p>
          <w:p w14:paraId="0B78D705"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0E0AB78B" w14:textId="77777777" w:rsidR="00CC2C39" w:rsidRDefault="00CC2C39" w:rsidP="00D66713">
            <w:pPr>
              <w:jc w:val="center"/>
              <w:rPr>
                <w:rFonts w:ascii="Times New Roman" w:hAnsi="Times New Roman" w:cs="Times New Roman"/>
                <w:sz w:val="20"/>
                <w:szCs w:val="20"/>
              </w:rPr>
            </w:pP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77777777" w:rsidR="00CC2C39" w:rsidRDefault="00CC2C39" w:rsidP="00D66713">
            <w:pPr>
              <w:jc w:val="center"/>
              <w:rPr>
                <w:rFonts w:ascii="Times New Roman" w:hAnsi="Times New Roman" w:cs="Times New Roman"/>
                <w:sz w:val="20"/>
                <w:szCs w:val="20"/>
              </w:rPr>
            </w:pPr>
          </w:p>
          <w:p w14:paraId="5CD2E44D" w14:textId="77777777" w:rsidR="00CC2C39" w:rsidRDefault="00CC2C39" w:rsidP="00D66713">
            <w:pPr>
              <w:jc w:val="center"/>
              <w:rPr>
                <w:rFonts w:ascii="Times New Roman" w:hAnsi="Times New Roman" w:cs="Times New Roman"/>
                <w:sz w:val="20"/>
                <w:szCs w:val="20"/>
              </w:rPr>
            </w:pPr>
          </w:p>
          <w:p w14:paraId="443D7E38" w14:textId="77777777" w:rsidR="00CC2C39" w:rsidRDefault="00CC2C39" w:rsidP="00D66713">
            <w:pPr>
              <w:jc w:val="center"/>
              <w:rPr>
                <w:rFonts w:ascii="Times New Roman" w:hAnsi="Times New Roman" w:cs="Times New Roman"/>
                <w:sz w:val="20"/>
                <w:szCs w:val="20"/>
              </w:rPr>
            </w:pPr>
          </w:p>
          <w:p w14:paraId="155E8FF9" w14:textId="77777777" w:rsidR="00CC2C39" w:rsidRDefault="00CC2C39" w:rsidP="00D66713">
            <w:pPr>
              <w:jc w:val="center"/>
              <w:rPr>
                <w:rFonts w:ascii="Times New Roman" w:hAnsi="Times New Roman" w:cs="Times New Roman"/>
                <w:sz w:val="20"/>
                <w:szCs w:val="20"/>
              </w:rPr>
            </w:pPr>
          </w:p>
          <w:p w14:paraId="3298E9BC" w14:textId="77777777" w:rsidR="00CC2C39" w:rsidRDefault="00CC2C39" w:rsidP="00D66713">
            <w:pPr>
              <w:jc w:val="center"/>
              <w:rPr>
                <w:rFonts w:ascii="Times New Roman" w:hAnsi="Times New Roman" w:cs="Times New Roman"/>
                <w:sz w:val="20"/>
                <w:szCs w:val="20"/>
              </w:rPr>
            </w:pPr>
          </w:p>
          <w:p w14:paraId="0569E9F5" w14:textId="77777777" w:rsidR="00CC2C39" w:rsidRDefault="00CC2C39" w:rsidP="00D66713">
            <w:pPr>
              <w:jc w:val="center"/>
              <w:rPr>
                <w:rFonts w:ascii="Times New Roman" w:hAnsi="Times New Roman" w:cs="Times New Roman"/>
                <w:sz w:val="20"/>
                <w:szCs w:val="20"/>
              </w:rPr>
            </w:pPr>
          </w:p>
          <w:p w14:paraId="1CB913CD" w14:textId="77777777" w:rsidR="00CC2C39" w:rsidRDefault="00CC2C39" w:rsidP="00D66713">
            <w:pPr>
              <w:jc w:val="center"/>
              <w:rPr>
                <w:rFonts w:ascii="Times New Roman" w:hAnsi="Times New Roman" w:cs="Times New Roman"/>
                <w:sz w:val="20"/>
                <w:szCs w:val="20"/>
              </w:rPr>
            </w:pPr>
          </w:p>
          <w:p w14:paraId="4DA8127A" w14:textId="77777777" w:rsidR="00CC2C39" w:rsidRDefault="00CC2C39" w:rsidP="00D66713">
            <w:pPr>
              <w:jc w:val="center"/>
              <w:rPr>
                <w:rFonts w:ascii="Times New Roman" w:hAnsi="Times New Roman" w:cs="Times New Roman"/>
                <w:sz w:val="20"/>
                <w:szCs w:val="20"/>
              </w:rPr>
            </w:pPr>
          </w:p>
          <w:p w14:paraId="12077A0E" w14:textId="77777777" w:rsidR="00CC2C39" w:rsidRDefault="00CC2C39" w:rsidP="00D66713">
            <w:pPr>
              <w:jc w:val="center"/>
              <w:rPr>
                <w:rFonts w:ascii="Times New Roman" w:hAnsi="Times New Roman" w:cs="Times New Roman"/>
                <w:sz w:val="20"/>
                <w:szCs w:val="20"/>
              </w:rPr>
            </w:pPr>
          </w:p>
          <w:p w14:paraId="53EF352A" w14:textId="77777777" w:rsidR="00CC2C39" w:rsidRDefault="00CC2C39" w:rsidP="00D66713">
            <w:pPr>
              <w:jc w:val="center"/>
              <w:rPr>
                <w:rFonts w:ascii="Times New Roman" w:hAnsi="Times New Roman" w:cs="Times New Roman"/>
                <w:sz w:val="20"/>
                <w:szCs w:val="20"/>
              </w:rPr>
            </w:pPr>
          </w:p>
          <w:p w14:paraId="57FE1604" w14:textId="77777777" w:rsidR="00CC2C39" w:rsidRDefault="00CC2C39" w:rsidP="00D66713">
            <w:pPr>
              <w:jc w:val="center"/>
              <w:rPr>
                <w:rFonts w:ascii="Times New Roman" w:hAnsi="Times New Roman" w:cs="Times New Roman"/>
                <w:sz w:val="20"/>
                <w:szCs w:val="20"/>
              </w:rPr>
            </w:pPr>
          </w:p>
          <w:p w14:paraId="05A771F7" w14:textId="413494C7" w:rsidR="00CC2C39" w:rsidRDefault="00CC2C39" w:rsidP="00D66713">
            <w:pPr>
              <w:jc w:val="center"/>
              <w:rPr>
                <w:rFonts w:ascii="Times New Roman" w:hAnsi="Times New Roman" w:cs="Times New Roman"/>
                <w:sz w:val="20"/>
                <w:szCs w:val="20"/>
              </w:rPr>
            </w:pPr>
          </w:p>
          <w:p w14:paraId="193C5E27" w14:textId="3BF4B910" w:rsidR="00592E9D" w:rsidRDefault="00592E9D" w:rsidP="00D66713">
            <w:pPr>
              <w:jc w:val="center"/>
              <w:rPr>
                <w:rFonts w:ascii="Times New Roman" w:hAnsi="Times New Roman" w:cs="Times New Roman"/>
                <w:sz w:val="20"/>
                <w:szCs w:val="20"/>
              </w:rPr>
            </w:pPr>
          </w:p>
          <w:p w14:paraId="366C6BD0" w14:textId="7870CB99" w:rsidR="00592E9D" w:rsidRDefault="00592E9D" w:rsidP="00D66713">
            <w:pPr>
              <w:jc w:val="center"/>
              <w:rPr>
                <w:rFonts w:ascii="Times New Roman" w:hAnsi="Times New Roman" w:cs="Times New Roman"/>
                <w:sz w:val="20"/>
                <w:szCs w:val="20"/>
              </w:rPr>
            </w:pPr>
          </w:p>
          <w:p w14:paraId="1A3F9FE6" w14:textId="15E60303" w:rsidR="00592E9D" w:rsidRDefault="00592E9D" w:rsidP="00D66713">
            <w:pPr>
              <w:jc w:val="center"/>
              <w:rPr>
                <w:rFonts w:ascii="Times New Roman" w:hAnsi="Times New Roman" w:cs="Times New Roman"/>
                <w:sz w:val="20"/>
                <w:szCs w:val="20"/>
              </w:rPr>
            </w:pPr>
          </w:p>
          <w:p w14:paraId="11B0DA89" w14:textId="77777777" w:rsidR="00592E9D" w:rsidRDefault="00592E9D" w:rsidP="00D66713">
            <w:pPr>
              <w:jc w:val="center"/>
              <w:rPr>
                <w:rFonts w:ascii="Times New Roman" w:hAnsi="Times New Roman" w:cs="Times New Roman"/>
                <w:sz w:val="20"/>
                <w:szCs w:val="20"/>
              </w:rPr>
            </w:pPr>
          </w:p>
          <w:p w14:paraId="0DA6D477" w14:textId="25142A8B"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0EF22AC5" w14:textId="77777777" w:rsidR="00CC2C39" w:rsidRDefault="00CC2C39" w:rsidP="00D66713">
            <w:pPr>
              <w:jc w:val="center"/>
              <w:rPr>
                <w:rFonts w:ascii="Times New Roman" w:hAnsi="Times New Roman" w:cs="Times New Roman"/>
                <w:sz w:val="20"/>
                <w:szCs w:val="20"/>
              </w:rPr>
            </w:pPr>
          </w:p>
          <w:p w14:paraId="1A25597B" w14:textId="77777777" w:rsidR="00CC2C39" w:rsidRDefault="00CC2C39" w:rsidP="00D66713">
            <w:pPr>
              <w:jc w:val="center"/>
              <w:rPr>
                <w:rFonts w:ascii="Times New Roman" w:hAnsi="Times New Roman" w:cs="Times New Roman"/>
                <w:sz w:val="20"/>
                <w:szCs w:val="20"/>
              </w:rPr>
            </w:pPr>
          </w:p>
          <w:p w14:paraId="15A42F80" w14:textId="77777777" w:rsidR="00CC2C39" w:rsidRDefault="00CC2C39" w:rsidP="00D66713">
            <w:pPr>
              <w:jc w:val="center"/>
              <w:rPr>
                <w:rFonts w:ascii="Times New Roman" w:hAnsi="Times New Roman" w:cs="Times New Roman"/>
                <w:sz w:val="20"/>
                <w:szCs w:val="20"/>
              </w:rPr>
            </w:pPr>
          </w:p>
          <w:p w14:paraId="78559AA4" w14:textId="77777777" w:rsidR="00CC2C39" w:rsidRDefault="00CC2C39" w:rsidP="00D66713">
            <w:pPr>
              <w:jc w:val="center"/>
              <w:rPr>
                <w:rFonts w:ascii="Times New Roman" w:hAnsi="Times New Roman" w:cs="Times New Roman"/>
                <w:sz w:val="20"/>
                <w:szCs w:val="20"/>
              </w:rPr>
            </w:pPr>
          </w:p>
          <w:p w14:paraId="207C908B" w14:textId="77777777" w:rsidR="00CC2C39" w:rsidRDefault="00CC2C39" w:rsidP="00D66713">
            <w:pPr>
              <w:jc w:val="center"/>
              <w:rPr>
                <w:rFonts w:ascii="Times New Roman" w:hAnsi="Times New Roman" w:cs="Times New Roman"/>
                <w:sz w:val="20"/>
                <w:szCs w:val="20"/>
              </w:rPr>
            </w:pPr>
          </w:p>
          <w:p w14:paraId="595ED36E" w14:textId="77777777" w:rsidR="00CC2C39" w:rsidRDefault="00CC2C39" w:rsidP="00D66713">
            <w:pPr>
              <w:jc w:val="center"/>
              <w:rPr>
                <w:rFonts w:ascii="Times New Roman" w:hAnsi="Times New Roman" w:cs="Times New Roman"/>
                <w:sz w:val="20"/>
                <w:szCs w:val="20"/>
              </w:rPr>
            </w:pPr>
          </w:p>
          <w:p w14:paraId="69477AAB" w14:textId="12E26EB9" w:rsidR="00CC2C39" w:rsidRDefault="00CC2C39" w:rsidP="00D66713">
            <w:pPr>
              <w:jc w:val="center"/>
              <w:rPr>
                <w:rFonts w:ascii="Times New Roman" w:hAnsi="Times New Roman" w:cs="Times New Roman"/>
                <w:sz w:val="20"/>
                <w:szCs w:val="20"/>
              </w:rPr>
            </w:pPr>
          </w:p>
          <w:p w14:paraId="13BE5D97" w14:textId="77777777" w:rsidR="00592E9D" w:rsidRDefault="00592E9D" w:rsidP="00D66713">
            <w:pPr>
              <w:jc w:val="center"/>
              <w:rPr>
                <w:rFonts w:ascii="Times New Roman" w:hAnsi="Times New Roman" w:cs="Times New Roman"/>
                <w:sz w:val="20"/>
                <w:szCs w:val="20"/>
              </w:rPr>
            </w:pPr>
          </w:p>
          <w:p w14:paraId="269F5C82" w14:textId="77777777" w:rsidR="00CC2C39" w:rsidRDefault="00CC2C39" w:rsidP="00D66713">
            <w:pPr>
              <w:jc w:val="center"/>
              <w:rPr>
                <w:rFonts w:ascii="Times New Roman" w:hAnsi="Times New Roman" w:cs="Times New Roman"/>
                <w:sz w:val="20"/>
                <w:szCs w:val="20"/>
              </w:rPr>
            </w:pPr>
          </w:p>
          <w:p w14:paraId="493C6CC0"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56AA25CB" w14:textId="77777777" w:rsidR="00CC2C39" w:rsidRDefault="00CC2C39" w:rsidP="00D66713">
            <w:pPr>
              <w:jc w:val="center"/>
              <w:rPr>
                <w:rFonts w:ascii="Times New Roman" w:hAnsi="Times New Roman" w:cs="Times New Roman"/>
                <w:sz w:val="20"/>
                <w:szCs w:val="20"/>
              </w:rPr>
            </w:pPr>
          </w:p>
          <w:p w14:paraId="2D1226DC" w14:textId="77777777" w:rsidR="00CC2C39" w:rsidRDefault="00CC2C39" w:rsidP="00D66713">
            <w:pPr>
              <w:jc w:val="center"/>
              <w:rPr>
                <w:rFonts w:ascii="Times New Roman" w:hAnsi="Times New Roman" w:cs="Times New Roman"/>
                <w:sz w:val="20"/>
                <w:szCs w:val="20"/>
              </w:rPr>
            </w:pPr>
          </w:p>
          <w:p w14:paraId="693183E2" w14:textId="77777777" w:rsidR="00CC2C39" w:rsidRDefault="00CC2C39" w:rsidP="00D66713">
            <w:pPr>
              <w:jc w:val="center"/>
              <w:rPr>
                <w:rFonts w:ascii="Times New Roman" w:hAnsi="Times New Roman" w:cs="Times New Roman"/>
                <w:sz w:val="20"/>
                <w:szCs w:val="20"/>
              </w:rPr>
            </w:pPr>
          </w:p>
          <w:p w14:paraId="50347F54" w14:textId="77777777" w:rsidR="00CC2C39" w:rsidRDefault="00CC2C39" w:rsidP="00D66713">
            <w:pPr>
              <w:jc w:val="center"/>
              <w:rPr>
                <w:rFonts w:ascii="Times New Roman" w:hAnsi="Times New Roman" w:cs="Times New Roman"/>
                <w:sz w:val="20"/>
                <w:szCs w:val="20"/>
              </w:rPr>
            </w:pPr>
          </w:p>
          <w:p w14:paraId="38E6D9B8" w14:textId="77777777" w:rsidR="00CC2C39" w:rsidRDefault="00CC2C39" w:rsidP="00D66713">
            <w:pPr>
              <w:jc w:val="center"/>
              <w:rPr>
                <w:rFonts w:ascii="Times New Roman" w:hAnsi="Times New Roman" w:cs="Times New Roman"/>
                <w:sz w:val="20"/>
                <w:szCs w:val="20"/>
              </w:rPr>
            </w:pPr>
          </w:p>
          <w:p w14:paraId="79CF99B4" w14:textId="77777777" w:rsidR="00CC2C39" w:rsidRDefault="00CC2C39" w:rsidP="00D66713">
            <w:pPr>
              <w:jc w:val="center"/>
              <w:rPr>
                <w:rFonts w:ascii="Times New Roman" w:hAnsi="Times New Roman" w:cs="Times New Roman"/>
                <w:sz w:val="20"/>
                <w:szCs w:val="20"/>
              </w:rPr>
            </w:pPr>
          </w:p>
          <w:p w14:paraId="73A4F0CB" w14:textId="77777777" w:rsidR="00CC2C39" w:rsidRDefault="00CC2C39" w:rsidP="00D66713">
            <w:pPr>
              <w:jc w:val="center"/>
              <w:rPr>
                <w:rFonts w:ascii="Times New Roman" w:hAnsi="Times New Roman" w:cs="Times New Roman"/>
                <w:sz w:val="20"/>
                <w:szCs w:val="20"/>
              </w:rPr>
            </w:pPr>
          </w:p>
          <w:p w14:paraId="0A05D395" w14:textId="77777777" w:rsidR="00CC2C39" w:rsidRDefault="00CC2C39" w:rsidP="00D66713">
            <w:pPr>
              <w:jc w:val="center"/>
              <w:rPr>
                <w:rFonts w:ascii="Times New Roman" w:hAnsi="Times New Roman" w:cs="Times New Roman"/>
                <w:sz w:val="20"/>
                <w:szCs w:val="20"/>
              </w:rPr>
            </w:pPr>
          </w:p>
          <w:p w14:paraId="421BE3A9" w14:textId="77777777" w:rsidR="00CC2C39" w:rsidRDefault="00CC2C39" w:rsidP="00D66713">
            <w:pPr>
              <w:jc w:val="center"/>
              <w:rPr>
                <w:rFonts w:ascii="Times New Roman" w:hAnsi="Times New Roman" w:cs="Times New Roman"/>
                <w:sz w:val="20"/>
                <w:szCs w:val="20"/>
              </w:rPr>
            </w:pPr>
          </w:p>
          <w:p w14:paraId="0054A9FF" w14:textId="77777777" w:rsidR="00CC2C39" w:rsidRDefault="00CC2C39" w:rsidP="00D66713">
            <w:pPr>
              <w:jc w:val="center"/>
              <w:rPr>
                <w:rFonts w:ascii="Times New Roman" w:hAnsi="Times New Roman" w:cs="Times New Roman"/>
                <w:sz w:val="20"/>
                <w:szCs w:val="20"/>
              </w:rPr>
            </w:pPr>
          </w:p>
          <w:p w14:paraId="648A08B7" w14:textId="77777777" w:rsidR="00CC2C39" w:rsidRDefault="00CC2C39" w:rsidP="00D66713">
            <w:pPr>
              <w:jc w:val="center"/>
              <w:rPr>
                <w:rFonts w:ascii="Times New Roman" w:hAnsi="Times New Roman" w:cs="Times New Roman"/>
                <w:sz w:val="20"/>
                <w:szCs w:val="20"/>
              </w:rPr>
            </w:pPr>
          </w:p>
          <w:p w14:paraId="48B6744A" w14:textId="778A6A6A" w:rsidR="00CC2C39" w:rsidRDefault="00CC2C39" w:rsidP="00D66713">
            <w:pPr>
              <w:jc w:val="center"/>
              <w:rPr>
                <w:rFonts w:ascii="Times New Roman" w:hAnsi="Times New Roman" w:cs="Times New Roman"/>
                <w:sz w:val="20"/>
                <w:szCs w:val="20"/>
              </w:rPr>
            </w:pPr>
          </w:p>
          <w:p w14:paraId="14215EF2" w14:textId="77777777" w:rsidR="00AB3E3D" w:rsidRDefault="00AB3E3D" w:rsidP="00D66713">
            <w:pPr>
              <w:jc w:val="center"/>
              <w:rPr>
                <w:rFonts w:ascii="Times New Roman" w:hAnsi="Times New Roman" w:cs="Times New Roman"/>
                <w:sz w:val="20"/>
                <w:szCs w:val="20"/>
              </w:rPr>
            </w:pPr>
          </w:p>
          <w:p w14:paraId="5865631C" w14:textId="71C1CB8B" w:rsidR="00CC2C39" w:rsidRDefault="00CC2C39" w:rsidP="00D66713">
            <w:pPr>
              <w:jc w:val="center"/>
              <w:rPr>
                <w:rFonts w:ascii="Times New Roman" w:hAnsi="Times New Roman" w:cs="Times New Roman"/>
                <w:sz w:val="20"/>
                <w:szCs w:val="20"/>
              </w:rPr>
            </w:pPr>
          </w:p>
          <w:p w14:paraId="32AA8D1B" w14:textId="77777777" w:rsidR="00592E9D" w:rsidRDefault="00592E9D" w:rsidP="00D66713">
            <w:pPr>
              <w:jc w:val="center"/>
              <w:rPr>
                <w:rFonts w:ascii="Times New Roman" w:hAnsi="Times New Roman" w:cs="Times New Roman"/>
                <w:sz w:val="20"/>
                <w:szCs w:val="20"/>
              </w:rPr>
            </w:pPr>
          </w:p>
          <w:p w14:paraId="17F1ADAB" w14:textId="1932B154" w:rsidR="00CC2C39" w:rsidRDefault="00CC2C39" w:rsidP="00D66713">
            <w:pPr>
              <w:jc w:val="center"/>
              <w:rPr>
                <w:rFonts w:ascii="Times New Roman" w:hAnsi="Times New Roman" w:cs="Times New Roman"/>
                <w:sz w:val="20"/>
                <w:szCs w:val="20"/>
              </w:rPr>
            </w:pPr>
          </w:p>
          <w:p w14:paraId="48C9939F" w14:textId="783105C3" w:rsidR="0054472B" w:rsidRDefault="0054472B" w:rsidP="00D66713">
            <w:pPr>
              <w:jc w:val="center"/>
              <w:rPr>
                <w:rFonts w:ascii="Times New Roman" w:hAnsi="Times New Roman" w:cs="Times New Roman"/>
                <w:sz w:val="20"/>
                <w:szCs w:val="20"/>
              </w:rPr>
            </w:pPr>
          </w:p>
          <w:p w14:paraId="0BB7033A" w14:textId="77777777" w:rsidR="0054472B" w:rsidRDefault="0054472B" w:rsidP="00D66713">
            <w:pPr>
              <w:jc w:val="center"/>
              <w:rPr>
                <w:rFonts w:ascii="Times New Roman" w:hAnsi="Times New Roman" w:cs="Times New Roman"/>
                <w:sz w:val="20"/>
                <w:szCs w:val="20"/>
              </w:rPr>
            </w:pPr>
          </w:p>
          <w:p w14:paraId="651D6A4B"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3AFBAB7B" w14:textId="77777777" w:rsidR="007408DC" w:rsidRDefault="007408DC" w:rsidP="00D66713">
            <w:pPr>
              <w:jc w:val="center"/>
              <w:rPr>
                <w:rFonts w:ascii="Times New Roman" w:hAnsi="Times New Roman" w:cs="Times New Roman"/>
                <w:sz w:val="20"/>
                <w:szCs w:val="20"/>
              </w:rPr>
            </w:pPr>
          </w:p>
          <w:p w14:paraId="48CD5678" w14:textId="77777777" w:rsidR="007408DC" w:rsidRDefault="007408DC" w:rsidP="00D66713">
            <w:pPr>
              <w:jc w:val="center"/>
              <w:rPr>
                <w:rFonts w:ascii="Times New Roman" w:hAnsi="Times New Roman" w:cs="Times New Roman"/>
                <w:sz w:val="20"/>
                <w:szCs w:val="20"/>
              </w:rPr>
            </w:pPr>
          </w:p>
          <w:p w14:paraId="739A0705" w14:textId="77777777" w:rsidR="007408DC" w:rsidRDefault="007408DC" w:rsidP="00D66713">
            <w:pPr>
              <w:jc w:val="center"/>
              <w:rPr>
                <w:rFonts w:ascii="Times New Roman" w:hAnsi="Times New Roman" w:cs="Times New Roman"/>
                <w:sz w:val="20"/>
                <w:szCs w:val="20"/>
              </w:rPr>
            </w:pPr>
          </w:p>
          <w:p w14:paraId="2D8731EA" w14:textId="77777777" w:rsidR="007408DC" w:rsidRDefault="007408DC" w:rsidP="00D66713">
            <w:pPr>
              <w:jc w:val="center"/>
              <w:rPr>
                <w:rFonts w:ascii="Times New Roman" w:hAnsi="Times New Roman" w:cs="Times New Roman"/>
                <w:sz w:val="20"/>
                <w:szCs w:val="20"/>
              </w:rPr>
            </w:pPr>
          </w:p>
          <w:p w14:paraId="30E10857" w14:textId="77777777" w:rsidR="007408DC" w:rsidRDefault="007408DC" w:rsidP="00D66713">
            <w:pPr>
              <w:jc w:val="center"/>
              <w:rPr>
                <w:rFonts w:ascii="Times New Roman" w:hAnsi="Times New Roman" w:cs="Times New Roman"/>
                <w:sz w:val="20"/>
                <w:szCs w:val="20"/>
              </w:rPr>
            </w:pPr>
          </w:p>
          <w:p w14:paraId="442284DE" w14:textId="77777777" w:rsidR="007408DC" w:rsidRDefault="007408DC" w:rsidP="00D66713">
            <w:pPr>
              <w:jc w:val="center"/>
              <w:rPr>
                <w:rFonts w:ascii="Times New Roman" w:hAnsi="Times New Roman" w:cs="Times New Roman"/>
                <w:sz w:val="20"/>
                <w:szCs w:val="20"/>
              </w:rPr>
            </w:pPr>
          </w:p>
          <w:p w14:paraId="4752B491" w14:textId="77777777" w:rsidR="007408DC" w:rsidRDefault="007408DC" w:rsidP="00D66713">
            <w:pPr>
              <w:jc w:val="center"/>
              <w:rPr>
                <w:rFonts w:ascii="Times New Roman" w:hAnsi="Times New Roman" w:cs="Times New Roman"/>
                <w:sz w:val="20"/>
                <w:szCs w:val="20"/>
              </w:rPr>
            </w:pPr>
          </w:p>
          <w:p w14:paraId="7644918D" w14:textId="77777777" w:rsidR="007408DC" w:rsidRDefault="007408DC" w:rsidP="00D66713">
            <w:pPr>
              <w:jc w:val="center"/>
              <w:rPr>
                <w:rFonts w:ascii="Times New Roman" w:hAnsi="Times New Roman" w:cs="Times New Roman"/>
                <w:sz w:val="20"/>
                <w:szCs w:val="20"/>
              </w:rPr>
            </w:pPr>
          </w:p>
          <w:p w14:paraId="2D8BE88A" w14:textId="77777777" w:rsidR="007408DC" w:rsidRDefault="007408DC" w:rsidP="00D66713">
            <w:pPr>
              <w:jc w:val="center"/>
              <w:rPr>
                <w:rFonts w:ascii="Times New Roman" w:hAnsi="Times New Roman" w:cs="Times New Roman"/>
                <w:sz w:val="20"/>
                <w:szCs w:val="20"/>
              </w:rPr>
            </w:pPr>
          </w:p>
          <w:p w14:paraId="15D331E6" w14:textId="77777777" w:rsidR="007408DC" w:rsidRDefault="007408DC" w:rsidP="00D66713">
            <w:pPr>
              <w:jc w:val="center"/>
              <w:rPr>
                <w:rFonts w:ascii="Times New Roman" w:hAnsi="Times New Roman" w:cs="Times New Roman"/>
                <w:sz w:val="20"/>
                <w:szCs w:val="20"/>
              </w:rPr>
            </w:pPr>
          </w:p>
          <w:p w14:paraId="1A518868" w14:textId="77777777" w:rsidR="007408DC" w:rsidRDefault="007408DC" w:rsidP="00D66713">
            <w:pPr>
              <w:jc w:val="center"/>
              <w:rPr>
                <w:rFonts w:ascii="Times New Roman" w:hAnsi="Times New Roman" w:cs="Times New Roman"/>
                <w:sz w:val="20"/>
                <w:szCs w:val="20"/>
              </w:rPr>
            </w:pPr>
          </w:p>
          <w:p w14:paraId="7BF23362" w14:textId="77777777" w:rsidR="007408DC" w:rsidRDefault="007408DC" w:rsidP="00D66713">
            <w:pPr>
              <w:jc w:val="center"/>
              <w:rPr>
                <w:rFonts w:ascii="Times New Roman" w:hAnsi="Times New Roman" w:cs="Times New Roman"/>
                <w:sz w:val="20"/>
                <w:szCs w:val="20"/>
              </w:rPr>
            </w:pPr>
          </w:p>
          <w:p w14:paraId="3FD139E4" w14:textId="2F89835D" w:rsidR="007408DC" w:rsidRDefault="007408DC" w:rsidP="00D66713">
            <w:pPr>
              <w:jc w:val="center"/>
              <w:rPr>
                <w:rFonts w:ascii="Times New Roman" w:hAnsi="Times New Roman" w:cs="Times New Roman"/>
                <w:sz w:val="20"/>
                <w:szCs w:val="20"/>
              </w:rPr>
            </w:pPr>
          </w:p>
          <w:p w14:paraId="49816019" w14:textId="77777777" w:rsidR="0054472B" w:rsidRDefault="0054472B" w:rsidP="00D66713">
            <w:pPr>
              <w:jc w:val="center"/>
              <w:rPr>
                <w:rFonts w:ascii="Times New Roman" w:hAnsi="Times New Roman" w:cs="Times New Roman"/>
                <w:sz w:val="20"/>
                <w:szCs w:val="20"/>
              </w:rPr>
            </w:pPr>
          </w:p>
          <w:p w14:paraId="0FA7CF95" w14:textId="77777777" w:rsidR="00AB3E3D" w:rsidRDefault="00AB3E3D" w:rsidP="00D66713">
            <w:pPr>
              <w:jc w:val="center"/>
              <w:rPr>
                <w:rFonts w:ascii="Times New Roman" w:hAnsi="Times New Roman" w:cs="Times New Roman"/>
                <w:sz w:val="20"/>
                <w:szCs w:val="20"/>
              </w:rPr>
            </w:pPr>
          </w:p>
          <w:p w14:paraId="6C5E1DFB" w14:textId="77777777" w:rsidR="007408DC" w:rsidRDefault="007408DC" w:rsidP="00D66713">
            <w:pPr>
              <w:jc w:val="center"/>
              <w:rPr>
                <w:rFonts w:ascii="Times New Roman" w:hAnsi="Times New Roman" w:cs="Times New Roman"/>
                <w:sz w:val="20"/>
                <w:szCs w:val="20"/>
              </w:rPr>
            </w:pPr>
            <w:r>
              <w:rPr>
                <w:rFonts w:ascii="Times New Roman" w:hAnsi="Times New Roman" w:cs="Times New Roman"/>
                <w:sz w:val="20"/>
                <w:szCs w:val="20"/>
              </w:rPr>
              <w:t>1</w:t>
            </w:r>
          </w:p>
          <w:p w14:paraId="311258A1" w14:textId="77777777" w:rsidR="007408DC" w:rsidRDefault="007408DC" w:rsidP="00D66713">
            <w:pPr>
              <w:jc w:val="center"/>
              <w:rPr>
                <w:rFonts w:ascii="Times New Roman" w:hAnsi="Times New Roman" w:cs="Times New Roman"/>
                <w:sz w:val="20"/>
                <w:szCs w:val="20"/>
              </w:rPr>
            </w:pPr>
          </w:p>
          <w:p w14:paraId="3006068D" w14:textId="77777777" w:rsidR="007408DC" w:rsidRDefault="007408DC" w:rsidP="00D66713">
            <w:pPr>
              <w:jc w:val="center"/>
              <w:rPr>
                <w:rFonts w:ascii="Times New Roman" w:hAnsi="Times New Roman" w:cs="Times New Roman"/>
                <w:sz w:val="20"/>
                <w:szCs w:val="20"/>
              </w:rPr>
            </w:pPr>
          </w:p>
          <w:p w14:paraId="1EE9C97E" w14:textId="77777777" w:rsidR="007408DC" w:rsidRDefault="007408DC" w:rsidP="00D66713">
            <w:pPr>
              <w:jc w:val="center"/>
              <w:rPr>
                <w:rFonts w:ascii="Times New Roman" w:hAnsi="Times New Roman" w:cs="Times New Roman"/>
                <w:sz w:val="20"/>
                <w:szCs w:val="20"/>
              </w:rPr>
            </w:pPr>
          </w:p>
          <w:p w14:paraId="7DC94216" w14:textId="77777777" w:rsidR="007408DC" w:rsidRDefault="007408DC" w:rsidP="00D66713">
            <w:pPr>
              <w:jc w:val="center"/>
              <w:rPr>
                <w:rFonts w:ascii="Times New Roman" w:hAnsi="Times New Roman" w:cs="Times New Roman"/>
                <w:sz w:val="20"/>
                <w:szCs w:val="20"/>
              </w:rPr>
            </w:pPr>
          </w:p>
          <w:p w14:paraId="741D65DA" w14:textId="77777777" w:rsidR="007408DC" w:rsidRDefault="007408DC" w:rsidP="00D66713">
            <w:pPr>
              <w:jc w:val="center"/>
              <w:rPr>
                <w:rFonts w:ascii="Times New Roman" w:hAnsi="Times New Roman" w:cs="Times New Roman"/>
                <w:sz w:val="20"/>
                <w:szCs w:val="20"/>
              </w:rPr>
            </w:pPr>
          </w:p>
          <w:p w14:paraId="7CD15A2E" w14:textId="77777777" w:rsidR="007408DC" w:rsidRDefault="007408DC" w:rsidP="00D66713">
            <w:pPr>
              <w:jc w:val="center"/>
              <w:rPr>
                <w:rFonts w:ascii="Times New Roman" w:hAnsi="Times New Roman" w:cs="Times New Roman"/>
                <w:sz w:val="20"/>
                <w:szCs w:val="20"/>
              </w:rPr>
            </w:pPr>
          </w:p>
          <w:p w14:paraId="18981D6A" w14:textId="77777777" w:rsidR="007408DC" w:rsidRDefault="007408DC" w:rsidP="00D66713">
            <w:pPr>
              <w:jc w:val="center"/>
              <w:rPr>
                <w:rFonts w:ascii="Times New Roman" w:hAnsi="Times New Roman" w:cs="Times New Roman"/>
                <w:sz w:val="20"/>
                <w:szCs w:val="20"/>
              </w:rPr>
            </w:pPr>
          </w:p>
          <w:p w14:paraId="73119523" w14:textId="114D33BF" w:rsidR="007408DC" w:rsidRDefault="007408DC" w:rsidP="00D66713">
            <w:pPr>
              <w:jc w:val="center"/>
              <w:rPr>
                <w:rFonts w:ascii="Times New Roman" w:hAnsi="Times New Roman" w:cs="Times New Roman"/>
                <w:sz w:val="20"/>
                <w:szCs w:val="20"/>
              </w:rPr>
            </w:pPr>
          </w:p>
          <w:p w14:paraId="59C6CF4C" w14:textId="77777777" w:rsidR="00592E9D" w:rsidRDefault="00592E9D" w:rsidP="00D66713">
            <w:pPr>
              <w:jc w:val="center"/>
              <w:rPr>
                <w:rFonts w:ascii="Times New Roman" w:hAnsi="Times New Roman" w:cs="Times New Roman"/>
                <w:sz w:val="20"/>
                <w:szCs w:val="20"/>
              </w:rPr>
            </w:pPr>
          </w:p>
          <w:p w14:paraId="55A3161D" w14:textId="77777777" w:rsidR="007408DC" w:rsidRDefault="007408DC" w:rsidP="00D66713">
            <w:pPr>
              <w:jc w:val="center"/>
              <w:rPr>
                <w:rFonts w:ascii="Times New Roman" w:hAnsi="Times New Roman" w:cs="Times New Roman"/>
                <w:sz w:val="20"/>
                <w:szCs w:val="20"/>
              </w:rPr>
            </w:pPr>
            <w:r>
              <w:rPr>
                <w:rFonts w:ascii="Times New Roman" w:hAnsi="Times New Roman" w:cs="Times New Roman"/>
                <w:sz w:val="20"/>
                <w:szCs w:val="20"/>
              </w:rPr>
              <w:t>1</w:t>
            </w:r>
          </w:p>
          <w:p w14:paraId="0DBA1169" w14:textId="77777777" w:rsidR="007408DC" w:rsidRDefault="007408DC" w:rsidP="00D66713">
            <w:pPr>
              <w:jc w:val="center"/>
              <w:rPr>
                <w:rFonts w:ascii="Times New Roman" w:hAnsi="Times New Roman" w:cs="Times New Roman"/>
                <w:sz w:val="20"/>
                <w:szCs w:val="20"/>
              </w:rPr>
            </w:pPr>
          </w:p>
          <w:p w14:paraId="02214B3B" w14:textId="77777777" w:rsidR="007408DC" w:rsidRDefault="007408DC" w:rsidP="00D66713">
            <w:pPr>
              <w:jc w:val="center"/>
              <w:rPr>
                <w:rFonts w:ascii="Times New Roman" w:hAnsi="Times New Roman" w:cs="Times New Roman"/>
                <w:sz w:val="20"/>
                <w:szCs w:val="20"/>
              </w:rPr>
            </w:pPr>
          </w:p>
          <w:p w14:paraId="590A8C71" w14:textId="77777777" w:rsidR="007408DC" w:rsidRDefault="007408DC" w:rsidP="00D66713">
            <w:pPr>
              <w:jc w:val="center"/>
              <w:rPr>
                <w:rFonts w:ascii="Times New Roman" w:hAnsi="Times New Roman" w:cs="Times New Roman"/>
                <w:sz w:val="20"/>
                <w:szCs w:val="20"/>
              </w:rPr>
            </w:pPr>
          </w:p>
          <w:p w14:paraId="0654BC04" w14:textId="77777777" w:rsidR="007408DC" w:rsidRDefault="007408DC" w:rsidP="00D66713">
            <w:pPr>
              <w:jc w:val="center"/>
              <w:rPr>
                <w:rFonts w:ascii="Times New Roman" w:hAnsi="Times New Roman" w:cs="Times New Roman"/>
                <w:sz w:val="20"/>
                <w:szCs w:val="20"/>
              </w:rPr>
            </w:pPr>
          </w:p>
          <w:p w14:paraId="3108B202" w14:textId="77777777" w:rsidR="007408DC" w:rsidRDefault="007408DC" w:rsidP="00D66713">
            <w:pPr>
              <w:jc w:val="center"/>
              <w:rPr>
                <w:rFonts w:ascii="Times New Roman" w:hAnsi="Times New Roman" w:cs="Times New Roman"/>
                <w:sz w:val="20"/>
                <w:szCs w:val="20"/>
              </w:rPr>
            </w:pPr>
          </w:p>
          <w:p w14:paraId="1AABA948" w14:textId="4689FEA8" w:rsidR="007408DC" w:rsidRDefault="007408DC" w:rsidP="00D66713">
            <w:pPr>
              <w:jc w:val="center"/>
              <w:rPr>
                <w:rFonts w:ascii="Times New Roman" w:hAnsi="Times New Roman" w:cs="Times New Roman"/>
                <w:sz w:val="20"/>
                <w:szCs w:val="20"/>
              </w:rPr>
            </w:pPr>
            <w:r>
              <w:rPr>
                <w:rFonts w:ascii="Times New Roman" w:hAnsi="Times New Roman" w:cs="Times New Roman"/>
                <w:sz w:val="20"/>
                <w:szCs w:val="20"/>
              </w:rPr>
              <w:t>1</w:t>
            </w:r>
          </w:p>
          <w:p w14:paraId="3EAC4D29" w14:textId="35A1C913" w:rsidR="007408DC" w:rsidRPr="00480673" w:rsidRDefault="007408DC" w:rsidP="00D6671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7E6FC865" w14:textId="2E365A70" w:rsidR="000E257D" w:rsidRDefault="000E257D" w:rsidP="00D66713">
            <w:pPr>
              <w:pStyle w:val="Normlny0"/>
              <w:jc w:val="center"/>
            </w:pPr>
            <w:r>
              <w:lastRenderedPageBreak/>
              <w:t>Č: I</w:t>
            </w:r>
          </w:p>
          <w:p w14:paraId="2B91C378" w14:textId="1E85A0DB" w:rsidR="001F2595" w:rsidRPr="000E257D" w:rsidRDefault="00CC2C39" w:rsidP="00D66713">
            <w:pPr>
              <w:pStyle w:val="Normlny0"/>
              <w:jc w:val="center"/>
            </w:pPr>
            <w:r>
              <w:t>§: 11</w:t>
            </w:r>
          </w:p>
          <w:p w14:paraId="65ABA347" w14:textId="77777777" w:rsidR="000E257D" w:rsidRDefault="000E257D" w:rsidP="000E257D">
            <w:pPr>
              <w:pStyle w:val="Normlny0"/>
              <w:jc w:val="center"/>
            </w:pPr>
            <w:r w:rsidRPr="000E257D">
              <w:t>P:</w:t>
            </w:r>
            <w:r>
              <w:t xml:space="preserve"> e)</w:t>
            </w: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77777777" w:rsidR="000E257D" w:rsidRDefault="000E257D" w:rsidP="000E257D">
            <w:pPr>
              <w:pStyle w:val="Normlny0"/>
              <w:jc w:val="center"/>
            </w:pPr>
          </w:p>
          <w:p w14:paraId="763721B4" w14:textId="77777777" w:rsidR="000E257D" w:rsidRDefault="000E257D" w:rsidP="000E257D">
            <w:pPr>
              <w:pStyle w:val="Normlny0"/>
              <w:jc w:val="center"/>
            </w:pPr>
          </w:p>
          <w:p w14:paraId="0A33E32E" w14:textId="77777777" w:rsidR="000E257D" w:rsidRDefault="000E257D" w:rsidP="000E257D">
            <w:pPr>
              <w:pStyle w:val="Normlny0"/>
              <w:jc w:val="center"/>
            </w:pPr>
          </w:p>
          <w:p w14:paraId="0933094F" w14:textId="2CF73B21" w:rsidR="000E257D" w:rsidRDefault="000E257D" w:rsidP="000E257D">
            <w:pPr>
              <w:pStyle w:val="Normlny0"/>
              <w:jc w:val="center"/>
            </w:pPr>
            <w:r>
              <w:t>Č: I</w:t>
            </w:r>
          </w:p>
          <w:p w14:paraId="23A42147" w14:textId="577AFC2C" w:rsidR="000E257D" w:rsidRDefault="000E257D" w:rsidP="000E257D">
            <w:pPr>
              <w:pStyle w:val="Normlny0"/>
              <w:jc w:val="center"/>
            </w:pPr>
            <w:r>
              <w:t>§: 23</w:t>
            </w:r>
          </w:p>
          <w:p w14:paraId="03176F40" w14:textId="2E919014" w:rsidR="000E257D" w:rsidRDefault="000E257D" w:rsidP="000E257D">
            <w:pPr>
              <w:pStyle w:val="Normlny0"/>
              <w:jc w:val="center"/>
            </w:pPr>
            <w:r>
              <w:t>O: 1</w:t>
            </w:r>
          </w:p>
          <w:p w14:paraId="215118B3" w14:textId="20F751EC" w:rsidR="000E257D" w:rsidRDefault="000E257D" w:rsidP="000E257D">
            <w:pPr>
              <w:pStyle w:val="Normlny0"/>
              <w:jc w:val="center"/>
            </w:pPr>
          </w:p>
          <w:p w14:paraId="4B0E7DFC" w14:textId="06040FAE" w:rsidR="00FE4676" w:rsidRDefault="00FE4676" w:rsidP="000E257D">
            <w:pPr>
              <w:pStyle w:val="Normlny0"/>
              <w:jc w:val="center"/>
            </w:pPr>
          </w:p>
          <w:p w14:paraId="64DA4599" w14:textId="24ACF20C" w:rsidR="00FE4676" w:rsidRDefault="00FE4676" w:rsidP="000E257D">
            <w:pPr>
              <w:pStyle w:val="Normlny0"/>
              <w:jc w:val="center"/>
            </w:pPr>
          </w:p>
          <w:p w14:paraId="19CE8CAE" w14:textId="23F7AC48" w:rsidR="00FE4676" w:rsidRDefault="00FE4676" w:rsidP="000E257D">
            <w:pPr>
              <w:pStyle w:val="Normlny0"/>
              <w:jc w:val="center"/>
            </w:pPr>
          </w:p>
          <w:p w14:paraId="6F98FB0E" w14:textId="5AE42B11" w:rsidR="00FE4676" w:rsidRDefault="00FE4676" w:rsidP="000E257D">
            <w:pPr>
              <w:pStyle w:val="Normlny0"/>
              <w:jc w:val="center"/>
            </w:pP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4EEC235E" w14:textId="5415BE24" w:rsidR="00FE4676" w:rsidRDefault="00FE4676" w:rsidP="000E257D">
            <w:pPr>
              <w:pStyle w:val="Normlny0"/>
              <w:jc w:val="center"/>
            </w:pPr>
          </w:p>
          <w:p w14:paraId="612C419E" w14:textId="79DE42BB" w:rsidR="00FE4676" w:rsidRDefault="00FE4676" w:rsidP="000E257D">
            <w:pPr>
              <w:pStyle w:val="Normlny0"/>
              <w:jc w:val="center"/>
            </w:pPr>
          </w:p>
          <w:p w14:paraId="5EB2F532" w14:textId="12756359" w:rsidR="00FE4676" w:rsidRDefault="00FE4676" w:rsidP="000E257D">
            <w:pPr>
              <w:pStyle w:val="Normlny0"/>
              <w:jc w:val="center"/>
            </w:pPr>
          </w:p>
          <w:p w14:paraId="3C70FB30" w14:textId="55614092" w:rsidR="00FE4676" w:rsidRDefault="00FE4676" w:rsidP="000E257D">
            <w:pPr>
              <w:pStyle w:val="Normlny0"/>
              <w:jc w:val="center"/>
            </w:pPr>
          </w:p>
          <w:p w14:paraId="0EF6FC9B" w14:textId="34457870" w:rsidR="00FE4676" w:rsidRDefault="00FE4676" w:rsidP="000E257D">
            <w:pPr>
              <w:pStyle w:val="Normlny0"/>
              <w:jc w:val="center"/>
            </w:pPr>
          </w:p>
          <w:p w14:paraId="682A2804" w14:textId="4B5D3184" w:rsidR="00FE4676" w:rsidRDefault="00FE4676" w:rsidP="000E257D">
            <w:pPr>
              <w:pStyle w:val="Normlny0"/>
              <w:jc w:val="center"/>
            </w:pPr>
          </w:p>
          <w:p w14:paraId="51417888" w14:textId="57B9E29B" w:rsidR="00592E9D" w:rsidRDefault="00592E9D" w:rsidP="000E257D">
            <w:pPr>
              <w:pStyle w:val="Normlny0"/>
              <w:jc w:val="center"/>
            </w:pPr>
          </w:p>
          <w:p w14:paraId="11372F0D" w14:textId="0D14B7EE" w:rsidR="00592E9D" w:rsidRDefault="00592E9D" w:rsidP="000E257D">
            <w:pPr>
              <w:pStyle w:val="Normlny0"/>
              <w:jc w:val="center"/>
            </w:pPr>
          </w:p>
          <w:p w14:paraId="6EE0CD65" w14:textId="77777777" w:rsidR="00592E9D" w:rsidRDefault="00592E9D" w:rsidP="000E257D">
            <w:pPr>
              <w:pStyle w:val="Normlny0"/>
              <w:jc w:val="center"/>
            </w:pPr>
          </w:p>
          <w:p w14:paraId="33FB00E1" w14:textId="77777777" w:rsidR="00FE4676" w:rsidRDefault="00FE4676" w:rsidP="000E257D">
            <w:pPr>
              <w:pStyle w:val="Normlny0"/>
              <w:jc w:val="center"/>
            </w:pPr>
          </w:p>
          <w:p w14:paraId="37D884B9" w14:textId="77777777" w:rsidR="000E257D" w:rsidRDefault="000E257D" w:rsidP="000E257D">
            <w:pPr>
              <w:pStyle w:val="Normlny0"/>
              <w:jc w:val="center"/>
            </w:pPr>
            <w:r>
              <w:t>Č: I</w:t>
            </w:r>
          </w:p>
          <w:p w14:paraId="08687CEF" w14:textId="77777777" w:rsidR="000E257D" w:rsidRDefault="000E257D" w:rsidP="000E257D">
            <w:pPr>
              <w:pStyle w:val="Normlny0"/>
              <w:jc w:val="center"/>
            </w:pPr>
            <w:r>
              <w:t>§: 23</w:t>
            </w:r>
          </w:p>
          <w:p w14:paraId="45CF2C05" w14:textId="2C3814FA" w:rsidR="000E257D" w:rsidRDefault="000E257D" w:rsidP="000E257D">
            <w:pPr>
              <w:pStyle w:val="Normlny0"/>
              <w:jc w:val="center"/>
            </w:pPr>
            <w:r>
              <w:t>O: 2</w:t>
            </w:r>
          </w:p>
          <w:p w14:paraId="7E897BA1" w14:textId="3F5D7627" w:rsidR="000E257D" w:rsidRDefault="000E257D" w:rsidP="000E257D">
            <w:pPr>
              <w:pStyle w:val="Normlny0"/>
              <w:jc w:val="center"/>
            </w:pPr>
          </w:p>
          <w:p w14:paraId="7F8A9BC4" w14:textId="0386BA19" w:rsidR="00FE4676" w:rsidRDefault="00FE4676" w:rsidP="000E257D">
            <w:pPr>
              <w:pStyle w:val="Normlny0"/>
              <w:jc w:val="center"/>
            </w:pPr>
          </w:p>
          <w:p w14:paraId="629E095A" w14:textId="63D9AB58" w:rsidR="00FE4676" w:rsidRDefault="00FE4676" w:rsidP="000E257D">
            <w:pPr>
              <w:pStyle w:val="Normlny0"/>
              <w:jc w:val="center"/>
            </w:pPr>
          </w:p>
          <w:p w14:paraId="308F2D28" w14:textId="7FC4175E" w:rsidR="00FE4676" w:rsidRDefault="00FE4676" w:rsidP="000E257D">
            <w:pPr>
              <w:pStyle w:val="Normlny0"/>
              <w:jc w:val="center"/>
            </w:pPr>
          </w:p>
          <w:p w14:paraId="20C16810" w14:textId="48BC6A8C" w:rsidR="00FE4676" w:rsidRDefault="00FE4676" w:rsidP="000E257D">
            <w:pPr>
              <w:pStyle w:val="Normlny0"/>
              <w:jc w:val="center"/>
            </w:pPr>
          </w:p>
          <w:p w14:paraId="7F506036" w14:textId="4987F246" w:rsidR="00592E9D" w:rsidRDefault="00592E9D" w:rsidP="000E257D">
            <w:pPr>
              <w:pStyle w:val="Normlny0"/>
              <w:jc w:val="center"/>
            </w:pPr>
          </w:p>
          <w:p w14:paraId="487393F7" w14:textId="77777777" w:rsidR="00FE4676" w:rsidRDefault="00FE4676" w:rsidP="000E257D">
            <w:pPr>
              <w:pStyle w:val="Normlny0"/>
              <w:jc w:val="center"/>
            </w:pPr>
          </w:p>
          <w:p w14:paraId="70BB8740" w14:textId="77777777" w:rsidR="000E257D" w:rsidRDefault="000E257D" w:rsidP="000E257D">
            <w:pPr>
              <w:pStyle w:val="Normlny0"/>
              <w:jc w:val="center"/>
            </w:pPr>
            <w:r>
              <w:lastRenderedPageBreak/>
              <w:t>Č: I</w:t>
            </w:r>
          </w:p>
          <w:p w14:paraId="65408E4B" w14:textId="77777777" w:rsidR="000E257D" w:rsidRDefault="000E257D" w:rsidP="000E257D">
            <w:pPr>
              <w:pStyle w:val="Normlny0"/>
              <w:jc w:val="center"/>
            </w:pPr>
            <w:r>
              <w:t>§: 23</w:t>
            </w:r>
          </w:p>
          <w:p w14:paraId="19D3E316" w14:textId="2BFC623F" w:rsidR="000E257D" w:rsidRDefault="000E257D" w:rsidP="000E257D">
            <w:pPr>
              <w:pStyle w:val="Normlny0"/>
              <w:jc w:val="center"/>
            </w:pPr>
            <w:r>
              <w:t>O: 4</w:t>
            </w:r>
          </w:p>
          <w:p w14:paraId="37390B9D" w14:textId="0C51C7A8" w:rsidR="000E257D" w:rsidRDefault="000E257D" w:rsidP="000E257D">
            <w:pPr>
              <w:pStyle w:val="Normlny0"/>
              <w:jc w:val="center"/>
            </w:pPr>
          </w:p>
          <w:p w14:paraId="3865376C" w14:textId="1E0BF757" w:rsidR="000E257D" w:rsidRDefault="000E257D" w:rsidP="000E257D">
            <w:pPr>
              <w:pStyle w:val="Normlny0"/>
              <w:jc w:val="center"/>
            </w:pPr>
          </w:p>
          <w:p w14:paraId="4C1C748F" w14:textId="50EB69CA" w:rsidR="000E257D" w:rsidRDefault="000E257D" w:rsidP="000E257D">
            <w:pPr>
              <w:pStyle w:val="Normlny0"/>
              <w:jc w:val="center"/>
            </w:pPr>
          </w:p>
          <w:p w14:paraId="72463D7A" w14:textId="0BB15C06" w:rsidR="00FE4676" w:rsidRDefault="00FE4676" w:rsidP="000E257D">
            <w:pPr>
              <w:pStyle w:val="Normlny0"/>
              <w:jc w:val="center"/>
            </w:pPr>
          </w:p>
          <w:p w14:paraId="2E23F878" w14:textId="65531844" w:rsidR="00FE4676" w:rsidRDefault="00FE4676" w:rsidP="000E257D">
            <w:pPr>
              <w:pStyle w:val="Normlny0"/>
              <w:jc w:val="center"/>
            </w:pPr>
          </w:p>
          <w:p w14:paraId="3FD6C491" w14:textId="2D3FBCAD" w:rsidR="00CC2C39" w:rsidRDefault="00CC2C39" w:rsidP="000E257D">
            <w:pPr>
              <w:pStyle w:val="Normlny0"/>
              <w:jc w:val="center"/>
            </w:pPr>
          </w:p>
          <w:p w14:paraId="01361610" w14:textId="12F915CB" w:rsidR="00CC2C39" w:rsidRDefault="00CC2C39" w:rsidP="000E257D">
            <w:pPr>
              <w:pStyle w:val="Normlny0"/>
              <w:jc w:val="center"/>
            </w:pPr>
          </w:p>
          <w:p w14:paraId="78C5C624" w14:textId="564F3DAA" w:rsidR="00CC2C39" w:rsidRDefault="00CC2C39" w:rsidP="000E257D">
            <w:pPr>
              <w:pStyle w:val="Normlny0"/>
              <w:jc w:val="center"/>
            </w:pPr>
          </w:p>
          <w:p w14:paraId="38FD7840" w14:textId="6EFB12C1" w:rsidR="00CC2C39" w:rsidRDefault="00CC2C39" w:rsidP="000E257D">
            <w:pPr>
              <w:pStyle w:val="Normlny0"/>
              <w:jc w:val="center"/>
            </w:pPr>
          </w:p>
          <w:p w14:paraId="310B5858" w14:textId="1B4906E8" w:rsidR="00CC2C39" w:rsidRDefault="00CC2C39" w:rsidP="000E257D">
            <w:pPr>
              <w:pStyle w:val="Normlny0"/>
              <w:jc w:val="center"/>
            </w:pPr>
          </w:p>
          <w:p w14:paraId="5B9AAB13" w14:textId="57A1EBF7" w:rsidR="00CC2C39" w:rsidRDefault="00CC2C39" w:rsidP="000E257D">
            <w:pPr>
              <w:pStyle w:val="Normlny0"/>
              <w:jc w:val="center"/>
            </w:pPr>
          </w:p>
          <w:p w14:paraId="79E64A6E" w14:textId="7AC277E3" w:rsidR="00CC2C39" w:rsidRDefault="00CC2C39" w:rsidP="000E257D">
            <w:pPr>
              <w:pStyle w:val="Normlny0"/>
              <w:jc w:val="center"/>
            </w:pPr>
          </w:p>
          <w:p w14:paraId="117E479D" w14:textId="53F41727" w:rsidR="0054472B" w:rsidRDefault="0054472B" w:rsidP="000E257D">
            <w:pPr>
              <w:pStyle w:val="Normlny0"/>
              <w:jc w:val="center"/>
            </w:pPr>
          </w:p>
          <w:p w14:paraId="562924E8" w14:textId="77777777" w:rsidR="00592E9D" w:rsidRDefault="00592E9D" w:rsidP="000E257D">
            <w:pPr>
              <w:pStyle w:val="Normlny0"/>
              <w:jc w:val="center"/>
            </w:pPr>
          </w:p>
          <w:p w14:paraId="47B5816B" w14:textId="77777777" w:rsidR="0054472B" w:rsidRDefault="0054472B" w:rsidP="000E257D">
            <w:pPr>
              <w:pStyle w:val="Normlny0"/>
              <w:jc w:val="center"/>
            </w:pPr>
          </w:p>
          <w:p w14:paraId="5D4D3F83" w14:textId="77777777" w:rsidR="00AB3E3D" w:rsidRDefault="00AB3E3D" w:rsidP="000E257D">
            <w:pPr>
              <w:pStyle w:val="Normlny0"/>
              <w:jc w:val="center"/>
            </w:pPr>
          </w:p>
          <w:p w14:paraId="39E7F75A" w14:textId="77777777" w:rsidR="000E257D" w:rsidRDefault="000E257D" w:rsidP="000E257D">
            <w:pPr>
              <w:pStyle w:val="Normlny0"/>
              <w:jc w:val="center"/>
            </w:pPr>
            <w:r>
              <w:t>Č: I</w:t>
            </w:r>
          </w:p>
          <w:p w14:paraId="130913A3" w14:textId="77777777" w:rsidR="000E257D" w:rsidRDefault="000E257D" w:rsidP="000E257D">
            <w:pPr>
              <w:pStyle w:val="Normlny0"/>
              <w:jc w:val="center"/>
            </w:pPr>
            <w:r>
              <w:t>§: 24</w:t>
            </w:r>
          </w:p>
          <w:p w14:paraId="40F317C6" w14:textId="58014CE0" w:rsidR="000E257D" w:rsidRDefault="000E257D" w:rsidP="000E257D">
            <w:pPr>
              <w:pStyle w:val="Normlny0"/>
              <w:jc w:val="center"/>
            </w:pPr>
            <w:r>
              <w:t>O: 1</w:t>
            </w:r>
          </w:p>
          <w:p w14:paraId="6AC24542" w14:textId="2F938009" w:rsidR="000E257D" w:rsidRDefault="000E257D" w:rsidP="000E257D">
            <w:pPr>
              <w:pStyle w:val="Normlny0"/>
              <w:jc w:val="center"/>
            </w:pPr>
          </w:p>
          <w:p w14:paraId="48A394C4" w14:textId="468EF639" w:rsidR="000E257D" w:rsidRDefault="000E257D"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6AF08B0B" w14:textId="2913068E" w:rsidR="000E257D" w:rsidRDefault="000E257D" w:rsidP="000E257D">
            <w:pPr>
              <w:pStyle w:val="Normlny0"/>
              <w:jc w:val="center"/>
            </w:pPr>
          </w:p>
          <w:p w14:paraId="59EF3C3E" w14:textId="49E6FB60" w:rsidR="000E257D" w:rsidRDefault="000E257D" w:rsidP="000E257D">
            <w:pPr>
              <w:pStyle w:val="Normlny0"/>
              <w:jc w:val="center"/>
            </w:pPr>
          </w:p>
          <w:p w14:paraId="3D467E72" w14:textId="546DBCD2" w:rsidR="000E257D" w:rsidRDefault="000E257D" w:rsidP="000E257D">
            <w:pPr>
              <w:pStyle w:val="Normlny0"/>
              <w:jc w:val="center"/>
            </w:pPr>
          </w:p>
          <w:p w14:paraId="10F1A33A" w14:textId="210FA0DE" w:rsidR="000E257D" w:rsidRDefault="000E257D" w:rsidP="000E257D">
            <w:pPr>
              <w:pStyle w:val="Normlny0"/>
              <w:jc w:val="center"/>
            </w:pPr>
          </w:p>
          <w:p w14:paraId="6F9B3259" w14:textId="2FE76809" w:rsidR="000E257D" w:rsidRDefault="000E257D" w:rsidP="000E257D">
            <w:pPr>
              <w:pStyle w:val="Normlny0"/>
              <w:jc w:val="center"/>
            </w:pPr>
          </w:p>
          <w:p w14:paraId="5B8EE3BB" w14:textId="07038571" w:rsidR="000E257D" w:rsidRDefault="000E257D" w:rsidP="000E257D">
            <w:pPr>
              <w:pStyle w:val="Normlny0"/>
              <w:jc w:val="center"/>
            </w:pPr>
          </w:p>
          <w:p w14:paraId="2D22EA76" w14:textId="77777777" w:rsidR="0054472B" w:rsidRDefault="0054472B" w:rsidP="000E257D">
            <w:pPr>
              <w:pStyle w:val="Normlny0"/>
              <w:jc w:val="center"/>
            </w:pPr>
          </w:p>
          <w:p w14:paraId="1B30051F" w14:textId="1C414936" w:rsidR="00AB3E3D" w:rsidRDefault="00AB3E3D" w:rsidP="000E257D">
            <w:pPr>
              <w:pStyle w:val="Normlny0"/>
              <w:jc w:val="center"/>
            </w:pPr>
          </w:p>
          <w:p w14:paraId="7CE0320C" w14:textId="48E3EB2F" w:rsidR="000E257D" w:rsidRDefault="000E257D" w:rsidP="000E257D">
            <w:pPr>
              <w:pStyle w:val="Normlny0"/>
              <w:jc w:val="center"/>
            </w:pPr>
            <w:r>
              <w:t>Č: I</w:t>
            </w:r>
          </w:p>
          <w:p w14:paraId="05636F81" w14:textId="77777777" w:rsidR="000E257D" w:rsidRDefault="000E257D" w:rsidP="000E257D">
            <w:pPr>
              <w:pStyle w:val="Normlny0"/>
              <w:jc w:val="center"/>
            </w:pPr>
            <w:r>
              <w:t>§: 24</w:t>
            </w:r>
          </w:p>
          <w:p w14:paraId="246712F4" w14:textId="77777777" w:rsidR="000E257D" w:rsidRDefault="000E257D" w:rsidP="000E257D">
            <w:pPr>
              <w:pStyle w:val="Normlny0"/>
              <w:jc w:val="center"/>
            </w:pPr>
            <w:r>
              <w:t>O: 2</w:t>
            </w:r>
          </w:p>
          <w:p w14:paraId="675485EC" w14:textId="173843E3" w:rsidR="000E257D" w:rsidRDefault="000E257D" w:rsidP="000E257D">
            <w:pPr>
              <w:pStyle w:val="Normlny0"/>
              <w:jc w:val="center"/>
            </w:pPr>
          </w:p>
          <w:p w14:paraId="6491196E" w14:textId="2D89731E" w:rsidR="000E257D" w:rsidRDefault="000E257D" w:rsidP="000E257D">
            <w:pPr>
              <w:pStyle w:val="Normlny0"/>
              <w:jc w:val="center"/>
            </w:pPr>
          </w:p>
          <w:p w14:paraId="0D121DCB" w14:textId="2FD94365" w:rsidR="000E257D" w:rsidRDefault="000E257D" w:rsidP="000E257D">
            <w:pPr>
              <w:pStyle w:val="Normlny0"/>
              <w:jc w:val="center"/>
            </w:pPr>
          </w:p>
          <w:p w14:paraId="3CFB5734" w14:textId="77777777" w:rsidR="00592E9D" w:rsidRDefault="00592E9D" w:rsidP="000E257D">
            <w:pPr>
              <w:pStyle w:val="Normlny0"/>
              <w:jc w:val="center"/>
            </w:pPr>
          </w:p>
          <w:p w14:paraId="265A401D" w14:textId="006CC28A" w:rsidR="000E257D" w:rsidRDefault="000E257D" w:rsidP="000E257D">
            <w:pPr>
              <w:pStyle w:val="Normlny0"/>
              <w:jc w:val="center"/>
            </w:pPr>
          </w:p>
          <w:p w14:paraId="676FE6D9" w14:textId="77777777" w:rsidR="00FF6343" w:rsidRDefault="00FF6343" w:rsidP="000E257D">
            <w:pPr>
              <w:pStyle w:val="Normlny0"/>
              <w:jc w:val="center"/>
            </w:pPr>
          </w:p>
          <w:p w14:paraId="78AF6367" w14:textId="77777777" w:rsidR="000E257D" w:rsidRDefault="000E257D" w:rsidP="000E257D">
            <w:pPr>
              <w:pStyle w:val="Normlny0"/>
              <w:jc w:val="center"/>
            </w:pPr>
          </w:p>
          <w:p w14:paraId="30A299E2" w14:textId="77777777" w:rsidR="000E257D" w:rsidRDefault="000E257D" w:rsidP="000E257D">
            <w:pPr>
              <w:pStyle w:val="Normlny0"/>
              <w:jc w:val="center"/>
            </w:pPr>
            <w:r>
              <w:t>Č: I</w:t>
            </w:r>
          </w:p>
          <w:p w14:paraId="68F64333" w14:textId="77777777" w:rsidR="000E257D" w:rsidRDefault="000E257D" w:rsidP="000E257D">
            <w:pPr>
              <w:pStyle w:val="Normlny0"/>
              <w:jc w:val="center"/>
            </w:pPr>
            <w:r>
              <w:t>§: 24</w:t>
            </w:r>
          </w:p>
          <w:p w14:paraId="6CCC601C" w14:textId="77777777" w:rsidR="000E257D" w:rsidRDefault="000E257D" w:rsidP="000E257D">
            <w:pPr>
              <w:pStyle w:val="Normlny0"/>
              <w:jc w:val="center"/>
            </w:pPr>
            <w:r>
              <w:t>O: 3</w:t>
            </w:r>
          </w:p>
          <w:p w14:paraId="695DA9D0" w14:textId="77777777" w:rsidR="007408DC" w:rsidRDefault="007408DC" w:rsidP="000E257D">
            <w:pPr>
              <w:pStyle w:val="Normlny0"/>
              <w:jc w:val="center"/>
            </w:pPr>
          </w:p>
          <w:p w14:paraId="00313D84" w14:textId="77777777" w:rsidR="007408DC" w:rsidRDefault="007408DC" w:rsidP="000E257D">
            <w:pPr>
              <w:pStyle w:val="Normlny0"/>
              <w:jc w:val="center"/>
            </w:pPr>
          </w:p>
          <w:p w14:paraId="4CFD54B4" w14:textId="77777777" w:rsidR="007408DC" w:rsidRDefault="007408DC" w:rsidP="000E257D">
            <w:pPr>
              <w:pStyle w:val="Normlny0"/>
              <w:jc w:val="center"/>
            </w:pPr>
          </w:p>
          <w:p w14:paraId="2DA748B2" w14:textId="77777777" w:rsidR="007408DC" w:rsidRDefault="007408DC" w:rsidP="007408DC">
            <w:pPr>
              <w:pStyle w:val="Normlny0"/>
              <w:jc w:val="center"/>
            </w:pPr>
            <w:r>
              <w:t>Č: I</w:t>
            </w:r>
          </w:p>
          <w:p w14:paraId="059C9D33" w14:textId="77777777" w:rsidR="007408DC" w:rsidRDefault="007408DC" w:rsidP="007408DC">
            <w:pPr>
              <w:pStyle w:val="Normlny0"/>
              <w:jc w:val="center"/>
            </w:pPr>
            <w:r>
              <w:t>§: 24</w:t>
            </w:r>
          </w:p>
          <w:p w14:paraId="7319006C" w14:textId="6B347F3C" w:rsidR="007408DC" w:rsidRPr="000E257D" w:rsidRDefault="007408DC" w:rsidP="007408DC">
            <w:pPr>
              <w:pStyle w:val="Normlny0"/>
              <w:jc w:val="center"/>
            </w:pPr>
            <w:r>
              <w:t>O: 4</w:t>
            </w:r>
          </w:p>
        </w:tc>
        <w:tc>
          <w:tcPr>
            <w:tcW w:w="3686" w:type="dxa"/>
            <w:tcBorders>
              <w:top w:val="single" w:sz="4" w:space="0" w:color="auto"/>
              <w:bottom w:val="single" w:sz="4" w:space="0" w:color="auto"/>
            </w:tcBorders>
          </w:tcPr>
          <w:p w14:paraId="506B3D8C" w14:textId="77777777" w:rsidR="000E257D" w:rsidRDefault="000E257D" w:rsidP="00FF6343">
            <w:pPr>
              <w:pStyle w:val="Normlny0"/>
              <w:jc w:val="center"/>
            </w:pPr>
            <w:r>
              <w:lastRenderedPageBreak/>
              <w:t>§ 11</w:t>
            </w:r>
          </w:p>
          <w:p w14:paraId="3D2510CE" w14:textId="77777777" w:rsidR="000E257D" w:rsidRDefault="000E257D" w:rsidP="00FF6343">
            <w:pPr>
              <w:pStyle w:val="Normlny0"/>
              <w:jc w:val="center"/>
            </w:pPr>
            <w:r>
              <w:t>Spoločnosť s ručením obmedzeným</w:t>
            </w:r>
          </w:p>
          <w:p w14:paraId="52028CB8" w14:textId="77777777" w:rsidR="000E257D" w:rsidRDefault="000E257D" w:rsidP="000E257D">
            <w:pPr>
              <w:pStyle w:val="Normlny0"/>
              <w:jc w:val="both"/>
            </w:pPr>
          </w:p>
          <w:p w14:paraId="3E3BA61D" w14:textId="20D4C791" w:rsidR="000E257D" w:rsidRDefault="00592E9D" w:rsidP="000E257D">
            <w:pPr>
              <w:pStyle w:val="Normlny0"/>
              <w:jc w:val="both"/>
            </w:pPr>
            <w:r w:rsidRPr="00592E9D">
              <w:t>Zapisovanými údajmi pri spoločnosti s ručením obmedzeným sú</w:t>
            </w:r>
          </w:p>
          <w:p w14:paraId="1DF8D6C0" w14:textId="77777777" w:rsidR="00592E9D" w:rsidRDefault="00592E9D" w:rsidP="000E257D">
            <w:pPr>
              <w:pStyle w:val="Normlny0"/>
              <w:jc w:val="both"/>
            </w:pPr>
          </w:p>
          <w:p w14:paraId="2910DE33" w14:textId="77777777" w:rsidR="000E257D" w:rsidRDefault="000E257D" w:rsidP="000E257D">
            <w:pPr>
              <w:pStyle w:val="Normlny0"/>
              <w:jc w:val="both"/>
            </w:pPr>
            <w:r>
              <w:t xml:space="preserve">e) </w:t>
            </w:r>
            <w:r w:rsidRPr="000E257D">
              <w:t>spoločníci,</w:t>
            </w:r>
          </w:p>
          <w:p w14:paraId="50707B4D" w14:textId="6E534BC1" w:rsidR="000E257D" w:rsidRDefault="000E257D" w:rsidP="000E257D">
            <w:pPr>
              <w:pStyle w:val="Normlny0"/>
              <w:jc w:val="both"/>
            </w:pPr>
          </w:p>
          <w:p w14:paraId="0C8E1A4F" w14:textId="77777777" w:rsidR="00592E9D" w:rsidRDefault="00592E9D" w:rsidP="000E257D">
            <w:pPr>
              <w:pStyle w:val="Normlny0"/>
              <w:jc w:val="both"/>
            </w:pPr>
          </w:p>
          <w:p w14:paraId="36A6BDDF" w14:textId="77777777" w:rsidR="00592E9D" w:rsidRDefault="00592E9D" w:rsidP="00592E9D">
            <w:pPr>
              <w:pStyle w:val="Normlny0"/>
              <w:jc w:val="center"/>
            </w:pPr>
            <w:r>
              <w:t>§ 23</w:t>
            </w:r>
          </w:p>
          <w:p w14:paraId="35CEE8D5" w14:textId="77777777" w:rsidR="00592E9D" w:rsidRDefault="00592E9D" w:rsidP="00592E9D">
            <w:pPr>
              <w:pStyle w:val="Normlny0"/>
              <w:jc w:val="center"/>
            </w:pPr>
            <w:r>
              <w:t xml:space="preserve">Zapisované údaje o fyzickej osobe </w:t>
            </w:r>
          </w:p>
          <w:p w14:paraId="5DC6FE88" w14:textId="77777777" w:rsidR="00592E9D" w:rsidRDefault="00592E9D" w:rsidP="00592E9D">
            <w:pPr>
              <w:pStyle w:val="Normlny0"/>
              <w:jc w:val="center"/>
            </w:pPr>
          </w:p>
          <w:p w14:paraId="361F885D" w14:textId="0302293B" w:rsidR="00592E9D" w:rsidRDefault="00592E9D" w:rsidP="00592E9D">
            <w:pPr>
              <w:pStyle w:val="Normlny0"/>
              <w:jc w:val="both"/>
            </w:pPr>
            <w:r>
              <w:t>(1) Pri fyzickej osobe v postavení štatutárneho orgánu alebo člena 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222F1B">
              <w:t>:</w:t>
            </w:r>
          </w:p>
          <w:p w14:paraId="72BF3345" w14:textId="77777777" w:rsidR="00592E9D" w:rsidRDefault="00592E9D" w:rsidP="00592E9D">
            <w:pPr>
              <w:pStyle w:val="Normlny0"/>
              <w:jc w:val="both"/>
            </w:pPr>
            <w:r>
              <w:t>a) meno a priezvisko,</w:t>
            </w:r>
          </w:p>
          <w:p w14:paraId="2C1ED5F4" w14:textId="77777777" w:rsidR="00592E9D" w:rsidRDefault="00592E9D" w:rsidP="00592E9D">
            <w:pPr>
              <w:pStyle w:val="Normlny0"/>
              <w:jc w:val="both"/>
            </w:pPr>
            <w:r>
              <w:t xml:space="preserve">b) dátum narodenia, </w:t>
            </w:r>
          </w:p>
          <w:p w14:paraId="3602BD18" w14:textId="77777777" w:rsidR="00592E9D" w:rsidRDefault="00592E9D" w:rsidP="00592E9D">
            <w:pPr>
              <w:pStyle w:val="Normlny0"/>
              <w:jc w:val="both"/>
            </w:pPr>
            <w:r>
              <w:t>c) rodné číslo,</w:t>
            </w:r>
          </w:p>
          <w:p w14:paraId="221D1830" w14:textId="77777777" w:rsidR="00592E9D" w:rsidRDefault="00592E9D" w:rsidP="00592E9D">
            <w:pPr>
              <w:pStyle w:val="Normlny0"/>
              <w:jc w:val="both"/>
            </w:pPr>
            <w:r>
              <w:t xml:space="preserve">d) bydlisko, </w:t>
            </w:r>
          </w:p>
          <w:p w14:paraId="5135B471" w14:textId="77777777" w:rsidR="00592E9D" w:rsidRDefault="00592E9D" w:rsidP="00592E9D">
            <w:pPr>
              <w:pStyle w:val="Normlny0"/>
              <w:jc w:val="both"/>
            </w:pPr>
            <w:r>
              <w:t>e) dátum vzniku funkcie,</w:t>
            </w:r>
          </w:p>
          <w:p w14:paraId="14582613" w14:textId="77777777" w:rsidR="00592E9D" w:rsidRDefault="00592E9D" w:rsidP="00592E9D">
            <w:pPr>
              <w:pStyle w:val="Normlny0"/>
              <w:jc w:val="both"/>
            </w:pPr>
            <w:r>
              <w:t xml:space="preserve">f) dátum skončenia funkcie. </w:t>
            </w:r>
          </w:p>
          <w:p w14:paraId="14B96446" w14:textId="77777777" w:rsidR="00592E9D" w:rsidRDefault="00592E9D" w:rsidP="00592E9D">
            <w:pPr>
              <w:pStyle w:val="Normlny0"/>
              <w:jc w:val="both"/>
            </w:pPr>
          </w:p>
          <w:p w14:paraId="27487BD7" w14:textId="04F46726" w:rsidR="00592E9D" w:rsidRDefault="00592E9D" w:rsidP="00592E9D">
            <w:pPr>
              <w:pStyle w:val="Normlny0"/>
              <w:jc w:val="both"/>
            </w:pPr>
            <w:r>
              <w:t>(2) Pri fyzickej osobe v postavení inom ako podľa odseku 1, ktoré sa do obchodného registra zapisuje pri zapísanej osobe, sa do obchodného registra zapisujú tieto</w:t>
            </w:r>
            <w:r w:rsidR="00222F1B">
              <w:t>:</w:t>
            </w:r>
            <w:r>
              <w:t xml:space="preserve"> zapisované údaje</w:t>
            </w:r>
          </w:p>
          <w:p w14:paraId="22C3B99B" w14:textId="77777777" w:rsidR="00592E9D" w:rsidRDefault="00592E9D" w:rsidP="00592E9D">
            <w:pPr>
              <w:pStyle w:val="Normlny0"/>
              <w:jc w:val="both"/>
            </w:pPr>
            <w:r>
              <w:t>a) meno a priezvisko,</w:t>
            </w:r>
          </w:p>
          <w:p w14:paraId="49B42242" w14:textId="77777777" w:rsidR="00592E9D" w:rsidRDefault="00592E9D" w:rsidP="00592E9D">
            <w:pPr>
              <w:pStyle w:val="Normlny0"/>
              <w:jc w:val="both"/>
            </w:pPr>
            <w:r>
              <w:t xml:space="preserve">b) dátum narodenia, </w:t>
            </w:r>
          </w:p>
          <w:p w14:paraId="1E932B99" w14:textId="77777777" w:rsidR="00592E9D" w:rsidRDefault="00592E9D" w:rsidP="00592E9D">
            <w:pPr>
              <w:pStyle w:val="Normlny0"/>
              <w:jc w:val="both"/>
            </w:pPr>
            <w:r>
              <w:t xml:space="preserve">c) rodné číslo, </w:t>
            </w:r>
          </w:p>
          <w:p w14:paraId="0EFC5C75" w14:textId="77777777" w:rsidR="00592E9D" w:rsidRDefault="00592E9D" w:rsidP="00592E9D">
            <w:pPr>
              <w:pStyle w:val="Normlny0"/>
              <w:jc w:val="both"/>
            </w:pPr>
            <w:r>
              <w:t>d) bydlisko.</w:t>
            </w:r>
          </w:p>
          <w:p w14:paraId="0273C01C" w14:textId="77777777" w:rsidR="00592E9D" w:rsidRDefault="00592E9D" w:rsidP="00592E9D">
            <w:pPr>
              <w:pStyle w:val="Normlny0"/>
              <w:jc w:val="both"/>
            </w:pPr>
          </w:p>
          <w:p w14:paraId="27507D99" w14:textId="275857FE" w:rsidR="00AB3E3D" w:rsidRPr="00460602" w:rsidRDefault="00592E9D" w:rsidP="00592E9D">
            <w:pPr>
              <w:pStyle w:val="Normlny0"/>
              <w:jc w:val="both"/>
            </w:pPr>
            <w:r>
              <w:lastRenderedPageBreak/>
              <w:t>(4) Ak ide o zahraničnú fyzickú osobu, zapisuje sa do obchodného registra rodné číslo pridelené v Slovenskej republike. Ak rodné číslo v Slovenskej republike nie je pridelené, zapisuje sa iný identifikátor fyzickej osoby, ktorý jej je pridelený alebo určený n</w:t>
            </w:r>
            <w:r w:rsidRPr="00460602">
              <w:t>a účel jednoznačnej identifikácie.</w:t>
            </w:r>
            <w:r w:rsidRPr="00460602">
              <w:rPr>
                <w:vertAlign w:val="superscript"/>
              </w:rPr>
              <w:t>9</w:t>
            </w:r>
            <w:r w:rsidRPr="00460602">
              <w:t>)</w:t>
            </w:r>
          </w:p>
          <w:p w14:paraId="0334723C" w14:textId="77777777" w:rsidR="00592E9D" w:rsidRPr="00460602" w:rsidRDefault="00592E9D" w:rsidP="00592E9D">
            <w:pPr>
              <w:pStyle w:val="Normlny0"/>
              <w:jc w:val="both"/>
            </w:pPr>
          </w:p>
          <w:p w14:paraId="6AFE3382" w14:textId="5E044160" w:rsidR="00CC2C39" w:rsidRPr="00460602" w:rsidRDefault="00840DAE" w:rsidP="00CC2C39">
            <w:pPr>
              <w:pStyle w:val="Normlny0"/>
              <w:jc w:val="both"/>
            </w:pPr>
            <w:r w:rsidRPr="00460602">
              <w:t>Poznámka pod čiarou k odkazu 9</w:t>
            </w:r>
            <w:r w:rsidR="00CC2C39" w:rsidRPr="00460602">
              <w:t xml:space="preserve"> znie: </w:t>
            </w:r>
          </w:p>
          <w:p w14:paraId="679504DA" w14:textId="77777777" w:rsidR="00AB3E3D" w:rsidRPr="00460602" w:rsidRDefault="00AB3E3D" w:rsidP="00CC2C39">
            <w:pPr>
              <w:pStyle w:val="Normlny0"/>
              <w:jc w:val="both"/>
            </w:pPr>
          </w:p>
          <w:p w14:paraId="571EC646" w14:textId="77777777" w:rsidR="00460602" w:rsidRPr="00460602" w:rsidRDefault="0054472B" w:rsidP="00CC2C39">
            <w:pPr>
              <w:pStyle w:val="Normlny0"/>
              <w:jc w:val="both"/>
            </w:pPr>
            <w:r w:rsidRPr="00460602">
              <w:rPr>
                <w:rStyle w:val="Odkaznapoznmkupodiarou"/>
              </w:rPr>
              <w:t>9</w:t>
            </w:r>
            <w:r w:rsidR="00CC2C39" w:rsidRPr="00460602">
              <w:t xml:space="preserve">) </w:t>
            </w:r>
            <w:r w:rsidR="00592E9D" w:rsidRPr="00460602">
              <w:t>§ 23b ods. 4 zákona č. 253/1998 Z. z. o hlásení pobytu občanov Slovenskej republiky a registri obyvateľov Slovenskej republiky v znení neskorš</w:t>
            </w:r>
            <w:r w:rsidR="00460602" w:rsidRPr="00460602">
              <w:t>ích predpisov.</w:t>
            </w:r>
          </w:p>
          <w:p w14:paraId="7BA3A2AA" w14:textId="54297FF5" w:rsidR="00CC2C39" w:rsidRDefault="00592E9D" w:rsidP="00CC2C39">
            <w:pPr>
              <w:pStyle w:val="Normlny0"/>
              <w:jc w:val="both"/>
            </w:pPr>
            <w:r w:rsidRPr="00460602">
              <w:t>§ 3 písm. n) prvý bod zákona č. 305/2013 v znení zákona č. 273/2015 Z. z.</w:t>
            </w:r>
          </w:p>
          <w:p w14:paraId="5208E3EF" w14:textId="77777777" w:rsidR="00AB3E3D" w:rsidRDefault="00AB3E3D" w:rsidP="00CC2C39">
            <w:pPr>
              <w:pStyle w:val="Normlny0"/>
              <w:jc w:val="both"/>
            </w:pPr>
          </w:p>
          <w:p w14:paraId="01C9A389" w14:textId="2B30EA86" w:rsidR="000E257D" w:rsidRDefault="000E257D" w:rsidP="000E257D">
            <w:pPr>
              <w:pStyle w:val="Normlny0"/>
              <w:jc w:val="both"/>
            </w:pPr>
          </w:p>
          <w:p w14:paraId="0EA1CF07" w14:textId="77777777" w:rsidR="00840DAE" w:rsidRDefault="00840DAE" w:rsidP="000E257D">
            <w:pPr>
              <w:pStyle w:val="Normlny0"/>
              <w:jc w:val="both"/>
            </w:pPr>
          </w:p>
          <w:p w14:paraId="7FBDD588" w14:textId="77777777" w:rsidR="00CC2C39" w:rsidRDefault="00CC2C39" w:rsidP="00CC2C39">
            <w:pPr>
              <w:pStyle w:val="Normlny0"/>
              <w:jc w:val="center"/>
            </w:pPr>
            <w:r>
              <w:t>§ 24</w:t>
            </w:r>
          </w:p>
          <w:p w14:paraId="30B5B712" w14:textId="77777777" w:rsidR="00CC2C39" w:rsidRDefault="00CC2C39" w:rsidP="00CC2C39">
            <w:pPr>
              <w:pStyle w:val="Normlny0"/>
              <w:jc w:val="center"/>
            </w:pPr>
            <w:r>
              <w:t xml:space="preserve">Zapisované údaje o právnickej osobe </w:t>
            </w:r>
          </w:p>
          <w:p w14:paraId="463D0056" w14:textId="77777777" w:rsidR="00CC2C39" w:rsidRDefault="00CC2C39" w:rsidP="00CC2C39">
            <w:pPr>
              <w:pStyle w:val="Normlny0"/>
              <w:jc w:val="center"/>
            </w:pPr>
          </w:p>
          <w:p w14:paraId="68B80088" w14:textId="2F25BE74" w:rsidR="00592E9D" w:rsidRDefault="00592E9D" w:rsidP="00592E9D">
            <w:pPr>
              <w:pStyle w:val="Normlny0"/>
              <w:jc w:val="both"/>
            </w:pPr>
            <w:r>
              <w:t>(1) Pri právnickej osobe v postavení štatutárneho orgánu alebo člena štatutárneho orgánu zapísanej osoby alebo likvidátora, ktoré sa do obchodného registra zapisuje pri zapísanej osobe, sa do obchodného registra zapisujú tieto zapisované údaje</w:t>
            </w:r>
            <w:r w:rsidR="00222F1B">
              <w:t>:</w:t>
            </w:r>
          </w:p>
          <w:p w14:paraId="75F95744" w14:textId="77777777" w:rsidR="00592E9D" w:rsidRDefault="00592E9D" w:rsidP="00592E9D">
            <w:pPr>
              <w:pStyle w:val="Normlny0"/>
              <w:jc w:val="both"/>
            </w:pPr>
            <w:r>
              <w:t xml:space="preserve">a) obchodné meno alebo názov, </w:t>
            </w:r>
          </w:p>
          <w:p w14:paraId="7995C130" w14:textId="77777777" w:rsidR="00592E9D" w:rsidRDefault="00592E9D" w:rsidP="00592E9D">
            <w:pPr>
              <w:pStyle w:val="Normlny0"/>
              <w:jc w:val="both"/>
            </w:pPr>
            <w:r>
              <w:t>b) sídlo,</w:t>
            </w:r>
          </w:p>
          <w:p w14:paraId="01214773" w14:textId="77777777" w:rsidR="00592E9D" w:rsidRDefault="00592E9D" w:rsidP="00592E9D">
            <w:pPr>
              <w:pStyle w:val="Normlny0"/>
              <w:jc w:val="both"/>
            </w:pPr>
            <w:r>
              <w:t xml:space="preserve">c) identifikačné číslo, </w:t>
            </w:r>
          </w:p>
          <w:p w14:paraId="74BEC7BD" w14:textId="77777777" w:rsidR="00592E9D" w:rsidRDefault="00592E9D" w:rsidP="00592E9D">
            <w:pPr>
              <w:pStyle w:val="Normlny0"/>
              <w:jc w:val="both"/>
            </w:pPr>
            <w:r>
              <w:t xml:space="preserve">d) dátum vzniku funkcie,  </w:t>
            </w:r>
          </w:p>
          <w:p w14:paraId="56018A02" w14:textId="77777777" w:rsidR="00592E9D" w:rsidRDefault="00592E9D" w:rsidP="00592E9D">
            <w:pPr>
              <w:pStyle w:val="Normlny0"/>
              <w:jc w:val="both"/>
            </w:pPr>
            <w:r>
              <w:t xml:space="preserve">e) dátum skončenia funkcie. </w:t>
            </w:r>
          </w:p>
          <w:p w14:paraId="141846C5" w14:textId="77777777" w:rsidR="00592E9D" w:rsidRDefault="00592E9D" w:rsidP="00592E9D">
            <w:pPr>
              <w:pStyle w:val="Normlny0"/>
              <w:jc w:val="both"/>
            </w:pPr>
          </w:p>
          <w:p w14:paraId="025FB775" w14:textId="5608219A" w:rsidR="00592E9D" w:rsidRDefault="00592E9D" w:rsidP="00592E9D">
            <w:pPr>
              <w:pStyle w:val="Normlny0"/>
              <w:jc w:val="both"/>
            </w:pPr>
            <w:r>
              <w:t xml:space="preserve">(2) Pri právnickej osobe v postavení inom ako podľa odseku 1, ktoré sa do obchodného registra zapisuje pri zapísanej </w:t>
            </w:r>
            <w:r>
              <w:lastRenderedPageBreak/>
              <w:t>osobe, sa do obchodného registra zapisujú tieto zapisované údaje</w:t>
            </w:r>
            <w:r w:rsidR="00222F1B">
              <w:t>:</w:t>
            </w:r>
          </w:p>
          <w:p w14:paraId="2D0DA659" w14:textId="77777777" w:rsidR="00592E9D" w:rsidRDefault="00592E9D" w:rsidP="00592E9D">
            <w:pPr>
              <w:pStyle w:val="Normlny0"/>
              <w:jc w:val="both"/>
            </w:pPr>
            <w:r>
              <w:t>a)</w:t>
            </w:r>
            <w:r>
              <w:tab/>
              <w:t xml:space="preserve">obchodné meno alebo názov, </w:t>
            </w:r>
          </w:p>
          <w:p w14:paraId="7FB36991" w14:textId="77777777" w:rsidR="00592E9D" w:rsidRDefault="00592E9D" w:rsidP="00592E9D">
            <w:pPr>
              <w:pStyle w:val="Normlny0"/>
              <w:jc w:val="both"/>
            </w:pPr>
            <w:r>
              <w:t>b)</w:t>
            </w:r>
            <w:r>
              <w:tab/>
              <w:t xml:space="preserve">sídlo, </w:t>
            </w:r>
          </w:p>
          <w:p w14:paraId="20E5CA3A" w14:textId="77777777" w:rsidR="00592E9D" w:rsidRDefault="00592E9D" w:rsidP="00592E9D">
            <w:pPr>
              <w:pStyle w:val="Normlny0"/>
              <w:jc w:val="both"/>
            </w:pPr>
            <w:r>
              <w:t>c)</w:t>
            </w:r>
            <w:r>
              <w:tab/>
              <w:t>identifikačné číslo.</w:t>
            </w:r>
          </w:p>
          <w:p w14:paraId="2A8BD1F0" w14:textId="77777777" w:rsidR="00592E9D" w:rsidRDefault="00592E9D" w:rsidP="00592E9D">
            <w:pPr>
              <w:pStyle w:val="Normlny0"/>
              <w:jc w:val="both"/>
            </w:pPr>
          </w:p>
          <w:p w14:paraId="5101A6DF" w14:textId="10FDE7C1" w:rsidR="00592E9D" w:rsidRDefault="00592E9D" w:rsidP="00592E9D">
            <w:pPr>
              <w:pStyle w:val="Normlny0"/>
              <w:jc w:val="both"/>
            </w:pPr>
            <w:r>
              <w:t>(3) Pri právnickej osobe v postavení podľa § 15 písm. e) sa do obchodného registra zapisujú tieto zapisované údaje</w:t>
            </w:r>
            <w:r w:rsidR="00222F1B">
              <w:t>:</w:t>
            </w:r>
          </w:p>
          <w:p w14:paraId="476BAC2D" w14:textId="77777777" w:rsidR="00592E9D" w:rsidRDefault="00592E9D" w:rsidP="00592E9D">
            <w:pPr>
              <w:pStyle w:val="Normlny0"/>
              <w:jc w:val="both"/>
            </w:pPr>
            <w:r>
              <w:t>a) obchodné meno alebo názov,</w:t>
            </w:r>
          </w:p>
          <w:p w14:paraId="08B91B29" w14:textId="77777777" w:rsidR="00592E9D" w:rsidRDefault="00592E9D" w:rsidP="00592E9D">
            <w:pPr>
              <w:pStyle w:val="Normlny0"/>
              <w:jc w:val="both"/>
            </w:pPr>
            <w:r>
              <w:t>b) sídlo.</w:t>
            </w:r>
          </w:p>
          <w:p w14:paraId="40539B15" w14:textId="77777777" w:rsidR="00592E9D" w:rsidRDefault="00592E9D" w:rsidP="00592E9D">
            <w:pPr>
              <w:pStyle w:val="Normlny0"/>
              <w:jc w:val="both"/>
            </w:pPr>
          </w:p>
          <w:p w14:paraId="6956700C" w14:textId="6BCB5E55" w:rsidR="00AB3E3D" w:rsidRPr="00460602" w:rsidRDefault="00592E9D" w:rsidP="00592E9D">
            <w:pPr>
              <w:pStyle w:val="Normlny0"/>
              <w:jc w:val="both"/>
            </w:pPr>
            <w:r>
              <w:t>(4) Ak ide o zahraničnú právnickú osobu, zapisuje sa do obchodného registra identifikačné číslo, ak jej bolo pridelené. Ak identifikačné číslo nie je pridelené, zapisuje sa iný identifikátor právnickej osoby, ktorý je jej pridelený alebo určený na ú</w:t>
            </w:r>
            <w:r w:rsidR="00222F1B">
              <w:t xml:space="preserve">čel jednoznačnej </w:t>
            </w:r>
            <w:bookmarkStart w:id="0" w:name="_GoBack"/>
            <w:bookmarkEnd w:id="0"/>
            <w:r w:rsidR="00222F1B" w:rsidRPr="00460602">
              <w:t>identifikácie.</w:t>
            </w:r>
            <w:r w:rsidR="00840DAE" w:rsidRPr="00460602">
              <w:rPr>
                <w:vertAlign w:val="superscript"/>
              </w:rPr>
              <w:t>10</w:t>
            </w:r>
            <w:r w:rsidR="00840DAE" w:rsidRPr="00460602">
              <w:t>)</w:t>
            </w:r>
          </w:p>
          <w:p w14:paraId="32B634DA" w14:textId="77777777" w:rsidR="00AB3E3D" w:rsidRPr="00460602" w:rsidRDefault="00AB3E3D" w:rsidP="00AB3E3D">
            <w:pPr>
              <w:pStyle w:val="Normlny0"/>
              <w:jc w:val="both"/>
            </w:pPr>
          </w:p>
          <w:p w14:paraId="76E5B228" w14:textId="18028940" w:rsidR="007408DC" w:rsidRPr="00460602" w:rsidRDefault="00AB3E3D" w:rsidP="007408DC">
            <w:pPr>
              <w:pStyle w:val="Normlny0"/>
              <w:jc w:val="both"/>
            </w:pPr>
            <w:r w:rsidRPr="00460602">
              <w:t>Poznámka pod čiarou k odkazu 10</w:t>
            </w:r>
            <w:r w:rsidR="007408DC" w:rsidRPr="00460602">
              <w:t xml:space="preserve"> znie: </w:t>
            </w:r>
          </w:p>
          <w:p w14:paraId="7DD119B3" w14:textId="77777777" w:rsidR="007408DC" w:rsidRPr="00460602" w:rsidRDefault="007408DC" w:rsidP="007408DC">
            <w:pPr>
              <w:pStyle w:val="Normlny0"/>
              <w:jc w:val="both"/>
            </w:pPr>
          </w:p>
          <w:p w14:paraId="6E782201" w14:textId="77777777" w:rsidR="00460602" w:rsidRPr="00460602" w:rsidRDefault="00AB3E3D" w:rsidP="00AB3E3D">
            <w:pPr>
              <w:pStyle w:val="Normlny0"/>
              <w:jc w:val="both"/>
            </w:pPr>
            <w:r w:rsidRPr="00460602">
              <w:rPr>
                <w:rStyle w:val="Odkaznapoznmkupodiarou"/>
              </w:rPr>
              <w:t>10</w:t>
            </w:r>
            <w:r w:rsidRPr="00460602">
              <w:t xml:space="preserve">) </w:t>
            </w:r>
            <w:r w:rsidR="00592E9D" w:rsidRPr="00460602">
              <w:t>§ 23b ods. 4 zákona č. 253/1998 Z. z</w:t>
            </w:r>
            <w:r w:rsidR="00460602" w:rsidRPr="00460602">
              <w:t>. v znení neskorších predpisov.</w:t>
            </w:r>
          </w:p>
          <w:p w14:paraId="60001837" w14:textId="6E0FC7FD" w:rsidR="00AB3E3D" w:rsidRDefault="00592E9D" w:rsidP="00AB3E3D">
            <w:pPr>
              <w:pStyle w:val="Normlny0"/>
              <w:jc w:val="both"/>
            </w:pPr>
            <w:r w:rsidRPr="00460602">
              <w:t>§ 3 písm. n) tretí bod zákona č. 305/2013 Z. z. v znení neskorších predpisov.</w:t>
            </w:r>
          </w:p>
          <w:p w14:paraId="213229F8" w14:textId="03B20896" w:rsidR="007408DC" w:rsidRPr="000E257D" w:rsidRDefault="007408DC" w:rsidP="007408DC">
            <w:pPr>
              <w:pStyle w:val="Normlny0"/>
              <w:jc w:val="both"/>
            </w:pPr>
          </w:p>
        </w:tc>
        <w:tc>
          <w:tcPr>
            <w:tcW w:w="850" w:type="dxa"/>
            <w:tcBorders>
              <w:top w:val="single" w:sz="4" w:space="0" w:color="auto"/>
              <w:bottom w:val="single" w:sz="4" w:space="0" w:color="auto"/>
            </w:tcBorders>
          </w:tcPr>
          <w:p w14:paraId="1C80D6F4" w14:textId="2FC1B7BF" w:rsidR="001F2595" w:rsidRPr="00480673"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76519DC4" w14:textId="143DDBA6" w:rsidR="001F2595" w:rsidRPr="00480673" w:rsidRDefault="003F7319" w:rsidP="00D66713">
            <w:pPr>
              <w:jc w:val="center"/>
              <w:rPr>
                <w:rFonts w:ascii="Times New Roman" w:hAnsi="Times New Roman" w:cs="Times New Roman"/>
                <w:sz w:val="20"/>
                <w:szCs w:val="20"/>
              </w:rPr>
            </w:pPr>
            <w:r w:rsidRPr="00480673">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22B5351A" w14:textId="1F1354B0" w:rsidR="00964D82" w:rsidRDefault="00964D82" w:rsidP="00161808">
      <w:pPr>
        <w:pStyle w:val="Nadpis4"/>
        <w:jc w:val="both"/>
        <w:rPr>
          <w:b w:val="0"/>
          <w:sz w:val="20"/>
          <w:szCs w:val="20"/>
        </w:rPr>
      </w:pPr>
      <w:r w:rsidRPr="000E257D">
        <w:rPr>
          <w:sz w:val="20"/>
          <w:szCs w:val="20"/>
        </w:rPr>
        <w:t xml:space="preserve">1. </w:t>
      </w:r>
      <w:r w:rsidR="0074564D">
        <w:rPr>
          <w:sz w:val="20"/>
          <w:szCs w:val="20"/>
        </w:rPr>
        <w:t>Návrh zákona č. .../2025</w:t>
      </w:r>
      <w:r w:rsidR="0074564D" w:rsidRPr="00AD1F8A">
        <w:rPr>
          <w:sz w:val="20"/>
          <w:szCs w:val="20"/>
        </w:rPr>
        <w:t xml:space="preserve"> Z. z. </w:t>
      </w:r>
      <w:r w:rsidR="0074564D" w:rsidRPr="0074564D">
        <w:rPr>
          <w:sz w:val="20"/>
          <w:szCs w:val="20"/>
        </w:rPr>
        <w:t>o obchodnom registri a o zmene a doplnení niektorých zákonov (zákon o obchodnom registri)</w:t>
      </w:r>
    </w:p>
    <w:p w14:paraId="1F49E272" w14:textId="58A6A46D" w:rsidR="00196FA7" w:rsidRPr="00480673" w:rsidRDefault="00196FA7" w:rsidP="00D66713">
      <w:pPr>
        <w:spacing w:after="0" w:line="240" w:lineRule="auto"/>
        <w:rPr>
          <w:rFonts w:ascii="Times New Roman" w:hAnsi="Times New Roman" w:cs="Times New Roman"/>
          <w:b/>
          <w:sz w:val="20"/>
          <w:szCs w:val="20"/>
        </w:rPr>
      </w:pPr>
    </w:p>
    <w:p w14:paraId="6A393080" w14:textId="77777777" w:rsidR="00740965" w:rsidRPr="00480673" w:rsidRDefault="00740965" w:rsidP="00740965">
      <w:pPr>
        <w:spacing w:after="0"/>
        <w:jc w:val="both"/>
        <w:rPr>
          <w:rFonts w:ascii="Times New Roman" w:hAnsi="Times New Roman" w:cs="Times New Roman"/>
          <w:sz w:val="20"/>
          <w:szCs w:val="20"/>
        </w:rPr>
      </w:pPr>
      <w:r w:rsidRPr="00480673">
        <w:rPr>
          <w:rFonts w:ascii="Times New Roman" w:hAnsi="Times New Roman" w:cs="Times New Roman"/>
          <w:sz w:val="20"/>
          <w:szCs w:val="20"/>
        </w:rPr>
        <w:t>* Vyjadrenie k opodstatnenosti goldplatingu a jeho odôvodnenie:</w:t>
      </w:r>
    </w:p>
    <w:p w14:paraId="01941864" w14:textId="29A9F535" w:rsidR="00196FA7" w:rsidRPr="00480673" w:rsidRDefault="00196FA7" w:rsidP="00196FA7">
      <w:pPr>
        <w:spacing w:after="0" w:line="240" w:lineRule="auto"/>
        <w:rPr>
          <w:rFonts w:ascii="Times New Roman" w:hAnsi="Times New Roman" w:cs="Times New Roman"/>
          <w:b/>
          <w:sz w:val="20"/>
          <w:szCs w:val="20"/>
        </w:rPr>
      </w:pPr>
    </w:p>
    <w:sectPr w:rsidR="00196FA7" w:rsidRPr="00480673"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E41C" w14:textId="77777777" w:rsidR="00CB41BD" w:rsidRDefault="00CB41BD" w:rsidP="008F71B9">
      <w:pPr>
        <w:spacing w:after="0" w:line="240" w:lineRule="auto"/>
      </w:pPr>
      <w:r>
        <w:separator/>
      </w:r>
    </w:p>
  </w:endnote>
  <w:endnote w:type="continuationSeparator" w:id="0">
    <w:p w14:paraId="3055956F" w14:textId="77777777" w:rsidR="00CB41BD" w:rsidRDefault="00CB41BD"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97F4D" w14:textId="77777777" w:rsidR="00CB41BD" w:rsidRDefault="00CB41BD" w:rsidP="008F71B9">
      <w:pPr>
        <w:spacing w:after="0" w:line="240" w:lineRule="auto"/>
      </w:pPr>
      <w:r>
        <w:separator/>
      </w:r>
    </w:p>
  </w:footnote>
  <w:footnote w:type="continuationSeparator" w:id="0">
    <w:p w14:paraId="24777B88" w14:textId="77777777" w:rsidR="00CB41BD" w:rsidRDefault="00CB41BD"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339CC"/>
    <w:rsid w:val="00035559"/>
    <w:rsid w:val="00036C65"/>
    <w:rsid w:val="00044C77"/>
    <w:rsid w:val="00072747"/>
    <w:rsid w:val="00072E6F"/>
    <w:rsid w:val="00073846"/>
    <w:rsid w:val="00074164"/>
    <w:rsid w:val="000844B4"/>
    <w:rsid w:val="000A2F32"/>
    <w:rsid w:val="000A7E87"/>
    <w:rsid w:val="000B3B04"/>
    <w:rsid w:val="000C61BB"/>
    <w:rsid w:val="000D11A6"/>
    <w:rsid w:val="000E257D"/>
    <w:rsid w:val="00101FEC"/>
    <w:rsid w:val="00103A41"/>
    <w:rsid w:val="0012239B"/>
    <w:rsid w:val="00133813"/>
    <w:rsid w:val="001466B0"/>
    <w:rsid w:val="001467E2"/>
    <w:rsid w:val="0015165F"/>
    <w:rsid w:val="00152099"/>
    <w:rsid w:val="001601D3"/>
    <w:rsid w:val="00161808"/>
    <w:rsid w:val="00182713"/>
    <w:rsid w:val="00195C14"/>
    <w:rsid w:val="00196FA7"/>
    <w:rsid w:val="001B4F4F"/>
    <w:rsid w:val="001C2DE8"/>
    <w:rsid w:val="001C3BD6"/>
    <w:rsid w:val="001D7B73"/>
    <w:rsid w:val="001E2CF1"/>
    <w:rsid w:val="001E364A"/>
    <w:rsid w:val="001E3659"/>
    <w:rsid w:val="001F2595"/>
    <w:rsid w:val="001F34E6"/>
    <w:rsid w:val="00212CDB"/>
    <w:rsid w:val="002136B0"/>
    <w:rsid w:val="00221D86"/>
    <w:rsid w:val="00222F1B"/>
    <w:rsid w:val="00224B66"/>
    <w:rsid w:val="002354FD"/>
    <w:rsid w:val="00237049"/>
    <w:rsid w:val="0024470A"/>
    <w:rsid w:val="00251250"/>
    <w:rsid w:val="002646F6"/>
    <w:rsid w:val="00267778"/>
    <w:rsid w:val="00275AA9"/>
    <w:rsid w:val="00276CDF"/>
    <w:rsid w:val="00283A64"/>
    <w:rsid w:val="00283B16"/>
    <w:rsid w:val="002A13BF"/>
    <w:rsid w:val="002A1C6C"/>
    <w:rsid w:val="002A750E"/>
    <w:rsid w:val="002B189C"/>
    <w:rsid w:val="002B21AD"/>
    <w:rsid w:val="002E7656"/>
    <w:rsid w:val="002F31EB"/>
    <w:rsid w:val="002F52E7"/>
    <w:rsid w:val="0031087F"/>
    <w:rsid w:val="00311050"/>
    <w:rsid w:val="003222FF"/>
    <w:rsid w:val="00323256"/>
    <w:rsid w:val="00326552"/>
    <w:rsid w:val="00342CD5"/>
    <w:rsid w:val="003507E9"/>
    <w:rsid w:val="003519FF"/>
    <w:rsid w:val="00354554"/>
    <w:rsid w:val="00361EDE"/>
    <w:rsid w:val="00372DBD"/>
    <w:rsid w:val="003B0E5D"/>
    <w:rsid w:val="003B1F01"/>
    <w:rsid w:val="003C2D3B"/>
    <w:rsid w:val="003C3A4F"/>
    <w:rsid w:val="003D037D"/>
    <w:rsid w:val="003E79C9"/>
    <w:rsid w:val="003F7319"/>
    <w:rsid w:val="004141C9"/>
    <w:rsid w:val="00414B1A"/>
    <w:rsid w:val="00415602"/>
    <w:rsid w:val="00434612"/>
    <w:rsid w:val="0043549A"/>
    <w:rsid w:val="00437011"/>
    <w:rsid w:val="00460602"/>
    <w:rsid w:val="0046345B"/>
    <w:rsid w:val="00464474"/>
    <w:rsid w:val="00466055"/>
    <w:rsid w:val="004672D8"/>
    <w:rsid w:val="00480673"/>
    <w:rsid w:val="00480923"/>
    <w:rsid w:val="0049119F"/>
    <w:rsid w:val="0049364D"/>
    <w:rsid w:val="004940E7"/>
    <w:rsid w:val="004A391E"/>
    <w:rsid w:val="004B4A32"/>
    <w:rsid w:val="004B59C8"/>
    <w:rsid w:val="004C213D"/>
    <w:rsid w:val="004D6709"/>
    <w:rsid w:val="004E24A7"/>
    <w:rsid w:val="004E72E5"/>
    <w:rsid w:val="004F21B5"/>
    <w:rsid w:val="004F3424"/>
    <w:rsid w:val="00521B8D"/>
    <w:rsid w:val="005330C8"/>
    <w:rsid w:val="00534519"/>
    <w:rsid w:val="00544051"/>
    <w:rsid w:val="0054472B"/>
    <w:rsid w:val="005765A2"/>
    <w:rsid w:val="0058073E"/>
    <w:rsid w:val="0058391A"/>
    <w:rsid w:val="00592E9D"/>
    <w:rsid w:val="005962DE"/>
    <w:rsid w:val="00597045"/>
    <w:rsid w:val="00597A86"/>
    <w:rsid w:val="005E0AD1"/>
    <w:rsid w:val="005E3399"/>
    <w:rsid w:val="005F1FC5"/>
    <w:rsid w:val="005F5257"/>
    <w:rsid w:val="005F6FB5"/>
    <w:rsid w:val="006004EF"/>
    <w:rsid w:val="00605230"/>
    <w:rsid w:val="00621D64"/>
    <w:rsid w:val="00626F33"/>
    <w:rsid w:val="00631EA0"/>
    <w:rsid w:val="00640ABA"/>
    <w:rsid w:val="00640C8E"/>
    <w:rsid w:val="00647E0F"/>
    <w:rsid w:val="00653C9F"/>
    <w:rsid w:val="0065411F"/>
    <w:rsid w:val="00655681"/>
    <w:rsid w:val="00670587"/>
    <w:rsid w:val="00677EB8"/>
    <w:rsid w:val="006A5791"/>
    <w:rsid w:val="006B2028"/>
    <w:rsid w:val="006B6BBE"/>
    <w:rsid w:val="006C08AC"/>
    <w:rsid w:val="006C1856"/>
    <w:rsid w:val="006C6B08"/>
    <w:rsid w:val="006E1DDA"/>
    <w:rsid w:val="006E2E55"/>
    <w:rsid w:val="006E56A9"/>
    <w:rsid w:val="00701764"/>
    <w:rsid w:val="007018C5"/>
    <w:rsid w:val="0070744D"/>
    <w:rsid w:val="00712B65"/>
    <w:rsid w:val="00721220"/>
    <w:rsid w:val="00732A9B"/>
    <w:rsid w:val="007408DC"/>
    <w:rsid w:val="00740965"/>
    <w:rsid w:val="0074564D"/>
    <w:rsid w:val="00751EF9"/>
    <w:rsid w:val="00756152"/>
    <w:rsid w:val="007660DB"/>
    <w:rsid w:val="00770B37"/>
    <w:rsid w:val="00772527"/>
    <w:rsid w:val="00792A15"/>
    <w:rsid w:val="007B3CBE"/>
    <w:rsid w:val="007B5728"/>
    <w:rsid w:val="007B6A87"/>
    <w:rsid w:val="007C40A7"/>
    <w:rsid w:val="007C4C77"/>
    <w:rsid w:val="007D3296"/>
    <w:rsid w:val="007E4D85"/>
    <w:rsid w:val="007F2241"/>
    <w:rsid w:val="007F48A2"/>
    <w:rsid w:val="007F7FDC"/>
    <w:rsid w:val="0080712D"/>
    <w:rsid w:val="00812E8B"/>
    <w:rsid w:val="00827544"/>
    <w:rsid w:val="00837816"/>
    <w:rsid w:val="00840DAE"/>
    <w:rsid w:val="00861AC2"/>
    <w:rsid w:val="00863A0D"/>
    <w:rsid w:val="00863B37"/>
    <w:rsid w:val="008679A3"/>
    <w:rsid w:val="008772DA"/>
    <w:rsid w:val="00877E7D"/>
    <w:rsid w:val="00881180"/>
    <w:rsid w:val="0088663A"/>
    <w:rsid w:val="0089051C"/>
    <w:rsid w:val="008A503C"/>
    <w:rsid w:val="008B070F"/>
    <w:rsid w:val="008B1576"/>
    <w:rsid w:val="008D1E35"/>
    <w:rsid w:val="008E6341"/>
    <w:rsid w:val="008E6C08"/>
    <w:rsid w:val="008F47A9"/>
    <w:rsid w:val="008F71B9"/>
    <w:rsid w:val="00903BCD"/>
    <w:rsid w:val="00914595"/>
    <w:rsid w:val="00943BE1"/>
    <w:rsid w:val="00964D82"/>
    <w:rsid w:val="00983D85"/>
    <w:rsid w:val="00986F46"/>
    <w:rsid w:val="0099448C"/>
    <w:rsid w:val="00997948"/>
    <w:rsid w:val="009B03A5"/>
    <w:rsid w:val="009B5B8F"/>
    <w:rsid w:val="009C29BE"/>
    <w:rsid w:val="009C4F5B"/>
    <w:rsid w:val="009C69CB"/>
    <w:rsid w:val="009C7A1B"/>
    <w:rsid w:val="009C7EC3"/>
    <w:rsid w:val="009D3E59"/>
    <w:rsid w:val="009E1D08"/>
    <w:rsid w:val="009E28F9"/>
    <w:rsid w:val="009F6498"/>
    <w:rsid w:val="00A4706E"/>
    <w:rsid w:val="00A64D44"/>
    <w:rsid w:val="00A74123"/>
    <w:rsid w:val="00A8110A"/>
    <w:rsid w:val="00A82931"/>
    <w:rsid w:val="00A8560B"/>
    <w:rsid w:val="00A92D7F"/>
    <w:rsid w:val="00AB1242"/>
    <w:rsid w:val="00AB2765"/>
    <w:rsid w:val="00AB3E3D"/>
    <w:rsid w:val="00AB450A"/>
    <w:rsid w:val="00AD3337"/>
    <w:rsid w:val="00AE29EA"/>
    <w:rsid w:val="00AE5205"/>
    <w:rsid w:val="00AF181F"/>
    <w:rsid w:val="00AF4922"/>
    <w:rsid w:val="00B0221F"/>
    <w:rsid w:val="00B070FB"/>
    <w:rsid w:val="00B075A0"/>
    <w:rsid w:val="00B116AF"/>
    <w:rsid w:val="00B20631"/>
    <w:rsid w:val="00B2076E"/>
    <w:rsid w:val="00B21DBB"/>
    <w:rsid w:val="00B21FC8"/>
    <w:rsid w:val="00B324B8"/>
    <w:rsid w:val="00B35F8B"/>
    <w:rsid w:val="00B450A6"/>
    <w:rsid w:val="00B53E61"/>
    <w:rsid w:val="00B5477B"/>
    <w:rsid w:val="00B56BB9"/>
    <w:rsid w:val="00B56D56"/>
    <w:rsid w:val="00B706D4"/>
    <w:rsid w:val="00B71CCB"/>
    <w:rsid w:val="00B737AB"/>
    <w:rsid w:val="00B77653"/>
    <w:rsid w:val="00B77EF4"/>
    <w:rsid w:val="00B8244C"/>
    <w:rsid w:val="00B94779"/>
    <w:rsid w:val="00BA1BC5"/>
    <w:rsid w:val="00BA42FF"/>
    <w:rsid w:val="00BB0248"/>
    <w:rsid w:val="00BB1196"/>
    <w:rsid w:val="00BD6D04"/>
    <w:rsid w:val="00BF2483"/>
    <w:rsid w:val="00C02653"/>
    <w:rsid w:val="00C0276F"/>
    <w:rsid w:val="00C0460F"/>
    <w:rsid w:val="00C2548A"/>
    <w:rsid w:val="00C347C1"/>
    <w:rsid w:val="00C410BF"/>
    <w:rsid w:val="00C46284"/>
    <w:rsid w:val="00C73AF2"/>
    <w:rsid w:val="00C76AF4"/>
    <w:rsid w:val="00C77633"/>
    <w:rsid w:val="00C77B76"/>
    <w:rsid w:val="00C80BFD"/>
    <w:rsid w:val="00C87EA3"/>
    <w:rsid w:val="00C91219"/>
    <w:rsid w:val="00C93E3C"/>
    <w:rsid w:val="00CB41BD"/>
    <w:rsid w:val="00CB692F"/>
    <w:rsid w:val="00CC2C39"/>
    <w:rsid w:val="00CC5A34"/>
    <w:rsid w:val="00CC61F7"/>
    <w:rsid w:val="00CD130A"/>
    <w:rsid w:val="00D05774"/>
    <w:rsid w:val="00D23563"/>
    <w:rsid w:val="00D25632"/>
    <w:rsid w:val="00D421FA"/>
    <w:rsid w:val="00D44522"/>
    <w:rsid w:val="00D4508D"/>
    <w:rsid w:val="00D455BD"/>
    <w:rsid w:val="00D46F78"/>
    <w:rsid w:val="00D54CDE"/>
    <w:rsid w:val="00D552C7"/>
    <w:rsid w:val="00D64778"/>
    <w:rsid w:val="00D66713"/>
    <w:rsid w:val="00D77343"/>
    <w:rsid w:val="00D812E2"/>
    <w:rsid w:val="00D8288F"/>
    <w:rsid w:val="00D84819"/>
    <w:rsid w:val="00D869E4"/>
    <w:rsid w:val="00D8740D"/>
    <w:rsid w:val="00D938C9"/>
    <w:rsid w:val="00DA0D66"/>
    <w:rsid w:val="00DA7327"/>
    <w:rsid w:val="00DB0124"/>
    <w:rsid w:val="00DB2F5A"/>
    <w:rsid w:val="00DE1C54"/>
    <w:rsid w:val="00DF5B01"/>
    <w:rsid w:val="00E15087"/>
    <w:rsid w:val="00E31425"/>
    <w:rsid w:val="00E4662C"/>
    <w:rsid w:val="00E560A7"/>
    <w:rsid w:val="00E6211A"/>
    <w:rsid w:val="00E674B4"/>
    <w:rsid w:val="00E67F7E"/>
    <w:rsid w:val="00E8137C"/>
    <w:rsid w:val="00EA4619"/>
    <w:rsid w:val="00EB1616"/>
    <w:rsid w:val="00EB1BB7"/>
    <w:rsid w:val="00EC1C23"/>
    <w:rsid w:val="00EC636A"/>
    <w:rsid w:val="00ED15AB"/>
    <w:rsid w:val="00ED7459"/>
    <w:rsid w:val="00EE1A2F"/>
    <w:rsid w:val="00EF3FEE"/>
    <w:rsid w:val="00F13CDF"/>
    <w:rsid w:val="00F430BE"/>
    <w:rsid w:val="00F45947"/>
    <w:rsid w:val="00F54E4B"/>
    <w:rsid w:val="00F61C26"/>
    <w:rsid w:val="00F83A1A"/>
    <w:rsid w:val="00F83F6F"/>
    <w:rsid w:val="00F9536A"/>
    <w:rsid w:val="00FB2FE6"/>
    <w:rsid w:val="00FB732E"/>
    <w:rsid w:val="00FC0841"/>
    <w:rsid w:val="00FC4762"/>
    <w:rsid w:val="00FD11F8"/>
    <w:rsid w:val="00FD49E2"/>
    <w:rsid w:val="00FE4676"/>
    <w:rsid w:val="00FE48CB"/>
    <w:rsid w:val="00FF6343"/>
    <w:rsid w:val="00FF74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4258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2023-04-05T06:25:00Z</dcterms:created>
  <dcterms:modified xsi:type="dcterms:W3CDTF">2025-10-28T12:22:00Z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