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5A283" w14:textId="66EB3EFC" w:rsidR="00054C41" w:rsidRPr="00B24EFE" w:rsidRDefault="00CE3E51" w:rsidP="00054C41">
      <w:pPr>
        <w:jc w:val="center"/>
        <w:rPr>
          <w:rFonts w:ascii="Times New Roman" w:eastAsia="Calibri" w:hAnsi="Times New Roman" w:cs="Times New Roman"/>
          <w:b/>
          <w:sz w:val="24"/>
          <w:szCs w:val="24"/>
        </w:rPr>
      </w:pPr>
      <w:r w:rsidRPr="00B24EFE">
        <w:rPr>
          <w:rFonts w:ascii="Times New Roman" w:eastAsia="Calibri" w:hAnsi="Times New Roman" w:cs="Times New Roman"/>
          <w:b/>
          <w:sz w:val="24"/>
          <w:szCs w:val="24"/>
        </w:rPr>
        <w:t>Analýza vplyvov na podnikateľské prostredie</w:t>
      </w:r>
    </w:p>
    <w:p w14:paraId="7AF84A90" w14:textId="77777777" w:rsidR="00054C41" w:rsidRPr="00B24EFE" w:rsidRDefault="00054C41" w:rsidP="00054C41">
      <w:pPr>
        <w:jc w:val="both"/>
        <w:rPr>
          <w:rFonts w:ascii="Times New Roman" w:eastAsia="Calibri" w:hAnsi="Times New Roman" w:cs="Times New Roman"/>
          <w:b/>
          <w:sz w:val="24"/>
          <w:szCs w:val="24"/>
        </w:rPr>
      </w:pPr>
    </w:p>
    <w:p w14:paraId="0507EE7D" w14:textId="77777777" w:rsidR="00E64E77" w:rsidRPr="00B24EFE" w:rsidRDefault="00054C41" w:rsidP="00054C41">
      <w:pPr>
        <w:jc w:val="both"/>
        <w:rPr>
          <w:rFonts w:ascii="Times New Roman" w:eastAsia="Calibri" w:hAnsi="Times New Roman" w:cs="Times New Roman"/>
          <w:b/>
          <w:sz w:val="24"/>
          <w:szCs w:val="24"/>
        </w:rPr>
      </w:pPr>
      <w:r w:rsidRPr="00B24EFE">
        <w:rPr>
          <w:rFonts w:ascii="Times New Roman" w:eastAsia="Calibri" w:hAnsi="Times New Roman" w:cs="Times New Roman"/>
          <w:b/>
          <w:sz w:val="24"/>
          <w:szCs w:val="24"/>
        </w:rPr>
        <w:t>Názov materiálu:</w:t>
      </w:r>
      <w:r w:rsidR="00E64E77" w:rsidRPr="00B24EFE">
        <w:rPr>
          <w:rFonts w:ascii="Times New Roman" w:eastAsia="Calibri" w:hAnsi="Times New Roman" w:cs="Times New Roman"/>
          <w:b/>
          <w:sz w:val="24"/>
          <w:szCs w:val="24"/>
        </w:rPr>
        <w:t xml:space="preserve"> </w:t>
      </w:r>
    </w:p>
    <w:p w14:paraId="22516163" w14:textId="2270FA94" w:rsidR="00054C41" w:rsidRPr="00B24EFE" w:rsidRDefault="00596A5A" w:rsidP="00054C41">
      <w:pPr>
        <w:jc w:val="both"/>
        <w:rPr>
          <w:rFonts w:ascii="Times New Roman" w:eastAsia="Calibri" w:hAnsi="Times New Roman" w:cs="Times New Roman"/>
          <w:sz w:val="24"/>
          <w:szCs w:val="24"/>
        </w:rPr>
      </w:pPr>
      <w:r w:rsidRPr="00B24EFE">
        <w:rPr>
          <w:rFonts w:ascii="Times New Roman" w:eastAsia="Calibri" w:hAnsi="Times New Roman" w:cs="Times New Roman"/>
          <w:sz w:val="24"/>
          <w:szCs w:val="24"/>
        </w:rPr>
        <w:t>Návrh z</w:t>
      </w:r>
      <w:r w:rsidR="00E64E77" w:rsidRPr="00B24EFE">
        <w:rPr>
          <w:rFonts w:ascii="Times New Roman" w:eastAsia="Calibri" w:hAnsi="Times New Roman" w:cs="Times New Roman"/>
          <w:sz w:val="24"/>
          <w:szCs w:val="24"/>
        </w:rPr>
        <w:t>ákon</w:t>
      </w:r>
      <w:r w:rsidRPr="00B24EFE">
        <w:rPr>
          <w:rFonts w:ascii="Times New Roman" w:eastAsia="Calibri" w:hAnsi="Times New Roman" w:cs="Times New Roman"/>
          <w:sz w:val="24"/>
          <w:szCs w:val="24"/>
        </w:rPr>
        <w:t>a</w:t>
      </w:r>
      <w:r w:rsidR="00E64E77" w:rsidRPr="00B24EFE">
        <w:rPr>
          <w:rFonts w:ascii="Times New Roman" w:eastAsia="Calibri" w:hAnsi="Times New Roman" w:cs="Times New Roman"/>
          <w:sz w:val="24"/>
          <w:szCs w:val="24"/>
        </w:rPr>
        <w:t xml:space="preserve"> </w:t>
      </w:r>
      <w:r w:rsidR="000864E0" w:rsidRPr="000864E0">
        <w:rPr>
          <w:rFonts w:ascii="Times New Roman" w:eastAsia="Calibri" w:hAnsi="Times New Roman" w:cs="Times New Roman"/>
          <w:sz w:val="24"/>
          <w:szCs w:val="24"/>
        </w:rPr>
        <w:t>o obchodnom registri a o zmene a doplnení niektorých zákonov (zákon o obchodnom registri)</w:t>
      </w:r>
    </w:p>
    <w:p w14:paraId="45C9E023" w14:textId="77777777" w:rsidR="00E64E77" w:rsidRPr="00B24EFE" w:rsidRDefault="00054C41" w:rsidP="00054C41">
      <w:pPr>
        <w:jc w:val="both"/>
        <w:rPr>
          <w:rFonts w:ascii="Times New Roman" w:eastAsia="Calibri" w:hAnsi="Times New Roman" w:cs="Times New Roman"/>
          <w:b/>
          <w:sz w:val="24"/>
          <w:szCs w:val="24"/>
        </w:rPr>
      </w:pPr>
      <w:r w:rsidRPr="00B24EFE">
        <w:rPr>
          <w:rFonts w:ascii="Times New Roman" w:eastAsia="Calibri" w:hAnsi="Times New Roman" w:cs="Times New Roman"/>
          <w:b/>
          <w:sz w:val="24"/>
          <w:szCs w:val="24"/>
        </w:rPr>
        <w:t>Predkladateľ:</w:t>
      </w:r>
      <w:r w:rsidR="00E64E77" w:rsidRPr="00B24EFE">
        <w:rPr>
          <w:rFonts w:ascii="Times New Roman" w:eastAsia="Calibri" w:hAnsi="Times New Roman" w:cs="Times New Roman"/>
          <w:b/>
          <w:sz w:val="24"/>
          <w:szCs w:val="24"/>
        </w:rPr>
        <w:t xml:space="preserve"> </w:t>
      </w:r>
    </w:p>
    <w:p w14:paraId="73384937" w14:textId="0ECDE227" w:rsidR="00054C41" w:rsidRPr="00B24EFE" w:rsidRDefault="00E64E77" w:rsidP="00054C41">
      <w:pPr>
        <w:jc w:val="both"/>
        <w:rPr>
          <w:rFonts w:ascii="Times New Roman" w:eastAsia="Calibri" w:hAnsi="Times New Roman" w:cs="Times New Roman"/>
          <w:b/>
          <w:sz w:val="24"/>
          <w:szCs w:val="24"/>
        </w:rPr>
      </w:pPr>
      <w:r w:rsidRPr="00B24EFE">
        <w:rPr>
          <w:rFonts w:ascii="Times New Roman" w:eastAsia="Calibri" w:hAnsi="Times New Roman" w:cs="Times New Roman"/>
          <w:sz w:val="24"/>
          <w:szCs w:val="24"/>
        </w:rPr>
        <w:t xml:space="preserve">Ministerstvo spravodlivosti </w:t>
      </w:r>
      <w:r w:rsidR="005C299F" w:rsidRPr="00B24EFE">
        <w:rPr>
          <w:rFonts w:ascii="Times New Roman" w:eastAsia="Calibri" w:hAnsi="Times New Roman" w:cs="Times New Roman"/>
          <w:sz w:val="24"/>
          <w:szCs w:val="24"/>
        </w:rPr>
        <w:t>Slovenskej republiky</w:t>
      </w:r>
    </w:p>
    <w:p w14:paraId="515DBCE3" w14:textId="77777777" w:rsidR="00054C41" w:rsidRPr="00B24EFE" w:rsidRDefault="00054C41" w:rsidP="00054C41">
      <w:pPr>
        <w:jc w:val="both"/>
        <w:rPr>
          <w:rFonts w:ascii="Times New Roman" w:eastAsia="Calibri" w:hAnsi="Times New Roman" w:cs="Times New Roman"/>
          <w:b/>
          <w:sz w:val="24"/>
          <w:szCs w:val="24"/>
        </w:rPr>
      </w:pPr>
      <w:r w:rsidRPr="00B24EFE">
        <w:rPr>
          <w:rFonts w:ascii="Times New Roman" w:eastAsia="Calibri" w:hAnsi="Times New Roman" w:cs="Times New Roman"/>
          <w:b/>
          <w:sz w:val="24"/>
          <w:szCs w:val="24"/>
        </w:rPr>
        <w:t>3.1 Náklady regulácie</w:t>
      </w:r>
    </w:p>
    <w:p w14:paraId="14243EB0" w14:textId="77777777" w:rsidR="00054C41" w:rsidRPr="00B24EFE" w:rsidRDefault="00054C41" w:rsidP="00C21399">
      <w:pPr>
        <w:tabs>
          <w:tab w:val="left" w:pos="8025"/>
        </w:tabs>
        <w:rPr>
          <w:rFonts w:ascii="Times New Roman" w:eastAsia="Calibri" w:hAnsi="Times New Roman" w:cs="Times New Roman"/>
          <w:bCs/>
          <w:i/>
          <w:iCs/>
          <w:sz w:val="24"/>
          <w:szCs w:val="24"/>
        </w:rPr>
      </w:pPr>
      <w:r w:rsidRPr="00B24EFE">
        <w:rPr>
          <w:rFonts w:ascii="Times New Roman" w:eastAsia="Calibri" w:hAnsi="Times New Roman" w:cs="Times New Roman"/>
          <w:b/>
          <w:i/>
          <w:iCs/>
          <w:sz w:val="24"/>
          <w:szCs w:val="24"/>
        </w:rPr>
        <w:t xml:space="preserve">3.1.1 Súhrnná tabuľka nákladov regulácie </w:t>
      </w:r>
      <w:r w:rsidR="00C21399" w:rsidRPr="00B24EFE">
        <w:rPr>
          <w:rFonts w:ascii="Times New Roman" w:eastAsia="Calibri" w:hAnsi="Times New Roman" w:cs="Times New Roman"/>
          <w:b/>
          <w:i/>
          <w:iCs/>
          <w:sz w:val="24"/>
          <w:szCs w:val="24"/>
        </w:rPr>
        <w:tab/>
      </w:r>
    </w:p>
    <w:p w14:paraId="4D85A0D5" w14:textId="77777777" w:rsidR="00054C41" w:rsidRPr="00B24EFE" w:rsidRDefault="00054C41" w:rsidP="00054C41">
      <w:pPr>
        <w:jc w:val="both"/>
        <w:rPr>
          <w:rFonts w:ascii="Times New Roman" w:eastAsia="Calibri" w:hAnsi="Times New Roman" w:cs="Times New Roman"/>
          <w:i/>
          <w:sz w:val="24"/>
          <w:szCs w:val="24"/>
        </w:rPr>
      </w:pPr>
      <w:r w:rsidRPr="00B24EFE">
        <w:rPr>
          <w:rFonts w:ascii="Times New Roman" w:eastAsia="Calibri" w:hAnsi="Times New Roman" w:cs="Times New Roman"/>
          <w:i/>
          <w:sz w:val="24"/>
          <w:szCs w:val="24"/>
        </w:rPr>
        <w:t>Tabuľka č. 1: Zmeny nákladov (ročne) v prepočte na podnikateľské prostredie (PP), vyhodnotenie mechanizmu znižovania byrokracie a náklado</w:t>
      </w:r>
      <w:r w:rsidR="000A6B7F" w:rsidRPr="00B24EFE">
        <w:rPr>
          <w:rFonts w:ascii="Times New Roman" w:eastAsia="Calibri" w:hAnsi="Times New Roman" w:cs="Times New Roman"/>
          <w:i/>
          <w:sz w:val="24"/>
          <w:szCs w:val="24"/>
        </w:rPr>
        <w:t>v</w:t>
      </w:r>
      <w:r w:rsidR="00C929AE" w:rsidRPr="00B24EFE">
        <w:rPr>
          <w:rFonts w:ascii="Times New Roman" w:eastAsia="Calibri" w:hAnsi="Times New Roman" w:cs="Times New Roman"/>
          <w:i/>
          <w:sz w:val="24"/>
          <w:szCs w:val="24"/>
        </w:rPr>
        <w:t xml:space="preserve">, náklady </w:t>
      </w:r>
      <w:proofErr w:type="spellStart"/>
      <w:r w:rsidR="00C929AE" w:rsidRPr="00B24EFE">
        <w:rPr>
          <w:rFonts w:ascii="Times New Roman" w:eastAsia="Calibri" w:hAnsi="Times New Roman" w:cs="Times New Roman"/>
          <w:i/>
          <w:sz w:val="24"/>
          <w:szCs w:val="24"/>
        </w:rPr>
        <w:t>goldplatingu</w:t>
      </w:r>
      <w:proofErr w:type="spellEnd"/>
      <w:r w:rsidR="00C929AE" w:rsidRPr="00B24EFE">
        <w:rPr>
          <w:rStyle w:val="Odkaznapoznmkupodiarou"/>
          <w:rFonts w:ascii="Times New Roman" w:eastAsia="Calibri" w:hAnsi="Times New Roman" w:cs="Times New Roman"/>
          <w:i/>
          <w:sz w:val="24"/>
          <w:szCs w:val="24"/>
        </w:rPr>
        <w:footnoteReference w:id="1"/>
      </w:r>
      <w:r w:rsidR="000A6B7F" w:rsidRPr="00B24EFE">
        <w:rPr>
          <w:rFonts w:ascii="Times New Roman" w:eastAsia="Calibri" w:hAnsi="Times New Roman" w:cs="Times New Roman"/>
          <w:i/>
          <w:sz w:val="24"/>
          <w:szCs w:val="24"/>
        </w:rPr>
        <w:t xml:space="preserve"> </w:t>
      </w:r>
      <w:r w:rsidR="00C929AE" w:rsidRPr="00B24EFE">
        <w:rPr>
          <w:rFonts w:ascii="Times New Roman" w:eastAsia="Calibri" w:hAnsi="Times New Roman" w:cs="Times New Roman"/>
          <w:i/>
          <w:sz w:val="24"/>
          <w:szCs w:val="24"/>
        </w:rPr>
        <w:t>na podnikateľské prostredie</w:t>
      </w:r>
      <w:r w:rsidRPr="00B24EFE">
        <w:rPr>
          <w:rFonts w:ascii="Times New Roman" w:eastAsia="Calibri" w:hAnsi="Times New Roman" w:cs="Times New Roman"/>
          <w:i/>
          <w:sz w:val="24"/>
          <w:szCs w:val="24"/>
        </w:rPr>
        <w:t xml:space="preserve">. </w:t>
      </w:r>
    </w:p>
    <w:p w14:paraId="1A77DC61" w14:textId="77777777" w:rsidR="00054C41" w:rsidRPr="00965670" w:rsidRDefault="00054C41" w:rsidP="00054C41">
      <w:pPr>
        <w:jc w:val="both"/>
        <w:rPr>
          <w:rFonts w:ascii="Times New Roman" w:eastAsia="Calibri" w:hAnsi="Times New Roman" w:cs="Times New Roman"/>
          <w:i/>
          <w:sz w:val="24"/>
          <w:szCs w:val="24"/>
        </w:rPr>
      </w:pPr>
      <w:r w:rsidRPr="00B24EFE">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B24EFE">
          <w:rPr>
            <w:rFonts w:ascii="Times New Roman" w:eastAsia="Calibri" w:hAnsi="Times New Roman" w:cs="Times New Roman"/>
            <w:i/>
            <w:color w:val="0563C1"/>
            <w:sz w:val="24"/>
            <w:szCs w:val="24"/>
            <w:u w:val="single"/>
          </w:rPr>
          <w:t>webovom sídle MH SR</w:t>
        </w:r>
      </w:hyperlink>
      <w:r w:rsidRPr="00B24EFE">
        <w:rPr>
          <w:rFonts w:ascii="Times New Roman" w:eastAsia="Calibri" w:hAnsi="Times New Roman" w:cs="Times New Roman"/>
          <w:i/>
          <w:sz w:val="24"/>
          <w:szCs w:val="24"/>
        </w:rPr>
        <w:t>, (ďalej len „</w:t>
      </w:r>
      <w:r w:rsidRPr="00965670">
        <w:rPr>
          <w:rFonts w:ascii="Times New Roman" w:eastAsia="Calibri" w:hAnsi="Times New Roman" w:cs="Times New Roman"/>
          <w:i/>
          <w:sz w:val="24"/>
          <w:szCs w:val="24"/>
        </w:rPr>
        <w:t>Kalkulačka nákladov“):</w:t>
      </w:r>
    </w:p>
    <w:p w14:paraId="657764B7" w14:textId="02A61107" w:rsidR="007B0C81" w:rsidRPr="00965670" w:rsidRDefault="007B0C81" w:rsidP="00054C41">
      <w:pPr>
        <w:rPr>
          <w:rFonts w:ascii="Times New Roman" w:eastAsia="Calibri" w:hAnsi="Times New Roman" w:cs="Times New Roman"/>
          <w:b/>
          <w:sz w:val="24"/>
          <w:szCs w:val="24"/>
        </w:rPr>
      </w:pPr>
    </w:p>
    <w:tbl>
      <w:tblPr>
        <w:tblW w:w="8300" w:type="dxa"/>
        <w:tblCellMar>
          <w:left w:w="70" w:type="dxa"/>
          <w:right w:w="70" w:type="dxa"/>
        </w:tblCellMar>
        <w:tblLook w:val="04A0" w:firstRow="1" w:lastRow="0" w:firstColumn="1" w:lastColumn="0" w:noHBand="0" w:noVBand="1"/>
      </w:tblPr>
      <w:tblGrid>
        <w:gridCol w:w="4540"/>
        <w:gridCol w:w="1880"/>
        <w:gridCol w:w="1880"/>
      </w:tblGrid>
      <w:tr w:rsidR="001F0CFD" w:rsidRPr="00965670" w14:paraId="03EE2D16" w14:textId="77777777" w:rsidTr="00FC17F3">
        <w:trPr>
          <w:trHeight w:val="675"/>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EBD457" w14:textId="2A274000" w:rsidR="001F0CFD" w:rsidRPr="001F0CFD" w:rsidRDefault="001F0CFD" w:rsidP="001F0CFD">
            <w:pPr>
              <w:spacing w:after="0" w:line="240" w:lineRule="auto"/>
              <w:jc w:val="center"/>
              <w:rPr>
                <w:rFonts w:ascii="Times New Roman" w:eastAsia="Times New Roman" w:hAnsi="Times New Roman" w:cs="Times New Roman"/>
                <w:b/>
                <w:bCs/>
                <w:i/>
                <w:iCs/>
                <w:color w:val="000000"/>
                <w:sz w:val="20"/>
                <w:szCs w:val="20"/>
                <w:lang w:eastAsia="sk-SK"/>
              </w:rPr>
            </w:pPr>
            <w:r w:rsidRPr="001F0CFD">
              <w:rPr>
                <w:rFonts w:ascii="Times New Roman" w:hAnsi="Times New Roman" w:cs="Times New Roman"/>
                <w:b/>
                <w:bCs/>
                <w:i/>
                <w:iCs/>
                <w:color w:val="000000"/>
                <w:sz w:val="20"/>
                <w:szCs w:val="20"/>
              </w:rPr>
              <w:t>TYP NÁKLADOV</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313DDF6E" w14:textId="271CC170"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2DB13FED" w14:textId="48B9BE75"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Zníženie nákladov v € na PP</w:t>
            </w:r>
          </w:p>
        </w:tc>
      </w:tr>
      <w:tr w:rsidR="001F0CFD" w:rsidRPr="00965670" w14:paraId="6B78F1D9" w14:textId="77777777" w:rsidTr="00FC17F3">
        <w:trPr>
          <w:trHeight w:val="81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63444B21" w14:textId="7624BA1E" w:rsidR="001F0CFD" w:rsidRPr="001F0CFD" w:rsidRDefault="001F0CFD" w:rsidP="001F0CFD">
            <w:pPr>
              <w:spacing w:after="0" w:line="240" w:lineRule="auto"/>
              <w:rPr>
                <w:rFonts w:ascii="Times New Roman" w:eastAsia="Times New Roman" w:hAnsi="Times New Roman" w:cs="Times New Roman"/>
                <w:b/>
                <w:bCs/>
                <w:i/>
                <w:iCs/>
                <w:color w:val="000000"/>
                <w:sz w:val="20"/>
                <w:szCs w:val="20"/>
                <w:lang w:eastAsia="sk-SK"/>
              </w:rPr>
            </w:pPr>
            <w:proofErr w:type="spellStart"/>
            <w:r w:rsidRPr="001F0CFD">
              <w:rPr>
                <w:rFonts w:ascii="Times New Roman" w:hAnsi="Times New Roman" w:cs="Times New Roman"/>
                <w:b/>
                <w:bCs/>
                <w:i/>
                <w:iCs/>
                <w:color w:val="000000"/>
                <w:sz w:val="20"/>
                <w:szCs w:val="20"/>
              </w:rPr>
              <w:t>A.Dane</w:t>
            </w:r>
            <w:proofErr w:type="spellEnd"/>
            <w:r w:rsidRPr="001F0CFD">
              <w:rPr>
                <w:rFonts w:ascii="Times New Roman" w:hAnsi="Times New Roman" w:cs="Times New Roman"/>
                <w:b/>
                <w:bCs/>
                <w:i/>
                <w:iCs/>
                <w:color w:val="000000"/>
                <w:sz w:val="20"/>
                <w:szCs w:val="20"/>
              </w:rPr>
              <w:t xml:space="preserve">, odvody, clá a poplatky, ktorých cieľom je znižovať negatívne </w:t>
            </w:r>
            <w:proofErr w:type="spellStart"/>
            <w:r w:rsidRPr="001F0CFD">
              <w:rPr>
                <w:rFonts w:ascii="Times New Roman" w:hAnsi="Times New Roman" w:cs="Times New Roman"/>
                <w:b/>
                <w:bCs/>
                <w:i/>
                <w:iCs/>
                <w:color w:val="000000"/>
                <w:sz w:val="20"/>
                <w:szCs w:val="20"/>
              </w:rPr>
              <w:t>externality</w:t>
            </w:r>
            <w:proofErr w:type="spellEnd"/>
          </w:p>
        </w:tc>
        <w:tc>
          <w:tcPr>
            <w:tcW w:w="1880" w:type="dxa"/>
            <w:tcBorders>
              <w:top w:val="nil"/>
              <w:left w:val="nil"/>
              <w:bottom w:val="single" w:sz="4" w:space="0" w:color="auto"/>
              <w:right w:val="single" w:sz="4" w:space="0" w:color="auto"/>
            </w:tcBorders>
            <w:shd w:val="clear" w:color="000000" w:fill="FFC000"/>
            <w:vAlign w:val="center"/>
            <w:hideMark/>
          </w:tcPr>
          <w:p w14:paraId="4E031C49" w14:textId="2FFD9DBA"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0</w:t>
            </w:r>
          </w:p>
        </w:tc>
        <w:tc>
          <w:tcPr>
            <w:tcW w:w="1880" w:type="dxa"/>
            <w:tcBorders>
              <w:top w:val="nil"/>
              <w:left w:val="nil"/>
              <w:bottom w:val="single" w:sz="4" w:space="0" w:color="auto"/>
              <w:right w:val="single" w:sz="8" w:space="0" w:color="auto"/>
            </w:tcBorders>
            <w:shd w:val="clear" w:color="000000" w:fill="92D050"/>
            <w:vAlign w:val="center"/>
            <w:hideMark/>
          </w:tcPr>
          <w:p w14:paraId="6860FA8D" w14:textId="1141D503"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0</w:t>
            </w:r>
          </w:p>
        </w:tc>
      </w:tr>
      <w:tr w:rsidR="001F0CFD" w:rsidRPr="00965670" w14:paraId="4738A4D4" w14:textId="77777777" w:rsidTr="00FC17F3">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19E310FD" w14:textId="742E1AF7" w:rsidR="001F0CFD" w:rsidRPr="001F0CFD" w:rsidRDefault="001F0CFD" w:rsidP="001F0CFD">
            <w:pPr>
              <w:spacing w:after="0" w:line="240" w:lineRule="auto"/>
              <w:rPr>
                <w:rFonts w:ascii="Times New Roman" w:eastAsia="Times New Roman" w:hAnsi="Times New Roman" w:cs="Times New Roman"/>
                <w:b/>
                <w:bCs/>
                <w:i/>
                <w:iCs/>
                <w:color w:val="000000"/>
                <w:sz w:val="20"/>
                <w:szCs w:val="20"/>
                <w:lang w:eastAsia="sk-SK"/>
              </w:rPr>
            </w:pPr>
            <w:r w:rsidRPr="001F0CFD">
              <w:rPr>
                <w:rFonts w:ascii="Times New Roman" w:hAnsi="Times New Roman" w:cs="Times New Roman"/>
                <w:b/>
                <w:bCs/>
                <w:i/>
                <w:iCs/>
                <w:color w:val="000000"/>
                <w:sz w:val="20"/>
                <w:szCs w:val="20"/>
              </w:rPr>
              <w:t>B. Iné poplatky</w:t>
            </w:r>
          </w:p>
        </w:tc>
        <w:tc>
          <w:tcPr>
            <w:tcW w:w="1880" w:type="dxa"/>
            <w:tcBorders>
              <w:top w:val="nil"/>
              <w:left w:val="nil"/>
              <w:bottom w:val="single" w:sz="4" w:space="0" w:color="auto"/>
              <w:right w:val="single" w:sz="4" w:space="0" w:color="auto"/>
            </w:tcBorders>
            <w:shd w:val="clear" w:color="000000" w:fill="FFC000"/>
            <w:vAlign w:val="center"/>
            <w:hideMark/>
          </w:tcPr>
          <w:p w14:paraId="370F76D4" w14:textId="102C63D5"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140 600</w:t>
            </w:r>
          </w:p>
        </w:tc>
        <w:tc>
          <w:tcPr>
            <w:tcW w:w="1880" w:type="dxa"/>
            <w:tcBorders>
              <w:top w:val="nil"/>
              <w:left w:val="nil"/>
              <w:bottom w:val="single" w:sz="4" w:space="0" w:color="auto"/>
              <w:right w:val="single" w:sz="8" w:space="0" w:color="auto"/>
            </w:tcBorders>
            <w:shd w:val="clear" w:color="000000" w:fill="92D050"/>
            <w:vAlign w:val="center"/>
            <w:hideMark/>
          </w:tcPr>
          <w:p w14:paraId="674E7057" w14:textId="70FE0AC0"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1 639 998</w:t>
            </w:r>
          </w:p>
        </w:tc>
      </w:tr>
      <w:tr w:rsidR="001F0CFD" w:rsidRPr="00965670" w14:paraId="61DABA60" w14:textId="77777777" w:rsidTr="00FC17F3">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63183015" w14:textId="6673F8F8" w:rsidR="001F0CFD" w:rsidRPr="001F0CFD" w:rsidRDefault="001F0CFD" w:rsidP="001F0CFD">
            <w:pPr>
              <w:spacing w:after="0" w:line="240" w:lineRule="auto"/>
              <w:rPr>
                <w:rFonts w:ascii="Times New Roman" w:eastAsia="Times New Roman" w:hAnsi="Times New Roman" w:cs="Times New Roman"/>
                <w:b/>
                <w:bCs/>
                <w:i/>
                <w:iCs/>
                <w:color w:val="000000"/>
                <w:sz w:val="20"/>
                <w:szCs w:val="20"/>
                <w:lang w:eastAsia="sk-SK"/>
              </w:rPr>
            </w:pPr>
            <w:r w:rsidRPr="001F0CFD">
              <w:rPr>
                <w:rFonts w:ascii="Times New Roman" w:hAnsi="Times New Roman" w:cs="Times New Roman"/>
                <w:b/>
                <w:bCs/>
                <w:i/>
                <w:iCs/>
                <w:color w:val="000000"/>
                <w:sz w:val="20"/>
                <w:szCs w:val="20"/>
              </w:rPr>
              <w:t>C. Sankcie a pokuty</w:t>
            </w:r>
          </w:p>
        </w:tc>
        <w:tc>
          <w:tcPr>
            <w:tcW w:w="1880" w:type="dxa"/>
            <w:tcBorders>
              <w:top w:val="nil"/>
              <w:left w:val="nil"/>
              <w:bottom w:val="single" w:sz="4" w:space="0" w:color="auto"/>
              <w:right w:val="single" w:sz="4" w:space="0" w:color="auto"/>
            </w:tcBorders>
            <w:shd w:val="clear" w:color="000000" w:fill="FFC000"/>
            <w:vAlign w:val="center"/>
            <w:hideMark/>
          </w:tcPr>
          <w:p w14:paraId="31F97204" w14:textId="0531D51B"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0</w:t>
            </w:r>
          </w:p>
        </w:tc>
        <w:tc>
          <w:tcPr>
            <w:tcW w:w="1880" w:type="dxa"/>
            <w:tcBorders>
              <w:top w:val="nil"/>
              <w:left w:val="nil"/>
              <w:bottom w:val="single" w:sz="4" w:space="0" w:color="auto"/>
              <w:right w:val="single" w:sz="8" w:space="0" w:color="auto"/>
            </w:tcBorders>
            <w:shd w:val="clear" w:color="000000" w:fill="92D050"/>
            <w:vAlign w:val="center"/>
            <w:hideMark/>
          </w:tcPr>
          <w:p w14:paraId="4997DBDE" w14:textId="34E2CDF6"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0</w:t>
            </w:r>
          </w:p>
        </w:tc>
      </w:tr>
      <w:tr w:rsidR="001F0CFD" w:rsidRPr="00965670" w14:paraId="19D9F038" w14:textId="77777777" w:rsidTr="00FC17F3">
        <w:trPr>
          <w:trHeight w:val="300"/>
        </w:trPr>
        <w:tc>
          <w:tcPr>
            <w:tcW w:w="4540" w:type="dxa"/>
            <w:tcBorders>
              <w:top w:val="nil"/>
              <w:left w:val="single" w:sz="8" w:space="0" w:color="auto"/>
              <w:bottom w:val="single" w:sz="4" w:space="0" w:color="auto"/>
              <w:right w:val="single" w:sz="4" w:space="0" w:color="auto"/>
            </w:tcBorders>
            <w:shd w:val="clear" w:color="auto" w:fill="auto"/>
            <w:vAlign w:val="center"/>
            <w:hideMark/>
          </w:tcPr>
          <w:p w14:paraId="1F2CCFD7" w14:textId="465E6293" w:rsidR="001F0CFD" w:rsidRPr="001F0CFD" w:rsidRDefault="001F0CFD" w:rsidP="001F0CFD">
            <w:pPr>
              <w:spacing w:after="0" w:line="240" w:lineRule="auto"/>
              <w:rPr>
                <w:rFonts w:ascii="Times New Roman" w:eastAsia="Times New Roman" w:hAnsi="Times New Roman" w:cs="Times New Roman"/>
                <w:b/>
                <w:bCs/>
                <w:i/>
                <w:iCs/>
                <w:color w:val="000000"/>
                <w:sz w:val="20"/>
                <w:szCs w:val="20"/>
                <w:lang w:eastAsia="sk-SK"/>
              </w:rPr>
            </w:pPr>
            <w:r w:rsidRPr="001F0CFD">
              <w:rPr>
                <w:rFonts w:ascii="Times New Roman" w:hAnsi="Times New Roman" w:cs="Times New Roman"/>
                <w:b/>
                <w:bCs/>
                <w:i/>
                <w:iCs/>
                <w:color w:val="000000"/>
                <w:sz w:val="20"/>
                <w:szCs w:val="20"/>
              </w:rPr>
              <w:t>D. Nepriame finančné náklady</w:t>
            </w:r>
          </w:p>
        </w:tc>
        <w:tc>
          <w:tcPr>
            <w:tcW w:w="1880" w:type="dxa"/>
            <w:tcBorders>
              <w:top w:val="nil"/>
              <w:left w:val="nil"/>
              <w:bottom w:val="single" w:sz="4" w:space="0" w:color="auto"/>
              <w:right w:val="single" w:sz="4" w:space="0" w:color="auto"/>
            </w:tcBorders>
            <w:shd w:val="clear" w:color="000000" w:fill="FFC000"/>
            <w:vAlign w:val="center"/>
            <w:hideMark/>
          </w:tcPr>
          <w:p w14:paraId="152E3237" w14:textId="308B8BF9"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6 109 398</w:t>
            </w:r>
          </w:p>
        </w:tc>
        <w:tc>
          <w:tcPr>
            <w:tcW w:w="1880" w:type="dxa"/>
            <w:tcBorders>
              <w:top w:val="nil"/>
              <w:left w:val="nil"/>
              <w:bottom w:val="single" w:sz="4" w:space="0" w:color="auto"/>
              <w:right w:val="single" w:sz="8" w:space="0" w:color="auto"/>
            </w:tcBorders>
            <w:shd w:val="clear" w:color="000000" w:fill="92D050"/>
            <w:vAlign w:val="center"/>
            <w:hideMark/>
          </w:tcPr>
          <w:p w14:paraId="284929EB" w14:textId="44A03298"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0</w:t>
            </w:r>
          </w:p>
        </w:tc>
      </w:tr>
      <w:tr w:rsidR="001F0CFD" w:rsidRPr="00965670" w14:paraId="4CD2BD43" w14:textId="77777777" w:rsidTr="00FC17F3">
        <w:trPr>
          <w:trHeight w:val="300"/>
        </w:trPr>
        <w:tc>
          <w:tcPr>
            <w:tcW w:w="4540" w:type="dxa"/>
            <w:tcBorders>
              <w:top w:val="nil"/>
              <w:left w:val="single" w:sz="8" w:space="0" w:color="auto"/>
              <w:bottom w:val="nil"/>
              <w:right w:val="single" w:sz="4" w:space="0" w:color="auto"/>
            </w:tcBorders>
            <w:shd w:val="clear" w:color="auto" w:fill="auto"/>
            <w:vAlign w:val="center"/>
            <w:hideMark/>
          </w:tcPr>
          <w:p w14:paraId="58E151A2" w14:textId="36ABC3B5" w:rsidR="001F0CFD" w:rsidRPr="001F0CFD" w:rsidRDefault="001F0CFD" w:rsidP="001F0CFD">
            <w:pPr>
              <w:spacing w:after="0" w:line="240" w:lineRule="auto"/>
              <w:rPr>
                <w:rFonts w:ascii="Times New Roman" w:eastAsia="Times New Roman" w:hAnsi="Times New Roman" w:cs="Times New Roman"/>
                <w:b/>
                <w:bCs/>
                <w:i/>
                <w:iCs/>
                <w:color w:val="000000"/>
                <w:sz w:val="20"/>
                <w:szCs w:val="20"/>
                <w:lang w:eastAsia="sk-SK"/>
              </w:rPr>
            </w:pPr>
            <w:r w:rsidRPr="001F0CFD">
              <w:rPr>
                <w:rFonts w:ascii="Times New Roman" w:hAnsi="Times New Roman" w:cs="Times New Roman"/>
                <w:b/>
                <w:bCs/>
                <w:i/>
                <w:iCs/>
                <w:color w:val="000000"/>
                <w:sz w:val="20"/>
                <w:szCs w:val="20"/>
              </w:rPr>
              <w:t>E. Administratívne náklady</w:t>
            </w:r>
          </w:p>
        </w:tc>
        <w:tc>
          <w:tcPr>
            <w:tcW w:w="1880" w:type="dxa"/>
            <w:tcBorders>
              <w:top w:val="nil"/>
              <w:left w:val="nil"/>
              <w:bottom w:val="nil"/>
              <w:right w:val="single" w:sz="4" w:space="0" w:color="auto"/>
            </w:tcBorders>
            <w:shd w:val="clear" w:color="000000" w:fill="FFC000"/>
            <w:vAlign w:val="center"/>
            <w:hideMark/>
          </w:tcPr>
          <w:p w14:paraId="5705A405" w14:textId="1E94FE5C"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605 177</w:t>
            </w:r>
          </w:p>
        </w:tc>
        <w:tc>
          <w:tcPr>
            <w:tcW w:w="1880" w:type="dxa"/>
            <w:tcBorders>
              <w:top w:val="nil"/>
              <w:left w:val="nil"/>
              <w:bottom w:val="nil"/>
              <w:right w:val="single" w:sz="8" w:space="0" w:color="auto"/>
            </w:tcBorders>
            <w:shd w:val="clear" w:color="000000" w:fill="92D050"/>
            <w:vAlign w:val="center"/>
            <w:hideMark/>
          </w:tcPr>
          <w:p w14:paraId="0E722A70" w14:textId="6B6F0CE8"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13 521 330</w:t>
            </w:r>
          </w:p>
        </w:tc>
      </w:tr>
      <w:tr w:rsidR="001F0CFD" w:rsidRPr="00965670" w14:paraId="1D9A5C90" w14:textId="77777777" w:rsidTr="00FC17F3">
        <w:trPr>
          <w:trHeight w:val="3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BB3A47B" w14:textId="5BE04F54" w:rsidR="001F0CFD" w:rsidRPr="001F0CFD" w:rsidRDefault="001F0CFD" w:rsidP="001F0CFD">
            <w:pPr>
              <w:spacing w:after="0" w:line="240" w:lineRule="auto"/>
              <w:rPr>
                <w:rFonts w:ascii="Times New Roman" w:eastAsia="Times New Roman" w:hAnsi="Times New Roman" w:cs="Times New Roman"/>
                <w:b/>
                <w:bCs/>
                <w:i/>
                <w:iCs/>
                <w:color w:val="000000"/>
                <w:sz w:val="20"/>
                <w:szCs w:val="20"/>
                <w:lang w:eastAsia="sk-SK"/>
              </w:rPr>
            </w:pPr>
            <w:r w:rsidRPr="001F0CFD">
              <w:rPr>
                <w:rFonts w:ascii="Times New Roman" w:hAnsi="Times New Roman" w:cs="Times New Roman"/>
                <w:b/>
                <w:bCs/>
                <w:i/>
                <w:iCs/>
                <w:color w:val="000000"/>
                <w:sz w:val="20"/>
                <w:szCs w:val="20"/>
              </w:rPr>
              <w:t>Spolu = A+B+C+D+E</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45B9E72A" w14:textId="69E77A87"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6 855 176</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07E5FFFE" w14:textId="7503AF58"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15 161 328</w:t>
            </w:r>
          </w:p>
        </w:tc>
      </w:tr>
      <w:tr w:rsidR="001F0CFD" w:rsidRPr="00965670" w14:paraId="1D470744" w14:textId="77777777" w:rsidTr="00FC17F3">
        <w:trPr>
          <w:trHeight w:val="300"/>
        </w:trPr>
        <w:tc>
          <w:tcPr>
            <w:tcW w:w="4540" w:type="dxa"/>
            <w:tcBorders>
              <w:top w:val="nil"/>
              <w:left w:val="nil"/>
              <w:bottom w:val="nil"/>
              <w:right w:val="nil"/>
            </w:tcBorders>
            <w:shd w:val="clear" w:color="auto" w:fill="auto"/>
            <w:vAlign w:val="center"/>
            <w:hideMark/>
          </w:tcPr>
          <w:p w14:paraId="45DDB703" w14:textId="77777777"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65C2B87E" w14:textId="77777777" w:rsidR="001F0CFD" w:rsidRPr="001F0CFD" w:rsidRDefault="001F0CFD" w:rsidP="001F0CFD">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7A2CA1C5" w14:textId="77777777" w:rsidR="001F0CFD" w:rsidRPr="001F0CFD" w:rsidRDefault="001F0CFD" w:rsidP="001F0CFD">
            <w:pPr>
              <w:spacing w:after="0" w:line="240" w:lineRule="auto"/>
              <w:rPr>
                <w:rFonts w:ascii="Times New Roman" w:eastAsia="Times New Roman" w:hAnsi="Times New Roman" w:cs="Times New Roman"/>
                <w:sz w:val="20"/>
                <w:szCs w:val="20"/>
                <w:lang w:eastAsia="sk-SK"/>
              </w:rPr>
            </w:pPr>
          </w:p>
        </w:tc>
      </w:tr>
      <w:tr w:rsidR="001F0CFD" w:rsidRPr="00965670" w14:paraId="5D899EE0" w14:textId="77777777" w:rsidTr="00FC17F3">
        <w:trPr>
          <w:trHeight w:val="60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8EE898E" w14:textId="7C8126C0" w:rsidR="001F0CFD" w:rsidRPr="001F0CFD" w:rsidRDefault="001F0CFD" w:rsidP="001F0CFD">
            <w:pPr>
              <w:spacing w:after="0" w:line="240" w:lineRule="auto"/>
              <w:rPr>
                <w:rFonts w:ascii="Times New Roman" w:eastAsia="Times New Roman" w:hAnsi="Times New Roman" w:cs="Times New Roman"/>
                <w:b/>
                <w:bCs/>
                <w:i/>
                <w:iCs/>
                <w:color w:val="000000"/>
                <w:sz w:val="20"/>
                <w:szCs w:val="20"/>
                <w:lang w:eastAsia="sk-SK"/>
              </w:rPr>
            </w:pPr>
            <w:r w:rsidRPr="001F0CFD">
              <w:rPr>
                <w:rFonts w:ascii="Times New Roman" w:hAnsi="Times New Roman" w:cs="Times New Roman"/>
                <w:b/>
                <w:bCs/>
                <w:i/>
                <w:iCs/>
                <w:color w:val="000000"/>
                <w:sz w:val="20"/>
                <w:szCs w:val="20"/>
              </w:rPr>
              <w:t>Harmonizácia práva EÚ</w:t>
            </w:r>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021FDBDD" w14:textId="1FA3B9BD"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Zvýšenie nákladov v € na PP</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1B426782" w14:textId="519F0C9E"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Zníženie nákladov v € na PP</w:t>
            </w:r>
          </w:p>
        </w:tc>
      </w:tr>
      <w:tr w:rsidR="001F0CFD" w:rsidRPr="00965670" w14:paraId="08E0715D" w14:textId="77777777" w:rsidTr="00FC17F3">
        <w:trPr>
          <w:trHeight w:val="990"/>
        </w:trPr>
        <w:tc>
          <w:tcPr>
            <w:tcW w:w="4540" w:type="dxa"/>
            <w:tcBorders>
              <w:top w:val="nil"/>
              <w:left w:val="single" w:sz="8" w:space="0" w:color="auto"/>
              <w:bottom w:val="nil"/>
              <w:right w:val="single" w:sz="4" w:space="0" w:color="auto"/>
            </w:tcBorders>
            <w:shd w:val="clear" w:color="auto" w:fill="auto"/>
            <w:vAlign w:val="center"/>
            <w:hideMark/>
          </w:tcPr>
          <w:p w14:paraId="03A0CE25" w14:textId="5971E936" w:rsidR="001F0CFD" w:rsidRPr="001F0CFD" w:rsidRDefault="001F0CFD" w:rsidP="001F0CFD">
            <w:pPr>
              <w:spacing w:after="0" w:line="240" w:lineRule="auto"/>
              <w:rPr>
                <w:rFonts w:ascii="Times New Roman" w:eastAsia="Times New Roman" w:hAnsi="Times New Roman" w:cs="Times New Roman"/>
                <w:b/>
                <w:bCs/>
                <w:i/>
                <w:iCs/>
                <w:color w:val="000000"/>
                <w:sz w:val="20"/>
                <w:szCs w:val="20"/>
                <w:lang w:eastAsia="sk-SK"/>
              </w:rPr>
            </w:pPr>
            <w:r w:rsidRPr="001F0CFD">
              <w:rPr>
                <w:rFonts w:ascii="Times New Roman" w:hAnsi="Times New Roman" w:cs="Times New Roman"/>
                <w:b/>
                <w:bCs/>
                <w:i/>
                <w:iCs/>
                <w:color w:val="000000"/>
                <w:sz w:val="20"/>
                <w:szCs w:val="20"/>
              </w:rPr>
              <w:t>F. Úplná harmonizácia práva EÚ</w:t>
            </w:r>
            <w:r w:rsidRPr="001F0CFD">
              <w:rPr>
                <w:rFonts w:ascii="Times New Roman" w:hAnsi="Times New Roman" w:cs="Times New Roman"/>
                <w:b/>
                <w:bCs/>
                <w:i/>
                <w:iCs/>
                <w:color w:val="000000"/>
                <w:sz w:val="20"/>
                <w:szCs w:val="20"/>
              </w:rPr>
              <w:br/>
            </w:r>
            <w:r w:rsidRPr="001F0CFD">
              <w:rPr>
                <w:rFonts w:ascii="Times New Roman" w:hAnsi="Times New Roman" w:cs="Times New Roman"/>
                <w:i/>
                <w:iCs/>
                <w:color w:val="000000"/>
                <w:sz w:val="16"/>
                <w:szCs w:val="16"/>
              </w:rPr>
              <w:t xml:space="preserve">(okrem daní, odvodov, ciel a poplatkov, ktorých cieľom je znižovať negatívne </w:t>
            </w:r>
            <w:proofErr w:type="spellStart"/>
            <w:r w:rsidRPr="001F0CFD">
              <w:rPr>
                <w:rFonts w:ascii="Times New Roman" w:hAnsi="Times New Roman" w:cs="Times New Roman"/>
                <w:i/>
                <w:iCs/>
                <w:color w:val="000000"/>
                <w:sz w:val="16"/>
                <w:szCs w:val="16"/>
              </w:rPr>
              <w:t>externality</w:t>
            </w:r>
            <w:proofErr w:type="spellEnd"/>
            <w:r w:rsidRPr="001F0CFD">
              <w:rPr>
                <w:rFonts w:ascii="Times New Roman" w:hAnsi="Times New Roman" w:cs="Times New Roman"/>
                <w:i/>
                <w:iCs/>
                <w:color w:val="000000"/>
                <w:sz w:val="16"/>
                <w:szCs w:val="16"/>
              </w:rPr>
              <w:t>)</w:t>
            </w:r>
          </w:p>
        </w:tc>
        <w:tc>
          <w:tcPr>
            <w:tcW w:w="1880" w:type="dxa"/>
            <w:tcBorders>
              <w:top w:val="nil"/>
              <w:left w:val="nil"/>
              <w:bottom w:val="nil"/>
              <w:right w:val="single" w:sz="4" w:space="0" w:color="auto"/>
            </w:tcBorders>
            <w:shd w:val="clear" w:color="000000" w:fill="FFC000"/>
            <w:vAlign w:val="center"/>
            <w:hideMark/>
          </w:tcPr>
          <w:p w14:paraId="4B1121F4" w14:textId="37D81978"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0</w:t>
            </w:r>
          </w:p>
        </w:tc>
        <w:tc>
          <w:tcPr>
            <w:tcW w:w="1880" w:type="dxa"/>
            <w:tcBorders>
              <w:top w:val="nil"/>
              <w:left w:val="nil"/>
              <w:bottom w:val="nil"/>
              <w:right w:val="single" w:sz="8" w:space="0" w:color="auto"/>
            </w:tcBorders>
            <w:shd w:val="clear" w:color="000000" w:fill="92D050"/>
            <w:vAlign w:val="center"/>
            <w:hideMark/>
          </w:tcPr>
          <w:p w14:paraId="6B50768A" w14:textId="136B88DD"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0</w:t>
            </w:r>
          </w:p>
        </w:tc>
      </w:tr>
      <w:tr w:rsidR="001F0CFD" w:rsidRPr="00965670" w14:paraId="2EFAEE46" w14:textId="77777777" w:rsidTr="00FC17F3">
        <w:trPr>
          <w:trHeight w:val="270"/>
        </w:trPr>
        <w:tc>
          <w:tcPr>
            <w:tcW w:w="454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569BF8C" w14:textId="647C6A8F" w:rsidR="001F0CFD" w:rsidRPr="001F0CFD" w:rsidRDefault="001F0CFD" w:rsidP="001F0CFD">
            <w:pPr>
              <w:spacing w:after="0" w:line="240" w:lineRule="auto"/>
              <w:rPr>
                <w:rFonts w:ascii="Times New Roman" w:eastAsia="Times New Roman" w:hAnsi="Times New Roman" w:cs="Times New Roman"/>
                <w:b/>
                <w:bCs/>
                <w:i/>
                <w:iCs/>
                <w:color w:val="000000"/>
                <w:sz w:val="20"/>
                <w:szCs w:val="20"/>
                <w:lang w:eastAsia="sk-SK"/>
              </w:rPr>
            </w:pPr>
            <w:r w:rsidRPr="001F0CFD">
              <w:rPr>
                <w:rFonts w:ascii="Times New Roman" w:hAnsi="Times New Roman" w:cs="Times New Roman"/>
                <w:b/>
                <w:bCs/>
                <w:i/>
                <w:iCs/>
                <w:color w:val="000000"/>
                <w:sz w:val="20"/>
                <w:szCs w:val="20"/>
              </w:rPr>
              <w:t xml:space="preserve">G. </w:t>
            </w:r>
            <w:proofErr w:type="spellStart"/>
            <w:r w:rsidRPr="001F0CFD">
              <w:rPr>
                <w:rFonts w:ascii="Times New Roman" w:hAnsi="Times New Roman" w:cs="Times New Roman"/>
                <w:b/>
                <w:bCs/>
                <w:i/>
                <w:iCs/>
                <w:color w:val="000000"/>
                <w:sz w:val="20"/>
                <w:szCs w:val="20"/>
              </w:rPr>
              <w:t>Goldplating</w:t>
            </w:r>
            <w:proofErr w:type="spellEnd"/>
          </w:p>
        </w:tc>
        <w:tc>
          <w:tcPr>
            <w:tcW w:w="1880" w:type="dxa"/>
            <w:tcBorders>
              <w:top w:val="single" w:sz="8" w:space="0" w:color="auto"/>
              <w:left w:val="nil"/>
              <w:bottom w:val="single" w:sz="8" w:space="0" w:color="auto"/>
              <w:right w:val="single" w:sz="4" w:space="0" w:color="auto"/>
            </w:tcBorders>
            <w:shd w:val="clear" w:color="000000" w:fill="FFC000"/>
            <w:vAlign w:val="center"/>
            <w:hideMark/>
          </w:tcPr>
          <w:p w14:paraId="64E631A1" w14:textId="66787541"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0</w:t>
            </w:r>
          </w:p>
        </w:tc>
        <w:tc>
          <w:tcPr>
            <w:tcW w:w="1880" w:type="dxa"/>
            <w:tcBorders>
              <w:top w:val="single" w:sz="8" w:space="0" w:color="auto"/>
              <w:left w:val="nil"/>
              <w:bottom w:val="single" w:sz="8" w:space="0" w:color="auto"/>
              <w:right w:val="single" w:sz="8" w:space="0" w:color="auto"/>
            </w:tcBorders>
            <w:shd w:val="clear" w:color="000000" w:fill="92D050"/>
            <w:vAlign w:val="center"/>
            <w:hideMark/>
          </w:tcPr>
          <w:p w14:paraId="6E0ACA2C" w14:textId="7F12F95F"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0</w:t>
            </w:r>
          </w:p>
        </w:tc>
      </w:tr>
      <w:tr w:rsidR="001F0CFD" w:rsidRPr="00965670" w14:paraId="3603DBF5" w14:textId="77777777" w:rsidTr="00FC17F3">
        <w:trPr>
          <w:trHeight w:val="270"/>
        </w:trPr>
        <w:tc>
          <w:tcPr>
            <w:tcW w:w="4540" w:type="dxa"/>
            <w:tcBorders>
              <w:top w:val="nil"/>
              <w:left w:val="nil"/>
              <w:bottom w:val="nil"/>
              <w:right w:val="nil"/>
            </w:tcBorders>
            <w:shd w:val="clear" w:color="auto" w:fill="auto"/>
            <w:noWrap/>
            <w:vAlign w:val="bottom"/>
            <w:hideMark/>
          </w:tcPr>
          <w:p w14:paraId="6B93C9AB" w14:textId="77777777"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p>
        </w:tc>
        <w:tc>
          <w:tcPr>
            <w:tcW w:w="1880" w:type="dxa"/>
            <w:tcBorders>
              <w:top w:val="nil"/>
              <w:left w:val="nil"/>
              <w:bottom w:val="nil"/>
              <w:right w:val="nil"/>
            </w:tcBorders>
            <w:shd w:val="clear" w:color="auto" w:fill="auto"/>
            <w:vAlign w:val="center"/>
            <w:hideMark/>
          </w:tcPr>
          <w:p w14:paraId="1FACA7F3" w14:textId="77777777" w:rsidR="001F0CFD" w:rsidRPr="001F0CFD" w:rsidRDefault="001F0CFD" w:rsidP="001F0CFD">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3DB3CE73" w14:textId="77777777" w:rsidR="001F0CFD" w:rsidRPr="001F0CFD" w:rsidRDefault="001F0CFD" w:rsidP="001F0CFD">
            <w:pPr>
              <w:spacing w:after="0" w:line="240" w:lineRule="auto"/>
              <w:rPr>
                <w:rFonts w:ascii="Times New Roman" w:eastAsia="Times New Roman" w:hAnsi="Times New Roman" w:cs="Times New Roman"/>
                <w:sz w:val="20"/>
                <w:szCs w:val="20"/>
                <w:lang w:eastAsia="sk-SK"/>
              </w:rPr>
            </w:pPr>
          </w:p>
        </w:tc>
      </w:tr>
      <w:tr w:rsidR="001F0CFD" w:rsidRPr="00965670" w14:paraId="76C468A4" w14:textId="77777777" w:rsidTr="00FC17F3">
        <w:trPr>
          <w:trHeight w:val="270"/>
        </w:trPr>
        <w:tc>
          <w:tcPr>
            <w:tcW w:w="4540" w:type="dxa"/>
            <w:tcBorders>
              <w:top w:val="nil"/>
              <w:left w:val="nil"/>
              <w:bottom w:val="nil"/>
              <w:right w:val="nil"/>
            </w:tcBorders>
            <w:shd w:val="clear" w:color="auto" w:fill="auto"/>
            <w:noWrap/>
            <w:vAlign w:val="bottom"/>
            <w:hideMark/>
          </w:tcPr>
          <w:p w14:paraId="4D1A1919" w14:textId="77777777" w:rsidR="001F0CFD" w:rsidRPr="001F0CFD" w:rsidRDefault="001F0CFD" w:rsidP="001F0CFD">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7D41BEC7" w14:textId="77777777" w:rsidR="001F0CFD" w:rsidRPr="001F0CFD" w:rsidRDefault="001F0CFD" w:rsidP="001F0CFD">
            <w:pPr>
              <w:spacing w:after="0" w:line="240" w:lineRule="auto"/>
              <w:rPr>
                <w:rFonts w:ascii="Times New Roman" w:eastAsia="Times New Roman" w:hAnsi="Times New Roman" w:cs="Times New Roman"/>
                <w:sz w:val="20"/>
                <w:szCs w:val="20"/>
                <w:lang w:eastAsia="sk-SK"/>
              </w:rPr>
            </w:pPr>
          </w:p>
        </w:tc>
        <w:tc>
          <w:tcPr>
            <w:tcW w:w="1880" w:type="dxa"/>
            <w:tcBorders>
              <w:top w:val="nil"/>
              <w:left w:val="nil"/>
              <w:bottom w:val="nil"/>
              <w:right w:val="nil"/>
            </w:tcBorders>
            <w:shd w:val="clear" w:color="auto" w:fill="auto"/>
            <w:vAlign w:val="center"/>
            <w:hideMark/>
          </w:tcPr>
          <w:p w14:paraId="5E40CB4E" w14:textId="77777777" w:rsidR="001F0CFD" w:rsidRPr="001F0CFD" w:rsidRDefault="001F0CFD" w:rsidP="001F0CFD">
            <w:pPr>
              <w:spacing w:after="0" w:line="240" w:lineRule="auto"/>
              <w:rPr>
                <w:rFonts w:ascii="Times New Roman" w:eastAsia="Times New Roman" w:hAnsi="Times New Roman" w:cs="Times New Roman"/>
                <w:sz w:val="20"/>
                <w:szCs w:val="20"/>
                <w:lang w:eastAsia="sk-SK"/>
              </w:rPr>
            </w:pPr>
          </w:p>
        </w:tc>
      </w:tr>
      <w:tr w:rsidR="001F0CFD" w:rsidRPr="00965670" w14:paraId="40935232" w14:textId="77777777" w:rsidTr="00FC17F3">
        <w:trPr>
          <w:trHeight w:val="330"/>
        </w:trPr>
        <w:tc>
          <w:tcPr>
            <w:tcW w:w="4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7EF5EB3" w14:textId="0E398506" w:rsidR="001F0CFD" w:rsidRPr="001F0CFD" w:rsidRDefault="001F0CFD" w:rsidP="001F0CFD">
            <w:pPr>
              <w:spacing w:after="0" w:line="240" w:lineRule="auto"/>
              <w:rPr>
                <w:rFonts w:ascii="Times New Roman" w:eastAsia="Times New Roman" w:hAnsi="Times New Roman" w:cs="Times New Roman"/>
                <w:i/>
                <w:iCs/>
                <w:color w:val="000000"/>
                <w:sz w:val="20"/>
                <w:szCs w:val="20"/>
                <w:lang w:eastAsia="sk-SK"/>
              </w:rPr>
            </w:pPr>
            <w:r w:rsidRPr="001F0CFD">
              <w:rPr>
                <w:rFonts w:ascii="Times New Roman" w:hAnsi="Times New Roman" w:cs="Times New Roman"/>
                <w:i/>
                <w:iCs/>
                <w:color w:val="000000"/>
                <w:sz w:val="20"/>
                <w:szCs w:val="20"/>
              </w:rPr>
              <w:t>VÝPOČET PRAVIDLA 1in2out:</w:t>
            </w:r>
          </w:p>
        </w:tc>
        <w:tc>
          <w:tcPr>
            <w:tcW w:w="1880" w:type="dxa"/>
            <w:tcBorders>
              <w:top w:val="single" w:sz="8" w:space="0" w:color="auto"/>
              <w:left w:val="nil"/>
              <w:bottom w:val="single" w:sz="4" w:space="0" w:color="auto"/>
              <w:right w:val="single" w:sz="4" w:space="0" w:color="auto"/>
            </w:tcBorders>
            <w:shd w:val="clear" w:color="000000" w:fill="FFC000"/>
            <w:vAlign w:val="center"/>
            <w:hideMark/>
          </w:tcPr>
          <w:p w14:paraId="6510F46F" w14:textId="513B1FCC"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IN</w:t>
            </w:r>
          </w:p>
        </w:tc>
        <w:tc>
          <w:tcPr>
            <w:tcW w:w="1880" w:type="dxa"/>
            <w:tcBorders>
              <w:top w:val="single" w:sz="8" w:space="0" w:color="auto"/>
              <w:left w:val="nil"/>
              <w:bottom w:val="single" w:sz="4" w:space="0" w:color="auto"/>
              <w:right w:val="single" w:sz="8" w:space="0" w:color="auto"/>
            </w:tcBorders>
            <w:shd w:val="clear" w:color="000000" w:fill="92D050"/>
            <w:vAlign w:val="center"/>
            <w:hideMark/>
          </w:tcPr>
          <w:p w14:paraId="567E2662" w14:textId="7B83424C"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OUT</w:t>
            </w:r>
          </w:p>
        </w:tc>
      </w:tr>
      <w:tr w:rsidR="001F0CFD" w:rsidRPr="00965670" w14:paraId="0F7524FF" w14:textId="77777777" w:rsidTr="00FC17F3">
        <w:trPr>
          <w:trHeight w:val="345"/>
        </w:trPr>
        <w:tc>
          <w:tcPr>
            <w:tcW w:w="4540" w:type="dxa"/>
            <w:tcBorders>
              <w:top w:val="nil"/>
              <w:left w:val="single" w:sz="8" w:space="0" w:color="auto"/>
              <w:bottom w:val="single" w:sz="8" w:space="0" w:color="auto"/>
              <w:right w:val="single" w:sz="4" w:space="0" w:color="auto"/>
            </w:tcBorders>
            <w:shd w:val="clear" w:color="auto" w:fill="auto"/>
            <w:vAlign w:val="center"/>
            <w:hideMark/>
          </w:tcPr>
          <w:p w14:paraId="6EC524C6" w14:textId="31746708" w:rsidR="001F0CFD" w:rsidRPr="001F0CFD" w:rsidRDefault="001F0CFD" w:rsidP="001F0CFD">
            <w:pPr>
              <w:spacing w:after="0" w:line="240" w:lineRule="auto"/>
              <w:rPr>
                <w:rFonts w:ascii="Times New Roman" w:eastAsia="Times New Roman" w:hAnsi="Times New Roman" w:cs="Times New Roman"/>
                <w:i/>
                <w:iCs/>
                <w:color w:val="000000"/>
                <w:sz w:val="20"/>
                <w:szCs w:val="20"/>
                <w:lang w:eastAsia="sk-SK"/>
              </w:rPr>
            </w:pPr>
            <w:r w:rsidRPr="001F0CFD">
              <w:rPr>
                <w:rFonts w:ascii="Times New Roman" w:hAnsi="Times New Roman" w:cs="Times New Roman"/>
                <w:i/>
                <w:iCs/>
                <w:color w:val="000000"/>
                <w:sz w:val="20"/>
                <w:szCs w:val="20"/>
              </w:rPr>
              <w:t>H</w:t>
            </w:r>
            <w:r w:rsidRPr="001F0CFD">
              <w:rPr>
                <w:rFonts w:ascii="Times New Roman" w:hAnsi="Times New Roman" w:cs="Times New Roman"/>
                <w:b/>
                <w:bCs/>
                <w:i/>
                <w:iCs/>
                <w:color w:val="000000"/>
                <w:sz w:val="20"/>
                <w:szCs w:val="20"/>
              </w:rPr>
              <w:t>.</w:t>
            </w:r>
            <w:r w:rsidRPr="001F0CFD">
              <w:rPr>
                <w:rFonts w:ascii="Times New Roman" w:hAnsi="Times New Roman" w:cs="Times New Roman"/>
                <w:i/>
                <w:iCs/>
                <w:color w:val="000000"/>
                <w:sz w:val="20"/>
                <w:szCs w:val="20"/>
              </w:rPr>
              <w:t xml:space="preserve"> Náklady okrem výnimiek = B+D+E-F</w:t>
            </w:r>
          </w:p>
        </w:tc>
        <w:tc>
          <w:tcPr>
            <w:tcW w:w="1880" w:type="dxa"/>
            <w:tcBorders>
              <w:top w:val="nil"/>
              <w:left w:val="nil"/>
              <w:bottom w:val="single" w:sz="8" w:space="0" w:color="auto"/>
              <w:right w:val="single" w:sz="4" w:space="0" w:color="auto"/>
            </w:tcBorders>
            <w:shd w:val="clear" w:color="000000" w:fill="FFC000"/>
            <w:vAlign w:val="center"/>
            <w:hideMark/>
          </w:tcPr>
          <w:p w14:paraId="1C20AD41" w14:textId="21DAB34E"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6 855 176</w:t>
            </w:r>
          </w:p>
        </w:tc>
        <w:tc>
          <w:tcPr>
            <w:tcW w:w="1880" w:type="dxa"/>
            <w:tcBorders>
              <w:top w:val="nil"/>
              <w:left w:val="nil"/>
              <w:bottom w:val="single" w:sz="8" w:space="0" w:color="auto"/>
              <w:right w:val="single" w:sz="8" w:space="0" w:color="auto"/>
            </w:tcBorders>
            <w:shd w:val="clear" w:color="000000" w:fill="92D050"/>
            <w:vAlign w:val="center"/>
            <w:hideMark/>
          </w:tcPr>
          <w:p w14:paraId="2CA34AB1" w14:textId="299D3EFA" w:rsidR="001F0CFD" w:rsidRPr="001F0CFD" w:rsidRDefault="001F0CFD" w:rsidP="001F0CFD">
            <w:pPr>
              <w:spacing w:after="0" w:line="240" w:lineRule="auto"/>
              <w:jc w:val="center"/>
              <w:rPr>
                <w:rFonts w:ascii="Times New Roman" w:eastAsia="Times New Roman" w:hAnsi="Times New Roman" w:cs="Times New Roman"/>
                <w:b/>
                <w:bCs/>
                <w:color w:val="000000"/>
                <w:sz w:val="20"/>
                <w:szCs w:val="20"/>
                <w:lang w:eastAsia="sk-SK"/>
              </w:rPr>
            </w:pPr>
            <w:r w:rsidRPr="001F0CFD">
              <w:rPr>
                <w:rFonts w:ascii="Times New Roman" w:hAnsi="Times New Roman" w:cs="Times New Roman"/>
                <w:b/>
                <w:bCs/>
                <w:color w:val="000000"/>
                <w:sz w:val="20"/>
                <w:szCs w:val="20"/>
              </w:rPr>
              <w:t>15 161 328</w:t>
            </w:r>
          </w:p>
        </w:tc>
      </w:tr>
    </w:tbl>
    <w:p w14:paraId="37E7F962" w14:textId="77777777" w:rsidR="007B0C81" w:rsidRPr="00EE6D8E" w:rsidRDefault="007B0C81" w:rsidP="00054C41">
      <w:pPr>
        <w:rPr>
          <w:rFonts w:ascii="Times New Roman" w:eastAsia="Calibri" w:hAnsi="Times New Roman" w:cs="Times New Roman"/>
          <w:b/>
          <w:sz w:val="24"/>
          <w:szCs w:val="24"/>
        </w:rPr>
        <w:sectPr w:rsidR="007B0C81" w:rsidRPr="00EE6D8E" w:rsidSect="00142154">
          <w:headerReference w:type="default" r:id="rId10"/>
          <w:footerReference w:type="default" r:id="rId11"/>
          <w:pgSz w:w="11906" w:h="16838"/>
          <w:pgMar w:top="993" w:right="1417" w:bottom="1417" w:left="1417" w:header="708" w:footer="708" w:gutter="0"/>
          <w:pgNumType w:start="1"/>
          <w:cols w:space="708"/>
          <w:docGrid w:linePitch="360"/>
        </w:sectPr>
      </w:pPr>
    </w:p>
    <w:p w14:paraId="29CDFA2A" w14:textId="77777777" w:rsidR="00054C41" w:rsidRPr="00EE6D8E" w:rsidRDefault="00054C41" w:rsidP="00054C41">
      <w:pPr>
        <w:rPr>
          <w:rFonts w:ascii="Times New Roman" w:eastAsia="Calibri" w:hAnsi="Times New Roman" w:cs="Times New Roman"/>
          <w:b/>
          <w:i/>
          <w:iCs/>
          <w:sz w:val="24"/>
          <w:szCs w:val="24"/>
        </w:rPr>
      </w:pPr>
      <w:r w:rsidRPr="00EE6D8E">
        <w:rPr>
          <w:rFonts w:ascii="Times New Roman" w:eastAsia="Calibri" w:hAnsi="Times New Roman" w:cs="Times New Roman"/>
          <w:b/>
          <w:i/>
          <w:iCs/>
          <w:sz w:val="24"/>
          <w:szCs w:val="24"/>
        </w:rPr>
        <w:lastRenderedPageBreak/>
        <w:t>3.1.2 Výpočty vplyvov jednotlivých regulácií na zmeny v nákladoch podnikateľov</w:t>
      </w:r>
      <w:r w:rsidRPr="00EE6D8E">
        <w:rPr>
          <w:rFonts w:ascii="Times New Roman" w:eastAsia="Calibri" w:hAnsi="Times New Roman" w:cs="Times New Roman"/>
          <w:i/>
          <w:sz w:val="24"/>
          <w:szCs w:val="24"/>
        </w:rPr>
        <w:tab/>
      </w:r>
      <w:r w:rsidRPr="00EE6D8E">
        <w:rPr>
          <w:rFonts w:ascii="Times New Roman" w:eastAsia="Calibri" w:hAnsi="Times New Roman" w:cs="Times New Roman"/>
          <w:i/>
          <w:sz w:val="24"/>
          <w:szCs w:val="24"/>
        </w:rPr>
        <w:tab/>
      </w:r>
      <w:r w:rsidRPr="00EE6D8E">
        <w:rPr>
          <w:rFonts w:ascii="Times New Roman" w:eastAsia="Calibri" w:hAnsi="Times New Roman" w:cs="Times New Roman"/>
          <w:i/>
          <w:sz w:val="24"/>
          <w:szCs w:val="24"/>
        </w:rPr>
        <w:tab/>
      </w:r>
      <w:r w:rsidRPr="00EE6D8E">
        <w:rPr>
          <w:rFonts w:ascii="Times New Roman" w:eastAsia="Calibri" w:hAnsi="Times New Roman" w:cs="Times New Roman"/>
          <w:i/>
          <w:sz w:val="24"/>
          <w:szCs w:val="24"/>
        </w:rPr>
        <w:tab/>
      </w:r>
      <w:r w:rsidRPr="00EE6D8E">
        <w:rPr>
          <w:rFonts w:ascii="Times New Roman" w:eastAsia="Calibri" w:hAnsi="Times New Roman" w:cs="Times New Roman"/>
          <w:i/>
          <w:sz w:val="24"/>
          <w:szCs w:val="24"/>
        </w:rPr>
        <w:tab/>
      </w:r>
      <w:r w:rsidRPr="00EE6D8E">
        <w:rPr>
          <w:rFonts w:ascii="Times New Roman" w:eastAsia="Calibri" w:hAnsi="Times New Roman" w:cs="Times New Roman"/>
          <w:i/>
          <w:sz w:val="24"/>
          <w:szCs w:val="24"/>
        </w:rPr>
        <w:tab/>
      </w:r>
      <w:r w:rsidRPr="00EE6D8E">
        <w:rPr>
          <w:rFonts w:ascii="Times New Roman" w:eastAsia="Calibri" w:hAnsi="Times New Roman" w:cs="Times New Roman"/>
          <w:i/>
          <w:sz w:val="24"/>
          <w:szCs w:val="24"/>
        </w:rPr>
        <w:tab/>
      </w:r>
      <w:r w:rsidRPr="00EE6D8E">
        <w:rPr>
          <w:rFonts w:ascii="Times New Roman" w:eastAsia="Calibri" w:hAnsi="Times New Roman" w:cs="Times New Roman"/>
          <w:i/>
          <w:sz w:val="24"/>
          <w:szCs w:val="24"/>
        </w:rPr>
        <w:tab/>
      </w:r>
    </w:p>
    <w:p w14:paraId="5E02E2DD" w14:textId="77777777" w:rsidR="00054C41" w:rsidRPr="00EE6D8E" w:rsidRDefault="00054C41" w:rsidP="00054C41">
      <w:pPr>
        <w:jc w:val="both"/>
        <w:rPr>
          <w:rFonts w:ascii="Times New Roman" w:eastAsia="Calibri" w:hAnsi="Times New Roman" w:cs="Times New Roman"/>
          <w:i/>
          <w:sz w:val="24"/>
          <w:szCs w:val="24"/>
        </w:rPr>
      </w:pPr>
      <w:r w:rsidRPr="00EE6D8E">
        <w:rPr>
          <w:rFonts w:ascii="Times New Roman" w:eastAsia="Calibri" w:hAnsi="Times New Roman" w:cs="Times New Roman"/>
          <w:i/>
          <w:sz w:val="24"/>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458"/>
        <w:gridCol w:w="709"/>
        <w:gridCol w:w="992"/>
        <w:gridCol w:w="643"/>
        <w:gridCol w:w="1200"/>
        <w:gridCol w:w="642"/>
      </w:tblGrid>
      <w:tr w:rsidR="009A0103" w:rsidRPr="00EE6D8E" w14:paraId="58E6573D"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FC62EAC" w14:textId="2093F878"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proofErr w:type="spellStart"/>
            <w:r w:rsidRPr="0016765A">
              <w:rPr>
                <w:rFonts w:ascii="Times New Roman" w:hAnsi="Times New Roman" w:cs="Times New Roman"/>
                <w:b/>
                <w:bCs/>
                <w:color w:val="000000"/>
                <w:sz w:val="20"/>
                <w:szCs w:val="20"/>
              </w:rPr>
              <w:t>P.č</w:t>
            </w:r>
            <w:proofErr w:type="spellEnd"/>
            <w:r w:rsidRPr="0016765A">
              <w:rPr>
                <w:rFonts w:ascii="Times New Roman" w:hAnsi="Times New Roman" w:cs="Times New Roman"/>
                <w:b/>
                <w:bCs/>
                <w:color w:val="000000"/>
                <w:sz w:val="20"/>
                <w:szCs w:val="20"/>
              </w:rPr>
              <w:t>.</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F95606" w14:textId="5E214773"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r w:rsidRPr="0016765A">
              <w:rPr>
                <w:rFonts w:ascii="Times New Roman" w:hAnsi="Times New Roman" w:cs="Times New Roman"/>
                <w:b/>
                <w:bCs/>
                <w:color w:val="000000"/>
                <w:sz w:val="20"/>
                <w:szCs w:val="20"/>
              </w:rPr>
              <w:t xml:space="preserve">Zrozumiteľný a stručný opis regulácie </w:t>
            </w:r>
            <w:r w:rsidRPr="0016765A">
              <w:rPr>
                <w:rFonts w:ascii="Times New Roman" w:hAnsi="Times New Roman" w:cs="Times New Roman"/>
                <w:b/>
                <w:bCs/>
                <w:color w:val="000000"/>
                <w:sz w:val="20"/>
                <w:szCs w:val="20"/>
              </w:rPr>
              <w:br/>
              <w:t xml:space="preserve">(dôvod zvýšenia/zníženia nákladov na PP a dôvod ponechania nákladov na PP, ktoré </w:t>
            </w:r>
            <w:proofErr w:type="spellStart"/>
            <w:r w:rsidRPr="0016765A">
              <w:rPr>
                <w:rFonts w:ascii="Times New Roman" w:hAnsi="Times New Roman" w:cs="Times New Roman"/>
                <w:b/>
                <w:bCs/>
                <w:color w:val="000000"/>
                <w:sz w:val="20"/>
                <w:szCs w:val="20"/>
              </w:rPr>
              <w:t>su</w:t>
            </w:r>
            <w:proofErr w:type="spellEnd"/>
            <w:r w:rsidRPr="0016765A">
              <w:rPr>
                <w:rFonts w:ascii="Times New Roman" w:hAnsi="Times New Roman" w:cs="Times New Roman"/>
                <w:b/>
                <w:bCs/>
                <w:color w:val="000000"/>
                <w:sz w:val="20"/>
                <w:szCs w:val="20"/>
              </w:rPr>
              <w:t xml:space="preserve"> </w:t>
            </w:r>
            <w:proofErr w:type="spellStart"/>
            <w:r w:rsidRPr="0016765A">
              <w:rPr>
                <w:rFonts w:ascii="Times New Roman" w:hAnsi="Times New Roman" w:cs="Times New Roman"/>
                <w:b/>
                <w:bCs/>
                <w:color w:val="000000"/>
                <w:sz w:val="20"/>
                <w:szCs w:val="20"/>
              </w:rPr>
              <w:t>goldplatingom</w:t>
            </w:r>
            <w:proofErr w:type="spellEnd"/>
            <w:r w:rsidRPr="0016765A">
              <w:rPr>
                <w:rFonts w:ascii="Times New Roman" w:hAnsi="Times New Roman" w:cs="Times New Roman"/>
                <w:b/>
                <w:bCs/>
                <w:color w:val="000000"/>
                <w:sz w:val="20"/>
                <w:szCs w:val="20"/>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8660057" w14:textId="61DAFB1E"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r w:rsidRPr="0016765A">
              <w:rPr>
                <w:rFonts w:ascii="Times New Roman" w:hAnsi="Times New Roman" w:cs="Times New Roman"/>
                <w:b/>
                <w:bCs/>
                <w:color w:val="000000"/>
                <w:sz w:val="20"/>
                <w:szCs w:val="20"/>
              </w:rPr>
              <w:t>Číslo normy</w:t>
            </w:r>
            <w:r w:rsidRPr="0016765A">
              <w:rPr>
                <w:rFonts w:ascii="Times New Roman" w:hAnsi="Times New Roman" w:cs="Times New Roman"/>
                <w:b/>
                <w:bCs/>
                <w:color w:val="000000"/>
                <w:sz w:val="20"/>
                <w:szCs w:val="20"/>
              </w:rPr>
              <w:br/>
            </w:r>
            <w:r w:rsidRPr="0016765A">
              <w:rPr>
                <w:rFonts w:ascii="Times New Roman" w:hAnsi="Times New Roman" w:cs="Times New Roman"/>
                <w:color w:val="000000"/>
                <w:sz w:val="20"/>
                <w:szCs w:val="20"/>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14:paraId="5C27F37A" w14:textId="497C270E"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r w:rsidRPr="0016765A">
              <w:rPr>
                <w:rFonts w:ascii="Times New Roman" w:hAnsi="Times New Roman" w:cs="Times New Roman"/>
                <w:b/>
                <w:bCs/>
                <w:color w:val="000000"/>
                <w:sz w:val="20"/>
                <w:szCs w:val="20"/>
              </w:rPr>
              <w:t>Lokalizácia</w:t>
            </w:r>
            <w:r w:rsidRPr="0016765A">
              <w:rPr>
                <w:rFonts w:ascii="Times New Roman" w:hAnsi="Times New Roman" w:cs="Times New Roman"/>
                <w:b/>
                <w:bCs/>
                <w:color w:val="000000"/>
                <w:sz w:val="20"/>
                <w:szCs w:val="20"/>
              </w:rPr>
              <w:br/>
              <w:t>(§, ods., čl.,...)</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FBCFFC" w14:textId="1C769745"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r w:rsidRPr="0016765A">
              <w:rPr>
                <w:rFonts w:ascii="Times New Roman" w:hAnsi="Times New Roman" w:cs="Times New Roman"/>
                <w:b/>
                <w:bCs/>
                <w:color w:val="000000"/>
                <w:sz w:val="20"/>
                <w:szCs w:val="20"/>
              </w:rPr>
              <w:t xml:space="preserve">Pôvod regulácie: </w:t>
            </w:r>
            <w:r w:rsidRPr="0016765A">
              <w:rPr>
                <w:rFonts w:ascii="Times New Roman" w:hAnsi="Times New Roman" w:cs="Times New Roman"/>
                <w:b/>
                <w:bCs/>
                <w:color w:val="000000"/>
                <w:sz w:val="20"/>
                <w:szCs w:val="20"/>
              </w:rPr>
              <w:br/>
            </w:r>
            <w:r w:rsidRPr="0016765A">
              <w:rPr>
                <w:rFonts w:ascii="Times New Roman" w:hAnsi="Times New Roman" w:cs="Times New Roman"/>
                <w:color w:val="000000"/>
                <w:sz w:val="20"/>
                <w:szCs w:val="20"/>
              </w:rPr>
              <w:t xml:space="preserve">SK/EÚ úplná </w:t>
            </w:r>
            <w:proofErr w:type="spellStart"/>
            <w:r w:rsidRPr="0016765A">
              <w:rPr>
                <w:rFonts w:ascii="Times New Roman" w:hAnsi="Times New Roman" w:cs="Times New Roman"/>
                <w:color w:val="000000"/>
                <w:sz w:val="20"/>
                <w:szCs w:val="20"/>
              </w:rPr>
              <w:t>harm</w:t>
            </w:r>
            <w:proofErr w:type="spellEnd"/>
            <w:r w:rsidRPr="0016765A">
              <w:rPr>
                <w:rFonts w:ascii="Times New Roman" w:hAnsi="Times New Roman" w:cs="Times New Roman"/>
                <w:color w:val="000000"/>
                <w:sz w:val="20"/>
                <w:szCs w:val="20"/>
              </w:rPr>
              <w:t>./</w:t>
            </w:r>
            <w:r w:rsidRPr="0016765A">
              <w:rPr>
                <w:rFonts w:ascii="Times New Roman" w:hAnsi="Times New Roman" w:cs="Times New Roman"/>
                <w:color w:val="000000"/>
                <w:sz w:val="20"/>
                <w:szCs w:val="20"/>
              </w:rPr>
              <w:br/>
            </w:r>
            <w:proofErr w:type="spellStart"/>
            <w:r w:rsidRPr="0016765A">
              <w:rPr>
                <w:rFonts w:ascii="Times New Roman" w:hAnsi="Times New Roman" w:cs="Times New Roman"/>
                <w:color w:val="000000"/>
                <w:sz w:val="20"/>
                <w:szCs w:val="20"/>
              </w:rPr>
              <w:t>goldplating</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D66C838" w14:textId="71EF24FD"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r w:rsidRPr="0016765A">
              <w:rPr>
                <w:rFonts w:ascii="Times New Roman" w:hAnsi="Times New Roman" w:cs="Times New Roman"/>
                <w:b/>
                <w:bCs/>
                <w:color w:val="000000"/>
                <w:sz w:val="20"/>
                <w:szCs w:val="20"/>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1BE5BC" w14:textId="65A9DE10"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r w:rsidRPr="0016765A">
              <w:rPr>
                <w:rFonts w:ascii="Times New Roman" w:hAnsi="Times New Roman" w:cs="Times New Roman"/>
                <w:b/>
                <w:bCs/>
                <w:color w:val="000000"/>
                <w:sz w:val="20"/>
                <w:szCs w:val="20"/>
              </w:rPr>
              <w:t xml:space="preserve">Kategória </w:t>
            </w:r>
            <w:proofErr w:type="spellStart"/>
            <w:r w:rsidRPr="0016765A">
              <w:rPr>
                <w:rFonts w:ascii="Times New Roman" w:hAnsi="Times New Roman" w:cs="Times New Roman"/>
                <w:b/>
                <w:bCs/>
                <w:color w:val="000000"/>
                <w:sz w:val="20"/>
                <w:szCs w:val="20"/>
              </w:rPr>
              <w:t>dotk</w:t>
            </w:r>
            <w:proofErr w:type="spellEnd"/>
            <w:r w:rsidRPr="0016765A">
              <w:rPr>
                <w:rFonts w:ascii="Times New Roman" w:hAnsi="Times New Roman" w:cs="Times New Roman"/>
                <w:b/>
                <w:bCs/>
                <w:color w:val="000000"/>
                <w:sz w:val="20"/>
                <w:szCs w:val="20"/>
              </w:rPr>
              <w:t>. subjektov</w:t>
            </w:r>
          </w:p>
        </w:tc>
        <w:tc>
          <w:tcPr>
            <w:tcW w:w="145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177F6E" w14:textId="11743C27"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r w:rsidRPr="0016765A">
              <w:rPr>
                <w:rFonts w:ascii="Times New Roman" w:hAnsi="Times New Roman" w:cs="Times New Roman"/>
                <w:b/>
                <w:bCs/>
                <w:color w:val="000000"/>
                <w:sz w:val="20"/>
                <w:szCs w:val="20"/>
              </w:rPr>
              <w:t xml:space="preserve">Počet </w:t>
            </w:r>
            <w:proofErr w:type="spellStart"/>
            <w:r w:rsidRPr="0016765A">
              <w:rPr>
                <w:rFonts w:ascii="Times New Roman" w:hAnsi="Times New Roman" w:cs="Times New Roman"/>
                <w:b/>
                <w:bCs/>
                <w:color w:val="000000"/>
                <w:sz w:val="20"/>
                <w:szCs w:val="20"/>
              </w:rPr>
              <w:t>dotk</w:t>
            </w:r>
            <w:proofErr w:type="spellEnd"/>
            <w:r w:rsidRPr="0016765A">
              <w:rPr>
                <w:rFonts w:ascii="Times New Roman" w:hAnsi="Times New Roman" w:cs="Times New Roman"/>
                <w:b/>
                <w:bCs/>
                <w:color w:val="000000"/>
                <w:sz w:val="20"/>
                <w:szCs w:val="20"/>
              </w:rPr>
              <w:t xml:space="preserve">. subjektov spolu </w:t>
            </w:r>
          </w:p>
        </w:tc>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280914C" w14:textId="7A41248A"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r w:rsidRPr="0016765A">
              <w:rPr>
                <w:rFonts w:ascii="Times New Roman" w:hAnsi="Times New Roman" w:cs="Times New Roman"/>
                <w:b/>
                <w:bCs/>
                <w:color w:val="000000"/>
                <w:sz w:val="20"/>
                <w:szCs w:val="20"/>
              </w:rPr>
              <w:t>Vplyv na 1 podnik. v €</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9531801" w14:textId="686FDD24"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r w:rsidRPr="0016765A">
              <w:rPr>
                <w:rFonts w:ascii="Times New Roman" w:hAnsi="Times New Roman" w:cs="Times New Roman"/>
                <w:b/>
                <w:bCs/>
                <w:color w:val="000000"/>
                <w:sz w:val="20"/>
                <w:szCs w:val="20"/>
              </w:rPr>
              <w:t xml:space="preserve">Vplyv na kategóriu </w:t>
            </w:r>
            <w:proofErr w:type="spellStart"/>
            <w:r w:rsidRPr="0016765A">
              <w:rPr>
                <w:rFonts w:ascii="Times New Roman" w:hAnsi="Times New Roman" w:cs="Times New Roman"/>
                <w:b/>
                <w:bCs/>
                <w:color w:val="000000"/>
                <w:sz w:val="20"/>
                <w:szCs w:val="20"/>
              </w:rPr>
              <w:t>dotk</w:t>
            </w:r>
            <w:proofErr w:type="spellEnd"/>
            <w:r w:rsidRPr="0016765A">
              <w:rPr>
                <w:rFonts w:ascii="Times New Roman" w:hAnsi="Times New Roman" w:cs="Times New Roman"/>
                <w:b/>
                <w:bCs/>
                <w:color w:val="000000"/>
                <w:sz w:val="20"/>
                <w:szCs w:val="20"/>
              </w:rPr>
              <w:t>. subjektov v €</w:t>
            </w:r>
          </w:p>
        </w:tc>
        <w:tc>
          <w:tcPr>
            <w:tcW w:w="6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0438D04" w14:textId="20FEDD28"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r w:rsidRPr="0016765A">
              <w:rPr>
                <w:rFonts w:ascii="Times New Roman" w:hAnsi="Times New Roman" w:cs="Times New Roman"/>
                <w:b/>
                <w:bCs/>
                <w:color w:val="000000"/>
                <w:sz w:val="20"/>
                <w:szCs w:val="20"/>
              </w:rPr>
              <w:t>Druh vplyvu</w:t>
            </w:r>
            <w:r w:rsidRPr="0016765A">
              <w:rPr>
                <w:rFonts w:ascii="Times New Roman" w:hAnsi="Times New Roman" w:cs="Times New Roman"/>
                <w:b/>
                <w:bCs/>
                <w:color w:val="000000"/>
                <w:sz w:val="20"/>
                <w:szCs w:val="20"/>
              </w:rPr>
              <w:br/>
            </w:r>
            <w:r w:rsidRPr="0016765A">
              <w:rPr>
                <w:rFonts w:ascii="Times New Roman" w:hAnsi="Times New Roman" w:cs="Times New Roman"/>
                <w:color w:val="000000"/>
                <w:sz w:val="20"/>
                <w:szCs w:val="20"/>
              </w:rPr>
              <w:t xml:space="preserve">In (zvyšuje náklady) / </w:t>
            </w:r>
            <w:r w:rsidRPr="0016765A">
              <w:rPr>
                <w:rFonts w:ascii="Times New Roman" w:hAnsi="Times New Roman" w:cs="Times New Roman"/>
                <w:color w:val="000000"/>
                <w:sz w:val="20"/>
                <w:szCs w:val="20"/>
              </w:rPr>
              <w:br/>
            </w:r>
            <w:proofErr w:type="spellStart"/>
            <w:r w:rsidRPr="0016765A">
              <w:rPr>
                <w:rFonts w:ascii="Times New Roman" w:hAnsi="Times New Roman" w:cs="Times New Roman"/>
                <w:color w:val="000000"/>
                <w:sz w:val="20"/>
                <w:szCs w:val="20"/>
              </w:rPr>
              <w:t>Out</w:t>
            </w:r>
            <w:proofErr w:type="spellEnd"/>
            <w:r w:rsidRPr="0016765A">
              <w:rPr>
                <w:rFonts w:ascii="Times New Roman" w:hAnsi="Times New Roman" w:cs="Times New Roman"/>
                <w:color w:val="000000"/>
                <w:sz w:val="20"/>
                <w:szCs w:val="20"/>
              </w:rPr>
              <w:t xml:space="preserve"> (znižuje náklady) / Nemení sa</w:t>
            </w:r>
          </w:p>
        </w:tc>
        <w:tc>
          <w:tcPr>
            <w:tcW w:w="12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9F533F5" w14:textId="2B62EF15"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r w:rsidRPr="0016765A">
              <w:rPr>
                <w:rFonts w:ascii="Times New Roman" w:hAnsi="Times New Roman" w:cs="Times New Roman"/>
                <w:b/>
                <w:bCs/>
                <w:color w:val="000000"/>
                <w:sz w:val="20"/>
                <w:szCs w:val="20"/>
              </w:rPr>
              <w:t xml:space="preserve">1in2out </w:t>
            </w:r>
            <w:r w:rsidRPr="0016765A">
              <w:rPr>
                <w:rFonts w:ascii="Times New Roman" w:hAnsi="Times New Roman" w:cs="Times New Roman"/>
                <w:b/>
                <w:bCs/>
                <w:color w:val="000000"/>
                <w:sz w:val="20"/>
                <w:szCs w:val="20"/>
              </w:rPr>
              <w:br/>
              <w:t>celkom</w:t>
            </w:r>
          </w:p>
        </w:tc>
        <w:tc>
          <w:tcPr>
            <w:tcW w:w="64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ED6FE4B" w14:textId="38627FE0" w:rsidR="009A0103" w:rsidRPr="0016765A" w:rsidRDefault="009A0103" w:rsidP="009A0103">
            <w:pPr>
              <w:spacing w:after="0" w:line="240" w:lineRule="auto"/>
              <w:jc w:val="center"/>
              <w:rPr>
                <w:rFonts w:ascii="Times New Roman" w:eastAsia="Times New Roman" w:hAnsi="Times New Roman" w:cs="Times New Roman"/>
                <w:b/>
                <w:bCs/>
                <w:color w:val="000000"/>
                <w:sz w:val="24"/>
                <w:szCs w:val="24"/>
                <w:lang w:eastAsia="sk-SK"/>
              </w:rPr>
            </w:pPr>
            <w:proofErr w:type="spellStart"/>
            <w:r w:rsidRPr="0016765A">
              <w:rPr>
                <w:rFonts w:ascii="Times New Roman" w:hAnsi="Times New Roman" w:cs="Times New Roman"/>
                <w:b/>
                <w:bCs/>
                <w:color w:val="000000"/>
                <w:sz w:val="20"/>
                <w:szCs w:val="20"/>
              </w:rPr>
              <w:t>Goldplating</w:t>
            </w:r>
            <w:proofErr w:type="spellEnd"/>
            <w:r w:rsidRPr="0016765A">
              <w:rPr>
                <w:rFonts w:ascii="Times New Roman" w:hAnsi="Times New Roman" w:cs="Times New Roman"/>
                <w:b/>
                <w:bCs/>
                <w:color w:val="000000"/>
                <w:sz w:val="20"/>
                <w:szCs w:val="20"/>
              </w:rPr>
              <w:t xml:space="preserve"> celkom</w:t>
            </w:r>
          </w:p>
        </w:tc>
      </w:tr>
      <w:tr w:rsidR="0016765A" w:rsidRPr="002A6716" w14:paraId="1405C81C"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7CF6020A" w14:textId="6B6D4FAB"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04B93F16" w14:textId="2E5B47A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Nepreukazovanie zapísaných údajov pred orgánmi verejnej moci a v obchodnom styku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1B5CF6F" w14:textId="7FF28DD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návrh zákona o OR</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46E3C81D" w14:textId="79B3906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6 ods. 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80E4DE" w14:textId="599056E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D8D472" w14:textId="236AE6C8"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01.03.26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B5ACAF1" w14:textId="28CD82DD"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všetky zapísané osoby</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25285BDD" w14:textId="0B1567E4"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344 589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58FEBC" w14:textId="4A4802D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3136C8" w14:textId="5082A09D"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13 411 059</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600F713E" w14:textId="62947738" w:rsidR="0016765A" w:rsidRPr="0016765A" w:rsidRDefault="0016765A" w:rsidP="0016765A">
            <w:pPr>
              <w:spacing w:after="0" w:line="240" w:lineRule="auto"/>
              <w:jc w:val="center"/>
              <w:rPr>
                <w:rFonts w:ascii="Times New Roman" w:hAnsi="Times New Roman" w:cs="Times New Roman"/>
                <w:bCs/>
                <w:color w:val="000000"/>
                <w:sz w:val="20"/>
                <w:szCs w:val="20"/>
              </w:rPr>
            </w:pPr>
            <w:proofErr w:type="spellStart"/>
            <w:r w:rsidRPr="0016765A">
              <w:rPr>
                <w:rFonts w:ascii="Times New Roman" w:hAnsi="Times New Roman" w:cs="Times New Roman"/>
                <w:color w:val="000000"/>
                <w:sz w:val="20"/>
                <w:szCs w:val="20"/>
              </w:rPr>
              <w:t>Out</w:t>
            </w:r>
            <w:proofErr w:type="spellEnd"/>
            <w:r w:rsidRPr="0016765A">
              <w:rPr>
                <w:rFonts w:ascii="Times New Roman" w:hAnsi="Times New Roman" w:cs="Times New Roman"/>
                <w:color w:val="000000"/>
                <w:sz w:val="20"/>
                <w:szCs w:val="20"/>
              </w:rPr>
              <w:t xml:space="preserve"> (znižuje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B784884" w14:textId="68B5E05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t>13 411 059</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2C67E"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2A6A2335"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3CDAA912" w14:textId="6DDEFEF9"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2B94FBA5" w14:textId="596A7FD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Podanie návrhu na prvý zápis bez potreby predošlého získania živnostenského oprávnenia</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D86B632" w14:textId="51D011C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návrh zákona o OR</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04085A0F" w14:textId="57245D9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51 ods. 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F73A646" w14:textId="727F7B7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EA772" w14:textId="77E8D199"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01.03.26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72A75FE" w14:textId="43FABD48"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všetky zapísané osoby</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2FD3FE2" w14:textId="73D8D60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11 000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8873D4" w14:textId="32D808C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D064BC" w14:textId="5452B2E5"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71 352</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16B54D2D" w14:textId="0EC1A4DD" w:rsidR="0016765A" w:rsidRPr="0016765A" w:rsidRDefault="0016765A" w:rsidP="0016765A">
            <w:pPr>
              <w:spacing w:after="0" w:line="240" w:lineRule="auto"/>
              <w:jc w:val="center"/>
              <w:rPr>
                <w:rFonts w:ascii="Times New Roman" w:hAnsi="Times New Roman" w:cs="Times New Roman"/>
                <w:bCs/>
                <w:color w:val="000000"/>
                <w:sz w:val="20"/>
                <w:szCs w:val="20"/>
              </w:rPr>
            </w:pPr>
            <w:proofErr w:type="spellStart"/>
            <w:r w:rsidRPr="0016765A">
              <w:rPr>
                <w:rFonts w:ascii="Times New Roman" w:hAnsi="Times New Roman" w:cs="Times New Roman"/>
                <w:color w:val="000000"/>
                <w:sz w:val="20"/>
                <w:szCs w:val="20"/>
              </w:rPr>
              <w:t>Out</w:t>
            </w:r>
            <w:proofErr w:type="spellEnd"/>
            <w:r w:rsidRPr="0016765A">
              <w:rPr>
                <w:rFonts w:ascii="Times New Roman" w:hAnsi="Times New Roman" w:cs="Times New Roman"/>
                <w:color w:val="000000"/>
                <w:sz w:val="20"/>
                <w:szCs w:val="20"/>
              </w:rPr>
              <w:t xml:space="preserve"> (znižuje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45E78C3" w14:textId="2EDBE80F"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t>71 352</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B9A44"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15DB00AD"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44D56F83" w14:textId="66D42CBD"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4B23C477" w14:textId="4DC6049B"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Podanie kvalifikovanej námietky - povinné zastúpenie advokátom alebo notárom</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634D4D6" w14:textId="12280DB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návrh zákona o OR</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23D5D3C9" w14:textId="630A39C7" w:rsidR="0016765A" w:rsidRPr="0016765A" w:rsidRDefault="00B50E11" w:rsidP="0016765A">
            <w:pPr>
              <w:spacing w:after="0" w:line="240" w:lineRule="auto"/>
              <w:jc w:val="center"/>
              <w:rPr>
                <w:rFonts w:ascii="Times New Roman" w:hAnsi="Times New Roman" w:cs="Times New Roman"/>
                <w:bCs/>
                <w:color w:val="000000"/>
                <w:sz w:val="20"/>
                <w:szCs w:val="20"/>
              </w:rPr>
            </w:pPr>
            <w:r>
              <w:rPr>
                <w:rFonts w:ascii="Times New Roman" w:hAnsi="Times New Roman" w:cs="Times New Roman"/>
                <w:color w:val="000000"/>
                <w:sz w:val="20"/>
                <w:szCs w:val="20"/>
              </w:rPr>
              <w:t>§ 62 ods. 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D2A88C7" w14:textId="6FD904A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E346D" w14:textId="301B6EE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8BE1648" w14:textId="2C9B5E5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osoby, ktoré podávajú opravný prostriedok pri registrácii</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F69BC73" w14:textId="2247A963"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1 312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6F37A8" w14:textId="78B2FAB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B7047E" w14:textId="610B89F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51 062</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2F343529" w14:textId="51865E19"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In (zvyšuje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0E82224" w14:textId="3DCFDF5D"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t>51 062</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2740D"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1A7B08FB"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0DB5A5A6" w14:textId="500D3699"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lastRenderedPageBreak/>
              <w:t>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0CA078A5" w14:textId="2A2BE5B2"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Podanie kvalifikovaného podnetu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3411348" w14:textId="3297A7B0"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návrh zákona o OR</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28D739D" w14:textId="7E86C2FB" w:rsidR="0016765A" w:rsidRPr="0016765A" w:rsidRDefault="00B50E11" w:rsidP="0016765A">
            <w:pPr>
              <w:spacing w:after="0" w:line="240" w:lineRule="auto"/>
              <w:jc w:val="center"/>
              <w:rPr>
                <w:rFonts w:ascii="Times New Roman" w:hAnsi="Times New Roman" w:cs="Times New Roman"/>
                <w:bCs/>
                <w:color w:val="000000"/>
                <w:sz w:val="20"/>
                <w:szCs w:val="20"/>
              </w:rPr>
            </w:pPr>
            <w:r>
              <w:rPr>
                <w:rFonts w:ascii="Times New Roman" w:hAnsi="Times New Roman" w:cs="Times New Roman"/>
                <w:color w:val="000000"/>
                <w:sz w:val="20"/>
                <w:szCs w:val="20"/>
              </w:rPr>
              <w:t>§ 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79952A9" w14:textId="0B3C89F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04FB48" w14:textId="2BF1A8F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A28C37D" w14:textId="4186192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osoby, ktoré návrh na zosúladenie údajov</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78E04D13" w14:textId="536F4D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1 500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F9DAB9" w14:textId="232F5A70"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48B8C2" w14:textId="15711DA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77 838</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63E4C43D" w14:textId="0B0F05F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In (zvyšuje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5A49493A" w14:textId="5CB6375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t>77 838</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B1395"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4F2BE903"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7D145474" w14:textId="279E392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0FF8ED17" w14:textId="4321E30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Poplatok za podanie kvalifikovaného podnetu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BAC4413" w14:textId="3BDC9BE1"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zákon č.71/1992 Zb.</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ABC79FF" w14:textId="65474152"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Položka 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BA11776" w14:textId="4E2B295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0DCC07" w14:textId="45D1D44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259114B" w14:textId="51C1EC19"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osoby, ktoré návrh na zosúladenie údajov</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DF9418A" w14:textId="591D1E32"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1 500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541610" w14:textId="51A5A57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F2FDE" w14:textId="01A1C02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75 000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7F3C1922" w14:textId="1F9DC028"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In (zvyšuje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3F9D241D" w14:textId="453F260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t>75 000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F42A2"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21B77D8E"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6296FFB7" w14:textId="54E82395"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6</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55DCF156" w14:textId="590C8C6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Osobitné zosúladenie údajov</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82352A0" w14:textId="4A8899B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návrh zákona o OR</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1E258A8F" w14:textId="79BDDA2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415FE6" w14:textId="31200DD4"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08CD20" w14:textId="0447900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0B224E8" w14:textId="17496CD1"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všetky zapísané osoby</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D3EC1C9" w14:textId="14147FC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1 500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9CE5E8" w14:textId="6CAEC7D8"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CBD5E" w14:textId="0C1D0FD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38 919</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08696896" w14:textId="67E538A6" w:rsidR="0016765A" w:rsidRPr="0016765A" w:rsidRDefault="0016765A" w:rsidP="0016765A">
            <w:pPr>
              <w:spacing w:after="0" w:line="240" w:lineRule="auto"/>
              <w:jc w:val="center"/>
              <w:rPr>
                <w:rFonts w:ascii="Times New Roman" w:hAnsi="Times New Roman" w:cs="Times New Roman"/>
                <w:bCs/>
                <w:color w:val="000000"/>
                <w:sz w:val="20"/>
                <w:szCs w:val="20"/>
              </w:rPr>
            </w:pPr>
            <w:proofErr w:type="spellStart"/>
            <w:r w:rsidRPr="0016765A">
              <w:rPr>
                <w:rFonts w:ascii="Times New Roman" w:hAnsi="Times New Roman" w:cs="Times New Roman"/>
                <w:color w:val="000000"/>
                <w:sz w:val="20"/>
                <w:szCs w:val="20"/>
              </w:rPr>
              <w:t>Out</w:t>
            </w:r>
            <w:proofErr w:type="spellEnd"/>
            <w:r w:rsidRPr="0016765A">
              <w:rPr>
                <w:rFonts w:ascii="Times New Roman" w:hAnsi="Times New Roman" w:cs="Times New Roman"/>
                <w:color w:val="000000"/>
                <w:sz w:val="20"/>
                <w:szCs w:val="20"/>
              </w:rPr>
              <w:t xml:space="preserve"> (znižuje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EDE0720" w14:textId="2BA78E15"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t>38 919</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43F27"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19D38A6C"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175887E1" w14:textId="39F6A7B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7</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3A618DAB" w14:textId="512E2F00"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Podanie žiadosti o rezerváciu obchodného mena</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B84A52C" w14:textId="3C62F888"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návrh zákona o OR</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AC170D6" w14:textId="65394644"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109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A129224" w14:textId="5F7086D1"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7D4519" w14:textId="04F0451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1D097A3" w14:textId="27587DA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novozakladané obchodné spoločnosti a družstvá</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4A5633F6" w14:textId="07DF10E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10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1445D9" w14:textId="4B43940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12,973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C87BBB" w14:textId="6097D43B"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129,73</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623FB655" w14:textId="46510095"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In (zvyšuje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4142CF65" w14:textId="32D00E4D"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129,73</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B1A7A"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04889E61"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63720B60" w14:textId="01378B9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8</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292B6048" w14:textId="5B2774A9"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Poplatok za podanie žiadosti o rezerváciu obchodného mena</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0196E0C" w14:textId="6553AD85"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zákon č.71/1992 Zb.</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6A9F6533" w14:textId="41CE6B60"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Položka 17a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FA411F" w14:textId="65CF189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A149CF" w14:textId="76F18E69"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C99544E" w14:textId="64278FB2"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novozakladané obchodné spoločnosti a družstvá</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1440077" w14:textId="60CB26F8"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10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D29DB0" w14:textId="4295335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F83536" w14:textId="62FB9B6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130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671E555F" w14:textId="66C76AB4"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In (zvyšuje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11BE07EA" w14:textId="670C2390"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t>130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24CC9"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3C334FB3"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08309D2C" w14:textId="13E45A2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9</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4C0A61B9" w14:textId="361712BF"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Povinná forma zakladateľského dokumentu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553CDA6" w14:textId="0DFCAB55"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zákon č.71/1992 Zb.</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3B05322C" w14:textId="58090028"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čl. II, § 57 ods. 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16285CB" w14:textId="01C0FE6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B3A558" w14:textId="2524395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5DB10B0" w14:textId="5F29D00B"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novozakladané </w:t>
            </w:r>
            <w:proofErr w:type="spellStart"/>
            <w:r w:rsidRPr="0016765A">
              <w:rPr>
                <w:rFonts w:ascii="Times New Roman" w:hAnsi="Times New Roman" w:cs="Times New Roman"/>
                <w:color w:val="000000"/>
                <w:sz w:val="20"/>
                <w:szCs w:val="20"/>
              </w:rPr>
              <w:t>v.o.s</w:t>
            </w:r>
            <w:proofErr w:type="spellEnd"/>
            <w:r w:rsidRPr="0016765A">
              <w:rPr>
                <w:rFonts w:ascii="Times New Roman" w:hAnsi="Times New Roman" w:cs="Times New Roman"/>
                <w:color w:val="000000"/>
                <w:sz w:val="20"/>
                <w:szCs w:val="20"/>
              </w:rPr>
              <w:t xml:space="preserve">., </w:t>
            </w:r>
            <w:proofErr w:type="spellStart"/>
            <w:r w:rsidRPr="0016765A">
              <w:rPr>
                <w:rFonts w:ascii="Times New Roman" w:hAnsi="Times New Roman" w:cs="Times New Roman"/>
                <w:color w:val="000000"/>
                <w:sz w:val="20"/>
                <w:szCs w:val="20"/>
              </w:rPr>
              <w:t>k.s</w:t>
            </w:r>
            <w:proofErr w:type="spellEnd"/>
            <w:r w:rsidRPr="0016765A">
              <w:rPr>
                <w:rFonts w:ascii="Times New Roman" w:hAnsi="Times New Roman" w:cs="Times New Roman"/>
                <w:color w:val="000000"/>
                <w:sz w:val="20"/>
                <w:szCs w:val="20"/>
              </w:rPr>
              <w:t xml:space="preserve">. a </w:t>
            </w:r>
            <w:proofErr w:type="spellStart"/>
            <w:r w:rsidRPr="0016765A">
              <w:rPr>
                <w:rFonts w:ascii="Times New Roman" w:hAnsi="Times New Roman" w:cs="Times New Roman"/>
                <w:color w:val="000000"/>
                <w:sz w:val="20"/>
                <w:szCs w:val="20"/>
              </w:rPr>
              <w:t>s.r.o</w:t>
            </w:r>
            <w:proofErr w:type="spellEnd"/>
            <w:r w:rsidRPr="0016765A">
              <w:rPr>
                <w:rFonts w:ascii="Times New Roman" w:hAnsi="Times New Roman" w:cs="Times New Roman"/>
                <w:color w:val="000000"/>
                <w:sz w:val="20"/>
                <w:szCs w:val="20"/>
              </w:rPr>
              <w:t>.</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01C031D" w14:textId="5C6A5984"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21 753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B01479" w14:textId="4B6235E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0E54D9" w14:textId="539C805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2 457 502</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7BDA10D3" w14:textId="23E74DCF"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In (zvyšuje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7C46290" w14:textId="60C6F4C2"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t>2 457 502</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62E84"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7125EDB6"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17856663" w14:textId="351000E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10</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73B5AE11" w14:textId="0EDC1B4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Poplatok za podanie kvalifikovanej námietky</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BE3B4AB" w14:textId="5551134B"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návrh zákona o OR</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0996CC95" w14:textId="0CC96E12"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933160A" w14:textId="0B6EB3E5"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17A64" w14:textId="38A1FCC0"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0211270" w14:textId="35489D5F"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navrhovatelia, ktorí podajú kvalifikované námietky</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FCD30CB" w14:textId="0AB4D8D1" w:rsidR="0016765A" w:rsidRPr="0016765A" w:rsidRDefault="0016765A" w:rsidP="0016765A">
            <w:pPr>
              <w:spacing w:after="0" w:line="240" w:lineRule="auto"/>
              <w:jc w:val="right"/>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1 312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D5E158" w14:textId="14E09A84"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32C1B8" w14:textId="67D75CD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65 600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133E4DAB" w14:textId="7484803D"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In (zvyšuje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583657D6" w14:textId="09EC76C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t>65 600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4935B"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2D97B970"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571D4F49" w14:textId="41446823"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11</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1A777A37" w14:textId="756114A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Kvalifikovaná forma zmluvy o prevode </w:t>
            </w:r>
            <w:r w:rsidRPr="0016765A">
              <w:rPr>
                <w:rFonts w:ascii="Times New Roman" w:hAnsi="Times New Roman" w:cs="Times New Roman"/>
                <w:color w:val="000000"/>
                <w:sz w:val="20"/>
                <w:szCs w:val="20"/>
              </w:rPr>
              <w:lastRenderedPageBreak/>
              <w:t>obchodného podielu</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4984986" w14:textId="7944E333"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lastRenderedPageBreak/>
              <w:t>návrh zákona o OR</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114986B4" w14:textId="7206C2B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čl. II, § 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CC165F5" w14:textId="63C46878"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71352E" w14:textId="77E691B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C1202FF" w14:textId="2B2353F3"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spoločnosti s ručením </w:t>
            </w:r>
            <w:r w:rsidRPr="0016765A">
              <w:rPr>
                <w:rFonts w:ascii="Times New Roman" w:hAnsi="Times New Roman" w:cs="Times New Roman"/>
                <w:color w:val="000000"/>
                <w:sz w:val="20"/>
                <w:szCs w:val="20"/>
              </w:rPr>
              <w:lastRenderedPageBreak/>
              <w:t>obmedzeným</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1A09CFF3" w14:textId="29E1A8CA"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lastRenderedPageBreak/>
              <w:t xml:space="preserve">            5 000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7B528E" w14:textId="332FABA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1ACAAE" w14:textId="0560310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864 865</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09DE5ECA" w14:textId="434E80DD"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In (zvyšuje </w:t>
            </w:r>
            <w:r w:rsidRPr="0016765A">
              <w:rPr>
                <w:rFonts w:ascii="Times New Roman" w:hAnsi="Times New Roman" w:cs="Times New Roman"/>
                <w:color w:val="000000"/>
                <w:sz w:val="20"/>
                <w:szCs w:val="20"/>
              </w:rPr>
              <w:lastRenderedPageBreak/>
              <w:t>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32E71C3D" w14:textId="1841B19F"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lastRenderedPageBreak/>
              <w:t>864 865</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3141E"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317717A3"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30B1BECD" w14:textId="0099F7D3"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12</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2DF19265" w14:textId="7A116E1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Povinná forma rozhodnutia valného zhromaždenia</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789F0F4" w14:textId="4FF6360E"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návrh zákona o OR</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1ED8652" w14:textId="03535C43"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čl. II, § 127a ods. 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6F525" w14:textId="1B04C952"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3761EE" w14:textId="634689AD"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0B4F154" w14:textId="7B353669"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spoločnosti s ručením obmedzeným</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489B05BF" w14:textId="0612715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9 940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384F3E" w14:textId="16068CB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278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44FC14" w14:textId="1F91C19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2 763 052</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5E875D29" w14:textId="3B0137B4"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In (zvyšuje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A0DDC31" w14:textId="23746A5C"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t>2 763 052</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505A9"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6765A" w:rsidRPr="002A6716" w14:paraId="52BF6243"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40D289A1" w14:textId="42CB191D"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13</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67F6AEEA" w14:textId="058178C5"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Registrácia notárom do obchodného registra pre všetky právne formy - prvozápisy a zápis zmeny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14782" w14:textId="2DBB88F0"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návrh zákona o 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4133C6" w14:textId="1CE14EF4" w:rsidR="0016765A" w:rsidRPr="0016765A" w:rsidRDefault="00966866" w:rsidP="0016765A">
            <w:pPr>
              <w:spacing w:after="0" w:line="240" w:lineRule="auto"/>
              <w:jc w:val="center"/>
              <w:rPr>
                <w:rFonts w:ascii="Times New Roman" w:hAnsi="Times New Roman" w:cs="Times New Roman"/>
                <w:bCs/>
                <w:color w:val="000000"/>
                <w:sz w:val="20"/>
                <w:szCs w:val="20"/>
              </w:rPr>
            </w:pPr>
            <w:r>
              <w:rPr>
                <w:rFonts w:ascii="Times New Roman" w:hAnsi="Times New Roman" w:cs="Times New Roman"/>
                <w:color w:val="000000"/>
                <w:sz w:val="20"/>
                <w:szCs w:val="20"/>
              </w:rPr>
              <w:t>čl. I, § 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6BFBFB" w14:textId="53C6F046"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AED036" w14:textId="23286DD9"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D765D31" w14:textId="7A00935B"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notári vedení v zozname Notárskej komory Slovenskej republiky</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60E1F5C5" w14:textId="4A6C6F78"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 xml:space="preserve">               285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9E5FA8" w14:textId="59D69289"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4 000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C888BE" w14:textId="50765D18"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color w:val="000000"/>
                <w:sz w:val="20"/>
                <w:szCs w:val="20"/>
              </w:rPr>
              <w:t>1 140 000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532E3A0" w14:textId="5703C790" w:rsidR="0016765A" w:rsidRPr="0016765A" w:rsidRDefault="0016765A" w:rsidP="0016765A">
            <w:pPr>
              <w:spacing w:after="0" w:line="240" w:lineRule="auto"/>
              <w:jc w:val="center"/>
              <w:rPr>
                <w:rFonts w:ascii="Times New Roman" w:hAnsi="Times New Roman" w:cs="Times New Roman"/>
                <w:bCs/>
                <w:color w:val="000000"/>
                <w:sz w:val="20"/>
                <w:szCs w:val="20"/>
              </w:rPr>
            </w:pPr>
            <w:proofErr w:type="spellStart"/>
            <w:r w:rsidRPr="0016765A">
              <w:rPr>
                <w:rFonts w:ascii="Times New Roman" w:hAnsi="Times New Roman" w:cs="Times New Roman"/>
                <w:color w:val="000000"/>
                <w:sz w:val="20"/>
                <w:szCs w:val="20"/>
              </w:rPr>
              <w:t>Out</w:t>
            </w:r>
            <w:proofErr w:type="spellEnd"/>
            <w:r w:rsidRPr="0016765A">
              <w:rPr>
                <w:rFonts w:ascii="Times New Roman" w:hAnsi="Times New Roman" w:cs="Times New Roman"/>
                <w:color w:val="000000"/>
                <w:sz w:val="20"/>
                <w:szCs w:val="20"/>
              </w:rPr>
              <w:t xml:space="preserve"> (znižuje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7C533BAD" w14:textId="2AEFBAA1"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sz w:val="20"/>
                <w:szCs w:val="20"/>
              </w:rPr>
              <w:t>1 140 000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551C9" w14:textId="77777777" w:rsidR="0016765A" w:rsidRPr="0016765A" w:rsidRDefault="0016765A" w:rsidP="0016765A">
            <w:pPr>
              <w:spacing w:after="0" w:line="240" w:lineRule="auto"/>
              <w:jc w:val="center"/>
              <w:rPr>
                <w:rFonts w:ascii="Times New Roman" w:hAnsi="Times New Roman" w:cs="Times New Roman"/>
                <w:bCs/>
                <w:color w:val="000000"/>
                <w:sz w:val="20"/>
                <w:szCs w:val="20"/>
              </w:rPr>
            </w:pPr>
            <w:r w:rsidRPr="0016765A">
              <w:rPr>
                <w:rFonts w:ascii="Times New Roman" w:hAnsi="Times New Roman" w:cs="Times New Roman"/>
                <w:bCs/>
                <w:color w:val="000000"/>
                <w:sz w:val="20"/>
                <w:szCs w:val="20"/>
              </w:rPr>
              <w:t>0</w:t>
            </w:r>
          </w:p>
        </w:tc>
      </w:tr>
      <w:tr w:rsidR="001F0CFD" w:rsidRPr="002A6716" w14:paraId="024651FE"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08AA6DEB" w14:textId="242C21DE"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14</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0D4784D3" w14:textId="6B0176FB"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Registrácia notárom do obchodného registra - odmena notára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BF5A34" w14:textId="1E3942F2"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návrh zákona o 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F43304" w14:textId="4CA884A2" w:rsidR="001F0CFD" w:rsidRPr="001F0CFD" w:rsidRDefault="00966866" w:rsidP="001F0CF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čl. I, § 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56073F" w14:textId="121E592D"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60CE87" w14:textId="5E5469C3"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8E01EA9" w14:textId="705FC5F5"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 xml:space="preserve"> osoby, ktoré počas roka podajú návrh na registráciu do obchodného registra prostredníctvom notára</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3904F88F" w14:textId="4827889E"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 xml:space="preserve">            2 273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C06483" w14:textId="339FD445"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DCB1E9" w14:textId="17366009"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499 998</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7EA1F395" w14:textId="03D3CA9B"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In (zvyšuje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260AA752" w14:textId="5F84072E"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sz w:val="20"/>
                <w:szCs w:val="20"/>
              </w:rPr>
              <w:t>499 998</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01C1C8F0" w14:textId="7811FF16" w:rsidR="001F0CFD" w:rsidRPr="0016765A" w:rsidRDefault="001F0CFD" w:rsidP="001F0CFD">
            <w:pPr>
              <w:spacing w:after="0" w:line="240" w:lineRule="auto"/>
              <w:jc w:val="center"/>
              <w:rPr>
                <w:rFonts w:ascii="Times New Roman" w:hAnsi="Times New Roman" w:cs="Times New Roman"/>
                <w:color w:val="000000"/>
                <w:sz w:val="20"/>
                <w:szCs w:val="20"/>
              </w:rPr>
            </w:pPr>
            <w:r w:rsidRPr="0016765A">
              <w:rPr>
                <w:rFonts w:ascii="Times New Roman" w:hAnsi="Times New Roman" w:cs="Times New Roman"/>
                <w:color w:val="000000"/>
                <w:sz w:val="20"/>
                <w:szCs w:val="20"/>
              </w:rPr>
              <w:t>0</w:t>
            </w:r>
          </w:p>
        </w:tc>
      </w:tr>
      <w:tr w:rsidR="001F0CFD" w:rsidRPr="002A6716" w14:paraId="135FFBB3" w14:textId="77777777" w:rsidTr="00FC17F3">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tcPr>
          <w:p w14:paraId="3F9BFDB8" w14:textId="15753CED"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15</w:t>
            </w:r>
          </w:p>
        </w:tc>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14:paraId="5E61498B" w14:textId="4E2EAFD1"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Registrácia registrovým súdom do obchodného registra - súdny poplatok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4F4132" w14:textId="7224C5E0"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návrh zákona o OR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503FD" w14:textId="18BCEAFF" w:rsidR="001F0CFD" w:rsidRPr="001F0CFD" w:rsidRDefault="00966866" w:rsidP="001F0CFD">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čl. I, § 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F6DF2B" w14:textId="1AE4399C"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1.SK</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DC61CB" w14:textId="76685195"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17.08.26</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3A07540" w14:textId="1FF64D62"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 xml:space="preserve"> osoby, ktoré počas roka podajú návrh na registráciu do obchodného registra prostredníctvom súdu</w:t>
            </w:r>
          </w:p>
        </w:tc>
        <w:tc>
          <w:tcPr>
            <w:tcW w:w="1458" w:type="dxa"/>
            <w:tcBorders>
              <w:top w:val="single" w:sz="4" w:space="0" w:color="auto"/>
              <w:left w:val="single" w:sz="4" w:space="0" w:color="auto"/>
              <w:bottom w:val="single" w:sz="4" w:space="0" w:color="auto"/>
              <w:right w:val="single" w:sz="4" w:space="0" w:color="auto"/>
            </w:tcBorders>
            <w:shd w:val="clear" w:color="auto" w:fill="auto"/>
            <w:vAlign w:val="center"/>
          </w:tcPr>
          <w:p w14:paraId="0DBEDD30" w14:textId="6B3D2B67"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 xml:space="preserve">            2 273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38321B" w14:textId="1CD5A5A7"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E7346F" w14:textId="0DACFCB1"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color w:val="000000"/>
                <w:sz w:val="20"/>
                <w:szCs w:val="20"/>
              </w:rPr>
              <w:t>499 998</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4CD385A0" w14:textId="41149C98" w:rsidR="001F0CFD" w:rsidRPr="001F0CFD" w:rsidRDefault="001F0CFD" w:rsidP="001F0CFD">
            <w:pPr>
              <w:spacing w:after="0" w:line="240" w:lineRule="auto"/>
              <w:jc w:val="center"/>
              <w:rPr>
                <w:rFonts w:ascii="Times New Roman" w:hAnsi="Times New Roman" w:cs="Times New Roman"/>
                <w:color w:val="000000"/>
                <w:sz w:val="20"/>
                <w:szCs w:val="20"/>
              </w:rPr>
            </w:pPr>
            <w:proofErr w:type="spellStart"/>
            <w:r w:rsidRPr="001F0CFD">
              <w:rPr>
                <w:rFonts w:ascii="Times New Roman" w:hAnsi="Times New Roman" w:cs="Times New Roman"/>
                <w:color w:val="000000"/>
                <w:sz w:val="20"/>
                <w:szCs w:val="20"/>
              </w:rPr>
              <w:t>Out</w:t>
            </w:r>
            <w:proofErr w:type="spellEnd"/>
            <w:r w:rsidRPr="001F0CFD">
              <w:rPr>
                <w:rFonts w:ascii="Times New Roman" w:hAnsi="Times New Roman" w:cs="Times New Roman"/>
                <w:color w:val="000000"/>
                <w:sz w:val="20"/>
                <w:szCs w:val="20"/>
              </w:rPr>
              <w:t xml:space="preserve"> (znižuje náklady)</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69BA3C57" w14:textId="77211485" w:rsidR="001F0CFD" w:rsidRPr="001F0CFD" w:rsidRDefault="001F0CFD" w:rsidP="001F0CFD">
            <w:pPr>
              <w:spacing w:after="0" w:line="240" w:lineRule="auto"/>
              <w:jc w:val="center"/>
              <w:rPr>
                <w:rFonts w:ascii="Times New Roman" w:hAnsi="Times New Roman" w:cs="Times New Roman"/>
                <w:color w:val="000000"/>
                <w:sz w:val="20"/>
                <w:szCs w:val="20"/>
              </w:rPr>
            </w:pPr>
            <w:r w:rsidRPr="001F0CFD">
              <w:rPr>
                <w:rFonts w:ascii="Times New Roman" w:hAnsi="Times New Roman" w:cs="Times New Roman"/>
                <w:sz w:val="20"/>
                <w:szCs w:val="20"/>
              </w:rPr>
              <w:t>499 998</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14:paraId="28A9C10E" w14:textId="5A3FC3F9" w:rsidR="001F0CFD" w:rsidRPr="0016765A" w:rsidRDefault="001F0CFD" w:rsidP="001F0CFD">
            <w:pPr>
              <w:spacing w:after="0" w:line="240" w:lineRule="auto"/>
              <w:jc w:val="center"/>
              <w:rPr>
                <w:rFonts w:ascii="Times New Roman" w:hAnsi="Times New Roman" w:cs="Times New Roman"/>
                <w:color w:val="000000"/>
                <w:sz w:val="20"/>
                <w:szCs w:val="20"/>
              </w:rPr>
            </w:pPr>
            <w:r w:rsidRPr="0016765A">
              <w:rPr>
                <w:rFonts w:ascii="Times New Roman" w:hAnsi="Times New Roman" w:cs="Times New Roman"/>
                <w:color w:val="000000"/>
                <w:sz w:val="20"/>
                <w:szCs w:val="20"/>
              </w:rPr>
              <w:t>0</w:t>
            </w:r>
          </w:p>
        </w:tc>
      </w:tr>
    </w:tbl>
    <w:p w14:paraId="798179FB" w14:textId="77777777" w:rsidR="00054C41" w:rsidRPr="00B24EFE" w:rsidRDefault="00054C41" w:rsidP="00054C41">
      <w:pPr>
        <w:jc w:val="both"/>
        <w:rPr>
          <w:rFonts w:ascii="Times New Roman" w:eastAsia="Calibri" w:hAnsi="Times New Roman" w:cs="Times New Roman"/>
          <w:b/>
          <w:bCs/>
          <w:i/>
          <w:sz w:val="24"/>
          <w:szCs w:val="24"/>
        </w:rPr>
        <w:sectPr w:rsidR="00054C41" w:rsidRPr="00B24EFE" w:rsidSect="00142154">
          <w:pgSz w:w="16838" w:h="11906" w:orient="landscape"/>
          <w:pgMar w:top="1417" w:right="1417" w:bottom="1417" w:left="1417" w:header="708" w:footer="708" w:gutter="0"/>
          <w:cols w:space="708"/>
          <w:docGrid w:linePitch="360"/>
        </w:sectPr>
      </w:pPr>
    </w:p>
    <w:p w14:paraId="77318665" w14:textId="77777777" w:rsidR="00054C41" w:rsidRPr="00B24EFE" w:rsidRDefault="00511F8F" w:rsidP="00054C41">
      <w:pPr>
        <w:jc w:val="both"/>
        <w:rPr>
          <w:rFonts w:ascii="Times New Roman" w:eastAsia="Calibri" w:hAnsi="Times New Roman" w:cs="Times New Roman"/>
          <w:b/>
          <w:bCs/>
          <w:i/>
          <w:sz w:val="24"/>
          <w:szCs w:val="24"/>
          <w:u w:val="single"/>
        </w:rPr>
      </w:pPr>
      <w:r w:rsidRPr="00B24EFE">
        <w:rPr>
          <w:rFonts w:ascii="Times New Roman" w:eastAsia="Calibri" w:hAnsi="Times New Roman" w:cs="Times New Roman"/>
          <w:b/>
          <w:bCs/>
          <w:i/>
          <w:sz w:val="24"/>
          <w:szCs w:val="24"/>
          <w:u w:val="single"/>
        </w:rPr>
        <w:lastRenderedPageBreak/>
        <w:t xml:space="preserve">3.1.3 </w:t>
      </w:r>
      <w:r w:rsidR="00054C41" w:rsidRPr="00B24EFE">
        <w:rPr>
          <w:rFonts w:ascii="Times New Roman" w:eastAsia="Calibri" w:hAnsi="Times New Roman" w:cs="Times New Roman"/>
          <w:b/>
          <w:bCs/>
          <w:i/>
          <w:sz w:val="24"/>
          <w:szCs w:val="24"/>
          <w:u w:val="single"/>
        </w:rPr>
        <w:t xml:space="preserve">Doplňujúce informácie k spôsobu výpočtu vplyvov jednotlivých regulácií na zmenu nákladov </w:t>
      </w:r>
    </w:p>
    <w:p w14:paraId="41FDC667" w14:textId="03E91A28" w:rsidR="00054C41" w:rsidRPr="00B24EFE" w:rsidRDefault="00054C41" w:rsidP="00054C41">
      <w:pPr>
        <w:jc w:val="both"/>
        <w:rPr>
          <w:rFonts w:ascii="Times New Roman" w:eastAsia="Calibri" w:hAnsi="Times New Roman" w:cs="Times New Roman"/>
          <w:bCs/>
          <w:i/>
          <w:iCs/>
          <w:color w:val="000000"/>
          <w:sz w:val="24"/>
          <w:szCs w:val="24"/>
        </w:rPr>
      </w:pPr>
      <w:r w:rsidRPr="00B24EFE">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B24EFE">
        <w:rPr>
          <w:rFonts w:ascii="Times New Roman" w:eastAsia="Calibri" w:hAnsi="Times New Roman" w:cs="Times New Roman"/>
          <w:bCs/>
          <w:i/>
          <w:iCs/>
          <w:color w:val="000000"/>
          <w:sz w:val="24"/>
          <w:szCs w:val="24"/>
        </w:rPr>
        <w:t>link</w:t>
      </w:r>
      <w:proofErr w:type="spellEnd"/>
      <w:r w:rsidRPr="00B24EFE">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w:t>
      </w:r>
      <w:r w:rsidR="00A000DA" w:rsidRPr="00B24EFE">
        <w:rPr>
          <w:rFonts w:ascii="Times New Roman" w:eastAsia="Calibri" w:hAnsi="Times New Roman" w:cs="Times New Roman"/>
          <w:bCs/>
          <w:i/>
          <w:iCs/>
          <w:color w:val="000000"/>
          <w:sz w:val="24"/>
          <w:szCs w:val="24"/>
        </w:rPr>
        <w:t xml:space="preserve"> a poplatky, ktorých cieľom je znižovať negatívne </w:t>
      </w:r>
      <w:proofErr w:type="spellStart"/>
      <w:r w:rsidR="00A000DA" w:rsidRPr="00B24EFE">
        <w:rPr>
          <w:rFonts w:ascii="Times New Roman" w:eastAsia="Calibri" w:hAnsi="Times New Roman" w:cs="Times New Roman"/>
          <w:bCs/>
          <w:i/>
          <w:iCs/>
          <w:color w:val="000000"/>
          <w:sz w:val="24"/>
          <w:szCs w:val="24"/>
        </w:rPr>
        <w:t>externality</w:t>
      </w:r>
      <w:proofErr w:type="spellEnd"/>
      <w:r w:rsidRPr="00B24EFE">
        <w:rPr>
          <w:rFonts w:ascii="Times New Roman" w:eastAsia="Calibri" w:hAnsi="Times New Roman" w:cs="Times New Roman"/>
          <w:bCs/>
          <w:i/>
          <w:iCs/>
          <w:color w:val="000000"/>
          <w:sz w:val="24"/>
          <w:szCs w:val="24"/>
        </w:rPr>
        <w:t xml:space="preserve">, B. </w:t>
      </w:r>
      <w:r w:rsidR="00A000DA" w:rsidRPr="00B24EFE">
        <w:rPr>
          <w:rFonts w:ascii="Times New Roman" w:eastAsia="Calibri" w:hAnsi="Times New Roman" w:cs="Times New Roman"/>
          <w:bCs/>
          <w:i/>
          <w:iCs/>
          <w:color w:val="000000"/>
          <w:sz w:val="24"/>
          <w:szCs w:val="24"/>
        </w:rPr>
        <w:t>Iné p</w:t>
      </w:r>
      <w:r w:rsidRPr="00B24EFE">
        <w:rPr>
          <w:rFonts w:ascii="Times New Roman" w:eastAsia="Calibri" w:hAnsi="Times New Roman" w:cs="Times New Roman"/>
          <w:bCs/>
          <w:i/>
          <w:iCs/>
          <w:color w:val="000000"/>
          <w:sz w:val="24"/>
          <w:szCs w:val="24"/>
        </w:rPr>
        <w:t xml:space="preserve">oplatky, C. </w:t>
      </w:r>
      <w:r w:rsidR="00024EE4" w:rsidRPr="00B24EFE">
        <w:rPr>
          <w:rFonts w:ascii="Times New Roman" w:eastAsia="Calibri" w:hAnsi="Times New Roman" w:cs="Times New Roman"/>
          <w:bCs/>
          <w:i/>
          <w:iCs/>
          <w:color w:val="000000"/>
          <w:sz w:val="24"/>
          <w:szCs w:val="24"/>
        </w:rPr>
        <w:t>Sankcie</w:t>
      </w:r>
      <w:r w:rsidRPr="00B24EFE">
        <w:rPr>
          <w:rFonts w:ascii="Times New Roman" w:eastAsia="Calibri" w:hAnsi="Times New Roman" w:cs="Times New Roman"/>
          <w:bCs/>
          <w:i/>
          <w:iCs/>
          <w:color w:val="000000"/>
          <w:sz w:val="24"/>
          <w:szCs w:val="24"/>
        </w:rPr>
        <w:t xml:space="preserve">, D. </w:t>
      </w:r>
      <w:r w:rsidR="00024EE4" w:rsidRPr="00B24EFE">
        <w:rPr>
          <w:rFonts w:ascii="Times New Roman" w:eastAsia="Calibri" w:hAnsi="Times New Roman" w:cs="Times New Roman"/>
          <w:bCs/>
          <w:i/>
          <w:iCs/>
          <w:color w:val="000000"/>
          <w:sz w:val="24"/>
          <w:szCs w:val="24"/>
        </w:rPr>
        <w:t>Nepriame finančné náklady</w:t>
      </w:r>
      <w:r w:rsidR="00A94A0F" w:rsidRPr="00B24EFE">
        <w:rPr>
          <w:rFonts w:ascii="Times New Roman" w:eastAsia="Calibri" w:hAnsi="Times New Roman" w:cs="Times New Roman"/>
          <w:bCs/>
          <w:i/>
          <w:iCs/>
          <w:color w:val="000000"/>
          <w:sz w:val="24"/>
          <w:szCs w:val="24"/>
        </w:rPr>
        <w:t xml:space="preserve">, E. </w:t>
      </w:r>
      <w:r w:rsidRPr="00B24EFE">
        <w:rPr>
          <w:rFonts w:ascii="Times New Roman" w:eastAsia="Calibri" w:hAnsi="Times New Roman" w:cs="Times New Roman"/>
          <w:bCs/>
          <w:i/>
          <w:iCs/>
          <w:color w:val="000000"/>
          <w:sz w:val="24"/>
          <w:szCs w:val="24"/>
        </w:rPr>
        <w:t xml:space="preserve">Administratívne náklady). Rozčleňte ich a vypočítajte v súlade s metodickým postupom. </w:t>
      </w:r>
    </w:p>
    <w:p w14:paraId="209D16D2" w14:textId="2C9C29A1" w:rsidR="0079765B" w:rsidRPr="00B24EFE" w:rsidRDefault="00E92DDD" w:rsidP="00054C41">
      <w:pPr>
        <w:jc w:val="both"/>
        <w:rPr>
          <w:rFonts w:ascii="Times New Roman" w:eastAsia="Calibri" w:hAnsi="Times New Roman" w:cs="Times New Roman"/>
          <w:b/>
          <w:bCs/>
          <w:i/>
          <w:iCs/>
          <w:color w:val="000000"/>
          <w:sz w:val="24"/>
          <w:szCs w:val="24"/>
        </w:rPr>
      </w:pPr>
      <w:r>
        <w:rPr>
          <w:rFonts w:ascii="Times New Roman" w:hAnsi="Times New Roman" w:cs="Times New Roman"/>
          <w:b/>
          <w:color w:val="000000"/>
          <w:sz w:val="24"/>
          <w:szCs w:val="24"/>
        </w:rPr>
        <w:t xml:space="preserve">1. </w:t>
      </w:r>
      <w:r w:rsidR="00E23930" w:rsidRPr="00B24EFE">
        <w:rPr>
          <w:rFonts w:ascii="Times New Roman" w:hAnsi="Times New Roman" w:cs="Times New Roman"/>
          <w:b/>
          <w:color w:val="000000"/>
          <w:sz w:val="24"/>
          <w:szCs w:val="24"/>
        </w:rPr>
        <w:t>Nepreukazovanie zapísaných údajov pred orgánmi verejnej moci a v obchodnom styku</w:t>
      </w:r>
    </w:p>
    <w:p w14:paraId="44BC6B56" w14:textId="084927F7" w:rsidR="003A2ADC" w:rsidRPr="00B24EFE" w:rsidRDefault="00521521" w:rsidP="00054C41">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 xml:space="preserve">Nepreukazovanie zapísaných údajov pred orgánmi verejnej moci a v obchodnom styku je nový typ regulácie, ktorý znižuje administratívne náklady </w:t>
      </w:r>
      <w:r w:rsidR="003A2ADC" w:rsidRPr="00B24EFE">
        <w:rPr>
          <w:rFonts w:ascii="Times New Roman" w:eastAsia="Calibri" w:hAnsi="Times New Roman" w:cs="Times New Roman"/>
          <w:bCs/>
          <w:iCs/>
          <w:color w:val="000000"/>
          <w:sz w:val="24"/>
          <w:szCs w:val="24"/>
        </w:rPr>
        <w:t xml:space="preserve">podnikateľským subjektom. Údaje podnikateľských subjektov zverejnených na webovom sídle Ministerstva spravodlivosti </w:t>
      </w:r>
      <w:r w:rsidR="0072045E" w:rsidRPr="00B24EFE">
        <w:rPr>
          <w:rFonts w:ascii="Times New Roman" w:eastAsia="Calibri" w:hAnsi="Times New Roman" w:cs="Times New Roman"/>
          <w:bCs/>
          <w:iCs/>
          <w:color w:val="000000"/>
          <w:sz w:val="24"/>
          <w:szCs w:val="24"/>
        </w:rPr>
        <w:t>Slovenskej republiky</w:t>
      </w:r>
      <w:r w:rsidR="00A1176A">
        <w:rPr>
          <w:rFonts w:ascii="Times New Roman" w:eastAsia="Calibri" w:hAnsi="Times New Roman" w:cs="Times New Roman"/>
          <w:bCs/>
          <w:iCs/>
          <w:color w:val="000000"/>
          <w:sz w:val="24"/>
          <w:szCs w:val="24"/>
        </w:rPr>
        <w:t xml:space="preserve"> (špecializovaný portál)</w:t>
      </w:r>
      <w:r w:rsidR="003A2ADC" w:rsidRPr="00B24EFE">
        <w:rPr>
          <w:rFonts w:ascii="Times New Roman" w:eastAsia="Calibri" w:hAnsi="Times New Roman" w:cs="Times New Roman"/>
          <w:bCs/>
          <w:iCs/>
          <w:color w:val="000000"/>
          <w:sz w:val="24"/>
          <w:szCs w:val="24"/>
        </w:rPr>
        <w:t xml:space="preserve"> budú mať právnu záväznosť. </w:t>
      </w:r>
    </w:p>
    <w:p w14:paraId="67D0C61F" w14:textId="48E3A6EA" w:rsidR="00080C8A" w:rsidRPr="00B24EFE" w:rsidRDefault="003A2ADC" w:rsidP="00054C41">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 xml:space="preserve">Aj preto predkladateľ pri posudzovaní vplyvov na podnikateľské prostredie zvolil pri zmenách jednotlivých typov nákladov </w:t>
      </w:r>
      <w:r w:rsidR="00E370CF">
        <w:rPr>
          <w:rFonts w:ascii="Times New Roman" w:eastAsia="Calibri" w:hAnsi="Times New Roman" w:cs="Times New Roman"/>
          <w:bCs/>
          <w:iCs/>
          <w:color w:val="000000"/>
          <w:sz w:val="24"/>
          <w:szCs w:val="24"/>
        </w:rPr>
        <w:t>(</w:t>
      </w:r>
      <w:r w:rsidRPr="00B24EFE">
        <w:rPr>
          <w:rFonts w:ascii="Times New Roman" w:eastAsia="Calibri" w:hAnsi="Times New Roman" w:cs="Times New Roman"/>
          <w:bCs/>
          <w:iCs/>
          <w:color w:val="000000"/>
          <w:sz w:val="24"/>
          <w:szCs w:val="24"/>
        </w:rPr>
        <w:t>administratívne náklady</w:t>
      </w:r>
      <w:r w:rsidR="00E370CF">
        <w:rPr>
          <w:rFonts w:ascii="Times New Roman" w:eastAsia="Calibri" w:hAnsi="Times New Roman" w:cs="Times New Roman"/>
          <w:bCs/>
          <w:iCs/>
          <w:color w:val="000000"/>
          <w:sz w:val="24"/>
          <w:szCs w:val="24"/>
        </w:rPr>
        <w:t>)</w:t>
      </w:r>
      <w:r w:rsidRPr="00B24EFE">
        <w:rPr>
          <w:rFonts w:ascii="Times New Roman" w:eastAsia="Calibri" w:hAnsi="Times New Roman" w:cs="Times New Roman"/>
          <w:bCs/>
          <w:iCs/>
          <w:color w:val="000000"/>
          <w:sz w:val="24"/>
          <w:szCs w:val="24"/>
        </w:rPr>
        <w:t xml:space="preserve"> alternatívu 2, čo je poskytnutie informácie, oznámenie, vyhlásenie pri nepravidelnej frekvencii</w:t>
      </w:r>
      <w:r w:rsidR="00080C8A" w:rsidRPr="00B24EFE">
        <w:rPr>
          <w:rFonts w:ascii="Times New Roman" w:eastAsia="Calibri" w:hAnsi="Times New Roman" w:cs="Times New Roman"/>
          <w:bCs/>
          <w:iCs/>
          <w:color w:val="000000"/>
          <w:sz w:val="24"/>
          <w:szCs w:val="24"/>
        </w:rPr>
        <w:t xml:space="preserve"> povinnosti plnenia so štandardnou veľkosťou povinnosti a tiež možnosťou elektronického splnenia. </w:t>
      </w:r>
    </w:p>
    <w:p w14:paraId="3CE82B5C" w14:textId="237A7C83" w:rsidR="00EA0B3E" w:rsidRPr="00B24EFE" w:rsidRDefault="00EA0B3E" w:rsidP="00054C41">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Dôvodom zvolenia nepravidelnej frekvencie je to, že sa na základe dostupných</w:t>
      </w:r>
      <w:r w:rsidR="00E370CF">
        <w:rPr>
          <w:rFonts w:ascii="Times New Roman" w:eastAsia="Calibri" w:hAnsi="Times New Roman" w:cs="Times New Roman"/>
          <w:bCs/>
          <w:iCs/>
          <w:color w:val="000000"/>
          <w:sz w:val="24"/>
          <w:szCs w:val="24"/>
        </w:rPr>
        <w:t xml:space="preserve"> dát</w:t>
      </w:r>
      <w:r w:rsidRPr="00B24EFE">
        <w:rPr>
          <w:rFonts w:ascii="Times New Roman" w:eastAsia="Calibri" w:hAnsi="Times New Roman" w:cs="Times New Roman"/>
          <w:bCs/>
          <w:iCs/>
          <w:color w:val="000000"/>
          <w:sz w:val="24"/>
          <w:szCs w:val="24"/>
        </w:rPr>
        <w:t xml:space="preserve"> nedá kvantifikovať, koľko subjektov o takéto výpisy žiada napríklad na ročnej báze. Predkladateľ vychádzal z toho, že každý subjekt zapísaný v Obchodnom registri </w:t>
      </w:r>
      <w:r w:rsidR="00DA2289">
        <w:rPr>
          <w:rFonts w:ascii="Times New Roman" w:eastAsia="Calibri" w:hAnsi="Times New Roman" w:cs="Times New Roman"/>
          <w:bCs/>
          <w:iCs/>
          <w:color w:val="000000"/>
          <w:sz w:val="24"/>
          <w:szCs w:val="24"/>
        </w:rPr>
        <w:t>by</w:t>
      </w:r>
      <w:r w:rsidRPr="00B24EFE">
        <w:rPr>
          <w:rFonts w:ascii="Times New Roman" w:eastAsia="Calibri" w:hAnsi="Times New Roman" w:cs="Times New Roman"/>
          <w:bCs/>
          <w:iCs/>
          <w:color w:val="000000"/>
          <w:sz w:val="24"/>
          <w:szCs w:val="24"/>
        </w:rPr>
        <w:t xml:space="preserve"> o takéto výpisy žiada</w:t>
      </w:r>
      <w:r w:rsidR="00DA2289">
        <w:rPr>
          <w:rFonts w:ascii="Times New Roman" w:eastAsia="Calibri" w:hAnsi="Times New Roman" w:cs="Times New Roman"/>
          <w:bCs/>
          <w:iCs/>
          <w:color w:val="000000"/>
          <w:sz w:val="24"/>
          <w:szCs w:val="24"/>
        </w:rPr>
        <w:t>l</w:t>
      </w:r>
      <w:r w:rsidRPr="00B24EFE">
        <w:rPr>
          <w:rFonts w:ascii="Times New Roman" w:eastAsia="Calibri" w:hAnsi="Times New Roman" w:cs="Times New Roman"/>
          <w:bCs/>
          <w:iCs/>
          <w:color w:val="000000"/>
          <w:sz w:val="24"/>
          <w:szCs w:val="24"/>
        </w:rPr>
        <w:t xml:space="preserve"> v </w:t>
      </w:r>
      <w:r w:rsidR="00860A60">
        <w:rPr>
          <w:rFonts w:ascii="Times New Roman" w:eastAsia="Calibri" w:hAnsi="Times New Roman" w:cs="Times New Roman"/>
          <w:bCs/>
          <w:iCs/>
          <w:color w:val="000000"/>
          <w:sz w:val="24"/>
          <w:szCs w:val="24"/>
        </w:rPr>
        <w:t>nepravidelnom</w:t>
      </w:r>
      <w:r w:rsidRPr="00B24EFE">
        <w:rPr>
          <w:rFonts w:ascii="Times New Roman" w:eastAsia="Calibri" w:hAnsi="Times New Roman" w:cs="Times New Roman"/>
          <w:bCs/>
          <w:iCs/>
          <w:color w:val="000000"/>
          <w:sz w:val="24"/>
          <w:szCs w:val="24"/>
        </w:rPr>
        <w:t xml:space="preserve"> čase</w:t>
      </w:r>
      <w:r w:rsidR="00860A60">
        <w:rPr>
          <w:rFonts w:ascii="Times New Roman" w:eastAsia="Calibri" w:hAnsi="Times New Roman" w:cs="Times New Roman"/>
          <w:bCs/>
          <w:iCs/>
          <w:color w:val="000000"/>
          <w:sz w:val="24"/>
          <w:szCs w:val="24"/>
        </w:rPr>
        <w:t xml:space="preserve"> alebo jednorazovo</w:t>
      </w:r>
      <w:r w:rsidRPr="00B24EFE">
        <w:rPr>
          <w:rFonts w:ascii="Times New Roman" w:eastAsia="Calibri" w:hAnsi="Times New Roman" w:cs="Times New Roman"/>
          <w:bCs/>
          <w:iCs/>
          <w:color w:val="000000"/>
          <w:sz w:val="24"/>
          <w:szCs w:val="24"/>
        </w:rPr>
        <w:t xml:space="preserve"> bez ohľadu na frekvenciu. </w:t>
      </w:r>
    </w:p>
    <w:p w14:paraId="6EBFE34C" w14:textId="467EC256" w:rsidR="004948C9" w:rsidRPr="00B24EFE" w:rsidRDefault="00EA0B3E" w:rsidP="00054C41">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Aj preto b</w:t>
      </w:r>
      <w:r w:rsidR="00080C8A" w:rsidRPr="00B24EFE">
        <w:rPr>
          <w:rFonts w:ascii="Times New Roman" w:eastAsia="Calibri" w:hAnsi="Times New Roman" w:cs="Times New Roman"/>
          <w:bCs/>
          <w:iCs/>
          <w:color w:val="000000"/>
          <w:sz w:val="24"/>
          <w:szCs w:val="24"/>
        </w:rPr>
        <w:t>oli zvolené</w:t>
      </w:r>
      <w:r w:rsidR="00E370CF">
        <w:rPr>
          <w:rFonts w:ascii="Times New Roman" w:eastAsia="Calibri" w:hAnsi="Times New Roman" w:cs="Times New Roman"/>
          <w:bCs/>
          <w:iCs/>
          <w:color w:val="000000"/>
          <w:sz w:val="24"/>
          <w:szCs w:val="24"/>
        </w:rPr>
        <w:t xml:space="preserve"> ako dotknuté</w:t>
      </w:r>
      <w:r w:rsidR="00080C8A" w:rsidRPr="00B24EFE">
        <w:rPr>
          <w:rFonts w:ascii="Times New Roman" w:eastAsia="Calibri" w:hAnsi="Times New Roman" w:cs="Times New Roman"/>
          <w:bCs/>
          <w:iCs/>
          <w:color w:val="000000"/>
          <w:sz w:val="24"/>
          <w:szCs w:val="24"/>
        </w:rPr>
        <w:t xml:space="preserve"> všetky kategórie podnikateľských subjektov </w:t>
      </w:r>
      <w:r w:rsidR="00E370CF">
        <w:rPr>
          <w:rFonts w:ascii="Times New Roman" w:eastAsia="Calibri" w:hAnsi="Times New Roman" w:cs="Times New Roman"/>
          <w:bCs/>
          <w:iCs/>
          <w:color w:val="000000"/>
          <w:sz w:val="24"/>
          <w:szCs w:val="24"/>
        </w:rPr>
        <w:t>v</w:t>
      </w:r>
      <w:r w:rsidR="00080C8A" w:rsidRPr="00B24EFE">
        <w:rPr>
          <w:rFonts w:ascii="Times New Roman" w:eastAsia="Calibri" w:hAnsi="Times New Roman" w:cs="Times New Roman"/>
          <w:bCs/>
          <w:iCs/>
          <w:color w:val="000000"/>
          <w:sz w:val="24"/>
          <w:szCs w:val="24"/>
        </w:rPr>
        <w:t xml:space="preserve"> počte 344 589 subjektov. Ide o celkový počet zapísaných </w:t>
      </w:r>
      <w:r w:rsidR="00E370CF">
        <w:rPr>
          <w:rFonts w:ascii="Times New Roman" w:eastAsia="Calibri" w:hAnsi="Times New Roman" w:cs="Times New Roman"/>
          <w:bCs/>
          <w:iCs/>
          <w:color w:val="000000"/>
          <w:sz w:val="24"/>
          <w:szCs w:val="24"/>
        </w:rPr>
        <w:t xml:space="preserve">osôb </w:t>
      </w:r>
      <w:r w:rsidR="00080C8A" w:rsidRPr="00B24EFE">
        <w:rPr>
          <w:rFonts w:ascii="Times New Roman" w:eastAsia="Calibri" w:hAnsi="Times New Roman" w:cs="Times New Roman"/>
          <w:bCs/>
          <w:iCs/>
          <w:color w:val="000000"/>
          <w:sz w:val="24"/>
          <w:szCs w:val="24"/>
        </w:rPr>
        <w:t>v obchodnom registri k 31.12.2023. Tento počet bol zvolený preto, že povinnosť sa týka všetkých podnikateľských subjektov</w:t>
      </w:r>
      <w:r w:rsidR="009A053B" w:rsidRPr="00B24EFE">
        <w:rPr>
          <w:rFonts w:ascii="Times New Roman" w:eastAsia="Calibri" w:hAnsi="Times New Roman" w:cs="Times New Roman"/>
          <w:bCs/>
          <w:iCs/>
          <w:color w:val="000000"/>
          <w:sz w:val="24"/>
          <w:szCs w:val="24"/>
        </w:rPr>
        <w:t xml:space="preserve"> zapísaných v obchodnom registri. </w:t>
      </w:r>
    </w:p>
    <w:p w14:paraId="6951EBF7" w14:textId="65D3B658" w:rsidR="00E92DDD" w:rsidRPr="00E92DDD" w:rsidRDefault="00492E66" w:rsidP="00531913">
      <w:pPr>
        <w:jc w:val="both"/>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t>2</w:t>
      </w:r>
      <w:r w:rsidR="00E92DDD" w:rsidRPr="00E92DDD">
        <w:rPr>
          <w:rFonts w:ascii="Times New Roman" w:eastAsia="Calibri" w:hAnsi="Times New Roman" w:cs="Times New Roman"/>
          <w:b/>
          <w:bCs/>
          <w:iCs/>
          <w:color w:val="000000"/>
          <w:sz w:val="24"/>
          <w:szCs w:val="24"/>
        </w:rPr>
        <w:t xml:space="preserve">. </w:t>
      </w:r>
      <w:r w:rsidR="00E92DDD" w:rsidRPr="00E92DDD">
        <w:rPr>
          <w:rFonts w:ascii="Times New Roman" w:hAnsi="Times New Roman" w:cs="Times New Roman"/>
          <w:b/>
          <w:color w:val="000000"/>
          <w:sz w:val="24"/>
          <w:szCs w:val="24"/>
        </w:rPr>
        <w:t>Podanie návrhu na prvý zápis bez potreby predošlého získania živnostenského oprávnenia</w:t>
      </w:r>
    </w:p>
    <w:p w14:paraId="4F2C8D9F" w14:textId="48D063C1" w:rsidR="00B23654" w:rsidRDefault="00B23654" w:rsidP="004A1DE0">
      <w:pPr>
        <w:spacing w:after="0" w:line="254" w:lineRule="auto"/>
        <w:jc w:val="both"/>
        <w:rPr>
          <w:rFonts w:ascii="Times New Roman" w:eastAsia="Calibri" w:hAnsi="Times New Roman" w:cs="Times New Roman"/>
          <w:sz w:val="24"/>
          <w:szCs w:val="24"/>
        </w:rPr>
      </w:pPr>
      <w:r w:rsidRPr="00B23654">
        <w:rPr>
          <w:rFonts w:ascii="Times New Roman" w:eastAsia="Calibri" w:hAnsi="Times New Roman" w:cs="Times New Roman"/>
          <w:sz w:val="24"/>
          <w:szCs w:val="24"/>
        </w:rPr>
        <w:t>Zápis podnikateľského oprávnenia bez živnostenského listu pri všetkých typoch spoločností</w:t>
      </w:r>
      <w:r w:rsidR="00310767">
        <w:rPr>
          <w:rFonts w:ascii="Times New Roman" w:eastAsia="Calibri" w:hAnsi="Times New Roman" w:cs="Times New Roman"/>
          <w:sz w:val="24"/>
          <w:szCs w:val="24"/>
        </w:rPr>
        <w:t xml:space="preserve"> </w:t>
      </w:r>
      <w:r>
        <w:rPr>
          <w:rFonts w:ascii="Times New Roman" w:eastAsia="Calibri" w:hAnsi="Times New Roman" w:cs="Times New Roman"/>
          <w:sz w:val="24"/>
          <w:szCs w:val="24"/>
        </w:rPr>
        <w:t>je nová regulácia, ktorá znižuje administratívne náklady. V súčasnosti je takýto zápis umožnený len pre zápis spoločnosti s ručením obmedzenej založenej zjednodušeným spôsobom a organizačnú zložku založenú zjednodušeným spôsobom.</w:t>
      </w:r>
    </w:p>
    <w:p w14:paraId="7B41DAAF" w14:textId="77777777" w:rsidR="00B23654" w:rsidRDefault="00B23654" w:rsidP="004A1DE0">
      <w:pPr>
        <w:spacing w:after="0" w:line="254" w:lineRule="auto"/>
        <w:jc w:val="both"/>
        <w:rPr>
          <w:rFonts w:ascii="Times New Roman" w:eastAsia="Calibri" w:hAnsi="Times New Roman" w:cs="Times New Roman"/>
          <w:sz w:val="24"/>
          <w:szCs w:val="24"/>
        </w:rPr>
      </w:pPr>
    </w:p>
    <w:p w14:paraId="286F682F" w14:textId="77777777" w:rsidR="00B23654" w:rsidRDefault="00B23654" w:rsidP="004A1DE0">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Takáto možnosť sa navrhuje rozšíriť na všetky typy spoločností, ktoré si navrhujú zapísať ako predmet činnosti živnosti, ktoré sú uvedené v Prílohe č. 4a k zákonu č. 455/1991 Zb. </w:t>
      </w:r>
      <w:r w:rsidRPr="00377568">
        <w:rPr>
          <w:rFonts w:ascii="Times New Roman" w:eastAsia="Calibri" w:hAnsi="Times New Roman" w:cs="Times New Roman"/>
          <w:sz w:val="24"/>
          <w:szCs w:val="24"/>
        </w:rPr>
        <w:t>o živnostenskom podnikaní (živnostenský zákon)</w:t>
      </w:r>
      <w:r>
        <w:rPr>
          <w:rFonts w:ascii="Times New Roman" w:eastAsia="Calibri" w:hAnsi="Times New Roman" w:cs="Times New Roman"/>
          <w:sz w:val="24"/>
          <w:szCs w:val="24"/>
        </w:rPr>
        <w:t xml:space="preserve"> (ďalej len „Príloha č. 4a“).</w:t>
      </w:r>
    </w:p>
    <w:p w14:paraId="54FC893F" w14:textId="77777777" w:rsidR="00B23654" w:rsidRDefault="00B23654" w:rsidP="004A1DE0">
      <w:pPr>
        <w:spacing w:after="0" w:line="254" w:lineRule="auto"/>
        <w:jc w:val="both"/>
        <w:rPr>
          <w:rFonts w:ascii="Times New Roman" w:eastAsia="Calibri" w:hAnsi="Times New Roman" w:cs="Times New Roman"/>
          <w:sz w:val="24"/>
          <w:szCs w:val="24"/>
        </w:rPr>
      </w:pPr>
    </w:p>
    <w:p w14:paraId="772A1C3C" w14:textId="16D9E073" w:rsidR="00B23654" w:rsidRDefault="00B23654" w:rsidP="004A1DE0">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takomto prípade, ak má spoločnosť v zakladateľskom dokumente uvedené výhradne predmety podnikania podľa Prílohy č. 4a, môže podať priamo návrh na registráciu (registrátorovi, alebo počas prechodného obdobia na registrový súd), kde sa predmety podnikania zapíšu bez </w:t>
      </w:r>
      <w:r w:rsidR="00E370CF">
        <w:rPr>
          <w:rFonts w:ascii="Times New Roman" w:eastAsia="Calibri" w:hAnsi="Times New Roman" w:cs="Times New Roman"/>
          <w:sz w:val="24"/>
          <w:szCs w:val="24"/>
        </w:rPr>
        <w:t>preukazovania</w:t>
      </w:r>
      <w:r>
        <w:rPr>
          <w:rFonts w:ascii="Times New Roman" w:eastAsia="Calibri" w:hAnsi="Times New Roman" w:cs="Times New Roman"/>
          <w:sz w:val="24"/>
          <w:szCs w:val="24"/>
        </w:rPr>
        <w:t xml:space="preserve"> živnostenského oprávnenia. Obchodný register následne </w:t>
      </w:r>
      <w:r>
        <w:rPr>
          <w:rFonts w:ascii="Times New Roman" w:eastAsia="Calibri" w:hAnsi="Times New Roman" w:cs="Times New Roman"/>
          <w:sz w:val="24"/>
          <w:szCs w:val="24"/>
        </w:rPr>
        <w:lastRenderedPageBreak/>
        <w:t xml:space="preserve">informuje živnostenský register o tom, že tieto predmety boli zapísané, čo má účinky ohlásenia živnosti. </w:t>
      </w:r>
    </w:p>
    <w:p w14:paraId="258A2EA6" w14:textId="77777777" w:rsidR="00B23654" w:rsidRDefault="00B23654" w:rsidP="004A1DE0">
      <w:pPr>
        <w:spacing w:after="0" w:line="254" w:lineRule="auto"/>
        <w:jc w:val="both"/>
        <w:rPr>
          <w:rFonts w:ascii="Times New Roman" w:eastAsia="Calibri" w:hAnsi="Times New Roman" w:cs="Times New Roman"/>
          <w:sz w:val="24"/>
          <w:szCs w:val="24"/>
        </w:rPr>
      </w:pPr>
    </w:p>
    <w:p w14:paraId="412C4BBB" w14:textId="28F6BBAC" w:rsidR="00B23654" w:rsidRDefault="00B23654" w:rsidP="004A1DE0">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Bol zvolený typ povinnosti </w:t>
      </w:r>
      <w:r w:rsidR="004A1DE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4A1DE0">
        <w:rPr>
          <w:rFonts w:ascii="Times New Roman" w:eastAsia="Calibri" w:hAnsi="Times New Roman" w:cs="Times New Roman"/>
          <w:sz w:val="24"/>
          <w:szCs w:val="24"/>
        </w:rPr>
        <w:t xml:space="preserve">zápis alebo aktualizácia údajov v obchodnom registri/evidencii. Pričom sa ako základ pre výpočet uvádza expertný odhad – 11 000 spoločností. Vychádza sa z počtu všetkých spoločností, ktoré boli do obchodného registra zapísané v roku 2023 (22 033), pričom predkladateľ odhaduje, že vzhľadom na zjednodušenie zápisu spoločnosti bude takáto možnosť atraktívna a využije ju 50% zapisovaných osôb. Číslo 11 016,50 spoločností bolo následne pre uľahčenie výpočtu korigované na 11 000. Predkladateľ predpokladá, že takýmto spôsobom podnikateľ ušetrí najmenej 60 minút času, ktorý by inak strávil vybavovaním živnostenského oprávnenia na príslušnom odbore živnostenského podnikania. </w:t>
      </w:r>
    </w:p>
    <w:p w14:paraId="1C8A6D3C" w14:textId="37312733" w:rsidR="004A1DE0" w:rsidRDefault="004A1DE0" w:rsidP="004A1DE0">
      <w:pPr>
        <w:spacing w:after="0" w:line="254" w:lineRule="auto"/>
        <w:jc w:val="both"/>
        <w:rPr>
          <w:rFonts w:ascii="Times New Roman" w:eastAsia="Calibri" w:hAnsi="Times New Roman" w:cs="Times New Roman"/>
          <w:sz w:val="24"/>
          <w:szCs w:val="24"/>
        </w:rPr>
      </w:pPr>
    </w:p>
    <w:p w14:paraId="73B998BB" w14:textId="4FED50C4" w:rsidR="004A1DE0" w:rsidRDefault="004A1DE0" w:rsidP="004A1DE0">
      <w:pPr>
        <w:spacing w:after="0"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Frekvencia bola určená jednorazovo – nakoľko sa takáto možnosť týka len prvozápisu spoločnosti, a ten je možné vykonať len raz za život spoločnosti. </w:t>
      </w:r>
    </w:p>
    <w:p w14:paraId="5B620BF7" w14:textId="77777777" w:rsidR="00B23654" w:rsidRPr="00377568" w:rsidRDefault="00B23654" w:rsidP="00B23654">
      <w:pPr>
        <w:spacing w:after="0" w:line="254" w:lineRule="auto"/>
        <w:jc w:val="both"/>
        <w:rPr>
          <w:rFonts w:ascii="Times New Roman" w:eastAsia="Calibri" w:hAnsi="Times New Roman" w:cs="Times New Roman"/>
          <w:b/>
          <w:sz w:val="24"/>
          <w:szCs w:val="24"/>
        </w:rPr>
      </w:pPr>
    </w:p>
    <w:p w14:paraId="7A99E757" w14:textId="748A95C6" w:rsidR="009F24B1" w:rsidRDefault="00492E66" w:rsidP="0053191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3</w:t>
      </w:r>
      <w:r w:rsidR="00E92DDD">
        <w:rPr>
          <w:rFonts w:ascii="Times New Roman" w:hAnsi="Times New Roman" w:cs="Times New Roman"/>
          <w:b/>
          <w:color w:val="000000"/>
          <w:sz w:val="24"/>
          <w:szCs w:val="24"/>
        </w:rPr>
        <w:t xml:space="preserve">. </w:t>
      </w:r>
      <w:r w:rsidR="009F24B1" w:rsidRPr="00B24EFE">
        <w:rPr>
          <w:rFonts w:ascii="Times New Roman" w:hAnsi="Times New Roman" w:cs="Times New Roman"/>
          <w:b/>
          <w:color w:val="000000"/>
          <w:sz w:val="24"/>
          <w:szCs w:val="24"/>
        </w:rPr>
        <w:t xml:space="preserve">Podanie kvalifikovanej námietky </w:t>
      </w:r>
      <w:r w:rsidR="00E92DDD">
        <w:rPr>
          <w:rFonts w:ascii="Times New Roman" w:hAnsi="Times New Roman" w:cs="Times New Roman"/>
          <w:b/>
          <w:color w:val="000000"/>
          <w:sz w:val="24"/>
          <w:szCs w:val="24"/>
        </w:rPr>
        <w:t>– povinné zastúpenie advokátom</w:t>
      </w:r>
    </w:p>
    <w:p w14:paraId="03A0CAAA" w14:textId="0D3CB5EC" w:rsidR="0016765A" w:rsidRPr="00B24EFE" w:rsidRDefault="0016765A" w:rsidP="00531913">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 </w:t>
      </w:r>
      <w:r w:rsidRPr="0016765A">
        <w:rPr>
          <w:rFonts w:ascii="Times New Roman" w:hAnsi="Times New Roman" w:cs="Times New Roman"/>
          <w:b/>
          <w:color w:val="000000"/>
          <w:sz w:val="24"/>
          <w:szCs w:val="24"/>
        </w:rPr>
        <w:t>Poplatok za podanie kvalifikovaných námietok</w:t>
      </w:r>
    </w:p>
    <w:p w14:paraId="62EC7D9B" w14:textId="001B28CA" w:rsidR="009F0C22" w:rsidRPr="00B24EFE" w:rsidRDefault="00EE0586" w:rsidP="00531913">
      <w:pPr>
        <w:jc w:val="both"/>
        <w:rPr>
          <w:rFonts w:ascii="Times New Roman" w:hAnsi="Times New Roman" w:cs="Times New Roman"/>
          <w:color w:val="000000"/>
          <w:sz w:val="24"/>
          <w:szCs w:val="24"/>
        </w:rPr>
      </w:pPr>
      <w:r w:rsidRPr="00B24EFE">
        <w:rPr>
          <w:rFonts w:ascii="Times New Roman" w:hAnsi="Times New Roman" w:cs="Times New Roman"/>
          <w:color w:val="000000"/>
          <w:sz w:val="24"/>
          <w:szCs w:val="24"/>
        </w:rPr>
        <w:t xml:space="preserve">Podanie kvalifikovanej námietky </w:t>
      </w:r>
      <w:r w:rsidR="00A63309" w:rsidRPr="00B24EFE">
        <w:rPr>
          <w:rFonts w:ascii="Times New Roman" w:hAnsi="Times New Roman" w:cs="Times New Roman"/>
          <w:color w:val="000000"/>
          <w:sz w:val="24"/>
          <w:szCs w:val="24"/>
        </w:rPr>
        <w:t xml:space="preserve">prostredníctvom advokáta je </w:t>
      </w:r>
      <w:r w:rsidR="00310767">
        <w:rPr>
          <w:rFonts w:ascii="Times New Roman" w:hAnsi="Times New Roman" w:cs="Times New Roman"/>
          <w:color w:val="000000"/>
          <w:sz w:val="24"/>
          <w:szCs w:val="24"/>
        </w:rPr>
        <w:t xml:space="preserve">nový </w:t>
      </w:r>
      <w:r w:rsidR="00A63309" w:rsidRPr="00B24EFE">
        <w:rPr>
          <w:rFonts w:ascii="Times New Roman" w:hAnsi="Times New Roman" w:cs="Times New Roman"/>
          <w:color w:val="000000"/>
          <w:sz w:val="24"/>
          <w:szCs w:val="24"/>
        </w:rPr>
        <w:t>typ regulácie, ktor</w:t>
      </w:r>
      <w:r w:rsidR="009A0426" w:rsidRPr="00B24EFE">
        <w:rPr>
          <w:rFonts w:ascii="Times New Roman" w:hAnsi="Times New Roman" w:cs="Times New Roman"/>
          <w:color w:val="000000"/>
          <w:sz w:val="24"/>
          <w:szCs w:val="24"/>
        </w:rPr>
        <w:t>ý</w:t>
      </w:r>
      <w:r w:rsidR="00A63309" w:rsidRPr="00B24EFE">
        <w:rPr>
          <w:rFonts w:ascii="Times New Roman" w:hAnsi="Times New Roman" w:cs="Times New Roman"/>
          <w:color w:val="000000"/>
          <w:sz w:val="24"/>
          <w:szCs w:val="24"/>
        </w:rPr>
        <w:t xml:space="preserve"> zvyšuje podnikateľským subjektom administratívne náklady. Boli zvolené všetky </w:t>
      </w:r>
      <w:r w:rsidR="00E370CF">
        <w:rPr>
          <w:rFonts w:ascii="Times New Roman" w:hAnsi="Times New Roman" w:cs="Times New Roman"/>
          <w:color w:val="000000"/>
          <w:sz w:val="24"/>
          <w:szCs w:val="24"/>
        </w:rPr>
        <w:t>spoločnosti</w:t>
      </w:r>
      <w:r w:rsidR="00A63309" w:rsidRPr="00B24EFE">
        <w:rPr>
          <w:rFonts w:ascii="Times New Roman" w:hAnsi="Times New Roman" w:cs="Times New Roman"/>
          <w:color w:val="000000"/>
          <w:sz w:val="24"/>
          <w:szCs w:val="24"/>
        </w:rPr>
        <w:t xml:space="preserve"> zapísané v obchodnom registri pri počte 1312</w:t>
      </w:r>
      <w:r w:rsidR="009F0C22" w:rsidRPr="00B24EFE">
        <w:rPr>
          <w:rFonts w:ascii="Times New Roman" w:hAnsi="Times New Roman" w:cs="Times New Roman"/>
          <w:color w:val="000000"/>
          <w:sz w:val="24"/>
          <w:szCs w:val="24"/>
        </w:rPr>
        <w:t xml:space="preserve"> pri frekvencii 1 x ročne. </w:t>
      </w:r>
    </w:p>
    <w:p w14:paraId="398C62CE" w14:textId="78C3652C" w:rsidR="00EE0586" w:rsidRPr="00B24EFE" w:rsidRDefault="009F0C22" w:rsidP="00531913">
      <w:pPr>
        <w:jc w:val="both"/>
        <w:rPr>
          <w:rFonts w:ascii="Times New Roman" w:hAnsi="Times New Roman" w:cs="Times New Roman"/>
          <w:color w:val="000000"/>
          <w:sz w:val="24"/>
          <w:szCs w:val="24"/>
        </w:rPr>
      </w:pPr>
      <w:r w:rsidRPr="00B24EFE">
        <w:rPr>
          <w:rFonts w:ascii="Times New Roman" w:hAnsi="Times New Roman" w:cs="Times New Roman"/>
          <w:color w:val="000000"/>
          <w:sz w:val="24"/>
          <w:szCs w:val="24"/>
        </w:rPr>
        <w:t xml:space="preserve">Tento počet bol vyrátaný ako priemerný ročný počet námietok v súdnom registri </w:t>
      </w:r>
      <w:proofErr w:type="spellStart"/>
      <w:r w:rsidRPr="00B24EFE">
        <w:rPr>
          <w:rFonts w:ascii="Times New Roman" w:hAnsi="Times New Roman" w:cs="Times New Roman"/>
          <w:color w:val="000000"/>
          <w:sz w:val="24"/>
          <w:szCs w:val="24"/>
        </w:rPr>
        <w:t>Nsre</w:t>
      </w:r>
      <w:proofErr w:type="spellEnd"/>
      <w:r w:rsidR="00766EF4" w:rsidRPr="00B24EFE">
        <w:rPr>
          <w:rFonts w:ascii="Times New Roman" w:hAnsi="Times New Roman" w:cs="Times New Roman"/>
          <w:color w:val="000000"/>
          <w:sz w:val="24"/>
          <w:szCs w:val="24"/>
        </w:rPr>
        <w:t xml:space="preserve"> za obdobie rokov 2018 – 2023. Do súdneho registra </w:t>
      </w:r>
      <w:proofErr w:type="spellStart"/>
      <w:r w:rsidR="00766EF4" w:rsidRPr="00B24EFE">
        <w:rPr>
          <w:rFonts w:ascii="Times New Roman" w:hAnsi="Times New Roman" w:cs="Times New Roman"/>
          <w:color w:val="000000"/>
          <w:sz w:val="24"/>
          <w:szCs w:val="24"/>
        </w:rPr>
        <w:t>Nsre</w:t>
      </w:r>
      <w:proofErr w:type="spellEnd"/>
      <w:r w:rsidR="00766EF4" w:rsidRPr="00B24EFE">
        <w:rPr>
          <w:rFonts w:ascii="Times New Roman" w:hAnsi="Times New Roman" w:cs="Times New Roman"/>
          <w:color w:val="000000"/>
          <w:sz w:val="24"/>
          <w:szCs w:val="24"/>
        </w:rPr>
        <w:t xml:space="preserve"> sa zapisujú </w:t>
      </w:r>
      <w:r w:rsidR="00393BA0" w:rsidRPr="00B24EFE">
        <w:rPr>
          <w:rFonts w:ascii="Times New Roman" w:hAnsi="Times New Roman" w:cs="Times New Roman"/>
          <w:color w:val="000000"/>
          <w:sz w:val="24"/>
          <w:szCs w:val="24"/>
        </w:rPr>
        <w:t xml:space="preserve">tie námietky proti odmietnutiu vykonania </w:t>
      </w:r>
      <w:r w:rsidR="00B6686C" w:rsidRPr="00B6686C">
        <w:rPr>
          <w:rFonts w:ascii="Times New Roman" w:hAnsi="Times New Roman" w:cs="Times New Roman"/>
          <w:sz w:val="24"/>
          <w:szCs w:val="24"/>
        </w:rPr>
        <w:t xml:space="preserve">zápisu do registra </w:t>
      </w:r>
      <w:proofErr w:type="spellStart"/>
      <w:r w:rsidR="00B6686C" w:rsidRPr="00B6686C">
        <w:rPr>
          <w:rFonts w:ascii="Times New Roman" w:hAnsi="Times New Roman" w:cs="Times New Roman"/>
          <w:sz w:val="24"/>
          <w:szCs w:val="24"/>
        </w:rPr>
        <w:t>Nre</w:t>
      </w:r>
      <w:proofErr w:type="spellEnd"/>
      <w:r w:rsidR="00393BA0" w:rsidRPr="00B24EFE">
        <w:rPr>
          <w:rFonts w:ascii="Times New Roman" w:hAnsi="Times New Roman" w:cs="Times New Roman"/>
          <w:color w:val="000000"/>
          <w:sz w:val="24"/>
          <w:szCs w:val="24"/>
        </w:rPr>
        <w:t xml:space="preserve">, ktorým súdny úradník v rámci postupu podľa </w:t>
      </w:r>
      <w:r w:rsidR="00393BA0" w:rsidRPr="00B24EFE">
        <w:rPr>
          <w:rFonts w:ascii="Times New Roman" w:hAnsi="Times New Roman" w:cs="Times New Roman"/>
          <w:color w:val="000000"/>
          <w:sz w:val="24"/>
          <w:szCs w:val="24"/>
        </w:rPr>
        <w:br/>
        <w:t>§ 28</w:t>
      </w:r>
      <w:r w:rsidR="0028092E">
        <w:rPr>
          <w:rFonts w:ascii="Times New Roman" w:hAnsi="Times New Roman" w:cs="Times New Roman"/>
          <w:color w:val="000000"/>
          <w:sz w:val="24"/>
          <w:szCs w:val="24"/>
        </w:rPr>
        <w:t>7</w:t>
      </w:r>
      <w:r w:rsidR="00393BA0" w:rsidRPr="00B24EFE">
        <w:rPr>
          <w:rFonts w:ascii="Times New Roman" w:hAnsi="Times New Roman" w:cs="Times New Roman"/>
          <w:color w:val="000000"/>
          <w:sz w:val="24"/>
          <w:szCs w:val="24"/>
        </w:rPr>
        <w:t xml:space="preserve"> ods. 2 Civilného </w:t>
      </w:r>
      <w:proofErr w:type="spellStart"/>
      <w:r w:rsidR="00393BA0" w:rsidRPr="00B24EFE">
        <w:rPr>
          <w:rFonts w:ascii="Times New Roman" w:hAnsi="Times New Roman" w:cs="Times New Roman"/>
          <w:color w:val="000000"/>
          <w:sz w:val="24"/>
          <w:szCs w:val="24"/>
        </w:rPr>
        <w:t>mimosporového</w:t>
      </w:r>
      <w:proofErr w:type="spellEnd"/>
      <w:r w:rsidR="00393BA0" w:rsidRPr="00B24EFE">
        <w:rPr>
          <w:rFonts w:ascii="Times New Roman" w:hAnsi="Times New Roman" w:cs="Times New Roman"/>
          <w:color w:val="000000"/>
          <w:sz w:val="24"/>
          <w:szCs w:val="24"/>
        </w:rPr>
        <w:t xml:space="preserve"> poriadku nevyhovel. </w:t>
      </w:r>
    </w:p>
    <w:p w14:paraId="3BA65820" w14:textId="3569B8A7" w:rsidR="009F24B1" w:rsidRDefault="00EE0D58" w:rsidP="00531913">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 xml:space="preserve">Ako typ regulácie </w:t>
      </w:r>
      <w:r w:rsidR="00DB60C0" w:rsidRPr="00B24EFE">
        <w:rPr>
          <w:rFonts w:ascii="Times New Roman" w:eastAsia="Calibri" w:hAnsi="Times New Roman" w:cs="Times New Roman"/>
          <w:bCs/>
          <w:iCs/>
          <w:color w:val="000000"/>
          <w:sz w:val="24"/>
          <w:szCs w:val="24"/>
        </w:rPr>
        <w:t xml:space="preserve">boli zvolené administratívne náklady – </w:t>
      </w:r>
      <w:r w:rsidR="00F43564" w:rsidRPr="00B24EFE">
        <w:rPr>
          <w:rFonts w:ascii="Times New Roman" w:eastAsia="Calibri" w:hAnsi="Times New Roman" w:cs="Times New Roman"/>
          <w:bCs/>
          <w:iCs/>
          <w:color w:val="000000"/>
          <w:sz w:val="24"/>
          <w:szCs w:val="24"/>
        </w:rPr>
        <w:t xml:space="preserve">alternatíva </w:t>
      </w:r>
      <w:r w:rsidR="00DB60C0" w:rsidRPr="00B24EFE">
        <w:rPr>
          <w:rFonts w:ascii="Times New Roman" w:eastAsia="Calibri" w:hAnsi="Times New Roman" w:cs="Times New Roman"/>
          <w:bCs/>
          <w:iCs/>
          <w:color w:val="000000"/>
          <w:sz w:val="24"/>
          <w:szCs w:val="24"/>
        </w:rPr>
        <w:t>2</w:t>
      </w:r>
      <w:r w:rsidR="00F43564" w:rsidRPr="00B24EFE">
        <w:rPr>
          <w:rFonts w:ascii="Times New Roman" w:eastAsia="Calibri" w:hAnsi="Times New Roman" w:cs="Times New Roman"/>
          <w:bCs/>
          <w:iCs/>
          <w:color w:val="000000"/>
          <w:sz w:val="24"/>
          <w:szCs w:val="24"/>
        </w:rPr>
        <w:t xml:space="preserve"> – ako časový náklad externej služby. </w:t>
      </w:r>
    </w:p>
    <w:p w14:paraId="33DDBA9B" w14:textId="62272286" w:rsidR="0016765A" w:rsidRPr="00B24EFE" w:rsidRDefault="0016765A" w:rsidP="00531913">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 xml:space="preserve">Regulácia zároveň zavádza aj priame finančné náklady – súdne poplatky vo výške 50 eur na 1 podnikateľa za </w:t>
      </w:r>
      <w:r>
        <w:rPr>
          <w:rFonts w:ascii="Times New Roman" w:eastAsia="Calibri" w:hAnsi="Times New Roman" w:cs="Times New Roman"/>
          <w:bCs/>
          <w:iCs/>
          <w:color w:val="000000"/>
          <w:sz w:val="24"/>
          <w:szCs w:val="24"/>
        </w:rPr>
        <w:t xml:space="preserve">podanie kvalifikovanej námietky. </w:t>
      </w:r>
    </w:p>
    <w:p w14:paraId="0FAA6862" w14:textId="77777777" w:rsidR="0016765A" w:rsidRDefault="00492E66" w:rsidP="00531913">
      <w:pPr>
        <w:jc w:val="both"/>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t>4</w:t>
      </w:r>
      <w:r w:rsidR="00E92DDD">
        <w:rPr>
          <w:rFonts w:ascii="Times New Roman" w:eastAsia="Calibri" w:hAnsi="Times New Roman" w:cs="Times New Roman"/>
          <w:b/>
          <w:bCs/>
          <w:iCs/>
          <w:color w:val="000000"/>
          <w:sz w:val="24"/>
          <w:szCs w:val="24"/>
        </w:rPr>
        <w:t xml:space="preserve">. </w:t>
      </w:r>
      <w:r w:rsidR="00F43564" w:rsidRPr="00B24EFE">
        <w:rPr>
          <w:rFonts w:ascii="Times New Roman" w:eastAsia="Calibri" w:hAnsi="Times New Roman" w:cs="Times New Roman"/>
          <w:b/>
          <w:bCs/>
          <w:iCs/>
          <w:color w:val="000000"/>
          <w:sz w:val="24"/>
          <w:szCs w:val="24"/>
        </w:rPr>
        <w:t>Podanie kvalifikovaného podnetu</w:t>
      </w:r>
    </w:p>
    <w:p w14:paraId="625F2AA3" w14:textId="1CCD6BB9" w:rsidR="00E92DDD" w:rsidRDefault="00492E66" w:rsidP="00531913">
      <w:pPr>
        <w:jc w:val="both"/>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t>5</w:t>
      </w:r>
      <w:r w:rsidR="00E92DDD">
        <w:rPr>
          <w:rFonts w:ascii="Times New Roman" w:eastAsia="Calibri" w:hAnsi="Times New Roman" w:cs="Times New Roman"/>
          <w:b/>
          <w:bCs/>
          <w:iCs/>
          <w:color w:val="000000"/>
          <w:sz w:val="24"/>
          <w:szCs w:val="24"/>
        </w:rPr>
        <w:t xml:space="preserve">. </w:t>
      </w:r>
      <w:r w:rsidR="00E92DDD" w:rsidRPr="00E92DDD">
        <w:rPr>
          <w:rFonts w:ascii="Times New Roman" w:eastAsia="Calibri" w:hAnsi="Times New Roman" w:cs="Times New Roman"/>
          <w:b/>
          <w:bCs/>
          <w:iCs/>
          <w:color w:val="000000"/>
          <w:sz w:val="24"/>
          <w:szCs w:val="24"/>
        </w:rPr>
        <w:t>Poplatok za podanie kvalifikovaného podnetu</w:t>
      </w:r>
    </w:p>
    <w:p w14:paraId="234732A2" w14:textId="584AF887" w:rsidR="00A07732" w:rsidRPr="00B24EFE" w:rsidRDefault="00F43564" w:rsidP="00531913">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Podanie kvalifikovaného podnetu je nový typ regulácie, ktor</w:t>
      </w:r>
      <w:r w:rsidR="00773D77" w:rsidRPr="00B24EFE">
        <w:rPr>
          <w:rFonts w:ascii="Times New Roman" w:eastAsia="Calibri" w:hAnsi="Times New Roman" w:cs="Times New Roman"/>
          <w:bCs/>
          <w:iCs/>
          <w:color w:val="000000"/>
          <w:sz w:val="24"/>
          <w:szCs w:val="24"/>
        </w:rPr>
        <w:t>ý</w:t>
      </w:r>
      <w:r w:rsidR="00A07732" w:rsidRPr="00B24EFE">
        <w:rPr>
          <w:rFonts w:ascii="Times New Roman" w:eastAsia="Calibri" w:hAnsi="Times New Roman" w:cs="Times New Roman"/>
          <w:bCs/>
          <w:iCs/>
          <w:color w:val="000000"/>
          <w:sz w:val="24"/>
          <w:szCs w:val="24"/>
        </w:rPr>
        <w:t xml:space="preserve">: </w:t>
      </w:r>
    </w:p>
    <w:p w14:paraId="687DCA66" w14:textId="48770C18" w:rsidR="00DE33E1" w:rsidRPr="00B24EFE" w:rsidRDefault="00A07732" w:rsidP="00531913">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 xml:space="preserve">a) </w:t>
      </w:r>
      <w:r w:rsidR="00F43564" w:rsidRPr="00B24EFE">
        <w:rPr>
          <w:rFonts w:ascii="Times New Roman" w:eastAsia="Calibri" w:hAnsi="Times New Roman" w:cs="Times New Roman"/>
          <w:bCs/>
          <w:iCs/>
          <w:color w:val="000000"/>
          <w:sz w:val="24"/>
          <w:szCs w:val="24"/>
        </w:rPr>
        <w:t xml:space="preserve">podnikateľským subjektom </w:t>
      </w:r>
      <w:r w:rsidR="00287EE6" w:rsidRPr="00B24EFE">
        <w:rPr>
          <w:rFonts w:ascii="Times New Roman" w:eastAsia="Calibri" w:hAnsi="Times New Roman" w:cs="Times New Roman"/>
          <w:bCs/>
          <w:iCs/>
          <w:color w:val="000000"/>
          <w:sz w:val="24"/>
          <w:szCs w:val="24"/>
        </w:rPr>
        <w:t>zvyšuje administratívne náklady</w:t>
      </w:r>
      <w:r w:rsidR="00FC5706" w:rsidRPr="00B24EFE">
        <w:rPr>
          <w:rFonts w:ascii="Times New Roman" w:eastAsia="Calibri" w:hAnsi="Times New Roman" w:cs="Times New Roman"/>
          <w:bCs/>
          <w:iCs/>
          <w:color w:val="000000"/>
          <w:sz w:val="24"/>
          <w:szCs w:val="24"/>
        </w:rPr>
        <w:t>; b</w:t>
      </w:r>
      <w:r w:rsidR="00287EE6" w:rsidRPr="00B24EFE">
        <w:rPr>
          <w:rFonts w:ascii="Times New Roman" w:eastAsia="Calibri" w:hAnsi="Times New Roman" w:cs="Times New Roman"/>
          <w:bCs/>
          <w:iCs/>
          <w:color w:val="000000"/>
          <w:sz w:val="24"/>
          <w:szCs w:val="24"/>
        </w:rPr>
        <w:t xml:space="preserve">oli zvolené všetky podnikateľské subjekty zapísané v obchodnom </w:t>
      </w:r>
      <w:r w:rsidR="008956D5" w:rsidRPr="00B24EFE">
        <w:rPr>
          <w:rFonts w:ascii="Times New Roman" w:eastAsia="Calibri" w:hAnsi="Times New Roman" w:cs="Times New Roman"/>
          <w:bCs/>
          <w:iCs/>
          <w:color w:val="000000"/>
          <w:sz w:val="24"/>
          <w:szCs w:val="24"/>
        </w:rPr>
        <w:t>registri pri počte 1500. Ide o kvalifikovaný odhad počtu subjektov, ktorý však vychádza z reálnych podkladov</w:t>
      </w:r>
      <w:r w:rsidR="00DE33E1" w:rsidRPr="00B24EFE">
        <w:rPr>
          <w:rFonts w:ascii="Times New Roman" w:eastAsia="Calibri" w:hAnsi="Times New Roman" w:cs="Times New Roman"/>
          <w:bCs/>
          <w:iCs/>
          <w:color w:val="000000"/>
          <w:sz w:val="24"/>
          <w:szCs w:val="24"/>
        </w:rPr>
        <w:t>:</w:t>
      </w:r>
    </w:p>
    <w:p w14:paraId="4082F520" w14:textId="48D2BFC1" w:rsidR="00DE33E1" w:rsidRPr="00B24EFE" w:rsidRDefault="00A07732" w:rsidP="00531913">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i</w:t>
      </w:r>
      <w:r w:rsidR="00DE33E1" w:rsidRPr="00B24EFE">
        <w:rPr>
          <w:rFonts w:ascii="Times New Roman" w:eastAsia="Calibri" w:hAnsi="Times New Roman" w:cs="Times New Roman"/>
          <w:bCs/>
          <w:iCs/>
          <w:color w:val="000000"/>
          <w:sz w:val="24"/>
          <w:szCs w:val="24"/>
        </w:rPr>
        <w:t xml:space="preserve">) priemerný ročný počet podaní za obdobie rokov 2018 – 2023 do súdneho registra </w:t>
      </w:r>
      <w:proofErr w:type="spellStart"/>
      <w:r w:rsidR="00DE33E1" w:rsidRPr="00B24EFE">
        <w:rPr>
          <w:rFonts w:ascii="Times New Roman" w:eastAsia="Calibri" w:hAnsi="Times New Roman" w:cs="Times New Roman"/>
          <w:bCs/>
          <w:iCs/>
          <w:color w:val="000000"/>
          <w:sz w:val="24"/>
          <w:szCs w:val="24"/>
        </w:rPr>
        <w:t>Exre</w:t>
      </w:r>
      <w:proofErr w:type="spellEnd"/>
      <w:r w:rsidR="00DE33E1" w:rsidRPr="00B24EFE">
        <w:rPr>
          <w:rFonts w:ascii="Times New Roman" w:eastAsia="Calibri" w:hAnsi="Times New Roman" w:cs="Times New Roman"/>
          <w:bCs/>
          <w:iCs/>
          <w:color w:val="000000"/>
          <w:sz w:val="24"/>
          <w:szCs w:val="24"/>
        </w:rPr>
        <w:t xml:space="preserve"> </w:t>
      </w:r>
      <w:r w:rsidRPr="00B24EFE">
        <w:rPr>
          <w:rFonts w:ascii="Times New Roman" w:eastAsia="Calibri" w:hAnsi="Times New Roman" w:cs="Times New Roman"/>
          <w:bCs/>
          <w:iCs/>
          <w:color w:val="000000"/>
          <w:sz w:val="24"/>
          <w:szCs w:val="24"/>
        </w:rPr>
        <w:br/>
      </w:r>
      <w:r w:rsidR="00DE33E1" w:rsidRPr="00B24EFE">
        <w:rPr>
          <w:rFonts w:ascii="Times New Roman" w:eastAsia="Calibri" w:hAnsi="Times New Roman" w:cs="Times New Roman"/>
          <w:bCs/>
          <w:iCs/>
          <w:color w:val="000000"/>
          <w:sz w:val="24"/>
          <w:szCs w:val="24"/>
        </w:rPr>
        <w:t>bol 6892;</w:t>
      </w:r>
    </w:p>
    <w:p w14:paraId="2E1D136E" w14:textId="67014FE0" w:rsidR="00A07732" w:rsidRPr="00B24EFE" w:rsidRDefault="00A07732" w:rsidP="00531913">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ii</w:t>
      </w:r>
      <w:r w:rsidR="00DE33E1" w:rsidRPr="00B24EFE">
        <w:rPr>
          <w:rFonts w:ascii="Times New Roman" w:eastAsia="Calibri" w:hAnsi="Times New Roman" w:cs="Times New Roman"/>
          <w:bCs/>
          <w:iCs/>
          <w:color w:val="000000"/>
          <w:sz w:val="24"/>
          <w:szCs w:val="24"/>
        </w:rPr>
        <w:t xml:space="preserve">) do </w:t>
      </w:r>
      <w:r w:rsidR="005B654F" w:rsidRPr="00B24EFE">
        <w:rPr>
          <w:rFonts w:ascii="Times New Roman" w:eastAsia="Calibri" w:hAnsi="Times New Roman" w:cs="Times New Roman"/>
          <w:bCs/>
          <w:iCs/>
          <w:color w:val="000000"/>
          <w:sz w:val="24"/>
          <w:szCs w:val="24"/>
        </w:rPr>
        <w:t xml:space="preserve">súdneho </w:t>
      </w:r>
      <w:r w:rsidR="00DE33E1" w:rsidRPr="00B24EFE">
        <w:rPr>
          <w:rFonts w:ascii="Times New Roman" w:eastAsia="Calibri" w:hAnsi="Times New Roman" w:cs="Times New Roman"/>
          <w:bCs/>
          <w:iCs/>
          <w:color w:val="000000"/>
          <w:sz w:val="24"/>
          <w:szCs w:val="24"/>
        </w:rPr>
        <w:t>re</w:t>
      </w:r>
      <w:r w:rsidR="005B654F" w:rsidRPr="00B24EFE">
        <w:rPr>
          <w:rFonts w:ascii="Times New Roman" w:eastAsia="Calibri" w:hAnsi="Times New Roman" w:cs="Times New Roman"/>
          <w:bCs/>
          <w:iCs/>
          <w:color w:val="000000"/>
          <w:sz w:val="24"/>
          <w:szCs w:val="24"/>
        </w:rPr>
        <w:t xml:space="preserve">gistra </w:t>
      </w:r>
      <w:proofErr w:type="spellStart"/>
      <w:r w:rsidR="005B654F" w:rsidRPr="00B24EFE">
        <w:rPr>
          <w:rFonts w:ascii="Times New Roman" w:eastAsia="Calibri" w:hAnsi="Times New Roman" w:cs="Times New Roman"/>
          <w:bCs/>
          <w:iCs/>
          <w:color w:val="000000"/>
          <w:sz w:val="24"/>
          <w:szCs w:val="24"/>
        </w:rPr>
        <w:t>Exre</w:t>
      </w:r>
      <w:proofErr w:type="spellEnd"/>
      <w:r w:rsidR="005B654F" w:rsidRPr="00B24EFE">
        <w:rPr>
          <w:rFonts w:ascii="Times New Roman" w:eastAsia="Calibri" w:hAnsi="Times New Roman" w:cs="Times New Roman"/>
          <w:bCs/>
          <w:iCs/>
          <w:color w:val="000000"/>
          <w:sz w:val="24"/>
          <w:szCs w:val="24"/>
        </w:rPr>
        <w:t xml:space="preserve"> podľa Vyhlášky č. 543/2005 Z. z. o</w:t>
      </w:r>
      <w:r w:rsidR="00E82B5A" w:rsidRPr="00B24EFE">
        <w:rPr>
          <w:rFonts w:ascii="Times New Roman" w:eastAsia="Calibri" w:hAnsi="Times New Roman" w:cs="Times New Roman"/>
          <w:bCs/>
          <w:iCs/>
          <w:color w:val="000000"/>
          <w:sz w:val="24"/>
          <w:szCs w:val="24"/>
        </w:rPr>
        <w:t> </w:t>
      </w:r>
      <w:r w:rsidR="005B654F" w:rsidRPr="00B24EFE">
        <w:rPr>
          <w:rFonts w:ascii="Times New Roman" w:eastAsia="Calibri" w:hAnsi="Times New Roman" w:cs="Times New Roman"/>
          <w:bCs/>
          <w:iCs/>
          <w:color w:val="000000"/>
          <w:sz w:val="24"/>
          <w:szCs w:val="24"/>
        </w:rPr>
        <w:t>Spravovac</w:t>
      </w:r>
      <w:r w:rsidR="00E82B5A" w:rsidRPr="00B24EFE">
        <w:rPr>
          <w:rFonts w:ascii="Times New Roman" w:eastAsia="Calibri" w:hAnsi="Times New Roman" w:cs="Times New Roman"/>
          <w:bCs/>
          <w:iCs/>
          <w:color w:val="000000"/>
          <w:sz w:val="24"/>
          <w:szCs w:val="24"/>
        </w:rPr>
        <w:t>om a kancelárskom poriadku pre okresné súdy, krajské súdy, Špeciálny súd a vojenské súdy sa zapisujú veci, ktoré sú podľa vyhlášky rozdelené medzi písm. a) – e)</w:t>
      </w:r>
      <w:r w:rsidRPr="00B24EFE">
        <w:rPr>
          <w:rFonts w:ascii="Times New Roman" w:eastAsia="Calibri" w:hAnsi="Times New Roman" w:cs="Times New Roman"/>
          <w:bCs/>
          <w:iCs/>
          <w:color w:val="000000"/>
          <w:sz w:val="24"/>
          <w:szCs w:val="24"/>
        </w:rPr>
        <w:t xml:space="preserve">; </w:t>
      </w:r>
    </w:p>
    <w:p w14:paraId="0F528537" w14:textId="44DDC1EC" w:rsidR="008956D5" w:rsidRPr="00B24EFE" w:rsidRDefault="00A07732" w:rsidP="00531913">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lastRenderedPageBreak/>
        <w:t xml:space="preserve">iii) na základe </w:t>
      </w:r>
      <w:r w:rsidR="001F2E75" w:rsidRPr="00B24EFE">
        <w:rPr>
          <w:rFonts w:ascii="Times New Roman" w:eastAsia="Calibri" w:hAnsi="Times New Roman" w:cs="Times New Roman"/>
          <w:bCs/>
          <w:iCs/>
          <w:color w:val="000000"/>
          <w:sz w:val="24"/>
          <w:szCs w:val="24"/>
        </w:rPr>
        <w:t xml:space="preserve">tohto </w:t>
      </w:r>
      <w:r w:rsidRPr="00B24EFE">
        <w:rPr>
          <w:rFonts w:ascii="Times New Roman" w:eastAsia="Calibri" w:hAnsi="Times New Roman" w:cs="Times New Roman"/>
          <w:bCs/>
          <w:iCs/>
          <w:color w:val="000000"/>
          <w:sz w:val="24"/>
          <w:szCs w:val="24"/>
        </w:rPr>
        <w:t xml:space="preserve">sa počet 6892 vydelil piatimi, čím vznikol výsledok 1378; ten počet bol následne navýšený na 1500. </w:t>
      </w:r>
    </w:p>
    <w:p w14:paraId="39D23AAF" w14:textId="09DBECD1" w:rsidR="004862B9" w:rsidRPr="00B24EFE" w:rsidRDefault="004862B9" w:rsidP="00531913">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V tomto prípade bola zvolená Alternatíva 2 v Administratívnych nákladoch – typ podanie žiadosti, návrhu v možnosti elektronické splnenie povinnosti</w:t>
      </w:r>
      <w:r w:rsidR="004545B5" w:rsidRPr="00B24EFE">
        <w:rPr>
          <w:rFonts w:ascii="Times New Roman" w:eastAsia="Calibri" w:hAnsi="Times New Roman" w:cs="Times New Roman"/>
          <w:bCs/>
          <w:iCs/>
          <w:color w:val="000000"/>
          <w:sz w:val="24"/>
          <w:szCs w:val="24"/>
        </w:rPr>
        <w:t xml:space="preserve"> pri frekvencii 1x ročne.</w:t>
      </w:r>
      <w:r w:rsidRPr="00B24EFE">
        <w:rPr>
          <w:rFonts w:ascii="Times New Roman" w:eastAsia="Calibri" w:hAnsi="Times New Roman" w:cs="Times New Roman"/>
          <w:bCs/>
          <w:iCs/>
          <w:color w:val="000000"/>
          <w:sz w:val="24"/>
          <w:szCs w:val="24"/>
        </w:rPr>
        <w:t xml:space="preserve"> </w:t>
      </w:r>
    </w:p>
    <w:p w14:paraId="0D6D25E8" w14:textId="2D10E337" w:rsidR="0095754E" w:rsidRPr="00B24EFE" w:rsidRDefault="001F2E75" w:rsidP="00531913">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 xml:space="preserve">Regulácia zároveň </w:t>
      </w:r>
      <w:r w:rsidR="00A07732" w:rsidRPr="00B24EFE">
        <w:rPr>
          <w:rFonts w:ascii="Times New Roman" w:eastAsia="Calibri" w:hAnsi="Times New Roman" w:cs="Times New Roman"/>
          <w:bCs/>
          <w:iCs/>
          <w:color w:val="000000"/>
          <w:sz w:val="24"/>
          <w:szCs w:val="24"/>
        </w:rPr>
        <w:t xml:space="preserve">zavádza aj priame finančné náklady – súdne poplatky </w:t>
      </w:r>
      <w:r w:rsidR="0095754E" w:rsidRPr="00B24EFE">
        <w:rPr>
          <w:rFonts w:ascii="Times New Roman" w:eastAsia="Calibri" w:hAnsi="Times New Roman" w:cs="Times New Roman"/>
          <w:bCs/>
          <w:iCs/>
          <w:color w:val="000000"/>
          <w:sz w:val="24"/>
          <w:szCs w:val="24"/>
        </w:rPr>
        <w:t xml:space="preserve">vo výške 50 eur na 1 podnikateľa za podanie kvalifikované podnetu. </w:t>
      </w:r>
    </w:p>
    <w:p w14:paraId="301CD55B" w14:textId="76256D69" w:rsidR="00A07732" w:rsidRPr="00B24EFE" w:rsidRDefault="00492E66" w:rsidP="00531913">
      <w:pPr>
        <w:jc w:val="both"/>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t>6</w:t>
      </w:r>
      <w:r w:rsidR="00E92DDD">
        <w:rPr>
          <w:rFonts w:ascii="Times New Roman" w:eastAsia="Calibri" w:hAnsi="Times New Roman" w:cs="Times New Roman"/>
          <w:b/>
          <w:bCs/>
          <w:iCs/>
          <w:color w:val="000000"/>
          <w:sz w:val="24"/>
          <w:szCs w:val="24"/>
        </w:rPr>
        <w:t xml:space="preserve">. </w:t>
      </w:r>
      <w:r w:rsidR="0095754E" w:rsidRPr="00B24EFE">
        <w:rPr>
          <w:rFonts w:ascii="Times New Roman" w:eastAsia="Calibri" w:hAnsi="Times New Roman" w:cs="Times New Roman"/>
          <w:b/>
          <w:bCs/>
          <w:iCs/>
          <w:color w:val="000000"/>
          <w:sz w:val="24"/>
          <w:szCs w:val="24"/>
        </w:rPr>
        <w:t>Osobitné zosúladenie údajov</w:t>
      </w:r>
    </w:p>
    <w:p w14:paraId="7142D1F3" w14:textId="36411F57" w:rsidR="0079765B" w:rsidRPr="00B24EFE" w:rsidRDefault="0095754E" w:rsidP="004862B9">
      <w:pPr>
        <w:tabs>
          <w:tab w:val="left" w:pos="5812"/>
        </w:tabs>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Osobitné zosúladenie údajov je nový typ regulácie, ktor</w:t>
      </w:r>
      <w:r w:rsidR="00773D77" w:rsidRPr="00B24EFE">
        <w:rPr>
          <w:rFonts w:ascii="Times New Roman" w:eastAsia="Calibri" w:hAnsi="Times New Roman" w:cs="Times New Roman"/>
          <w:bCs/>
          <w:iCs/>
          <w:color w:val="000000"/>
          <w:sz w:val="24"/>
          <w:szCs w:val="24"/>
        </w:rPr>
        <w:t>ý</w:t>
      </w:r>
      <w:r w:rsidRPr="00B24EFE">
        <w:rPr>
          <w:rFonts w:ascii="Times New Roman" w:eastAsia="Calibri" w:hAnsi="Times New Roman" w:cs="Times New Roman"/>
          <w:bCs/>
          <w:iCs/>
          <w:color w:val="000000"/>
          <w:sz w:val="24"/>
          <w:szCs w:val="24"/>
        </w:rPr>
        <w:t xml:space="preserve"> podnikateľským subjektom administratívne</w:t>
      </w:r>
      <w:r w:rsidR="00773D77" w:rsidRPr="00B24EFE">
        <w:rPr>
          <w:rFonts w:ascii="Times New Roman" w:eastAsia="Calibri" w:hAnsi="Times New Roman" w:cs="Times New Roman"/>
          <w:bCs/>
          <w:iCs/>
          <w:color w:val="000000"/>
          <w:sz w:val="24"/>
          <w:szCs w:val="24"/>
        </w:rPr>
        <w:t xml:space="preserve"> znižuje</w:t>
      </w:r>
      <w:r w:rsidRPr="00B24EFE">
        <w:rPr>
          <w:rFonts w:ascii="Times New Roman" w:eastAsia="Calibri" w:hAnsi="Times New Roman" w:cs="Times New Roman"/>
          <w:bCs/>
          <w:iCs/>
          <w:color w:val="000000"/>
          <w:sz w:val="24"/>
          <w:szCs w:val="24"/>
        </w:rPr>
        <w:t xml:space="preserve"> náklady. </w:t>
      </w:r>
    </w:p>
    <w:p w14:paraId="73AA5637" w14:textId="77777777" w:rsidR="004862B9" w:rsidRPr="00B24EFE" w:rsidRDefault="004862B9" w:rsidP="004862B9">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Boli zvolené všetky podnikateľské subjekty zapísané v obchodnom registri pri počte 1500. Ide o kvalifikovaný odhad počtu subjektov, ktorý však vychádza z reálnych podkladov:</w:t>
      </w:r>
    </w:p>
    <w:p w14:paraId="68BA69F9" w14:textId="77777777" w:rsidR="004862B9" w:rsidRPr="00B24EFE" w:rsidRDefault="004862B9" w:rsidP="004862B9">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 xml:space="preserve">i) priemerný ročný počet podaní za obdobie rokov 2018 – 2023 do súdneho registra </w:t>
      </w:r>
      <w:proofErr w:type="spellStart"/>
      <w:r w:rsidRPr="00B24EFE">
        <w:rPr>
          <w:rFonts w:ascii="Times New Roman" w:eastAsia="Calibri" w:hAnsi="Times New Roman" w:cs="Times New Roman"/>
          <w:bCs/>
          <w:iCs/>
          <w:color w:val="000000"/>
          <w:sz w:val="24"/>
          <w:szCs w:val="24"/>
        </w:rPr>
        <w:t>Exre</w:t>
      </w:r>
      <w:proofErr w:type="spellEnd"/>
      <w:r w:rsidRPr="00B24EFE">
        <w:rPr>
          <w:rFonts w:ascii="Times New Roman" w:eastAsia="Calibri" w:hAnsi="Times New Roman" w:cs="Times New Roman"/>
          <w:bCs/>
          <w:iCs/>
          <w:color w:val="000000"/>
          <w:sz w:val="24"/>
          <w:szCs w:val="24"/>
        </w:rPr>
        <w:t xml:space="preserve"> </w:t>
      </w:r>
      <w:r w:rsidRPr="00B24EFE">
        <w:rPr>
          <w:rFonts w:ascii="Times New Roman" w:eastAsia="Calibri" w:hAnsi="Times New Roman" w:cs="Times New Roman"/>
          <w:bCs/>
          <w:iCs/>
          <w:color w:val="000000"/>
          <w:sz w:val="24"/>
          <w:szCs w:val="24"/>
        </w:rPr>
        <w:br/>
        <w:t>bol 6892;</w:t>
      </w:r>
    </w:p>
    <w:p w14:paraId="5280682C" w14:textId="77777777" w:rsidR="004862B9" w:rsidRPr="00B24EFE" w:rsidRDefault="004862B9" w:rsidP="004862B9">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 xml:space="preserve">ii) do súdneho registra </w:t>
      </w:r>
      <w:proofErr w:type="spellStart"/>
      <w:r w:rsidRPr="00B24EFE">
        <w:rPr>
          <w:rFonts w:ascii="Times New Roman" w:eastAsia="Calibri" w:hAnsi="Times New Roman" w:cs="Times New Roman"/>
          <w:bCs/>
          <w:iCs/>
          <w:color w:val="000000"/>
          <w:sz w:val="24"/>
          <w:szCs w:val="24"/>
        </w:rPr>
        <w:t>Exre</w:t>
      </w:r>
      <w:proofErr w:type="spellEnd"/>
      <w:r w:rsidRPr="00B24EFE">
        <w:rPr>
          <w:rFonts w:ascii="Times New Roman" w:eastAsia="Calibri" w:hAnsi="Times New Roman" w:cs="Times New Roman"/>
          <w:bCs/>
          <w:iCs/>
          <w:color w:val="000000"/>
          <w:sz w:val="24"/>
          <w:szCs w:val="24"/>
        </w:rPr>
        <w:t xml:space="preserve"> podľa Vyhlášky č. 543/2005 Z. z. o Spravovacom a kancelárskom poriadku pre okresné súdy, krajské súdy, Špeciálny súd a vojenské súdy sa zapisujú veci, ktoré sú podľa vyhlášky rozdelené medzi písm. a) – e); </w:t>
      </w:r>
    </w:p>
    <w:p w14:paraId="23293D59" w14:textId="5795ECCF" w:rsidR="004862B9" w:rsidRPr="00B24EFE" w:rsidRDefault="004862B9" w:rsidP="004862B9">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iii) na základe</w:t>
      </w:r>
      <w:r w:rsidR="001F2E75" w:rsidRPr="00B24EFE">
        <w:rPr>
          <w:rFonts w:ascii="Times New Roman" w:eastAsia="Calibri" w:hAnsi="Times New Roman" w:cs="Times New Roman"/>
          <w:bCs/>
          <w:iCs/>
          <w:color w:val="000000"/>
          <w:sz w:val="24"/>
          <w:szCs w:val="24"/>
        </w:rPr>
        <w:t xml:space="preserve"> tohto</w:t>
      </w:r>
      <w:r w:rsidRPr="00B24EFE">
        <w:rPr>
          <w:rFonts w:ascii="Times New Roman" w:eastAsia="Calibri" w:hAnsi="Times New Roman" w:cs="Times New Roman"/>
          <w:bCs/>
          <w:iCs/>
          <w:color w:val="000000"/>
          <w:sz w:val="24"/>
          <w:szCs w:val="24"/>
        </w:rPr>
        <w:t xml:space="preserve"> sa počet 6892 vydelil piatimi, čím vznikol výsledok 1378; ten počet bol následne navýšený na 1500. </w:t>
      </w:r>
    </w:p>
    <w:p w14:paraId="3FB1450B" w14:textId="5B70BBA4" w:rsidR="001E24E8" w:rsidRPr="00B24EFE" w:rsidRDefault="004862B9" w:rsidP="00054C41">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V tomto prípade bola zvolená Alternatíva 2 v Administratívnych nákladoch – typ podanie žiadosti, návrhu v možnosti elektronické splnenie povinnosti</w:t>
      </w:r>
      <w:r w:rsidR="004545B5" w:rsidRPr="00B24EFE">
        <w:rPr>
          <w:rFonts w:ascii="Times New Roman" w:eastAsia="Calibri" w:hAnsi="Times New Roman" w:cs="Times New Roman"/>
          <w:bCs/>
          <w:iCs/>
          <w:color w:val="000000"/>
          <w:sz w:val="24"/>
          <w:szCs w:val="24"/>
        </w:rPr>
        <w:t xml:space="preserve"> pri frekvencii 1x ročne.</w:t>
      </w:r>
      <w:r w:rsidRPr="00B24EFE">
        <w:rPr>
          <w:rFonts w:ascii="Times New Roman" w:eastAsia="Calibri" w:hAnsi="Times New Roman" w:cs="Times New Roman"/>
          <w:bCs/>
          <w:iCs/>
          <w:color w:val="000000"/>
          <w:sz w:val="24"/>
          <w:szCs w:val="24"/>
        </w:rPr>
        <w:t xml:space="preserve"> </w:t>
      </w:r>
    </w:p>
    <w:p w14:paraId="379F6EAD" w14:textId="77777777" w:rsidR="0016765A" w:rsidRDefault="00492E66" w:rsidP="00054C41">
      <w:pPr>
        <w:jc w:val="both"/>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t>7</w:t>
      </w:r>
      <w:r w:rsidR="00E92DDD">
        <w:rPr>
          <w:rFonts w:ascii="Times New Roman" w:eastAsia="Calibri" w:hAnsi="Times New Roman" w:cs="Times New Roman"/>
          <w:b/>
          <w:bCs/>
          <w:iCs/>
          <w:color w:val="000000"/>
          <w:sz w:val="24"/>
          <w:szCs w:val="24"/>
        </w:rPr>
        <w:t xml:space="preserve">. </w:t>
      </w:r>
      <w:r w:rsidR="006B1454" w:rsidRPr="00B24EFE">
        <w:rPr>
          <w:rFonts w:ascii="Times New Roman" w:eastAsia="Calibri" w:hAnsi="Times New Roman" w:cs="Times New Roman"/>
          <w:b/>
          <w:bCs/>
          <w:iCs/>
          <w:color w:val="000000"/>
          <w:sz w:val="24"/>
          <w:szCs w:val="24"/>
        </w:rPr>
        <w:t>Podanie žiadosti o rezerváciu obchodného mena</w:t>
      </w:r>
    </w:p>
    <w:p w14:paraId="732B437B" w14:textId="64F21F16" w:rsidR="00E92DDD" w:rsidRPr="00B24EFE" w:rsidRDefault="00492E66" w:rsidP="00054C41">
      <w:pPr>
        <w:jc w:val="both"/>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t>8</w:t>
      </w:r>
      <w:r w:rsidR="00E92DDD">
        <w:rPr>
          <w:rFonts w:ascii="Times New Roman" w:eastAsia="Calibri" w:hAnsi="Times New Roman" w:cs="Times New Roman"/>
          <w:b/>
          <w:bCs/>
          <w:iCs/>
          <w:color w:val="000000"/>
          <w:sz w:val="24"/>
          <w:szCs w:val="24"/>
        </w:rPr>
        <w:t xml:space="preserve">. </w:t>
      </w:r>
      <w:r w:rsidR="00E92DDD" w:rsidRPr="00E92DDD">
        <w:rPr>
          <w:rFonts w:ascii="Times New Roman" w:eastAsia="Calibri" w:hAnsi="Times New Roman" w:cs="Times New Roman"/>
          <w:b/>
          <w:bCs/>
          <w:iCs/>
          <w:color w:val="000000"/>
          <w:sz w:val="24"/>
          <w:szCs w:val="24"/>
        </w:rPr>
        <w:t>Poplatok za podanie žiadosti o rezerváciu obchodného mena</w:t>
      </w:r>
    </w:p>
    <w:p w14:paraId="79BB553C" w14:textId="1CCA0979" w:rsidR="006B1454" w:rsidRPr="00B24EFE" w:rsidRDefault="006B1454" w:rsidP="006B1454">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Podanie žiadosti o rezerváciu obchodného mena je nový typ regulácie, ktor</w:t>
      </w:r>
      <w:r w:rsidR="00DB758E" w:rsidRPr="00B24EFE">
        <w:rPr>
          <w:rFonts w:ascii="Times New Roman" w:eastAsia="Calibri" w:hAnsi="Times New Roman" w:cs="Times New Roman"/>
          <w:bCs/>
          <w:iCs/>
          <w:color w:val="000000"/>
          <w:sz w:val="24"/>
          <w:szCs w:val="24"/>
        </w:rPr>
        <w:t>ý</w:t>
      </w:r>
      <w:r w:rsidRPr="00B24EFE">
        <w:rPr>
          <w:rFonts w:ascii="Times New Roman" w:eastAsia="Calibri" w:hAnsi="Times New Roman" w:cs="Times New Roman"/>
          <w:bCs/>
          <w:iCs/>
          <w:color w:val="000000"/>
          <w:sz w:val="24"/>
          <w:szCs w:val="24"/>
        </w:rPr>
        <w:t xml:space="preserve">: </w:t>
      </w:r>
    </w:p>
    <w:p w14:paraId="324FCC52" w14:textId="43556242" w:rsidR="001B79A2" w:rsidRPr="00B24EFE" w:rsidRDefault="006B1454" w:rsidP="006B1454">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a) podnikateľským subjektom zvyšuje administratívne náklady</w:t>
      </w:r>
      <w:r w:rsidR="004052BB" w:rsidRPr="00B24EFE">
        <w:rPr>
          <w:rFonts w:ascii="Times New Roman" w:eastAsia="Calibri" w:hAnsi="Times New Roman" w:cs="Times New Roman"/>
          <w:bCs/>
          <w:iCs/>
          <w:color w:val="000000"/>
          <w:sz w:val="24"/>
          <w:szCs w:val="24"/>
        </w:rPr>
        <w:t xml:space="preserve">, predkladateľ </w:t>
      </w:r>
      <w:r w:rsidRPr="00B24EFE">
        <w:rPr>
          <w:rFonts w:ascii="Times New Roman" w:eastAsia="Calibri" w:hAnsi="Times New Roman" w:cs="Times New Roman"/>
          <w:bCs/>
          <w:iCs/>
          <w:color w:val="000000"/>
          <w:sz w:val="24"/>
          <w:szCs w:val="24"/>
        </w:rPr>
        <w:t>zvol</w:t>
      </w:r>
      <w:r w:rsidR="004052BB" w:rsidRPr="00B24EFE">
        <w:rPr>
          <w:rFonts w:ascii="Times New Roman" w:eastAsia="Calibri" w:hAnsi="Times New Roman" w:cs="Times New Roman"/>
          <w:bCs/>
          <w:iCs/>
          <w:color w:val="000000"/>
          <w:sz w:val="24"/>
          <w:szCs w:val="24"/>
        </w:rPr>
        <w:t>il</w:t>
      </w:r>
      <w:r w:rsidRPr="00B24EFE">
        <w:rPr>
          <w:rFonts w:ascii="Times New Roman" w:eastAsia="Calibri" w:hAnsi="Times New Roman" w:cs="Times New Roman"/>
          <w:bCs/>
          <w:iCs/>
          <w:color w:val="000000"/>
          <w:sz w:val="24"/>
          <w:szCs w:val="24"/>
        </w:rPr>
        <w:t xml:space="preserve"> všetky podnikateľské subjekty zapísané v obchodnom registri pri počte 10; ide o kvalifikovaný odhad počtu subjektov, ktorý však vychádza z reálnych podkladov:</w:t>
      </w:r>
    </w:p>
    <w:p w14:paraId="027C618E" w14:textId="7ED9C573" w:rsidR="004545B5" w:rsidRPr="00B24EFE" w:rsidRDefault="004545B5" w:rsidP="006B1454">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i.</w:t>
      </w:r>
      <w:r w:rsidR="001B79A2" w:rsidRPr="00B24EFE">
        <w:rPr>
          <w:rFonts w:ascii="Times New Roman" w:eastAsia="Calibri" w:hAnsi="Times New Roman" w:cs="Times New Roman"/>
          <w:bCs/>
          <w:iCs/>
          <w:color w:val="000000"/>
          <w:sz w:val="24"/>
          <w:szCs w:val="24"/>
        </w:rPr>
        <w:t xml:space="preserve">) podľa štatistík Ministerstva </w:t>
      </w:r>
      <w:proofErr w:type="spellStart"/>
      <w:r w:rsidR="001B79A2" w:rsidRPr="00B24EFE">
        <w:rPr>
          <w:rFonts w:ascii="Times New Roman" w:eastAsia="Calibri" w:hAnsi="Times New Roman" w:cs="Times New Roman"/>
          <w:bCs/>
          <w:iCs/>
          <w:color w:val="000000"/>
          <w:sz w:val="24"/>
          <w:szCs w:val="24"/>
        </w:rPr>
        <w:t>spravedlnosti</w:t>
      </w:r>
      <w:proofErr w:type="spellEnd"/>
      <w:r w:rsidR="001B79A2" w:rsidRPr="00B24EFE">
        <w:rPr>
          <w:rFonts w:ascii="Times New Roman" w:eastAsia="Calibri" w:hAnsi="Times New Roman" w:cs="Times New Roman"/>
          <w:bCs/>
          <w:iCs/>
          <w:color w:val="000000"/>
          <w:sz w:val="24"/>
          <w:szCs w:val="24"/>
        </w:rPr>
        <w:t xml:space="preserve"> ČR </w:t>
      </w:r>
      <w:r w:rsidR="00CF1B43" w:rsidRPr="00B24EFE">
        <w:rPr>
          <w:rFonts w:ascii="Times New Roman" w:eastAsia="Calibri" w:hAnsi="Times New Roman" w:cs="Times New Roman"/>
          <w:bCs/>
          <w:iCs/>
          <w:color w:val="000000"/>
          <w:sz w:val="24"/>
          <w:szCs w:val="24"/>
        </w:rPr>
        <w:t xml:space="preserve">celkový </w:t>
      </w:r>
      <w:r w:rsidR="001B79A2" w:rsidRPr="00B24EFE">
        <w:rPr>
          <w:rFonts w:ascii="Times New Roman" w:eastAsia="Calibri" w:hAnsi="Times New Roman" w:cs="Times New Roman"/>
          <w:bCs/>
          <w:iCs/>
          <w:color w:val="000000"/>
          <w:sz w:val="24"/>
          <w:szCs w:val="24"/>
        </w:rPr>
        <w:t xml:space="preserve">počet žiadostí </w:t>
      </w:r>
      <w:r w:rsidR="004052BB" w:rsidRPr="00B24EFE">
        <w:rPr>
          <w:rFonts w:ascii="Times New Roman" w:eastAsia="Calibri" w:hAnsi="Times New Roman" w:cs="Times New Roman"/>
          <w:bCs/>
          <w:iCs/>
          <w:color w:val="000000"/>
          <w:sz w:val="24"/>
          <w:szCs w:val="24"/>
        </w:rPr>
        <w:t xml:space="preserve">o rezerváciu obchodného mena za obdobie rokov </w:t>
      </w:r>
      <w:r w:rsidRPr="00B24EFE">
        <w:rPr>
          <w:rFonts w:ascii="Times New Roman" w:eastAsia="Calibri" w:hAnsi="Times New Roman" w:cs="Times New Roman"/>
          <w:bCs/>
          <w:iCs/>
          <w:color w:val="000000"/>
          <w:sz w:val="24"/>
          <w:szCs w:val="24"/>
        </w:rPr>
        <w:t xml:space="preserve">2020 – </w:t>
      </w:r>
      <w:r w:rsidR="00EC1DF7" w:rsidRPr="00B24EFE">
        <w:rPr>
          <w:rFonts w:ascii="Times New Roman" w:eastAsia="Calibri" w:hAnsi="Times New Roman" w:cs="Times New Roman"/>
          <w:bCs/>
          <w:iCs/>
          <w:color w:val="000000"/>
          <w:sz w:val="24"/>
          <w:szCs w:val="24"/>
        </w:rPr>
        <w:t xml:space="preserve">2022 </w:t>
      </w:r>
      <w:r w:rsidR="004052BB" w:rsidRPr="00B24EFE">
        <w:rPr>
          <w:rFonts w:ascii="Times New Roman" w:eastAsia="Calibri" w:hAnsi="Times New Roman" w:cs="Times New Roman"/>
          <w:bCs/>
          <w:iCs/>
          <w:color w:val="000000"/>
          <w:sz w:val="24"/>
          <w:szCs w:val="24"/>
        </w:rPr>
        <w:t>tvoril</w:t>
      </w:r>
      <w:r w:rsidRPr="00B24EFE">
        <w:rPr>
          <w:rFonts w:ascii="Times New Roman" w:eastAsia="Calibri" w:hAnsi="Times New Roman" w:cs="Times New Roman"/>
          <w:bCs/>
          <w:iCs/>
          <w:color w:val="000000"/>
          <w:sz w:val="24"/>
          <w:szCs w:val="24"/>
        </w:rPr>
        <w:t xml:space="preserve"> 10;</w:t>
      </w:r>
    </w:p>
    <w:p w14:paraId="329944D0" w14:textId="453605CB" w:rsidR="006B1454" w:rsidRPr="00B24EFE" w:rsidRDefault="004545B5" w:rsidP="003C1848">
      <w:pPr>
        <w:jc w:val="both"/>
        <w:rPr>
          <w:rFonts w:ascii="Times New Roman" w:eastAsia="Calibri" w:hAnsi="Times New Roman" w:cs="Times New Roman"/>
          <w:bCs/>
          <w:iCs/>
          <w:color w:val="000000"/>
          <w:sz w:val="24"/>
          <w:szCs w:val="24"/>
        </w:rPr>
      </w:pPr>
      <w:proofErr w:type="spellStart"/>
      <w:r w:rsidRPr="00B24EFE">
        <w:rPr>
          <w:rFonts w:ascii="Times New Roman" w:eastAsia="Calibri" w:hAnsi="Times New Roman" w:cs="Times New Roman"/>
          <w:bCs/>
          <w:iCs/>
          <w:color w:val="000000"/>
          <w:sz w:val="24"/>
          <w:szCs w:val="24"/>
        </w:rPr>
        <w:t>ii.</w:t>
      </w:r>
      <w:proofErr w:type="spellEnd"/>
      <w:r w:rsidRPr="00B24EFE">
        <w:rPr>
          <w:rFonts w:ascii="Times New Roman" w:eastAsia="Calibri" w:hAnsi="Times New Roman" w:cs="Times New Roman"/>
          <w:bCs/>
          <w:iCs/>
          <w:color w:val="000000"/>
          <w:sz w:val="24"/>
          <w:szCs w:val="24"/>
        </w:rPr>
        <w:t>) na základe toho Ministerstvo s</w:t>
      </w:r>
      <w:r w:rsidR="004052BB" w:rsidRPr="00B24EFE">
        <w:rPr>
          <w:rFonts w:ascii="Times New Roman" w:eastAsia="Calibri" w:hAnsi="Times New Roman" w:cs="Times New Roman"/>
          <w:bCs/>
          <w:iCs/>
          <w:color w:val="000000"/>
          <w:sz w:val="24"/>
          <w:szCs w:val="24"/>
        </w:rPr>
        <w:t>pravodlivosti SR určilo kvalifikovane počet 10</w:t>
      </w:r>
      <w:r w:rsidR="003C1848" w:rsidRPr="00B24EFE">
        <w:rPr>
          <w:rFonts w:ascii="Times New Roman" w:eastAsia="Calibri" w:hAnsi="Times New Roman" w:cs="Times New Roman"/>
          <w:bCs/>
          <w:iCs/>
          <w:color w:val="000000"/>
          <w:sz w:val="24"/>
          <w:szCs w:val="24"/>
        </w:rPr>
        <w:t>.</w:t>
      </w:r>
      <w:r w:rsidR="006B1454" w:rsidRPr="00B24EFE">
        <w:rPr>
          <w:rFonts w:ascii="Times New Roman" w:eastAsia="Calibri" w:hAnsi="Times New Roman" w:cs="Times New Roman"/>
          <w:bCs/>
          <w:iCs/>
          <w:color w:val="000000"/>
          <w:sz w:val="24"/>
          <w:szCs w:val="24"/>
        </w:rPr>
        <w:t xml:space="preserve"> </w:t>
      </w:r>
    </w:p>
    <w:p w14:paraId="780EB15F" w14:textId="7121202B" w:rsidR="00C26D49" w:rsidRPr="00B24EFE" w:rsidRDefault="006B1454" w:rsidP="00054C41">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V tomto prípade bola zvolená Alternatíva 2 v Administratívnych nákladoch – typ podanie žiadosti, návrhu v možnosti elektronické splnenie povinnosti</w:t>
      </w:r>
      <w:r w:rsidR="004545B5" w:rsidRPr="00B24EFE">
        <w:rPr>
          <w:rFonts w:ascii="Times New Roman" w:eastAsia="Calibri" w:hAnsi="Times New Roman" w:cs="Times New Roman"/>
          <w:bCs/>
          <w:iCs/>
          <w:color w:val="000000"/>
          <w:sz w:val="24"/>
          <w:szCs w:val="24"/>
        </w:rPr>
        <w:t xml:space="preserve"> pri frekvencii</w:t>
      </w:r>
      <w:r w:rsidR="00EC1DF7" w:rsidRPr="00B24EFE">
        <w:rPr>
          <w:rFonts w:ascii="Times New Roman" w:eastAsia="Calibri" w:hAnsi="Times New Roman" w:cs="Times New Roman"/>
          <w:bCs/>
          <w:iCs/>
          <w:color w:val="000000"/>
          <w:sz w:val="24"/>
          <w:szCs w:val="24"/>
        </w:rPr>
        <w:t xml:space="preserve"> nepravidelne</w:t>
      </w:r>
      <w:r w:rsidR="001D6F23" w:rsidRPr="00B24EFE">
        <w:rPr>
          <w:rFonts w:ascii="Times New Roman" w:eastAsia="Calibri" w:hAnsi="Times New Roman" w:cs="Times New Roman"/>
          <w:bCs/>
          <w:iCs/>
          <w:color w:val="000000"/>
          <w:sz w:val="24"/>
          <w:szCs w:val="24"/>
        </w:rPr>
        <w:t xml:space="preserve">, keďže celkový žiadosti za obdobie troch rokov </w:t>
      </w:r>
      <w:r w:rsidR="00B24EFE" w:rsidRPr="00B24EFE">
        <w:rPr>
          <w:rFonts w:ascii="Times New Roman" w:eastAsia="Calibri" w:hAnsi="Times New Roman" w:cs="Times New Roman"/>
          <w:bCs/>
          <w:iCs/>
          <w:color w:val="000000"/>
          <w:sz w:val="24"/>
          <w:szCs w:val="24"/>
        </w:rPr>
        <w:t>bol 10</w:t>
      </w:r>
      <w:r w:rsidR="00EC1DF7" w:rsidRPr="00B24EFE">
        <w:rPr>
          <w:rFonts w:ascii="Times New Roman" w:eastAsia="Calibri" w:hAnsi="Times New Roman" w:cs="Times New Roman"/>
          <w:bCs/>
          <w:iCs/>
          <w:color w:val="000000"/>
          <w:sz w:val="24"/>
          <w:szCs w:val="24"/>
        </w:rPr>
        <w:t>.</w:t>
      </w:r>
    </w:p>
    <w:p w14:paraId="25ACE3D3" w14:textId="4B9212EA" w:rsidR="004862B9" w:rsidRDefault="006B1454" w:rsidP="00054C41">
      <w:pPr>
        <w:jc w:val="both"/>
        <w:rPr>
          <w:rFonts w:ascii="Times New Roman" w:eastAsia="Calibri" w:hAnsi="Times New Roman" w:cs="Times New Roman"/>
          <w:bCs/>
          <w:iCs/>
          <w:color w:val="000000"/>
          <w:sz w:val="24"/>
          <w:szCs w:val="24"/>
        </w:rPr>
      </w:pPr>
      <w:r w:rsidRPr="00B24EFE">
        <w:rPr>
          <w:rFonts w:ascii="Times New Roman" w:eastAsia="Calibri" w:hAnsi="Times New Roman" w:cs="Times New Roman"/>
          <w:bCs/>
          <w:iCs/>
          <w:color w:val="000000"/>
          <w:sz w:val="24"/>
          <w:szCs w:val="24"/>
        </w:rPr>
        <w:t xml:space="preserve">b) zavádza aj priame finančné náklady – súdne poplatky vo výške 50 eur na 1 podnikateľa za podanie </w:t>
      </w:r>
      <w:r w:rsidR="00EC1DF7" w:rsidRPr="00B24EFE">
        <w:rPr>
          <w:rFonts w:ascii="Times New Roman" w:eastAsia="Calibri" w:hAnsi="Times New Roman" w:cs="Times New Roman"/>
          <w:bCs/>
          <w:iCs/>
          <w:color w:val="000000"/>
          <w:sz w:val="24"/>
          <w:szCs w:val="24"/>
        </w:rPr>
        <w:t>žiadosti o rezerváciu obchodného mena rovnako pri frekvencii neprav</w:t>
      </w:r>
      <w:r w:rsidR="009D6DCC" w:rsidRPr="00B24EFE">
        <w:rPr>
          <w:rFonts w:ascii="Times New Roman" w:eastAsia="Calibri" w:hAnsi="Times New Roman" w:cs="Times New Roman"/>
          <w:bCs/>
          <w:iCs/>
          <w:color w:val="000000"/>
          <w:sz w:val="24"/>
          <w:szCs w:val="24"/>
        </w:rPr>
        <w:t>idelne</w:t>
      </w:r>
      <w:r w:rsidRPr="00B24EFE">
        <w:rPr>
          <w:rFonts w:ascii="Times New Roman" w:eastAsia="Calibri" w:hAnsi="Times New Roman" w:cs="Times New Roman"/>
          <w:bCs/>
          <w:iCs/>
          <w:color w:val="000000"/>
          <w:sz w:val="24"/>
          <w:szCs w:val="24"/>
        </w:rPr>
        <w:t xml:space="preserve">. </w:t>
      </w:r>
    </w:p>
    <w:p w14:paraId="3DEC833C" w14:textId="0A458A33" w:rsidR="0016765A" w:rsidRDefault="0016765A" w:rsidP="00054C41">
      <w:pPr>
        <w:jc w:val="both"/>
        <w:rPr>
          <w:rFonts w:ascii="Times New Roman" w:eastAsia="Calibri" w:hAnsi="Times New Roman" w:cs="Times New Roman"/>
          <w:bCs/>
          <w:iCs/>
          <w:color w:val="000000"/>
          <w:sz w:val="24"/>
          <w:szCs w:val="24"/>
        </w:rPr>
      </w:pPr>
    </w:p>
    <w:p w14:paraId="28D38C96" w14:textId="77777777" w:rsidR="0016765A" w:rsidRDefault="0016765A" w:rsidP="00054C41">
      <w:pPr>
        <w:jc w:val="both"/>
        <w:rPr>
          <w:rFonts w:ascii="Times New Roman" w:eastAsia="Calibri" w:hAnsi="Times New Roman" w:cs="Times New Roman"/>
          <w:bCs/>
          <w:iCs/>
          <w:color w:val="000000"/>
          <w:sz w:val="24"/>
          <w:szCs w:val="24"/>
        </w:rPr>
      </w:pPr>
    </w:p>
    <w:p w14:paraId="188C5D1D" w14:textId="0B474468" w:rsidR="00E92DDD" w:rsidRDefault="00492E66" w:rsidP="00054C41">
      <w:pPr>
        <w:jc w:val="both"/>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lastRenderedPageBreak/>
        <w:t>9</w:t>
      </w:r>
      <w:r w:rsidR="00E92DDD" w:rsidRPr="00E92DDD">
        <w:rPr>
          <w:rFonts w:ascii="Times New Roman" w:eastAsia="Calibri" w:hAnsi="Times New Roman" w:cs="Times New Roman"/>
          <w:b/>
          <w:bCs/>
          <w:iCs/>
          <w:color w:val="000000"/>
          <w:sz w:val="24"/>
          <w:szCs w:val="24"/>
        </w:rPr>
        <w:t>. Povinná forma zakladateľského dokumentu</w:t>
      </w:r>
    </w:p>
    <w:p w14:paraId="2F72449A" w14:textId="669D28E6" w:rsidR="00FC4824" w:rsidRDefault="004A1DE0"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S cieľom zlepšenia kvality údajov v obchodnom registri, ktoré je nevyhnutné vzhľadom na právnu záväznosť údajov zverejnených v obchodnom registri, predkladateľ zavádza povinnú formu zakladateľského dokumentu vo forme notárskej zápisnice. Notárska zápisnica môže byť nahradená zmluvou autorizovanou advokátom. Ide o reguláciu, ktorá zvyšuje administratívnu záťaž, avšak </w:t>
      </w:r>
      <w:r w:rsidR="00E370CF">
        <w:rPr>
          <w:rFonts w:ascii="Times New Roman" w:eastAsia="Calibri" w:hAnsi="Times New Roman" w:cs="Times New Roman"/>
          <w:bCs/>
          <w:iCs/>
          <w:color w:val="000000"/>
          <w:sz w:val="24"/>
          <w:szCs w:val="24"/>
        </w:rPr>
        <w:t>javí sa ako potrebná</w:t>
      </w:r>
      <w:r>
        <w:rPr>
          <w:rFonts w:ascii="Times New Roman" w:eastAsia="Calibri" w:hAnsi="Times New Roman" w:cs="Times New Roman"/>
          <w:bCs/>
          <w:iCs/>
          <w:color w:val="000000"/>
          <w:sz w:val="24"/>
          <w:szCs w:val="24"/>
        </w:rPr>
        <w:t xml:space="preserve"> vzhľadom na charakter zverejňovaných údajov a ochranu spoločností ako aj tretích osôb. </w:t>
      </w:r>
    </w:p>
    <w:p w14:paraId="10FB72C8" w14:textId="77777777" w:rsidR="00014B0D" w:rsidRDefault="00310767"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Ide o nový typ regulácie, ktorý</w:t>
      </w:r>
      <w:r w:rsidR="004A1DE0">
        <w:rPr>
          <w:rFonts w:ascii="Times New Roman" w:eastAsia="Calibri" w:hAnsi="Times New Roman" w:cs="Times New Roman"/>
          <w:bCs/>
          <w:iCs/>
          <w:color w:val="000000"/>
          <w:sz w:val="24"/>
          <w:szCs w:val="24"/>
        </w:rPr>
        <w:t xml:space="preserve"> sa týka </w:t>
      </w:r>
      <w:proofErr w:type="spellStart"/>
      <w:r w:rsidR="004A1DE0">
        <w:rPr>
          <w:rFonts w:ascii="Times New Roman" w:eastAsia="Calibri" w:hAnsi="Times New Roman" w:cs="Times New Roman"/>
          <w:bCs/>
          <w:iCs/>
          <w:color w:val="000000"/>
          <w:sz w:val="24"/>
          <w:szCs w:val="24"/>
        </w:rPr>
        <w:t>v.o.s</w:t>
      </w:r>
      <w:proofErr w:type="spellEnd"/>
      <w:r w:rsidR="004A1DE0">
        <w:rPr>
          <w:rFonts w:ascii="Times New Roman" w:eastAsia="Calibri" w:hAnsi="Times New Roman" w:cs="Times New Roman"/>
          <w:bCs/>
          <w:iCs/>
          <w:color w:val="000000"/>
          <w:sz w:val="24"/>
          <w:szCs w:val="24"/>
        </w:rPr>
        <w:t xml:space="preserve">., </w:t>
      </w:r>
      <w:proofErr w:type="spellStart"/>
      <w:r w:rsidR="004A1DE0">
        <w:rPr>
          <w:rFonts w:ascii="Times New Roman" w:eastAsia="Calibri" w:hAnsi="Times New Roman" w:cs="Times New Roman"/>
          <w:bCs/>
          <w:iCs/>
          <w:color w:val="000000"/>
          <w:sz w:val="24"/>
          <w:szCs w:val="24"/>
        </w:rPr>
        <w:t>k.s</w:t>
      </w:r>
      <w:proofErr w:type="spellEnd"/>
      <w:r w:rsidR="004A1DE0">
        <w:rPr>
          <w:rFonts w:ascii="Times New Roman" w:eastAsia="Calibri" w:hAnsi="Times New Roman" w:cs="Times New Roman"/>
          <w:bCs/>
          <w:iCs/>
          <w:color w:val="000000"/>
          <w:sz w:val="24"/>
          <w:szCs w:val="24"/>
        </w:rPr>
        <w:t>. a </w:t>
      </w:r>
      <w:proofErr w:type="spellStart"/>
      <w:r w:rsidR="004A1DE0">
        <w:rPr>
          <w:rFonts w:ascii="Times New Roman" w:eastAsia="Calibri" w:hAnsi="Times New Roman" w:cs="Times New Roman"/>
          <w:bCs/>
          <w:iCs/>
          <w:color w:val="000000"/>
          <w:sz w:val="24"/>
          <w:szCs w:val="24"/>
        </w:rPr>
        <w:t>s.r.o</w:t>
      </w:r>
      <w:proofErr w:type="spellEnd"/>
      <w:r w:rsidR="004A1DE0">
        <w:rPr>
          <w:rFonts w:ascii="Times New Roman" w:eastAsia="Calibri" w:hAnsi="Times New Roman" w:cs="Times New Roman"/>
          <w:bCs/>
          <w:iCs/>
          <w:color w:val="000000"/>
          <w:sz w:val="24"/>
          <w:szCs w:val="24"/>
        </w:rPr>
        <w:t xml:space="preserve">., nakoľko už v aktuálne účinnom znení Obchodného zákonníka sa vyžaduje </w:t>
      </w:r>
      <w:r w:rsidR="00993F0A">
        <w:rPr>
          <w:rFonts w:ascii="Times New Roman" w:eastAsia="Calibri" w:hAnsi="Times New Roman" w:cs="Times New Roman"/>
          <w:bCs/>
          <w:iCs/>
          <w:color w:val="000000"/>
          <w:sz w:val="24"/>
          <w:szCs w:val="24"/>
        </w:rPr>
        <w:t xml:space="preserve">forma notárskej zápisnice pre a.s., </w:t>
      </w:r>
      <w:proofErr w:type="spellStart"/>
      <w:r w:rsidR="00993F0A">
        <w:rPr>
          <w:rFonts w:ascii="Times New Roman" w:eastAsia="Calibri" w:hAnsi="Times New Roman" w:cs="Times New Roman"/>
          <w:bCs/>
          <w:iCs/>
          <w:color w:val="000000"/>
          <w:sz w:val="24"/>
          <w:szCs w:val="24"/>
        </w:rPr>
        <w:t>j.a.s</w:t>
      </w:r>
      <w:proofErr w:type="spellEnd"/>
      <w:r w:rsidR="00993F0A">
        <w:rPr>
          <w:rFonts w:ascii="Times New Roman" w:eastAsia="Calibri" w:hAnsi="Times New Roman" w:cs="Times New Roman"/>
          <w:bCs/>
          <w:iCs/>
          <w:color w:val="000000"/>
          <w:sz w:val="24"/>
          <w:szCs w:val="24"/>
        </w:rPr>
        <w:t xml:space="preserve">. a európske právne formy. </w:t>
      </w:r>
    </w:p>
    <w:p w14:paraId="54459C7F" w14:textId="6A9FD6AC" w:rsidR="004A1DE0" w:rsidRDefault="00310767"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Pre dané právne formy regulácia </w:t>
      </w:r>
      <w:r w:rsidRPr="00B24EFE">
        <w:rPr>
          <w:rFonts w:ascii="Times New Roman" w:hAnsi="Times New Roman" w:cs="Times New Roman"/>
          <w:color w:val="000000"/>
          <w:sz w:val="24"/>
          <w:szCs w:val="24"/>
        </w:rPr>
        <w:t>zvyšuje podnikateľským subjektom administratívne náklady</w:t>
      </w:r>
      <w:r>
        <w:rPr>
          <w:rFonts w:ascii="Times New Roman" w:hAnsi="Times New Roman" w:cs="Times New Roman"/>
          <w:color w:val="000000"/>
          <w:sz w:val="24"/>
          <w:szCs w:val="24"/>
        </w:rPr>
        <w:t>.</w:t>
      </w:r>
    </w:p>
    <w:p w14:paraId="64A7F69A" w14:textId="3BFFFD55" w:rsidR="00E06882" w:rsidRDefault="00993F0A"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Ako typ povinnosti bola zvolená Evidencia a vedenie dokumentácie</w:t>
      </w:r>
      <w:r w:rsidRPr="00B6686C">
        <w:rPr>
          <w:rFonts w:ascii="Times New Roman" w:eastAsia="Calibri" w:hAnsi="Times New Roman" w:cs="Times New Roman"/>
          <w:bCs/>
          <w:iCs/>
          <w:color w:val="000000"/>
          <w:sz w:val="24"/>
          <w:szCs w:val="24"/>
        </w:rPr>
        <w:t>.</w:t>
      </w:r>
      <w:r>
        <w:rPr>
          <w:rFonts w:ascii="Times New Roman" w:eastAsia="Calibri" w:hAnsi="Times New Roman" w:cs="Times New Roman"/>
          <w:bCs/>
          <w:iCs/>
          <w:color w:val="000000"/>
          <w:sz w:val="24"/>
          <w:szCs w:val="24"/>
        </w:rPr>
        <w:t xml:space="preserve"> Frekvencia je zvolená </w:t>
      </w:r>
      <w:r w:rsidR="00711E81">
        <w:rPr>
          <w:rFonts w:ascii="Times New Roman" w:eastAsia="Calibri" w:hAnsi="Times New Roman" w:cs="Times New Roman"/>
          <w:bCs/>
          <w:iCs/>
          <w:color w:val="000000"/>
          <w:sz w:val="24"/>
          <w:szCs w:val="24"/>
        </w:rPr>
        <w:t>jedenkrát ročne</w:t>
      </w:r>
      <w:r>
        <w:rPr>
          <w:rFonts w:ascii="Times New Roman" w:eastAsia="Calibri" w:hAnsi="Times New Roman" w:cs="Times New Roman"/>
          <w:bCs/>
          <w:iCs/>
          <w:color w:val="000000"/>
          <w:sz w:val="24"/>
          <w:szCs w:val="24"/>
        </w:rPr>
        <w:t xml:space="preserve"> – nakoľko sa týka vypracovania zakladateľského dokumentu pri založení spoločnosti</w:t>
      </w:r>
      <w:r w:rsidR="00711E81">
        <w:rPr>
          <w:rFonts w:ascii="Times New Roman" w:eastAsia="Calibri" w:hAnsi="Times New Roman" w:cs="Times New Roman"/>
          <w:bCs/>
          <w:iCs/>
          <w:color w:val="000000"/>
          <w:sz w:val="24"/>
          <w:szCs w:val="24"/>
        </w:rPr>
        <w:t>, avšak každý rok sa bude týkať predpokladaného počtu novozakladaných osôb</w:t>
      </w:r>
      <w:r>
        <w:rPr>
          <w:rFonts w:ascii="Times New Roman" w:eastAsia="Calibri" w:hAnsi="Times New Roman" w:cs="Times New Roman"/>
          <w:bCs/>
          <w:iCs/>
          <w:color w:val="000000"/>
          <w:sz w:val="24"/>
          <w:szCs w:val="24"/>
        </w:rPr>
        <w:t xml:space="preserve">. </w:t>
      </w:r>
    </w:p>
    <w:p w14:paraId="25DCBAA1" w14:textId="0F33FF46" w:rsidR="00FE3151" w:rsidRDefault="00774E5F" w:rsidP="00E06882">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Predkladateľ odhaduje ako iný nepriamy náklad odmenu notárovi za vypracovanie takejto notárskej zápisnice (</w:t>
      </w:r>
      <w:r w:rsidR="00E06882">
        <w:rPr>
          <w:rFonts w:ascii="Times New Roman" w:eastAsia="Calibri" w:hAnsi="Times New Roman" w:cs="Times New Roman"/>
          <w:bCs/>
          <w:iCs/>
          <w:color w:val="000000"/>
          <w:sz w:val="24"/>
          <w:szCs w:val="24"/>
        </w:rPr>
        <w:t xml:space="preserve">vo výške 100 eur). </w:t>
      </w:r>
      <w:r w:rsidR="00FE3151">
        <w:rPr>
          <w:rFonts w:ascii="Times New Roman" w:eastAsia="Calibri" w:hAnsi="Times New Roman" w:cs="Times New Roman"/>
          <w:bCs/>
          <w:iCs/>
          <w:color w:val="000000"/>
          <w:sz w:val="24"/>
          <w:szCs w:val="24"/>
        </w:rPr>
        <w:t>Výška odmeny</w:t>
      </w:r>
      <w:r w:rsidR="00E06882">
        <w:rPr>
          <w:rFonts w:ascii="Times New Roman" w:eastAsia="Calibri" w:hAnsi="Times New Roman" w:cs="Times New Roman"/>
          <w:bCs/>
          <w:iCs/>
          <w:color w:val="000000"/>
          <w:sz w:val="24"/>
          <w:szCs w:val="24"/>
        </w:rPr>
        <w:t xml:space="preserve"> sa počíta</w:t>
      </w:r>
      <w:r w:rsidR="00E06882" w:rsidRPr="00E06882">
        <w:rPr>
          <w:rFonts w:ascii="Times New Roman" w:eastAsia="Calibri" w:hAnsi="Times New Roman" w:cs="Times New Roman"/>
          <w:bCs/>
          <w:iCs/>
          <w:color w:val="000000"/>
          <w:sz w:val="24"/>
          <w:szCs w:val="24"/>
        </w:rPr>
        <w:t xml:space="preserve"> podľa vyhlášky Ministerstva spravodlivosti Slovenskej republiky č. 31/1993 Zb.</w:t>
      </w:r>
      <w:r w:rsidR="00E06882">
        <w:rPr>
          <w:rFonts w:ascii="Times New Roman" w:eastAsia="Calibri" w:hAnsi="Times New Roman" w:cs="Times New Roman"/>
          <w:bCs/>
          <w:iCs/>
          <w:color w:val="000000"/>
          <w:sz w:val="24"/>
          <w:szCs w:val="24"/>
        </w:rPr>
        <w:t xml:space="preserve"> o odmenách a náhradách notárov (ďalej ako „vyhláška o odmenách“), </w:t>
      </w:r>
      <w:r w:rsidR="00FE3151">
        <w:rPr>
          <w:rFonts w:ascii="Times New Roman" w:eastAsia="Calibri" w:hAnsi="Times New Roman" w:cs="Times New Roman"/>
          <w:bCs/>
          <w:iCs/>
          <w:color w:val="000000"/>
          <w:sz w:val="24"/>
          <w:szCs w:val="24"/>
        </w:rPr>
        <w:t>pričom jej výšku tvoria:</w:t>
      </w:r>
    </w:p>
    <w:p w14:paraId="58D4C931" w14:textId="04586940" w:rsidR="00FE3151" w:rsidRDefault="00FE3151" w:rsidP="00FE3151">
      <w:pPr>
        <w:pStyle w:val="Odsekzoznamu"/>
        <w:numPr>
          <w:ilvl w:val="0"/>
          <w:numId w:val="16"/>
        </w:num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odmena za vypracovanie zápisnice vo výške 50 eur podľa položky A (predkladateľ vychádzal z premisy, že väčšina dotknutých subjektov nemá základné imanie vyššie ako 20 000 eur)</w:t>
      </w:r>
    </w:p>
    <w:p w14:paraId="4ECA6B44" w14:textId="7DE874A0" w:rsidR="00FE3151" w:rsidRDefault="00FE3151" w:rsidP="00FE3151">
      <w:pPr>
        <w:pStyle w:val="Odsekzoznamu"/>
        <w:numPr>
          <w:ilvl w:val="0"/>
          <w:numId w:val="16"/>
        </w:num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odmena z</w:t>
      </w:r>
      <w:r w:rsidRPr="00FE3151">
        <w:rPr>
          <w:rFonts w:ascii="Times New Roman" w:eastAsia="Calibri" w:hAnsi="Times New Roman" w:cs="Times New Roman"/>
          <w:bCs/>
          <w:iCs/>
          <w:color w:val="000000"/>
          <w:sz w:val="24"/>
          <w:szCs w:val="24"/>
        </w:rPr>
        <w:t>a uloženie textu notárskej zápisnice do Notárskeho centrálneho registra listín za každú, aj začatú stranu uloženého textu</w:t>
      </w:r>
      <w:r>
        <w:rPr>
          <w:rFonts w:ascii="Times New Roman" w:eastAsia="Calibri" w:hAnsi="Times New Roman" w:cs="Times New Roman"/>
          <w:bCs/>
          <w:iCs/>
          <w:color w:val="000000"/>
          <w:sz w:val="24"/>
          <w:szCs w:val="24"/>
        </w:rPr>
        <w:t>, vo výške 5 eur (predkladateľ odhaduje, že dotknuté právne formy majú zakladateľský dokument zväčša v rozsahu 5 strán)</w:t>
      </w:r>
    </w:p>
    <w:p w14:paraId="59CF2BAA" w14:textId="68EE6926" w:rsidR="00FE3151" w:rsidRDefault="00FE3151" w:rsidP="00FE3151">
      <w:pPr>
        <w:pStyle w:val="Odsekzoznamu"/>
        <w:numPr>
          <w:ilvl w:val="0"/>
          <w:numId w:val="16"/>
        </w:num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hotové výdavky notára - </w:t>
      </w:r>
      <w:r w:rsidRPr="00FE3151">
        <w:rPr>
          <w:rFonts w:ascii="Times New Roman" w:eastAsia="Calibri" w:hAnsi="Times New Roman" w:cs="Times New Roman"/>
          <w:bCs/>
          <w:iCs/>
          <w:color w:val="000000"/>
          <w:sz w:val="24"/>
          <w:szCs w:val="24"/>
        </w:rPr>
        <w:t>odmena a náhrada hotových výdavkov CIS</w:t>
      </w:r>
      <w:r>
        <w:rPr>
          <w:rFonts w:ascii="Times New Roman" w:eastAsia="Calibri" w:hAnsi="Times New Roman" w:cs="Times New Roman"/>
          <w:bCs/>
          <w:iCs/>
          <w:color w:val="000000"/>
          <w:sz w:val="24"/>
          <w:szCs w:val="24"/>
        </w:rPr>
        <w:t xml:space="preserve"> vo výške 3,90 eur (v konkrétnom prípade však môžu byť aj vyššie, a to podľa požiadaviek klienta, napríklad za spísanie zápisnice na mieste, nie v notárskom úrade)</w:t>
      </w:r>
    </w:p>
    <w:p w14:paraId="1D44D027" w14:textId="4012325A" w:rsidR="00FE3151" w:rsidRDefault="00FE3151" w:rsidP="00FE3151">
      <w:pPr>
        <w:pStyle w:val="Odsekzoznamu"/>
        <w:numPr>
          <w:ilvl w:val="0"/>
          <w:numId w:val="16"/>
        </w:num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daň z pridanej hodnoty</w:t>
      </w:r>
      <w:r w:rsidR="00832A30">
        <w:rPr>
          <w:rFonts w:ascii="Times New Roman" w:eastAsia="Calibri" w:hAnsi="Times New Roman" w:cs="Times New Roman"/>
          <w:bCs/>
          <w:iCs/>
          <w:color w:val="000000"/>
          <w:sz w:val="24"/>
          <w:szCs w:val="24"/>
        </w:rPr>
        <w:t xml:space="preserve"> (23%)</w:t>
      </w:r>
      <w:r>
        <w:rPr>
          <w:rFonts w:ascii="Times New Roman" w:eastAsia="Calibri" w:hAnsi="Times New Roman" w:cs="Times New Roman"/>
          <w:bCs/>
          <w:iCs/>
          <w:color w:val="000000"/>
          <w:sz w:val="24"/>
          <w:szCs w:val="24"/>
        </w:rPr>
        <w:t>, ktorej platcami sú všetky notárske úrady, vypočítaná zo základu 58,90 eur.</w:t>
      </w:r>
    </w:p>
    <w:p w14:paraId="646FD76B" w14:textId="7F064B81" w:rsidR="00FE3151" w:rsidRDefault="00832A30" w:rsidP="00E06882">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Celková suma vo výške 97,04 bola zvýšená na 100 eur</w:t>
      </w:r>
      <w:r w:rsidR="00FE3151">
        <w:rPr>
          <w:rFonts w:ascii="Times New Roman" w:eastAsia="Calibri" w:hAnsi="Times New Roman" w:cs="Times New Roman"/>
          <w:bCs/>
          <w:iCs/>
          <w:color w:val="000000"/>
          <w:sz w:val="24"/>
          <w:szCs w:val="24"/>
        </w:rPr>
        <w:t xml:space="preserve">, aby sa do odhadu dostali aj prípady, kedy bude mať zakladateľský dokument viac strán. </w:t>
      </w:r>
    </w:p>
    <w:p w14:paraId="3FB5CDE1" w14:textId="34DC3457" w:rsidR="00993F0A" w:rsidRDefault="00774E5F"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Počet subjektov, ktorých sa regulácia týka </w:t>
      </w:r>
      <w:r w:rsidR="00E06882">
        <w:rPr>
          <w:rFonts w:ascii="Times New Roman" w:eastAsia="Calibri" w:hAnsi="Times New Roman" w:cs="Times New Roman"/>
          <w:bCs/>
          <w:iCs/>
          <w:color w:val="000000"/>
          <w:sz w:val="24"/>
          <w:szCs w:val="24"/>
        </w:rPr>
        <w:t xml:space="preserve">(21 753) </w:t>
      </w:r>
      <w:r>
        <w:rPr>
          <w:rFonts w:ascii="Times New Roman" w:eastAsia="Calibri" w:hAnsi="Times New Roman" w:cs="Times New Roman"/>
          <w:bCs/>
          <w:iCs/>
          <w:color w:val="000000"/>
          <w:sz w:val="24"/>
          <w:szCs w:val="24"/>
        </w:rPr>
        <w:t xml:space="preserve">bol určený ako súčet </w:t>
      </w:r>
      <w:proofErr w:type="spellStart"/>
      <w:r>
        <w:rPr>
          <w:rFonts w:ascii="Times New Roman" w:eastAsia="Calibri" w:hAnsi="Times New Roman" w:cs="Times New Roman"/>
          <w:bCs/>
          <w:iCs/>
          <w:color w:val="000000"/>
          <w:sz w:val="24"/>
          <w:szCs w:val="24"/>
        </w:rPr>
        <w:t>v.o.s</w:t>
      </w:r>
      <w:proofErr w:type="spellEnd"/>
      <w:r>
        <w:rPr>
          <w:rFonts w:ascii="Times New Roman" w:eastAsia="Calibri" w:hAnsi="Times New Roman" w:cs="Times New Roman"/>
          <w:bCs/>
          <w:iCs/>
          <w:color w:val="000000"/>
          <w:sz w:val="24"/>
          <w:szCs w:val="24"/>
        </w:rPr>
        <w:t xml:space="preserve">., </w:t>
      </w:r>
      <w:proofErr w:type="spellStart"/>
      <w:r>
        <w:rPr>
          <w:rFonts w:ascii="Times New Roman" w:eastAsia="Calibri" w:hAnsi="Times New Roman" w:cs="Times New Roman"/>
          <w:bCs/>
          <w:iCs/>
          <w:color w:val="000000"/>
          <w:sz w:val="24"/>
          <w:szCs w:val="24"/>
        </w:rPr>
        <w:t>k.s</w:t>
      </w:r>
      <w:proofErr w:type="spellEnd"/>
      <w:r>
        <w:rPr>
          <w:rFonts w:ascii="Times New Roman" w:eastAsia="Calibri" w:hAnsi="Times New Roman" w:cs="Times New Roman"/>
          <w:bCs/>
          <w:iCs/>
          <w:color w:val="000000"/>
          <w:sz w:val="24"/>
          <w:szCs w:val="24"/>
        </w:rPr>
        <w:t>. a </w:t>
      </w:r>
      <w:proofErr w:type="spellStart"/>
      <w:r>
        <w:rPr>
          <w:rFonts w:ascii="Times New Roman" w:eastAsia="Calibri" w:hAnsi="Times New Roman" w:cs="Times New Roman"/>
          <w:bCs/>
          <w:iCs/>
          <w:color w:val="000000"/>
          <w:sz w:val="24"/>
          <w:szCs w:val="24"/>
        </w:rPr>
        <w:t>s.r.o</w:t>
      </w:r>
      <w:proofErr w:type="spellEnd"/>
      <w:r>
        <w:rPr>
          <w:rFonts w:ascii="Times New Roman" w:eastAsia="Calibri" w:hAnsi="Times New Roman" w:cs="Times New Roman"/>
          <w:bCs/>
          <w:iCs/>
          <w:color w:val="000000"/>
          <w:sz w:val="24"/>
          <w:szCs w:val="24"/>
        </w:rPr>
        <w:t xml:space="preserve">., ktoré boli do obchodného registra zapísané v roku 2023. </w:t>
      </w:r>
      <w:r w:rsidR="00E06882">
        <w:rPr>
          <w:rFonts w:ascii="Times New Roman" w:eastAsia="Calibri" w:hAnsi="Times New Roman" w:cs="Times New Roman"/>
          <w:bCs/>
          <w:iCs/>
          <w:color w:val="000000"/>
          <w:sz w:val="24"/>
          <w:szCs w:val="24"/>
        </w:rPr>
        <w:t>Ich počet je každoročne</w:t>
      </w:r>
      <w:r w:rsidR="00DA2289">
        <w:rPr>
          <w:rFonts w:ascii="Times New Roman" w:eastAsia="Calibri" w:hAnsi="Times New Roman" w:cs="Times New Roman"/>
          <w:bCs/>
          <w:iCs/>
          <w:color w:val="000000"/>
          <w:sz w:val="24"/>
          <w:szCs w:val="24"/>
        </w:rPr>
        <w:t xml:space="preserve"> približne</w:t>
      </w:r>
      <w:r w:rsidR="00E06882">
        <w:rPr>
          <w:rFonts w:ascii="Times New Roman" w:eastAsia="Calibri" w:hAnsi="Times New Roman" w:cs="Times New Roman"/>
          <w:bCs/>
          <w:iCs/>
          <w:color w:val="000000"/>
          <w:sz w:val="24"/>
          <w:szCs w:val="24"/>
        </w:rPr>
        <w:t xml:space="preserve"> konštantný. </w:t>
      </w:r>
    </w:p>
    <w:p w14:paraId="13819BA6" w14:textId="59619B72" w:rsidR="00774E5F" w:rsidRDefault="00774E5F" w:rsidP="00054C41">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Súčasťou regulácie je aj možnosť nahradiť notársku zápisnicu zmluvou autorizovanou notárom. Uvedenú reguláciu nie je možné kvantifikovať, nakoľko nie je zrejmé, koľko spoločností v súčasnosti využíva formu zakladania </w:t>
      </w:r>
      <w:r w:rsidR="00E370CF">
        <w:rPr>
          <w:rFonts w:ascii="Times New Roman" w:eastAsia="Calibri" w:hAnsi="Times New Roman" w:cs="Times New Roman"/>
          <w:bCs/>
          <w:iCs/>
          <w:color w:val="000000"/>
          <w:sz w:val="24"/>
          <w:szCs w:val="24"/>
        </w:rPr>
        <w:t xml:space="preserve">spoločnosti </w:t>
      </w:r>
      <w:r>
        <w:rPr>
          <w:rFonts w:ascii="Times New Roman" w:eastAsia="Calibri" w:hAnsi="Times New Roman" w:cs="Times New Roman"/>
          <w:bCs/>
          <w:iCs/>
          <w:color w:val="000000"/>
          <w:sz w:val="24"/>
          <w:szCs w:val="24"/>
        </w:rPr>
        <w:t>u advokáta, ako budú advokáti tento inštitút využívať a</w:t>
      </w:r>
      <w:r w:rsidR="00DA2289">
        <w:rPr>
          <w:rFonts w:ascii="Times New Roman" w:eastAsia="Calibri" w:hAnsi="Times New Roman" w:cs="Times New Roman"/>
          <w:bCs/>
          <w:iCs/>
          <w:color w:val="000000"/>
          <w:sz w:val="24"/>
          <w:szCs w:val="24"/>
        </w:rPr>
        <w:t xml:space="preserve"> tiež</w:t>
      </w:r>
      <w:r>
        <w:rPr>
          <w:rFonts w:ascii="Times New Roman" w:eastAsia="Calibri" w:hAnsi="Times New Roman" w:cs="Times New Roman"/>
          <w:bCs/>
          <w:iCs/>
          <w:color w:val="000000"/>
          <w:sz w:val="24"/>
          <w:szCs w:val="24"/>
        </w:rPr>
        <w:t> vzhľadom na rôzne sadzby advokátov za obdobné úkony.</w:t>
      </w:r>
      <w:r w:rsidR="00014B0D">
        <w:rPr>
          <w:rFonts w:ascii="Times New Roman" w:eastAsia="Calibri" w:hAnsi="Times New Roman" w:cs="Times New Roman"/>
          <w:bCs/>
          <w:iCs/>
          <w:color w:val="000000"/>
          <w:sz w:val="24"/>
          <w:szCs w:val="24"/>
        </w:rPr>
        <w:t xml:space="preserve"> Predpoklad teda nerozlišuje medzi nákladmi na vyhotovenie notárskej zápisnice a zmluvy autorizovanej advokátom. </w:t>
      </w:r>
    </w:p>
    <w:p w14:paraId="10955004" w14:textId="142BD6D7" w:rsidR="0016765A" w:rsidRDefault="0016765A" w:rsidP="00054C41">
      <w:pPr>
        <w:jc w:val="both"/>
        <w:rPr>
          <w:rFonts w:ascii="Times New Roman" w:eastAsia="Calibri" w:hAnsi="Times New Roman" w:cs="Times New Roman"/>
          <w:bCs/>
          <w:iCs/>
          <w:color w:val="000000"/>
          <w:sz w:val="24"/>
          <w:szCs w:val="24"/>
        </w:rPr>
      </w:pPr>
    </w:p>
    <w:p w14:paraId="70DDAC47" w14:textId="77777777" w:rsidR="0016765A" w:rsidRDefault="0016765A" w:rsidP="00054C41">
      <w:pPr>
        <w:jc w:val="both"/>
        <w:rPr>
          <w:rFonts w:ascii="Times New Roman" w:eastAsia="Calibri" w:hAnsi="Times New Roman" w:cs="Times New Roman"/>
          <w:bCs/>
          <w:iCs/>
          <w:color w:val="000000"/>
          <w:sz w:val="24"/>
          <w:szCs w:val="24"/>
        </w:rPr>
      </w:pPr>
    </w:p>
    <w:p w14:paraId="73566E76" w14:textId="46EE5BB3" w:rsidR="007D1DB0" w:rsidRPr="007D1DB0" w:rsidRDefault="00B06B82" w:rsidP="00054C41">
      <w:pPr>
        <w:jc w:val="both"/>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lastRenderedPageBreak/>
        <w:t>11</w:t>
      </w:r>
      <w:r w:rsidR="007D1DB0" w:rsidRPr="007D1DB0">
        <w:rPr>
          <w:rFonts w:ascii="Times New Roman" w:eastAsia="Calibri" w:hAnsi="Times New Roman" w:cs="Times New Roman"/>
          <w:b/>
          <w:bCs/>
          <w:iCs/>
          <w:color w:val="000000"/>
          <w:sz w:val="24"/>
          <w:szCs w:val="24"/>
        </w:rPr>
        <w:t xml:space="preserve">. </w:t>
      </w:r>
      <w:r w:rsidR="0082391E">
        <w:rPr>
          <w:rFonts w:ascii="Times New Roman" w:eastAsia="Calibri" w:hAnsi="Times New Roman" w:cs="Times New Roman"/>
          <w:b/>
          <w:bCs/>
          <w:iCs/>
          <w:color w:val="000000"/>
          <w:sz w:val="24"/>
          <w:szCs w:val="24"/>
        </w:rPr>
        <w:t xml:space="preserve"> Kvalifikovaná forma z</w:t>
      </w:r>
      <w:r w:rsidR="00C74CEA">
        <w:rPr>
          <w:rFonts w:ascii="Times New Roman" w:eastAsia="Calibri" w:hAnsi="Times New Roman" w:cs="Times New Roman"/>
          <w:b/>
          <w:bCs/>
          <w:iCs/>
          <w:color w:val="000000"/>
          <w:sz w:val="24"/>
          <w:szCs w:val="24"/>
        </w:rPr>
        <w:t xml:space="preserve">mluva o prevode obchodného podielu </w:t>
      </w:r>
    </w:p>
    <w:p w14:paraId="4E70C766" w14:textId="6DE0A74C" w:rsidR="00C74CEA" w:rsidRPr="00B06B82" w:rsidRDefault="00492E66" w:rsidP="00492E66">
      <w:pPr>
        <w:jc w:val="both"/>
        <w:rPr>
          <w:rFonts w:ascii="Times New Roman" w:eastAsia="Calibri" w:hAnsi="Times New Roman" w:cs="Times New Roman"/>
          <w:bCs/>
          <w:iCs/>
          <w:color w:val="000000"/>
          <w:sz w:val="24"/>
          <w:szCs w:val="24"/>
        </w:rPr>
      </w:pPr>
      <w:r w:rsidRPr="00B06B82">
        <w:rPr>
          <w:rFonts w:ascii="Times New Roman" w:eastAsia="Calibri" w:hAnsi="Times New Roman" w:cs="Times New Roman"/>
          <w:bCs/>
          <w:iCs/>
          <w:color w:val="000000"/>
          <w:sz w:val="24"/>
          <w:szCs w:val="24"/>
        </w:rPr>
        <w:t>S cieľom zlepšenia kvality údajov v obchodnom registri, ktoré sa javí ako potrebné vzhľadom na právnu záväznosť údajov zverejnených v obchodnom registri ako aj zvýšenie právnej istoty v obchodnoprávnych vzťaho</w:t>
      </w:r>
      <w:r w:rsidR="00B06B82" w:rsidRPr="00B06B82">
        <w:rPr>
          <w:rFonts w:ascii="Times New Roman" w:eastAsia="Calibri" w:hAnsi="Times New Roman" w:cs="Times New Roman"/>
          <w:bCs/>
          <w:iCs/>
          <w:color w:val="000000"/>
          <w:sz w:val="24"/>
          <w:szCs w:val="24"/>
        </w:rPr>
        <w:t>ch, predkladateľ zavádza povinn</w:t>
      </w:r>
      <w:r w:rsidR="00C76B55">
        <w:rPr>
          <w:rFonts w:ascii="Times New Roman" w:eastAsia="Calibri" w:hAnsi="Times New Roman" w:cs="Times New Roman"/>
          <w:bCs/>
          <w:iCs/>
          <w:color w:val="000000"/>
          <w:sz w:val="24"/>
          <w:szCs w:val="24"/>
        </w:rPr>
        <w:t>ú kvalifikovanú formu zmluvy o prevode obchodného podielu</w:t>
      </w:r>
      <w:r w:rsidR="00B06B82" w:rsidRPr="00B06B82">
        <w:rPr>
          <w:rFonts w:ascii="Times New Roman" w:eastAsia="Calibri" w:hAnsi="Times New Roman" w:cs="Times New Roman"/>
          <w:bCs/>
          <w:iCs/>
          <w:color w:val="000000"/>
          <w:sz w:val="24"/>
          <w:szCs w:val="24"/>
        </w:rPr>
        <w:t xml:space="preserve">. </w:t>
      </w:r>
      <w:r w:rsidRPr="00B06B82">
        <w:rPr>
          <w:rFonts w:ascii="Times New Roman" w:eastAsia="Calibri" w:hAnsi="Times New Roman" w:cs="Times New Roman"/>
          <w:bCs/>
          <w:iCs/>
          <w:color w:val="000000"/>
          <w:sz w:val="24"/>
          <w:szCs w:val="24"/>
        </w:rPr>
        <w:t xml:space="preserve"> </w:t>
      </w:r>
      <w:r w:rsidR="00B06B82" w:rsidRPr="00B06B82">
        <w:rPr>
          <w:rFonts w:ascii="Times New Roman" w:eastAsia="Calibri" w:hAnsi="Times New Roman" w:cs="Times New Roman"/>
          <w:bCs/>
          <w:iCs/>
          <w:color w:val="000000"/>
          <w:sz w:val="24"/>
          <w:szCs w:val="24"/>
        </w:rPr>
        <w:t xml:space="preserve">Zákon predpokladá povinnú formu notárskej zápisnice o právnom úkone, ktorá </w:t>
      </w:r>
      <w:r w:rsidRPr="00B06B82">
        <w:rPr>
          <w:rFonts w:ascii="Times New Roman" w:eastAsia="Calibri" w:hAnsi="Times New Roman" w:cs="Times New Roman"/>
          <w:bCs/>
          <w:iCs/>
          <w:color w:val="000000"/>
          <w:sz w:val="24"/>
          <w:szCs w:val="24"/>
        </w:rPr>
        <w:t xml:space="preserve">môže byť nahradená zmluvou autorizovanou advokátom. </w:t>
      </w:r>
    </w:p>
    <w:p w14:paraId="667D6FFC" w14:textId="5E7EF5C9" w:rsidR="00F2408F" w:rsidRPr="00B06B82" w:rsidRDefault="00492E66" w:rsidP="00492E66">
      <w:pPr>
        <w:jc w:val="both"/>
        <w:rPr>
          <w:rFonts w:ascii="Times New Roman" w:eastAsia="Calibri" w:hAnsi="Times New Roman" w:cs="Times New Roman"/>
          <w:bCs/>
          <w:iCs/>
          <w:color w:val="000000"/>
          <w:sz w:val="24"/>
          <w:szCs w:val="24"/>
        </w:rPr>
      </w:pPr>
      <w:r w:rsidRPr="00B06B82">
        <w:rPr>
          <w:rFonts w:ascii="Times New Roman" w:eastAsia="Calibri" w:hAnsi="Times New Roman" w:cs="Times New Roman"/>
          <w:bCs/>
          <w:iCs/>
          <w:color w:val="000000"/>
          <w:sz w:val="24"/>
          <w:szCs w:val="24"/>
        </w:rPr>
        <w:t xml:space="preserve">Ide o reguláciu, ktorá zvyšuje administratívnu záťaž, avšak je dôležitá vzhľadom na charakter zverejňovaných údajov a ochranu spoločností ako aj tretích osôb. </w:t>
      </w:r>
      <w:r w:rsidR="00F2408F">
        <w:rPr>
          <w:rFonts w:ascii="Times New Roman" w:eastAsia="Calibri" w:hAnsi="Times New Roman" w:cs="Times New Roman"/>
          <w:bCs/>
          <w:iCs/>
          <w:color w:val="000000"/>
          <w:sz w:val="24"/>
          <w:szCs w:val="24"/>
        </w:rPr>
        <w:t xml:space="preserve">V súčasnosti v zmysle § 115 ods. 4 Obchodného zákonníka musí byť zmluva o prevode obchodného podielu písomná a podpisy na nej musia byť úradne overené – zvýšenie záťaže je tak prítomné v rozdiele oproti záťaži, ktorú spôsobuje overenie podpisov na zmluve. </w:t>
      </w:r>
    </w:p>
    <w:p w14:paraId="7B25A62A" w14:textId="47A7FE81" w:rsidR="00492E66" w:rsidRPr="00B06B82" w:rsidRDefault="00492E66" w:rsidP="00492E66">
      <w:pPr>
        <w:jc w:val="both"/>
        <w:rPr>
          <w:rFonts w:ascii="Times New Roman" w:eastAsia="Calibri" w:hAnsi="Times New Roman" w:cs="Times New Roman"/>
          <w:bCs/>
          <w:iCs/>
          <w:color w:val="000000"/>
          <w:sz w:val="24"/>
          <w:szCs w:val="24"/>
        </w:rPr>
      </w:pPr>
      <w:r w:rsidRPr="00B06B82">
        <w:rPr>
          <w:rFonts w:ascii="Times New Roman" w:eastAsia="Calibri" w:hAnsi="Times New Roman" w:cs="Times New Roman"/>
          <w:bCs/>
          <w:iCs/>
          <w:color w:val="000000"/>
          <w:sz w:val="24"/>
          <w:szCs w:val="24"/>
        </w:rPr>
        <w:t>Ide o  typ regulácie, ktorý sa týka spoločností s ručením obmedzeným.</w:t>
      </w:r>
    </w:p>
    <w:p w14:paraId="684B248C" w14:textId="0726B29F" w:rsidR="00B06B82" w:rsidRPr="00B06B82" w:rsidRDefault="00492E66" w:rsidP="00492E66">
      <w:pPr>
        <w:jc w:val="both"/>
        <w:rPr>
          <w:rFonts w:ascii="Times New Roman" w:eastAsia="Calibri" w:hAnsi="Times New Roman" w:cs="Times New Roman"/>
          <w:bCs/>
          <w:iCs/>
          <w:color w:val="000000"/>
          <w:sz w:val="24"/>
          <w:szCs w:val="24"/>
        </w:rPr>
      </w:pPr>
      <w:r w:rsidRPr="00B06B82">
        <w:rPr>
          <w:rFonts w:ascii="Times New Roman" w:eastAsia="Calibri" w:hAnsi="Times New Roman" w:cs="Times New Roman"/>
          <w:bCs/>
          <w:iCs/>
          <w:color w:val="000000"/>
          <w:sz w:val="24"/>
          <w:szCs w:val="24"/>
        </w:rPr>
        <w:t xml:space="preserve">Ako typ povinnosti bola zvolená </w:t>
      </w:r>
      <w:r w:rsidR="00B06B82" w:rsidRPr="00B06B82">
        <w:rPr>
          <w:rFonts w:ascii="Times New Roman" w:eastAsia="Calibri" w:hAnsi="Times New Roman" w:cs="Times New Roman"/>
          <w:bCs/>
          <w:iCs/>
          <w:color w:val="000000"/>
          <w:sz w:val="24"/>
          <w:szCs w:val="24"/>
        </w:rPr>
        <w:t>Časový náklad externej služby</w:t>
      </w:r>
      <w:r w:rsidRPr="00B06B82">
        <w:rPr>
          <w:rFonts w:ascii="Times New Roman" w:eastAsia="Calibri" w:hAnsi="Times New Roman" w:cs="Times New Roman"/>
          <w:bCs/>
          <w:iCs/>
          <w:color w:val="000000"/>
          <w:sz w:val="24"/>
          <w:szCs w:val="24"/>
        </w:rPr>
        <w:t xml:space="preserve">. Frekvencia je zvolená </w:t>
      </w:r>
      <w:r w:rsidR="00B06B82" w:rsidRPr="00B06B82">
        <w:rPr>
          <w:rFonts w:ascii="Times New Roman" w:eastAsia="Calibri" w:hAnsi="Times New Roman" w:cs="Times New Roman"/>
          <w:bCs/>
          <w:iCs/>
          <w:color w:val="000000"/>
          <w:sz w:val="24"/>
          <w:szCs w:val="24"/>
        </w:rPr>
        <w:t>jedenkrát ročne</w:t>
      </w:r>
      <w:r w:rsidRPr="00B06B82">
        <w:rPr>
          <w:rFonts w:ascii="Times New Roman" w:eastAsia="Calibri" w:hAnsi="Times New Roman" w:cs="Times New Roman"/>
          <w:bCs/>
          <w:iCs/>
          <w:color w:val="000000"/>
          <w:sz w:val="24"/>
          <w:szCs w:val="24"/>
        </w:rPr>
        <w:t xml:space="preserve">. </w:t>
      </w:r>
    </w:p>
    <w:p w14:paraId="74959E64" w14:textId="689E71AF" w:rsidR="00B06B82" w:rsidRPr="00B06B82" w:rsidRDefault="00492E66" w:rsidP="00492E66">
      <w:pPr>
        <w:jc w:val="both"/>
        <w:rPr>
          <w:rFonts w:ascii="Times New Roman" w:eastAsia="Calibri" w:hAnsi="Times New Roman" w:cs="Times New Roman"/>
          <w:bCs/>
          <w:iCs/>
          <w:color w:val="000000"/>
          <w:sz w:val="24"/>
          <w:szCs w:val="24"/>
        </w:rPr>
      </w:pPr>
      <w:r w:rsidRPr="00B06B82">
        <w:rPr>
          <w:rFonts w:ascii="Times New Roman" w:eastAsia="Calibri" w:hAnsi="Times New Roman" w:cs="Times New Roman"/>
          <w:bCs/>
          <w:iCs/>
          <w:color w:val="000000"/>
          <w:sz w:val="24"/>
          <w:szCs w:val="24"/>
        </w:rPr>
        <w:t xml:space="preserve">Predkladateľ vychádzal z toho, že každý </w:t>
      </w:r>
      <w:r w:rsidR="00B06B82" w:rsidRPr="00B06B82">
        <w:rPr>
          <w:rFonts w:ascii="Times New Roman" w:eastAsia="Calibri" w:hAnsi="Times New Roman" w:cs="Times New Roman"/>
          <w:bCs/>
          <w:iCs/>
          <w:color w:val="000000"/>
          <w:sz w:val="24"/>
          <w:szCs w:val="24"/>
        </w:rPr>
        <w:t xml:space="preserve">rok je do obchodného registra podaných približne 59 000 návrhov na zápis zmeny v obchodnom registri. Expertný odhad je, že </w:t>
      </w:r>
      <w:r w:rsidR="00F2408F">
        <w:rPr>
          <w:rFonts w:ascii="Times New Roman" w:eastAsia="Calibri" w:hAnsi="Times New Roman" w:cs="Times New Roman"/>
          <w:bCs/>
          <w:iCs/>
          <w:color w:val="000000"/>
          <w:sz w:val="24"/>
          <w:szCs w:val="24"/>
        </w:rPr>
        <w:t>1</w:t>
      </w:r>
      <w:r w:rsidR="00B06B82" w:rsidRPr="00B06B82">
        <w:rPr>
          <w:rFonts w:ascii="Times New Roman" w:eastAsia="Calibri" w:hAnsi="Times New Roman" w:cs="Times New Roman"/>
          <w:bCs/>
          <w:iCs/>
          <w:color w:val="000000"/>
          <w:sz w:val="24"/>
          <w:szCs w:val="24"/>
        </w:rPr>
        <w:t xml:space="preserve">0 000 z toho predstavujú zmeny </w:t>
      </w:r>
      <w:r w:rsidR="00F2408F">
        <w:rPr>
          <w:rFonts w:ascii="Times New Roman" w:eastAsia="Calibri" w:hAnsi="Times New Roman" w:cs="Times New Roman"/>
          <w:bCs/>
          <w:iCs/>
          <w:color w:val="000000"/>
          <w:sz w:val="24"/>
          <w:szCs w:val="24"/>
        </w:rPr>
        <w:t>spoločníkov</w:t>
      </w:r>
      <w:r w:rsidR="00B06B82" w:rsidRPr="00B06B82">
        <w:rPr>
          <w:rFonts w:ascii="Times New Roman" w:eastAsia="Calibri" w:hAnsi="Times New Roman" w:cs="Times New Roman"/>
          <w:bCs/>
          <w:iCs/>
          <w:color w:val="000000"/>
          <w:sz w:val="24"/>
          <w:szCs w:val="24"/>
        </w:rPr>
        <w:t xml:space="preserve">, ktoré </w:t>
      </w:r>
      <w:r w:rsidR="00F2408F">
        <w:rPr>
          <w:rFonts w:ascii="Times New Roman" w:eastAsia="Calibri" w:hAnsi="Times New Roman" w:cs="Times New Roman"/>
          <w:bCs/>
          <w:iCs/>
          <w:color w:val="000000"/>
          <w:sz w:val="24"/>
          <w:szCs w:val="24"/>
        </w:rPr>
        <w:t>sa udejú na základe zmluvy o prevode obchodného podielu</w:t>
      </w:r>
      <w:r w:rsidR="00B06B82" w:rsidRPr="00B06B82">
        <w:rPr>
          <w:rFonts w:ascii="Times New Roman" w:eastAsia="Calibri" w:hAnsi="Times New Roman" w:cs="Times New Roman"/>
          <w:bCs/>
          <w:iCs/>
          <w:color w:val="000000"/>
          <w:sz w:val="24"/>
          <w:szCs w:val="24"/>
        </w:rPr>
        <w:t xml:space="preserve">. </w:t>
      </w:r>
      <w:r w:rsidR="00F2408F">
        <w:rPr>
          <w:rFonts w:ascii="Times New Roman" w:eastAsia="Calibri" w:hAnsi="Times New Roman" w:cs="Times New Roman"/>
          <w:bCs/>
          <w:iCs/>
          <w:color w:val="000000"/>
          <w:sz w:val="24"/>
          <w:szCs w:val="24"/>
        </w:rPr>
        <w:t xml:space="preserve">Spoločníkom však môže byť tak fyzická osoba (ktorá nie je tejto kapacite podnikateľom), ako aj právnická osoba - podnikateľ. </w:t>
      </w:r>
      <w:r w:rsidR="00B06B82" w:rsidRPr="00B06B82">
        <w:rPr>
          <w:rFonts w:ascii="Times New Roman" w:eastAsia="Calibri" w:hAnsi="Times New Roman" w:cs="Times New Roman"/>
          <w:bCs/>
          <w:iCs/>
          <w:color w:val="000000"/>
          <w:sz w:val="24"/>
          <w:szCs w:val="24"/>
        </w:rPr>
        <w:t xml:space="preserve">Predpokladá sa tak, že sa táto povinnosť ročne dotkne </w:t>
      </w:r>
      <w:r w:rsidR="00F2408F">
        <w:rPr>
          <w:rFonts w:ascii="Times New Roman" w:eastAsia="Calibri" w:hAnsi="Times New Roman" w:cs="Times New Roman"/>
          <w:bCs/>
          <w:iCs/>
          <w:color w:val="000000"/>
          <w:sz w:val="24"/>
          <w:szCs w:val="24"/>
        </w:rPr>
        <w:t>5</w:t>
      </w:r>
      <w:r w:rsidR="00B06B82" w:rsidRPr="00B06B82">
        <w:rPr>
          <w:rFonts w:ascii="Times New Roman" w:eastAsia="Calibri" w:hAnsi="Times New Roman" w:cs="Times New Roman"/>
          <w:bCs/>
          <w:iCs/>
          <w:color w:val="000000"/>
          <w:sz w:val="24"/>
          <w:szCs w:val="24"/>
        </w:rPr>
        <w:t xml:space="preserve"> 000 spoločností, </w:t>
      </w:r>
      <w:r w:rsidR="00F2408F">
        <w:rPr>
          <w:rFonts w:ascii="Times New Roman" w:eastAsia="Calibri" w:hAnsi="Times New Roman" w:cs="Times New Roman"/>
          <w:bCs/>
          <w:iCs/>
          <w:color w:val="000000"/>
          <w:sz w:val="24"/>
          <w:szCs w:val="24"/>
        </w:rPr>
        <w:t>ktoré sú spoločníkmi obchodnej spoločnosti a ktoré budú svoj obchodný podiel prevádzať.</w:t>
      </w:r>
      <w:r w:rsidR="00B06B82" w:rsidRPr="00B06B82">
        <w:rPr>
          <w:rFonts w:ascii="Times New Roman" w:eastAsia="Calibri" w:hAnsi="Times New Roman" w:cs="Times New Roman"/>
          <w:bCs/>
          <w:iCs/>
          <w:color w:val="000000"/>
          <w:sz w:val="24"/>
          <w:szCs w:val="24"/>
        </w:rPr>
        <w:t xml:space="preserve">. </w:t>
      </w:r>
    </w:p>
    <w:p w14:paraId="233AE2CF" w14:textId="1DCC2515" w:rsidR="00492E66" w:rsidRPr="00B06B82" w:rsidRDefault="00492E66" w:rsidP="00492E66">
      <w:pPr>
        <w:spacing w:after="0"/>
        <w:jc w:val="both"/>
        <w:rPr>
          <w:rFonts w:ascii="Times New Roman" w:eastAsia="Calibri" w:hAnsi="Times New Roman" w:cs="Times New Roman"/>
          <w:bCs/>
          <w:iCs/>
          <w:color w:val="000000"/>
          <w:sz w:val="24"/>
          <w:szCs w:val="24"/>
        </w:rPr>
      </w:pPr>
      <w:r w:rsidRPr="00B06B82">
        <w:rPr>
          <w:rFonts w:ascii="Times New Roman" w:eastAsia="Calibri" w:hAnsi="Times New Roman" w:cs="Times New Roman"/>
          <w:bCs/>
          <w:iCs/>
          <w:color w:val="000000"/>
          <w:sz w:val="24"/>
          <w:szCs w:val="24"/>
        </w:rPr>
        <w:t xml:space="preserve">Predkladateľ odhaduje ako iný nepriamy náklad odmenu notárovi za vypracovanie takejto notárskej zápisnice (vo výške </w:t>
      </w:r>
      <w:r w:rsidRPr="00B06B82">
        <w:rPr>
          <w:rFonts w:ascii="Times New Roman" w:eastAsia="Calibri" w:hAnsi="Times New Roman" w:cs="Times New Roman"/>
          <w:bCs/>
          <w:iCs/>
          <w:sz w:val="24"/>
          <w:szCs w:val="24"/>
        </w:rPr>
        <w:t>15</w:t>
      </w:r>
      <w:r w:rsidRPr="00B06B82">
        <w:rPr>
          <w:rFonts w:ascii="Times New Roman" w:eastAsia="Calibri" w:hAnsi="Times New Roman" w:cs="Times New Roman"/>
          <w:bCs/>
          <w:iCs/>
          <w:color w:val="000000"/>
          <w:sz w:val="24"/>
          <w:szCs w:val="24"/>
        </w:rPr>
        <w:t>0 eur). Výška odmeny sa počíta podľa vyhlášky Ministerstva spravodlivosti Slovenskej republiky č. 31/1993 Zb. o odmenách a náhradách notárov (ďalej ako „vyhláška o odmenách“), pričom jej výšku tvoria:</w:t>
      </w:r>
    </w:p>
    <w:p w14:paraId="251BD79F" w14:textId="76378E9C" w:rsidR="00492E66" w:rsidRPr="00B06B82" w:rsidRDefault="00492E66" w:rsidP="00492E66">
      <w:pPr>
        <w:pStyle w:val="Odsekzoznamu"/>
        <w:numPr>
          <w:ilvl w:val="0"/>
          <w:numId w:val="16"/>
        </w:numPr>
        <w:spacing w:after="0"/>
        <w:jc w:val="both"/>
        <w:rPr>
          <w:rFonts w:ascii="Times New Roman" w:eastAsia="Calibri" w:hAnsi="Times New Roman" w:cs="Times New Roman"/>
          <w:bCs/>
          <w:iCs/>
          <w:color w:val="000000"/>
          <w:sz w:val="24"/>
          <w:szCs w:val="24"/>
        </w:rPr>
      </w:pPr>
      <w:r w:rsidRPr="00B06B82">
        <w:rPr>
          <w:rFonts w:ascii="Times New Roman" w:eastAsia="Calibri" w:hAnsi="Times New Roman" w:cs="Times New Roman"/>
          <w:bCs/>
          <w:iCs/>
          <w:color w:val="000000"/>
          <w:sz w:val="24"/>
          <w:szCs w:val="24"/>
        </w:rPr>
        <w:t xml:space="preserve">odmena za vypracovanie zápisnice vo výške 100 eur podľa položky A (predkladateľ vychádzal z premisy, pri </w:t>
      </w:r>
      <w:r w:rsidR="00F2408F">
        <w:rPr>
          <w:rFonts w:ascii="Times New Roman" w:eastAsia="Calibri" w:hAnsi="Times New Roman" w:cs="Times New Roman"/>
          <w:bCs/>
          <w:iCs/>
          <w:color w:val="000000"/>
          <w:sz w:val="24"/>
          <w:szCs w:val="24"/>
        </w:rPr>
        <w:t>základ pre výpočet</w:t>
      </w:r>
      <w:r w:rsidRPr="00B06B82">
        <w:rPr>
          <w:rFonts w:ascii="Times New Roman" w:eastAsia="Calibri" w:hAnsi="Times New Roman" w:cs="Times New Roman"/>
          <w:bCs/>
          <w:iCs/>
          <w:color w:val="000000"/>
          <w:sz w:val="24"/>
          <w:szCs w:val="24"/>
        </w:rPr>
        <w:t xml:space="preserve"> nie je možné určiť</w:t>
      </w:r>
      <w:r w:rsidR="00F2408F">
        <w:rPr>
          <w:rFonts w:ascii="Times New Roman" w:eastAsia="Calibri" w:hAnsi="Times New Roman" w:cs="Times New Roman"/>
          <w:bCs/>
          <w:iCs/>
          <w:color w:val="000000"/>
          <w:sz w:val="24"/>
          <w:szCs w:val="24"/>
        </w:rPr>
        <w:t xml:space="preserve"> takýto odhad lepšie zohľadňuje, že základy môžu byť prípad od prípadu rôzne</w:t>
      </w:r>
      <w:r w:rsidRPr="00B06B82">
        <w:rPr>
          <w:rFonts w:ascii="Times New Roman" w:eastAsia="Calibri" w:hAnsi="Times New Roman" w:cs="Times New Roman"/>
          <w:bCs/>
          <w:iCs/>
          <w:color w:val="000000"/>
          <w:sz w:val="24"/>
          <w:szCs w:val="24"/>
        </w:rPr>
        <w:t>)</w:t>
      </w:r>
    </w:p>
    <w:p w14:paraId="382BBFFC" w14:textId="243F4AF4" w:rsidR="00492E66" w:rsidRPr="00B06B82" w:rsidRDefault="00492E66" w:rsidP="00492E66">
      <w:pPr>
        <w:pStyle w:val="Odsekzoznamu"/>
        <w:numPr>
          <w:ilvl w:val="0"/>
          <w:numId w:val="16"/>
        </w:numPr>
        <w:spacing w:after="0"/>
        <w:jc w:val="both"/>
        <w:rPr>
          <w:rFonts w:ascii="Times New Roman" w:eastAsia="Calibri" w:hAnsi="Times New Roman" w:cs="Times New Roman"/>
          <w:bCs/>
          <w:iCs/>
          <w:color w:val="000000"/>
          <w:sz w:val="24"/>
          <w:szCs w:val="24"/>
        </w:rPr>
      </w:pPr>
      <w:r w:rsidRPr="00B06B82">
        <w:rPr>
          <w:rFonts w:ascii="Times New Roman" w:eastAsia="Calibri" w:hAnsi="Times New Roman" w:cs="Times New Roman"/>
          <w:bCs/>
          <w:iCs/>
          <w:color w:val="000000"/>
          <w:sz w:val="24"/>
          <w:szCs w:val="24"/>
        </w:rPr>
        <w:t xml:space="preserve">odmena za uloženie textu notárskej zápisnice do Notárskeho centrálneho registra listín za každú, aj začatú stranu uloženého textu, vo výške 5 eur (predkladateľ odhaduje, že dotknuté </w:t>
      </w:r>
      <w:r w:rsidR="00F2408F">
        <w:rPr>
          <w:rFonts w:ascii="Times New Roman" w:eastAsia="Calibri" w:hAnsi="Times New Roman" w:cs="Times New Roman"/>
          <w:bCs/>
          <w:iCs/>
          <w:color w:val="000000"/>
          <w:sz w:val="24"/>
          <w:szCs w:val="24"/>
        </w:rPr>
        <w:t>zmluvy</w:t>
      </w:r>
      <w:r w:rsidR="00F2408F" w:rsidRPr="00B06B82">
        <w:rPr>
          <w:rFonts w:ascii="Times New Roman" w:eastAsia="Calibri" w:hAnsi="Times New Roman" w:cs="Times New Roman"/>
          <w:bCs/>
          <w:iCs/>
          <w:color w:val="000000"/>
          <w:sz w:val="24"/>
          <w:szCs w:val="24"/>
        </w:rPr>
        <w:t xml:space="preserve"> </w:t>
      </w:r>
      <w:r w:rsidRPr="00B06B82">
        <w:rPr>
          <w:rFonts w:ascii="Times New Roman" w:eastAsia="Calibri" w:hAnsi="Times New Roman" w:cs="Times New Roman"/>
          <w:bCs/>
          <w:iCs/>
          <w:color w:val="000000"/>
          <w:sz w:val="24"/>
          <w:szCs w:val="24"/>
        </w:rPr>
        <w:t xml:space="preserve">by mali zväčša rozsah </w:t>
      </w:r>
      <w:r w:rsidR="00F2408F">
        <w:rPr>
          <w:rFonts w:ascii="Times New Roman" w:eastAsia="Calibri" w:hAnsi="Times New Roman" w:cs="Times New Roman"/>
          <w:bCs/>
          <w:iCs/>
          <w:color w:val="000000"/>
          <w:sz w:val="24"/>
          <w:szCs w:val="24"/>
        </w:rPr>
        <w:t>5</w:t>
      </w:r>
      <w:r w:rsidRPr="00B06B82">
        <w:rPr>
          <w:rFonts w:ascii="Times New Roman" w:eastAsia="Calibri" w:hAnsi="Times New Roman" w:cs="Times New Roman"/>
          <w:bCs/>
          <w:iCs/>
          <w:color w:val="000000"/>
          <w:sz w:val="24"/>
          <w:szCs w:val="24"/>
        </w:rPr>
        <w:t xml:space="preserve"> strany)</w:t>
      </w:r>
    </w:p>
    <w:p w14:paraId="0170FC7E" w14:textId="0B8D7D7D" w:rsidR="00492E66" w:rsidRPr="00B06B82" w:rsidRDefault="00492E66" w:rsidP="00492E66">
      <w:pPr>
        <w:pStyle w:val="Odsekzoznamu"/>
        <w:numPr>
          <w:ilvl w:val="0"/>
          <w:numId w:val="16"/>
        </w:numPr>
        <w:spacing w:after="0"/>
        <w:jc w:val="both"/>
        <w:rPr>
          <w:rFonts w:ascii="Times New Roman" w:eastAsia="Calibri" w:hAnsi="Times New Roman" w:cs="Times New Roman"/>
          <w:bCs/>
          <w:iCs/>
          <w:color w:val="000000"/>
          <w:sz w:val="24"/>
          <w:szCs w:val="24"/>
        </w:rPr>
      </w:pPr>
      <w:r w:rsidRPr="00B06B82">
        <w:rPr>
          <w:rFonts w:ascii="Times New Roman" w:eastAsia="Calibri" w:hAnsi="Times New Roman" w:cs="Times New Roman"/>
          <w:bCs/>
          <w:iCs/>
          <w:color w:val="000000"/>
          <w:sz w:val="24"/>
          <w:szCs w:val="24"/>
        </w:rPr>
        <w:t>hotové výdavky notára - odmena a náhrada hotových výdavkov CIS vo výške 3,90 eur (v konkrétnom prípade však môžu byť aj vyššie, a to podľa požiadaviek klienta, napríklad za spísanie zápisnice na mieste, nie v notárskom úrade)</w:t>
      </w:r>
    </w:p>
    <w:p w14:paraId="66932E5C" w14:textId="2B2B32EE" w:rsidR="00492E66" w:rsidRPr="00B06B82" w:rsidRDefault="00492E66" w:rsidP="00B06B82">
      <w:pPr>
        <w:pStyle w:val="Odsekzoznamu"/>
        <w:numPr>
          <w:ilvl w:val="0"/>
          <w:numId w:val="16"/>
        </w:numPr>
        <w:jc w:val="both"/>
        <w:rPr>
          <w:rFonts w:ascii="Times New Roman" w:eastAsia="Calibri" w:hAnsi="Times New Roman" w:cs="Times New Roman"/>
          <w:bCs/>
          <w:iCs/>
          <w:color w:val="000000"/>
          <w:sz w:val="24"/>
          <w:szCs w:val="24"/>
        </w:rPr>
      </w:pPr>
      <w:r w:rsidRPr="00B06B82">
        <w:rPr>
          <w:rFonts w:ascii="Times New Roman" w:eastAsia="Calibri" w:hAnsi="Times New Roman" w:cs="Times New Roman"/>
          <w:bCs/>
          <w:iCs/>
          <w:color w:val="000000"/>
          <w:sz w:val="24"/>
          <w:szCs w:val="24"/>
        </w:rPr>
        <w:t>daň z pridanej hodnoty (23%), ktorej platcami sú všetky notárske úrady, vypočítaná zo základu 1</w:t>
      </w:r>
      <w:r w:rsidR="009C71B6">
        <w:rPr>
          <w:rFonts w:ascii="Times New Roman" w:eastAsia="Calibri" w:hAnsi="Times New Roman" w:cs="Times New Roman"/>
          <w:bCs/>
          <w:iCs/>
          <w:color w:val="000000"/>
          <w:sz w:val="24"/>
          <w:szCs w:val="24"/>
        </w:rPr>
        <w:t>2</w:t>
      </w:r>
      <w:r w:rsidRPr="00B06B82">
        <w:rPr>
          <w:rFonts w:ascii="Times New Roman" w:eastAsia="Calibri" w:hAnsi="Times New Roman" w:cs="Times New Roman"/>
          <w:bCs/>
          <w:iCs/>
          <w:color w:val="000000"/>
          <w:sz w:val="24"/>
          <w:szCs w:val="24"/>
        </w:rPr>
        <w:t>8,90 eur.</w:t>
      </w:r>
    </w:p>
    <w:p w14:paraId="3690CE72" w14:textId="4B145B4A" w:rsidR="00B06B82" w:rsidRPr="00B06B82" w:rsidRDefault="00492E66" w:rsidP="00B06B82">
      <w:pPr>
        <w:jc w:val="both"/>
        <w:rPr>
          <w:rFonts w:ascii="Times New Roman" w:eastAsia="Calibri" w:hAnsi="Times New Roman" w:cs="Times New Roman"/>
          <w:bCs/>
          <w:iCs/>
          <w:color w:val="000000"/>
          <w:sz w:val="24"/>
          <w:szCs w:val="24"/>
        </w:rPr>
      </w:pPr>
      <w:r w:rsidRPr="00B06B82">
        <w:rPr>
          <w:rFonts w:ascii="Times New Roman" w:eastAsia="Calibri" w:hAnsi="Times New Roman" w:cs="Times New Roman"/>
          <w:bCs/>
          <w:iCs/>
          <w:color w:val="000000"/>
          <w:sz w:val="24"/>
          <w:szCs w:val="24"/>
        </w:rPr>
        <w:t>Celková suma vo výške 1</w:t>
      </w:r>
      <w:r w:rsidR="009C71B6">
        <w:rPr>
          <w:rFonts w:ascii="Times New Roman" w:eastAsia="Calibri" w:hAnsi="Times New Roman" w:cs="Times New Roman"/>
          <w:bCs/>
          <w:iCs/>
          <w:color w:val="000000"/>
          <w:sz w:val="24"/>
          <w:szCs w:val="24"/>
        </w:rPr>
        <w:t>58</w:t>
      </w:r>
      <w:r w:rsidRPr="00B06B82">
        <w:rPr>
          <w:rFonts w:ascii="Times New Roman" w:eastAsia="Calibri" w:hAnsi="Times New Roman" w:cs="Times New Roman"/>
          <w:bCs/>
          <w:iCs/>
          <w:color w:val="000000"/>
          <w:sz w:val="24"/>
          <w:szCs w:val="24"/>
        </w:rPr>
        <w:t>,</w:t>
      </w:r>
      <w:r w:rsidR="009C71B6">
        <w:rPr>
          <w:rFonts w:ascii="Times New Roman" w:eastAsia="Calibri" w:hAnsi="Times New Roman" w:cs="Times New Roman"/>
          <w:bCs/>
          <w:iCs/>
          <w:color w:val="000000"/>
          <w:sz w:val="24"/>
          <w:szCs w:val="24"/>
        </w:rPr>
        <w:t>54</w:t>
      </w:r>
      <w:r w:rsidRPr="00B06B82">
        <w:rPr>
          <w:rFonts w:ascii="Times New Roman" w:eastAsia="Calibri" w:hAnsi="Times New Roman" w:cs="Times New Roman"/>
          <w:bCs/>
          <w:iCs/>
          <w:color w:val="000000"/>
          <w:sz w:val="24"/>
          <w:szCs w:val="24"/>
        </w:rPr>
        <w:t xml:space="preserve"> bola zvýšená na 1</w:t>
      </w:r>
      <w:r w:rsidR="009C71B6">
        <w:rPr>
          <w:rFonts w:ascii="Times New Roman" w:eastAsia="Calibri" w:hAnsi="Times New Roman" w:cs="Times New Roman"/>
          <w:bCs/>
          <w:iCs/>
          <w:color w:val="000000"/>
          <w:sz w:val="24"/>
          <w:szCs w:val="24"/>
        </w:rPr>
        <w:t>6</w:t>
      </w:r>
      <w:r w:rsidRPr="00B06B82">
        <w:rPr>
          <w:rFonts w:ascii="Times New Roman" w:eastAsia="Calibri" w:hAnsi="Times New Roman" w:cs="Times New Roman"/>
          <w:bCs/>
          <w:iCs/>
          <w:color w:val="000000"/>
          <w:sz w:val="24"/>
          <w:szCs w:val="24"/>
        </w:rPr>
        <w:t xml:space="preserve">0 eur, aby sa do odhadu dostali aj prípady, kedy bude mať </w:t>
      </w:r>
      <w:r w:rsidR="009C71B6">
        <w:rPr>
          <w:rFonts w:ascii="Times New Roman" w:eastAsia="Calibri" w:hAnsi="Times New Roman" w:cs="Times New Roman"/>
          <w:bCs/>
          <w:iCs/>
          <w:color w:val="000000"/>
          <w:sz w:val="24"/>
          <w:szCs w:val="24"/>
        </w:rPr>
        <w:t>zmluva</w:t>
      </w:r>
      <w:r w:rsidR="009C71B6" w:rsidRPr="00B06B82">
        <w:rPr>
          <w:rFonts w:ascii="Times New Roman" w:eastAsia="Calibri" w:hAnsi="Times New Roman" w:cs="Times New Roman"/>
          <w:bCs/>
          <w:iCs/>
          <w:color w:val="000000"/>
          <w:sz w:val="24"/>
          <w:szCs w:val="24"/>
        </w:rPr>
        <w:t xml:space="preserve"> </w:t>
      </w:r>
      <w:r w:rsidRPr="00B06B82">
        <w:rPr>
          <w:rFonts w:ascii="Times New Roman" w:eastAsia="Calibri" w:hAnsi="Times New Roman" w:cs="Times New Roman"/>
          <w:bCs/>
          <w:iCs/>
          <w:color w:val="000000"/>
          <w:sz w:val="24"/>
          <w:szCs w:val="24"/>
        </w:rPr>
        <w:t xml:space="preserve">viac strán. </w:t>
      </w:r>
    </w:p>
    <w:p w14:paraId="7A2D8F35" w14:textId="66FEF7C7" w:rsidR="00711E81" w:rsidRDefault="00492E66" w:rsidP="00B06B82">
      <w:pPr>
        <w:jc w:val="both"/>
        <w:rPr>
          <w:rFonts w:ascii="Times New Roman" w:eastAsia="Calibri" w:hAnsi="Times New Roman" w:cs="Times New Roman"/>
          <w:bCs/>
          <w:iCs/>
          <w:sz w:val="24"/>
          <w:szCs w:val="24"/>
        </w:rPr>
      </w:pPr>
      <w:r w:rsidRPr="00B06B82">
        <w:rPr>
          <w:rFonts w:ascii="Times New Roman" w:eastAsia="Calibri" w:hAnsi="Times New Roman" w:cs="Times New Roman"/>
          <w:bCs/>
          <w:iCs/>
          <w:sz w:val="24"/>
          <w:szCs w:val="24"/>
        </w:rPr>
        <w:t xml:space="preserve">Predkladateľ predpokladá rovnaký náklad aj v prípade nahradenia </w:t>
      </w:r>
      <w:r w:rsidR="009C71B6">
        <w:rPr>
          <w:rFonts w:ascii="Times New Roman" w:eastAsia="Calibri" w:hAnsi="Times New Roman" w:cs="Times New Roman"/>
          <w:bCs/>
          <w:iCs/>
          <w:sz w:val="24"/>
          <w:szCs w:val="24"/>
        </w:rPr>
        <w:t>zmluvy o prevode obchodného podielu</w:t>
      </w:r>
      <w:r w:rsidRPr="00B06B82">
        <w:rPr>
          <w:rFonts w:ascii="Times New Roman" w:eastAsia="Calibri" w:hAnsi="Times New Roman" w:cs="Times New Roman"/>
          <w:bCs/>
          <w:iCs/>
          <w:sz w:val="24"/>
          <w:szCs w:val="24"/>
        </w:rPr>
        <w:t xml:space="preserve"> zmluvou autorizovanou advokátom. V danom prípade však odhad môže byť podhodnotený, vzhľadom na neexistujúcu reguláciu odmeny advokáta za takúto službu </w:t>
      </w:r>
      <w:r w:rsidRPr="00B06B82">
        <w:rPr>
          <w:rFonts w:ascii="Times New Roman" w:eastAsia="Calibri" w:hAnsi="Times New Roman" w:cs="Times New Roman"/>
          <w:bCs/>
          <w:iCs/>
          <w:sz w:val="24"/>
          <w:szCs w:val="24"/>
        </w:rPr>
        <w:lastRenderedPageBreak/>
        <w:t xml:space="preserve">a značne odlišné ceny advokátov za tieto úkony (odlišnosť prítomná geograficky, ale aj podľa veľkosti či </w:t>
      </w:r>
      <w:proofErr w:type="spellStart"/>
      <w:r w:rsidRPr="00B06B82">
        <w:rPr>
          <w:rFonts w:ascii="Times New Roman" w:eastAsia="Calibri" w:hAnsi="Times New Roman" w:cs="Times New Roman"/>
          <w:bCs/>
          <w:iCs/>
          <w:sz w:val="24"/>
          <w:szCs w:val="24"/>
        </w:rPr>
        <w:t>renomovanosti</w:t>
      </w:r>
      <w:proofErr w:type="spellEnd"/>
      <w:r w:rsidRPr="00B06B82">
        <w:rPr>
          <w:rFonts w:ascii="Times New Roman" w:eastAsia="Calibri" w:hAnsi="Times New Roman" w:cs="Times New Roman"/>
          <w:bCs/>
          <w:iCs/>
          <w:sz w:val="24"/>
          <w:szCs w:val="24"/>
        </w:rPr>
        <w:t xml:space="preserve"> advokátskej kancel</w:t>
      </w:r>
      <w:r w:rsidR="00711E81">
        <w:rPr>
          <w:rFonts w:ascii="Times New Roman" w:eastAsia="Calibri" w:hAnsi="Times New Roman" w:cs="Times New Roman"/>
          <w:bCs/>
          <w:iCs/>
          <w:sz w:val="24"/>
          <w:szCs w:val="24"/>
        </w:rPr>
        <w:t>árie).</w:t>
      </w:r>
    </w:p>
    <w:p w14:paraId="70DFADA8" w14:textId="4D27EC52" w:rsidR="001D217E" w:rsidRDefault="001D217E" w:rsidP="001D217E">
      <w:pPr>
        <w:jc w:val="both"/>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t>1</w:t>
      </w:r>
      <w:r w:rsidR="00496737">
        <w:rPr>
          <w:rFonts w:ascii="Times New Roman" w:eastAsia="Calibri" w:hAnsi="Times New Roman" w:cs="Times New Roman"/>
          <w:b/>
          <w:bCs/>
          <w:iCs/>
          <w:color w:val="000000"/>
          <w:sz w:val="24"/>
          <w:szCs w:val="24"/>
        </w:rPr>
        <w:t>2</w:t>
      </w:r>
      <w:r>
        <w:rPr>
          <w:rFonts w:ascii="Times New Roman" w:eastAsia="Calibri" w:hAnsi="Times New Roman" w:cs="Times New Roman"/>
          <w:b/>
          <w:bCs/>
          <w:iCs/>
          <w:color w:val="000000"/>
          <w:sz w:val="24"/>
          <w:szCs w:val="24"/>
        </w:rPr>
        <w:t xml:space="preserve">. Povinná forma rozhodnutia </w:t>
      </w:r>
      <w:r w:rsidR="009C71B6">
        <w:rPr>
          <w:rFonts w:ascii="Times New Roman" w:eastAsia="Calibri" w:hAnsi="Times New Roman" w:cs="Times New Roman"/>
          <w:b/>
          <w:bCs/>
          <w:iCs/>
          <w:color w:val="000000"/>
          <w:sz w:val="24"/>
          <w:szCs w:val="24"/>
        </w:rPr>
        <w:t>valného zhromaždenia vo forme notárskej zápisnice</w:t>
      </w:r>
    </w:p>
    <w:p w14:paraId="5015F958" w14:textId="2F6261B8" w:rsidR="001D217E" w:rsidRDefault="001D217E" w:rsidP="001D217E">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S cieľom zlepšenia kvality údajov v obchodnom registri, ktoré je potrebné vzhľadom na právnu záväznosť údajov zverejnených v obchodnom registri ako aj zvýšenie právnej istoty v obchodnoprávnych vzťahoch, predkladateľ zavádza povinnú formu </w:t>
      </w:r>
      <w:r w:rsidR="009C71B6">
        <w:rPr>
          <w:rFonts w:ascii="Times New Roman" w:eastAsia="Calibri" w:hAnsi="Times New Roman" w:cs="Times New Roman"/>
          <w:bCs/>
          <w:iCs/>
          <w:color w:val="000000"/>
          <w:sz w:val="24"/>
          <w:szCs w:val="24"/>
        </w:rPr>
        <w:t xml:space="preserve">niektorých typov </w:t>
      </w:r>
      <w:r>
        <w:rPr>
          <w:rFonts w:ascii="Times New Roman" w:eastAsia="Calibri" w:hAnsi="Times New Roman" w:cs="Times New Roman"/>
          <w:bCs/>
          <w:iCs/>
          <w:color w:val="000000"/>
          <w:sz w:val="24"/>
          <w:szCs w:val="24"/>
        </w:rPr>
        <w:t>rozhodnut</w:t>
      </w:r>
      <w:r w:rsidR="009C71B6">
        <w:rPr>
          <w:rFonts w:ascii="Times New Roman" w:eastAsia="Calibri" w:hAnsi="Times New Roman" w:cs="Times New Roman"/>
          <w:bCs/>
          <w:iCs/>
          <w:color w:val="000000"/>
          <w:sz w:val="24"/>
          <w:szCs w:val="24"/>
        </w:rPr>
        <w:t>í</w:t>
      </w:r>
      <w:r>
        <w:rPr>
          <w:rFonts w:ascii="Times New Roman" w:eastAsia="Calibri" w:hAnsi="Times New Roman" w:cs="Times New Roman"/>
          <w:bCs/>
          <w:iCs/>
          <w:color w:val="000000"/>
          <w:sz w:val="24"/>
          <w:szCs w:val="24"/>
        </w:rPr>
        <w:t xml:space="preserve"> </w:t>
      </w:r>
      <w:r w:rsidR="009C71B6">
        <w:rPr>
          <w:rFonts w:ascii="Times New Roman" w:eastAsia="Calibri" w:hAnsi="Times New Roman" w:cs="Times New Roman"/>
          <w:bCs/>
          <w:iCs/>
          <w:color w:val="000000"/>
          <w:sz w:val="24"/>
          <w:szCs w:val="24"/>
        </w:rPr>
        <w:t>valného zhromaždenia</w:t>
      </w:r>
      <w:r w:rsidR="0016765A">
        <w:rPr>
          <w:rFonts w:ascii="Times New Roman" w:eastAsia="Calibri" w:hAnsi="Times New Roman" w:cs="Times New Roman"/>
          <w:bCs/>
          <w:iCs/>
          <w:color w:val="000000"/>
          <w:sz w:val="24"/>
          <w:szCs w:val="24"/>
        </w:rPr>
        <w:t xml:space="preserve"> </w:t>
      </w:r>
      <w:r>
        <w:rPr>
          <w:rFonts w:ascii="Times New Roman" w:eastAsia="Calibri" w:hAnsi="Times New Roman" w:cs="Times New Roman"/>
          <w:bCs/>
          <w:iCs/>
          <w:color w:val="000000"/>
          <w:sz w:val="24"/>
          <w:szCs w:val="24"/>
        </w:rPr>
        <w:t xml:space="preserve">vo forme notárskej zápisnice. </w:t>
      </w:r>
    </w:p>
    <w:p w14:paraId="760B93C9" w14:textId="5584C293" w:rsidR="001D217E" w:rsidRDefault="001D217E" w:rsidP="001D217E">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Ide o reguláciu, ktorá zvyšuje administratívnu záťaž, avšak je dôležitá vzhľadom na charakter zverejňovaných údajov a ochranu spoločností ako aj tretích osôb. </w:t>
      </w:r>
    </w:p>
    <w:p w14:paraId="353178A9" w14:textId="61295E16" w:rsidR="001D217E" w:rsidRDefault="001D217E" w:rsidP="001D217E">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Ide o nový typ regulácie, ktorý sa týka spoločností s ručením obmedzeným.</w:t>
      </w:r>
    </w:p>
    <w:p w14:paraId="45EEC1F0" w14:textId="10392DA9" w:rsidR="001D217E" w:rsidRDefault="001D217E" w:rsidP="001D217E">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Ako typ povinnosti bola zvolená Vypracovanie dokumentu</w:t>
      </w:r>
      <w:r w:rsidRPr="00B6686C">
        <w:rPr>
          <w:rFonts w:ascii="Times New Roman" w:eastAsia="Calibri" w:hAnsi="Times New Roman" w:cs="Times New Roman"/>
          <w:bCs/>
          <w:iCs/>
          <w:color w:val="000000"/>
          <w:sz w:val="24"/>
          <w:szCs w:val="24"/>
        </w:rPr>
        <w:t>.</w:t>
      </w:r>
      <w:r>
        <w:rPr>
          <w:rFonts w:ascii="Times New Roman" w:eastAsia="Calibri" w:hAnsi="Times New Roman" w:cs="Times New Roman"/>
          <w:bCs/>
          <w:iCs/>
          <w:color w:val="000000"/>
          <w:sz w:val="24"/>
          <w:szCs w:val="24"/>
        </w:rPr>
        <w:t xml:space="preserve"> Frekvencia je zvolená nepravidelne, nakoľko na základe dostupných dát sa nedá kvantifikovať, koľko subjektov </w:t>
      </w:r>
      <w:r w:rsidR="009C71B6">
        <w:rPr>
          <w:rFonts w:ascii="Times New Roman" w:eastAsia="Calibri" w:hAnsi="Times New Roman" w:cs="Times New Roman"/>
          <w:bCs/>
          <w:iCs/>
          <w:color w:val="000000"/>
          <w:sz w:val="24"/>
          <w:szCs w:val="24"/>
        </w:rPr>
        <w:t>uskutočňuje tieto rozhodnutia</w:t>
      </w:r>
      <w:r>
        <w:rPr>
          <w:rFonts w:ascii="Times New Roman" w:eastAsia="Calibri" w:hAnsi="Times New Roman" w:cs="Times New Roman"/>
          <w:bCs/>
          <w:iCs/>
          <w:color w:val="000000"/>
          <w:sz w:val="24"/>
          <w:szCs w:val="24"/>
        </w:rPr>
        <w:t xml:space="preserve"> napríklad na ročnej báze. Predkladateľ vychádzal z toho, že každý subjekt (čo do počtu určené nižšie) by v určitom čase </w:t>
      </w:r>
      <w:r w:rsidR="009C71B6">
        <w:rPr>
          <w:rFonts w:ascii="Times New Roman" w:eastAsia="Calibri" w:hAnsi="Times New Roman" w:cs="Times New Roman"/>
          <w:bCs/>
          <w:iCs/>
          <w:color w:val="000000"/>
          <w:sz w:val="24"/>
          <w:szCs w:val="24"/>
        </w:rPr>
        <w:t>takéto rozhodnutie  robil</w:t>
      </w:r>
      <w:r>
        <w:rPr>
          <w:rFonts w:ascii="Times New Roman" w:eastAsia="Calibri" w:hAnsi="Times New Roman" w:cs="Times New Roman"/>
          <w:bCs/>
          <w:iCs/>
          <w:color w:val="000000"/>
          <w:sz w:val="24"/>
          <w:szCs w:val="24"/>
        </w:rPr>
        <w:t xml:space="preserve">. </w:t>
      </w:r>
    </w:p>
    <w:p w14:paraId="7392E628" w14:textId="5749D72B" w:rsidR="001D217E" w:rsidRDefault="001D217E" w:rsidP="001D217E">
      <w:pPr>
        <w:spacing w:after="0"/>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Predkladateľ odhaduje ako iný nepriamy náklad odmenu notárovi za vypracovanie takejto notárskej zápisnice (vo výške 265 eur). Výška odmeny sa počíta podľa vyhlášky Ministerstva spravodlivosti Slovenskej republiky č. 31/1993 Zb. o odmenách a náhradách notárov (ďalej ako „vyhláška o odmenách“), pričom jej výšku tvoria:</w:t>
      </w:r>
    </w:p>
    <w:p w14:paraId="659481CB" w14:textId="466192BC" w:rsidR="001D217E" w:rsidRDefault="001D217E" w:rsidP="001D217E">
      <w:pPr>
        <w:pStyle w:val="Odsekzoznamu"/>
        <w:numPr>
          <w:ilvl w:val="0"/>
          <w:numId w:val="17"/>
        </w:numPr>
        <w:spacing w:after="0" w:line="256" w:lineRule="auto"/>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odmena za vypracovanie zápisnice vo výške 200 eur podľa položky A bod 2 (v danom prípade rozhodnutie prijíma valné zhromaždenie, prípadne jediný spoločník, ktorý vykonáva pôsobnosť valného zhromaždenia spoločnosti)</w:t>
      </w:r>
    </w:p>
    <w:p w14:paraId="0D442CEE" w14:textId="48A4C780" w:rsidR="001D217E" w:rsidRDefault="001D217E" w:rsidP="001D217E">
      <w:pPr>
        <w:pStyle w:val="Odsekzoznamu"/>
        <w:numPr>
          <w:ilvl w:val="0"/>
          <w:numId w:val="17"/>
        </w:numPr>
        <w:spacing w:after="0" w:line="256" w:lineRule="auto"/>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odmena za uloženie textu notárskej zápisnice do Notárskeho centrálneho registra listín za každú, aj začatú stranu uloženého textu, vo výške 5 eur (predkladateľ odhaduje, že notárska zápisnica má približne 2 strany)</w:t>
      </w:r>
    </w:p>
    <w:p w14:paraId="0B7C5452" w14:textId="5F9FA921" w:rsidR="001D217E" w:rsidRDefault="001D217E" w:rsidP="001D217E">
      <w:pPr>
        <w:pStyle w:val="Odsekzoznamu"/>
        <w:numPr>
          <w:ilvl w:val="0"/>
          <w:numId w:val="17"/>
        </w:numPr>
        <w:spacing w:after="0" w:line="256" w:lineRule="auto"/>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hotové výdavky notára - odmena a náhrada hotových výdavkov CIS vo výške 3,90 eur (v konkrétnom prípade však môžu byť aj vyššie, a to podľa požiadaviek klienta, napríklad za spísanie zápisnice na mieste, nie v notárskom úrade)</w:t>
      </w:r>
    </w:p>
    <w:p w14:paraId="3BBB878F" w14:textId="0B284B0E" w:rsidR="001D217E" w:rsidRDefault="001D217E" w:rsidP="001D217E">
      <w:pPr>
        <w:pStyle w:val="Odsekzoznamu"/>
        <w:numPr>
          <w:ilvl w:val="0"/>
          <w:numId w:val="17"/>
        </w:numPr>
        <w:spacing w:after="0" w:line="256" w:lineRule="auto"/>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daň z pridanej hodnoty (23%), ktorej platcami sú všetky notárske úrady, vypočítaná zo základu 213,90 eur.</w:t>
      </w:r>
    </w:p>
    <w:p w14:paraId="244C5483" w14:textId="1AE02D10" w:rsidR="001D217E" w:rsidRDefault="001D217E" w:rsidP="001D217E">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Celková suma vo výške 263,10 bola zvýšená na 265 eur, aby sa do odhadu dostali aj prípady, kedy bude mať rozhodnutie viac strán. </w:t>
      </w:r>
    </w:p>
    <w:p w14:paraId="0A2FC560" w14:textId="2CEF3166" w:rsidR="001D217E" w:rsidRDefault="001D217E" w:rsidP="00AD7193">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Počet subjektov, ktorých sa regulácia týka bol určený ako 5% všetkých spoločností s ručením obmedzeným, zapísaných v obchodnom registri (331 250). Číslo 9937 bolo zaokrúhlené na 9940. Kvalifikovaný odhad predkladateľa je, že v každej z týchto spoločností sa v určitom čase bude rozhodovať o zmene konateľa</w:t>
      </w:r>
      <w:r w:rsidR="0082391E">
        <w:rPr>
          <w:rFonts w:ascii="Times New Roman" w:eastAsia="Calibri" w:hAnsi="Times New Roman" w:cs="Times New Roman"/>
          <w:bCs/>
          <w:iCs/>
          <w:color w:val="000000"/>
          <w:sz w:val="24"/>
          <w:szCs w:val="24"/>
        </w:rPr>
        <w:t>, zmene pomerov či podiele hlasov spoločníkov.</w:t>
      </w:r>
      <w:r>
        <w:rPr>
          <w:rFonts w:ascii="Times New Roman" w:eastAsia="Calibri" w:hAnsi="Times New Roman" w:cs="Times New Roman"/>
          <w:bCs/>
          <w:iCs/>
          <w:color w:val="000000"/>
          <w:sz w:val="24"/>
          <w:szCs w:val="24"/>
        </w:rPr>
        <w:t xml:space="preserve"> </w:t>
      </w:r>
    </w:p>
    <w:p w14:paraId="10310DF0" w14:textId="3CC5C178" w:rsidR="001D217E" w:rsidRDefault="001D217E" w:rsidP="00AD7193">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Výpočet odmeny nereflektuje situáciu, kedy má spoločnosť s ručením obmedzeným jediného spoločníka, kedy sa vypracúva notárska zápisnica o právnom úkone, alternatívne rozhodnutie jediného spoločníka vo forme zmluvy autorizovanej advokátom. Predkladateľ sa domnieva, že reálne počty spoločností, ktoré konateľa budú v praxi meniť budú vyššie ako tie, použité pre výpoče</w:t>
      </w:r>
      <w:r w:rsidR="00711E81">
        <w:rPr>
          <w:rFonts w:ascii="Times New Roman" w:eastAsia="Calibri" w:hAnsi="Times New Roman" w:cs="Times New Roman"/>
          <w:bCs/>
          <w:iCs/>
          <w:color w:val="000000"/>
          <w:sz w:val="24"/>
          <w:szCs w:val="24"/>
        </w:rPr>
        <w:t>t v Kalkulačke nákladov a pred</w:t>
      </w:r>
      <w:r>
        <w:rPr>
          <w:rFonts w:ascii="Times New Roman" w:eastAsia="Calibri" w:hAnsi="Times New Roman" w:cs="Times New Roman"/>
          <w:bCs/>
          <w:iCs/>
          <w:color w:val="000000"/>
          <w:sz w:val="24"/>
          <w:szCs w:val="24"/>
        </w:rPr>
        <w:t xml:space="preserve">kladateľ počet </w:t>
      </w:r>
      <w:proofErr w:type="spellStart"/>
      <w:r>
        <w:rPr>
          <w:rFonts w:ascii="Times New Roman" w:eastAsia="Calibri" w:hAnsi="Times New Roman" w:cs="Times New Roman"/>
          <w:bCs/>
          <w:iCs/>
          <w:color w:val="000000"/>
          <w:sz w:val="24"/>
          <w:szCs w:val="24"/>
        </w:rPr>
        <w:t>jednoosobových</w:t>
      </w:r>
      <w:proofErr w:type="spellEnd"/>
      <w:r>
        <w:rPr>
          <w:rFonts w:ascii="Times New Roman" w:eastAsia="Calibri" w:hAnsi="Times New Roman" w:cs="Times New Roman"/>
          <w:bCs/>
          <w:iCs/>
          <w:color w:val="000000"/>
          <w:sz w:val="24"/>
          <w:szCs w:val="24"/>
        </w:rPr>
        <w:t xml:space="preserve"> spoločností z tohto počtu nie je možné. Z uvedeného dôvodu máme za to, že pr</w:t>
      </w:r>
      <w:r w:rsidR="00711E81">
        <w:rPr>
          <w:rFonts w:ascii="Times New Roman" w:eastAsia="Calibri" w:hAnsi="Times New Roman" w:cs="Times New Roman"/>
          <w:bCs/>
          <w:iCs/>
          <w:color w:val="000000"/>
          <w:sz w:val="24"/>
          <w:szCs w:val="24"/>
        </w:rPr>
        <w:t xml:space="preserve">edpokladané náklady sú schopné poňať aj </w:t>
      </w:r>
      <w:r w:rsidR="00711E81">
        <w:rPr>
          <w:rFonts w:ascii="Times New Roman" w:eastAsia="Calibri" w:hAnsi="Times New Roman" w:cs="Times New Roman"/>
          <w:bCs/>
          <w:iCs/>
          <w:color w:val="000000"/>
          <w:sz w:val="24"/>
          <w:szCs w:val="24"/>
        </w:rPr>
        <w:lastRenderedPageBreak/>
        <w:t xml:space="preserve">náklady, ktoré by vznikli vypracúvaním zápisnice o právnom úkone, a potenciálne by boli nižšie. </w:t>
      </w:r>
    </w:p>
    <w:p w14:paraId="3C65C03A" w14:textId="164CE954" w:rsidR="00D75BBD" w:rsidRPr="004C469A" w:rsidRDefault="00D75BBD" w:rsidP="00D75BBD">
      <w:pPr>
        <w:jc w:val="both"/>
        <w:rPr>
          <w:rFonts w:ascii="Times New Roman" w:eastAsia="Calibri" w:hAnsi="Times New Roman" w:cs="Times New Roman"/>
          <w:b/>
          <w:bCs/>
          <w:iCs/>
          <w:color w:val="000000"/>
          <w:sz w:val="24"/>
          <w:szCs w:val="24"/>
        </w:rPr>
      </w:pPr>
      <w:r w:rsidRPr="004C469A">
        <w:rPr>
          <w:rFonts w:ascii="Times New Roman" w:eastAsia="Calibri" w:hAnsi="Times New Roman" w:cs="Times New Roman"/>
          <w:b/>
          <w:bCs/>
          <w:iCs/>
          <w:color w:val="000000"/>
          <w:sz w:val="24"/>
          <w:szCs w:val="24"/>
        </w:rPr>
        <w:t>1</w:t>
      </w:r>
      <w:r w:rsidR="00496737">
        <w:rPr>
          <w:rFonts w:ascii="Times New Roman" w:eastAsia="Calibri" w:hAnsi="Times New Roman" w:cs="Times New Roman"/>
          <w:b/>
          <w:bCs/>
          <w:iCs/>
          <w:color w:val="000000"/>
          <w:sz w:val="24"/>
          <w:szCs w:val="24"/>
        </w:rPr>
        <w:t>3</w:t>
      </w:r>
      <w:r w:rsidRPr="004C469A">
        <w:rPr>
          <w:rFonts w:ascii="Times New Roman" w:eastAsia="Calibri" w:hAnsi="Times New Roman" w:cs="Times New Roman"/>
          <w:b/>
          <w:bCs/>
          <w:iCs/>
          <w:color w:val="000000"/>
          <w:sz w:val="24"/>
          <w:szCs w:val="24"/>
        </w:rPr>
        <w:t>. Registrácia notárom do obchodného registra pre všetky právne formy - prvozápisy a zápis zmeny</w:t>
      </w:r>
    </w:p>
    <w:p w14:paraId="268C4178" w14:textId="77777777" w:rsidR="00D75BBD" w:rsidRPr="004C469A" w:rsidRDefault="00D75BBD" w:rsidP="00D75BBD">
      <w:pPr>
        <w:jc w:val="both"/>
        <w:rPr>
          <w:rFonts w:ascii="Times New Roman" w:eastAsia="Calibri" w:hAnsi="Times New Roman" w:cs="Times New Roman"/>
          <w:bCs/>
          <w:iCs/>
          <w:color w:val="000000"/>
          <w:sz w:val="24"/>
          <w:szCs w:val="24"/>
        </w:rPr>
      </w:pPr>
      <w:r w:rsidRPr="004C469A">
        <w:rPr>
          <w:rFonts w:ascii="Times New Roman" w:eastAsia="Calibri" w:hAnsi="Times New Roman" w:cs="Times New Roman"/>
          <w:bCs/>
          <w:iCs/>
          <w:color w:val="000000"/>
          <w:sz w:val="24"/>
          <w:szCs w:val="24"/>
        </w:rPr>
        <w:t xml:space="preserve">Návrhom zákona sa zavádza registrácia notárom – registrátorom - pre všetky prvozápisy a zmeny zápisu v obchodnom registri (s výnimkou zápisov v dôsledku premien) pri všetkých osobách zapisovaných do obchodného registra. </w:t>
      </w:r>
    </w:p>
    <w:p w14:paraId="6DB86E9C" w14:textId="77777777" w:rsidR="00D75BBD" w:rsidRPr="004C469A" w:rsidRDefault="00D75BBD" w:rsidP="00D75BBD">
      <w:pPr>
        <w:jc w:val="both"/>
        <w:rPr>
          <w:rFonts w:ascii="Times New Roman" w:eastAsia="Calibri" w:hAnsi="Times New Roman" w:cs="Times New Roman"/>
          <w:bCs/>
          <w:iCs/>
          <w:color w:val="000000"/>
          <w:sz w:val="24"/>
          <w:szCs w:val="24"/>
        </w:rPr>
      </w:pPr>
      <w:r w:rsidRPr="004C469A">
        <w:rPr>
          <w:rFonts w:ascii="Times New Roman" w:eastAsia="Calibri" w:hAnsi="Times New Roman" w:cs="Times New Roman"/>
          <w:bCs/>
          <w:iCs/>
          <w:color w:val="000000"/>
          <w:sz w:val="24"/>
          <w:szCs w:val="24"/>
        </w:rPr>
        <w:t>Ide o reguláciu, ktorá nadväzuje na v súčasnosti účinnú úpravu – notári ako registrátori môžu vykonávať prvozápisy a zmeny zápisov do obchodného registra vo vzťahu k spoločnosti s ručením obmedzeným.</w:t>
      </w:r>
    </w:p>
    <w:p w14:paraId="57784497" w14:textId="069E2E07" w:rsidR="00D75BBD" w:rsidRDefault="00D75BBD" w:rsidP="00D75BBD">
      <w:pPr>
        <w:jc w:val="both"/>
        <w:rPr>
          <w:rFonts w:ascii="Times New Roman" w:eastAsia="Calibri" w:hAnsi="Times New Roman" w:cs="Times New Roman"/>
          <w:bCs/>
          <w:iCs/>
          <w:color w:val="000000"/>
          <w:sz w:val="24"/>
          <w:szCs w:val="24"/>
        </w:rPr>
      </w:pPr>
      <w:r w:rsidRPr="004C469A">
        <w:rPr>
          <w:rFonts w:ascii="Times New Roman" w:eastAsia="Calibri" w:hAnsi="Times New Roman" w:cs="Times New Roman"/>
          <w:bCs/>
          <w:iCs/>
          <w:color w:val="000000"/>
          <w:sz w:val="24"/>
          <w:szCs w:val="24"/>
        </w:rPr>
        <w:t xml:space="preserve">Ide o reguláciu, ktorá má pozitívny vplyv na kategóriu podnikateľov – notárov. Za vykonaný úkon patrí notárovi odmena [§ 95 zákona č. 323/1992 Zb. o notároch a notárskej činnosti (Notársky poriadok), pričom výška odmeny je ustanovená všeobecne záväzným právnym predpisom – vyhláška Ministerstva spravodlivosti Slovenskej republiky č. 31/1993 Z. z. o odmenách a náhradách notárov]. Hoci výška odmeny pre niektoré úkony nie je v súčasnosti určená (úkony, ktoré sa v súčasnosti nedajú uskutočniť u notára) a nakoľko existujúce  odmeny v zásade kopírujú výšku súdnych poplatkov platených za rovnaké úkony vykonané prostredníctvom registrového súdu, predkladateľ predpokladá pozitívny vplyv na túto kategóriu podnikateľov vo výške výpadku na štátnom rozpočte, zhodnotenom podľa analýzy vplyvov na rozpočet verejnej správy.  </w:t>
      </w:r>
    </w:p>
    <w:p w14:paraId="6B08BF79" w14:textId="76F05CB4" w:rsidR="0016765A" w:rsidRDefault="0016765A" w:rsidP="0016765A">
      <w:pPr>
        <w:jc w:val="both"/>
        <w:rPr>
          <w:rFonts w:ascii="Times New Roman" w:eastAsia="Calibri" w:hAnsi="Times New Roman" w:cs="Times New Roman"/>
          <w:b/>
          <w:bCs/>
          <w:iCs/>
          <w:color w:val="000000"/>
          <w:sz w:val="24"/>
          <w:szCs w:val="24"/>
        </w:rPr>
      </w:pPr>
      <w:r w:rsidRPr="004C469A">
        <w:rPr>
          <w:rFonts w:ascii="Times New Roman" w:eastAsia="Calibri" w:hAnsi="Times New Roman" w:cs="Times New Roman"/>
          <w:b/>
          <w:bCs/>
          <w:iCs/>
          <w:color w:val="000000"/>
          <w:sz w:val="24"/>
          <w:szCs w:val="24"/>
        </w:rPr>
        <w:t>1</w:t>
      </w:r>
      <w:r>
        <w:rPr>
          <w:rFonts w:ascii="Times New Roman" w:eastAsia="Calibri" w:hAnsi="Times New Roman" w:cs="Times New Roman"/>
          <w:b/>
          <w:bCs/>
          <w:iCs/>
          <w:color w:val="000000"/>
          <w:sz w:val="24"/>
          <w:szCs w:val="24"/>
        </w:rPr>
        <w:t>4</w:t>
      </w:r>
      <w:r w:rsidRPr="004C469A">
        <w:rPr>
          <w:rFonts w:ascii="Times New Roman" w:eastAsia="Calibri" w:hAnsi="Times New Roman" w:cs="Times New Roman"/>
          <w:b/>
          <w:bCs/>
          <w:iCs/>
          <w:color w:val="000000"/>
          <w:sz w:val="24"/>
          <w:szCs w:val="24"/>
        </w:rPr>
        <w:t xml:space="preserve">. </w:t>
      </w:r>
      <w:r w:rsidRPr="0016765A">
        <w:rPr>
          <w:rFonts w:ascii="Times New Roman" w:eastAsia="Calibri" w:hAnsi="Times New Roman" w:cs="Times New Roman"/>
          <w:b/>
          <w:bCs/>
          <w:iCs/>
          <w:color w:val="000000"/>
          <w:sz w:val="24"/>
          <w:szCs w:val="24"/>
        </w:rPr>
        <w:t>Registrácia notárom do obchodného registra - odmena notára</w:t>
      </w:r>
    </w:p>
    <w:p w14:paraId="7E216E48" w14:textId="4DE88D8D" w:rsidR="0016765A" w:rsidRPr="004C469A" w:rsidRDefault="0016765A" w:rsidP="0016765A">
      <w:pPr>
        <w:jc w:val="both"/>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t xml:space="preserve">15. Registrácia </w:t>
      </w:r>
      <w:r w:rsidRPr="0016765A">
        <w:rPr>
          <w:rFonts w:ascii="Times New Roman" w:eastAsia="Calibri" w:hAnsi="Times New Roman" w:cs="Times New Roman"/>
          <w:b/>
          <w:bCs/>
          <w:iCs/>
          <w:color w:val="000000"/>
          <w:sz w:val="24"/>
          <w:szCs w:val="24"/>
        </w:rPr>
        <w:t>registrovým súdom do obchodného registra - súdny poplatok</w:t>
      </w:r>
    </w:p>
    <w:p w14:paraId="5D0664B4" w14:textId="51665BAE" w:rsidR="0016765A" w:rsidRDefault="0016765A" w:rsidP="00D75BBD">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Uvedené regulácie zohľadňujú pozitívny vplyv, ktorý bude mať regulácia na podnikateľské prostredie tým, že podnikatelia nebudú podávať návrhy </w:t>
      </w:r>
      <w:r w:rsidR="009444D5">
        <w:rPr>
          <w:rFonts w:ascii="Times New Roman" w:eastAsia="Calibri" w:hAnsi="Times New Roman" w:cs="Times New Roman"/>
          <w:bCs/>
          <w:iCs/>
          <w:color w:val="000000"/>
          <w:sz w:val="24"/>
          <w:szCs w:val="24"/>
        </w:rPr>
        <w:t xml:space="preserve">registrovému súdu </w:t>
      </w:r>
      <w:r>
        <w:rPr>
          <w:rFonts w:ascii="Times New Roman" w:eastAsia="Calibri" w:hAnsi="Times New Roman" w:cs="Times New Roman"/>
          <w:bCs/>
          <w:iCs/>
          <w:color w:val="000000"/>
          <w:sz w:val="24"/>
          <w:szCs w:val="24"/>
        </w:rPr>
        <w:t xml:space="preserve">do obchodného registra a platiť relevantný súdny poplatok a zároveň tým spôsobený negatívny vplyv, ktorý bude mať regulácia na podnikateľské prostredie tým, že podnikatelia budú podávať návrhy do obchodného registra </w:t>
      </w:r>
      <w:r w:rsidR="009444D5">
        <w:rPr>
          <w:rFonts w:ascii="Times New Roman" w:eastAsia="Calibri" w:hAnsi="Times New Roman" w:cs="Times New Roman"/>
          <w:bCs/>
          <w:iCs/>
          <w:color w:val="000000"/>
          <w:sz w:val="24"/>
          <w:szCs w:val="24"/>
        </w:rPr>
        <w:t xml:space="preserve">notárovi </w:t>
      </w:r>
      <w:r>
        <w:rPr>
          <w:rFonts w:ascii="Times New Roman" w:eastAsia="Calibri" w:hAnsi="Times New Roman" w:cs="Times New Roman"/>
          <w:bCs/>
          <w:iCs/>
          <w:color w:val="000000"/>
          <w:sz w:val="24"/>
          <w:szCs w:val="24"/>
        </w:rPr>
        <w:t xml:space="preserve">a platiť </w:t>
      </w:r>
      <w:r w:rsidR="009444D5">
        <w:rPr>
          <w:rFonts w:ascii="Times New Roman" w:eastAsia="Calibri" w:hAnsi="Times New Roman" w:cs="Times New Roman"/>
          <w:bCs/>
          <w:iCs/>
          <w:color w:val="000000"/>
          <w:sz w:val="24"/>
          <w:szCs w:val="24"/>
        </w:rPr>
        <w:t xml:space="preserve">zodpovedajúcu odmenu notára. </w:t>
      </w:r>
    </w:p>
    <w:p w14:paraId="44752407" w14:textId="51B993FD" w:rsidR="0016765A" w:rsidRPr="004C469A" w:rsidRDefault="009444D5" w:rsidP="00D75BBD">
      <w:pPr>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V danom prípade ide o expertný odhad, ktorý vychádza z predpokladaného vplyvu na rozpočet verejnej správy obsiahnutého v analýze vplyvov na rozpočet. </w:t>
      </w:r>
    </w:p>
    <w:p w14:paraId="0EB298DB" w14:textId="77777777" w:rsidR="00512BA7" w:rsidRPr="00B24EFE" w:rsidRDefault="00511F8F" w:rsidP="00512BA7">
      <w:pPr>
        <w:jc w:val="both"/>
        <w:rPr>
          <w:rFonts w:ascii="Times New Roman" w:eastAsia="Calibri" w:hAnsi="Times New Roman" w:cs="Times New Roman"/>
          <w:b/>
          <w:bCs/>
          <w:i/>
          <w:sz w:val="24"/>
          <w:szCs w:val="24"/>
          <w:u w:val="single"/>
        </w:rPr>
      </w:pPr>
      <w:r w:rsidRPr="00B24EFE">
        <w:rPr>
          <w:rFonts w:ascii="Times New Roman" w:eastAsia="Calibri" w:hAnsi="Times New Roman" w:cs="Times New Roman"/>
          <w:b/>
          <w:bCs/>
          <w:i/>
          <w:sz w:val="24"/>
          <w:szCs w:val="24"/>
          <w:u w:val="single"/>
        </w:rPr>
        <w:t xml:space="preserve">3.1.4 </w:t>
      </w:r>
      <w:r w:rsidR="001E24E8" w:rsidRPr="00B24EFE">
        <w:rPr>
          <w:rFonts w:ascii="Times New Roman" w:eastAsia="Calibri" w:hAnsi="Times New Roman" w:cs="Times New Roman"/>
          <w:b/>
          <w:bCs/>
          <w:i/>
          <w:sz w:val="24"/>
          <w:szCs w:val="24"/>
          <w:u w:val="single"/>
        </w:rPr>
        <w:t>Odôvodnenie</w:t>
      </w:r>
      <w:r w:rsidR="008F6ADE" w:rsidRPr="00B24EFE">
        <w:rPr>
          <w:rFonts w:ascii="Times New Roman" w:eastAsia="Calibri" w:hAnsi="Times New Roman" w:cs="Times New Roman"/>
          <w:b/>
          <w:bCs/>
          <w:i/>
          <w:sz w:val="24"/>
          <w:szCs w:val="24"/>
          <w:u w:val="single"/>
        </w:rPr>
        <w:t xml:space="preserve"> </w:t>
      </w:r>
      <w:proofErr w:type="spellStart"/>
      <w:r w:rsidR="008F6ADE" w:rsidRPr="00B24EFE">
        <w:rPr>
          <w:rFonts w:ascii="Times New Roman" w:eastAsia="Calibri" w:hAnsi="Times New Roman" w:cs="Times New Roman"/>
          <w:b/>
          <w:bCs/>
          <w:i/>
          <w:sz w:val="24"/>
          <w:szCs w:val="24"/>
          <w:u w:val="single"/>
        </w:rPr>
        <w:t>goldplating</w:t>
      </w:r>
      <w:r w:rsidR="0016512E" w:rsidRPr="00B24EFE">
        <w:rPr>
          <w:rFonts w:ascii="Times New Roman" w:eastAsia="Calibri" w:hAnsi="Times New Roman" w:cs="Times New Roman"/>
          <w:b/>
          <w:bCs/>
          <w:i/>
          <w:sz w:val="24"/>
          <w:szCs w:val="24"/>
          <w:u w:val="single"/>
        </w:rPr>
        <w:t>u</w:t>
      </w:r>
      <w:proofErr w:type="spellEnd"/>
      <w:r w:rsidR="001E24E8" w:rsidRPr="00B24EFE">
        <w:rPr>
          <w:rFonts w:ascii="Times New Roman" w:eastAsia="Calibri" w:hAnsi="Times New Roman" w:cs="Times New Roman"/>
          <w:b/>
          <w:bCs/>
          <w:i/>
          <w:sz w:val="24"/>
          <w:szCs w:val="24"/>
          <w:u w:val="single"/>
        </w:rPr>
        <w:t xml:space="preserve"> </w:t>
      </w:r>
      <w:r w:rsidR="008F6ADE" w:rsidRPr="00B24EFE">
        <w:rPr>
          <w:rFonts w:ascii="Times New Roman" w:eastAsia="Calibri" w:hAnsi="Times New Roman" w:cs="Times New Roman"/>
          <w:b/>
          <w:bCs/>
          <w:i/>
          <w:sz w:val="24"/>
          <w:szCs w:val="24"/>
          <w:u w:val="single"/>
        </w:rPr>
        <w:t xml:space="preserve">podľa bodu 4 časti III </w:t>
      </w:r>
      <w:r w:rsidR="00FA6FFE" w:rsidRPr="00B24EFE">
        <w:rPr>
          <w:rFonts w:ascii="Times New Roman" w:eastAsia="Calibri" w:hAnsi="Times New Roman" w:cs="Times New Roman"/>
          <w:b/>
          <w:bCs/>
          <w:i/>
          <w:sz w:val="24"/>
          <w:szCs w:val="24"/>
          <w:u w:val="single"/>
        </w:rPr>
        <w:t>j</w:t>
      </w:r>
      <w:r w:rsidR="001E24E8" w:rsidRPr="00B24EFE">
        <w:rPr>
          <w:rFonts w:ascii="Times New Roman" w:eastAsia="Calibri" w:hAnsi="Times New Roman" w:cs="Times New Roman"/>
          <w:b/>
          <w:bCs/>
          <w:i/>
          <w:sz w:val="24"/>
          <w:szCs w:val="24"/>
          <w:u w:val="single"/>
        </w:rPr>
        <w:t xml:space="preserve">ednotnej metodiky </w:t>
      </w:r>
      <w:r w:rsidR="00400BA5" w:rsidRPr="00B24EFE">
        <w:rPr>
          <w:rFonts w:ascii="Times New Roman" w:eastAsia="Calibri" w:hAnsi="Times New Roman" w:cs="Times New Roman"/>
          <w:b/>
          <w:bCs/>
          <w:i/>
          <w:sz w:val="24"/>
          <w:szCs w:val="24"/>
          <w:u w:val="single"/>
        </w:rPr>
        <w:t>a </w:t>
      </w:r>
      <w:r w:rsidR="00B21D1F" w:rsidRPr="00B24EFE">
        <w:rPr>
          <w:rFonts w:ascii="Times New Roman" w:eastAsia="Calibri" w:hAnsi="Times New Roman" w:cs="Times New Roman"/>
          <w:b/>
          <w:bCs/>
          <w:i/>
          <w:sz w:val="24"/>
          <w:szCs w:val="24"/>
          <w:u w:val="single"/>
        </w:rPr>
        <w:t>ďalšie</w:t>
      </w:r>
      <w:r w:rsidR="00400BA5" w:rsidRPr="00B24EFE">
        <w:rPr>
          <w:rFonts w:ascii="Times New Roman" w:eastAsia="Calibri" w:hAnsi="Times New Roman" w:cs="Times New Roman"/>
          <w:b/>
          <w:bCs/>
          <w:i/>
          <w:sz w:val="24"/>
          <w:szCs w:val="24"/>
          <w:u w:val="single"/>
        </w:rPr>
        <w:t xml:space="preserve"> d</w:t>
      </w:r>
      <w:r w:rsidR="00512BA7" w:rsidRPr="00B24EFE">
        <w:rPr>
          <w:rFonts w:ascii="Times New Roman" w:eastAsia="Calibri" w:hAnsi="Times New Roman" w:cs="Times New Roman"/>
          <w:b/>
          <w:bCs/>
          <w:i/>
          <w:sz w:val="24"/>
          <w:szCs w:val="24"/>
          <w:u w:val="single"/>
        </w:rPr>
        <w:t>oplňujúce informácie</w:t>
      </w:r>
      <w:r w:rsidR="00512BA7" w:rsidRPr="00B24EFE">
        <w:rPr>
          <w:rStyle w:val="Odkaznapoznmkupodiarou"/>
          <w:rFonts w:ascii="Times New Roman" w:eastAsia="Calibri" w:hAnsi="Times New Roman" w:cs="Times New Roman"/>
          <w:b/>
          <w:bCs/>
          <w:i/>
          <w:sz w:val="24"/>
          <w:szCs w:val="24"/>
          <w:u w:val="single"/>
        </w:rPr>
        <w:footnoteReference w:id="2"/>
      </w:r>
      <w:r w:rsidR="00512BA7" w:rsidRPr="00B24EFE">
        <w:rPr>
          <w:rFonts w:ascii="Times New Roman" w:eastAsia="Calibri" w:hAnsi="Times New Roman" w:cs="Times New Roman"/>
          <w:b/>
          <w:bCs/>
          <w:i/>
          <w:sz w:val="24"/>
          <w:szCs w:val="24"/>
          <w:u w:val="single"/>
        </w:rPr>
        <w:t xml:space="preserve"> </w:t>
      </w:r>
    </w:p>
    <w:p w14:paraId="749EC593" w14:textId="77777777" w:rsidR="000C5419" w:rsidRPr="00B24EFE" w:rsidRDefault="000C5419" w:rsidP="000C5419">
      <w:pPr>
        <w:jc w:val="both"/>
        <w:rPr>
          <w:rFonts w:ascii="Times New Roman" w:eastAsia="Calibri" w:hAnsi="Times New Roman" w:cs="Times New Roman"/>
          <w:bCs/>
          <w:i/>
          <w:iCs/>
          <w:color w:val="000000"/>
          <w:sz w:val="24"/>
          <w:szCs w:val="24"/>
        </w:rPr>
      </w:pPr>
      <w:r w:rsidRPr="00B24EFE">
        <w:rPr>
          <w:rFonts w:ascii="Times New Roman" w:eastAsia="Calibri" w:hAnsi="Times New Roman" w:cs="Times New Roman"/>
          <w:bCs/>
          <w:i/>
          <w:iCs/>
          <w:color w:val="000000"/>
          <w:sz w:val="24"/>
          <w:szCs w:val="24"/>
        </w:rPr>
        <w:t xml:space="preserve">Požadované informácie </w:t>
      </w:r>
      <w:r w:rsidR="00F153D7" w:rsidRPr="00B24EFE">
        <w:rPr>
          <w:rFonts w:ascii="Times New Roman" w:eastAsia="Calibri" w:hAnsi="Times New Roman" w:cs="Times New Roman"/>
          <w:bCs/>
          <w:i/>
          <w:iCs/>
          <w:color w:val="000000"/>
          <w:sz w:val="24"/>
          <w:szCs w:val="24"/>
        </w:rPr>
        <w:t>uveďte</w:t>
      </w:r>
      <w:r w:rsidRPr="00B24EFE">
        <w:rPr>
          <w:rFonts w:ascii="Times New Roman" w:eastAsia="Calibri" w:hAnsi="Times New Roman" w:cs="Times New Roman"/>
          <w:bCs/>
          <w:i/>
          <w:iCs/>
          <w:color w:val="000000"/>
          <w:sz w:val="24"/>
          <w:szCs w:val="24"/>
        </w:rPr>
        <w:t xml:space="preserve"> osobitne ku každému identifikovanému </w:t>
      </w:r>
      <w:proofErr w:type="spellStart"/>
      <w:r w:rsidRPr="00B24EFE">
        <w:rPr>
          <w:rFonts w:ascii="Times New Roman" w:eastAsia="Calibri" w:hAnsi="Times New Roman" w:cs="Times New Roman"/>
          <w:bCs/>
          <w:i/>
          <w:iCs/>
          <w:color w:val="000000"/>
          <w:sz w:val="24"/>
          <w:szCs w:val="24"/>
        </w:rPr>
        <w:t>goldplatingu</w:t>
      </w:r>
      <w:proofErr w:type="spellEnd"/>
      <w:r w:rsidRPr="00B24EFE">
        <w:rPr>
          <w:rFonts w:ascii="Times New Roman" w:eastAsia="Calibri" w:hAnsi="Times New Roman" w:cs="Times New Roman"/>
          <w:bCs/>
          <w:i/>
          <w:iCs/>
          <w:color w:val="000000"/>
          <w:sz w:val="24"/>
          <w:szCs w:val="24"/>
        </w:rPr>
        <w:t xml:space="preserve"> (ku každej hodnotenej regulácii s </w:t>
      </w:r>
      <w:proofErr w:type="spellStart"/>
      <w:r w:rsidRPr="00B24EFE">
        <w:rPr>
          <w:rFonts w:ascii="Times New Roman" w:eastAsia="Calibri" w:hAnsi="Times New Roman" w:cs="Times New Roman"/>
          <w:bCs/>
          <w:i/>
          <w:iCs/>
          <w:color w:val="000000"/>
          <w:sz w:val="24"/>
          <w:szCs w:val="24"/>
        </w:rPr>
        <w:t>goldplatingom</w:t>
      </w:r>
      <w:proofErr w:type="spellEnd"/>
      <w:r w:rsidRPr="00B24EFE">
        <w:rPr>
          <w:rFonts w:ascii="Times New Roman" w:eastAsia="Calibri" w:hAnsi="Times New Roman" w:cs="Times New Roman"/>
          <w:bCs/>
          <w:i/>
          <w:iCs/>
          <w:color w:val="000000"/>
          <w:sz w:val="24"/>
          <w:szCs w:val="24"/>
        </w:rPr>
        <w:t xml:space="preserve"> osobitne). </w:t>
      </w:r>
    </w:p>
    <w:p w14:paraId="0A0E8534" w14:textId="426D12B1" w:rsidR="0016512E" w:rsidRPr="00B24EFE" w:rsidRDefault="0016512E" w:rsidP="0016512E">
      <w:pPr>
        <w:jc w:val="both"/>
        <w:rPr>
          <w:rFonts w:ascii="Times New Roman" w:eastAsia="Calibri" w:hAnsi="Times New Roman" w:cs="Times New Roman"/>
          <w:bCs/>
          <w:i/>
          <w:iCs/>
          <w:color w:val="000000"/>
          <w:sz w:val="24"/>
          <w:szCs w:val="24"/>
        </w:rPr>
      </w:pPr>
      <w:r w:rsidRPr="00B24EFE">
        <w:rPr>
          <w:rFonts w:ascii="Times New Roman" w:eastAsia="Calibri" w:hAnsi="Times New Roman" w:cs="Times New Roman"/>
          <w:bCs/>
          <w:i/>
          <w:iCs/>
          <w:color w:val="000000"/>
          <w:sz w:val="24"/>
          <w:szCs w:val="24"/>
        </w:rPr>
        <w:lastRenderedPageBreak/>
        <w:t>Uveďte</w:t>
      </w:r>
      <w:r w:rsidR="004239D1" w:rsidRPr="00B24EFE">
        <w:rPr>
          <w:rFonts w:ascii="Times New Roman" w:eastAsia="Calibri" w:hAnsi="Times New Roman" w:cs="Times New Roman"/>
          <w:bCs/>
          <w:i/>
          <w:iCs/>
          <w:color w:val="000000"/>
          <w:sz w:val="24"/>
          <w:szCs w:val="24"/>
        </w:rPr>
        <w:t xml:space="preserve"> odôvodnenie </w:t>
      </w:r>
      <w:proofErr w:type="spellStart"/>
      <w:r w:rsidR="004239D1" w:rsidRPr="00B24EFE">
        <w:rPr>
          <w:rFonts w:ascii="Times New Roman" w:eastAsia="Calibri" w:hAnsi="Times New Roman" w:cs="Times New Roman"/>
          <w:bCs/>
          <w:i/>
          <w:iCs/>
          <w:color w:val="000000"/>
          <w:sz w:val="24"/>
          <w:szCs w:val="24"/>
        </w:rPr>
        <w:t>goldplatingu</w:t>
      </w:r>
      <w:proofErr w:type="spellEnd"/>
      <w:r w:rsidR="004239D1" w:rsidRPr="00B24EFE">
        <w:rPr>
          <w:rFonts w:ascii="Times New Roman" w:eastAsia="Calibri" w:hAnsi="Times New Roman" w:cs="Times New Roman"/>
          <w:bCs/>
          <w:i/>
          <w:iCs/>
          <w:color w:val="000000"/>
          <w:sz w:val="24"/>
          <w:szCs w:val="24"/>
        </w:rPr>
        <w:t xml:space="preserve"> z hľadiska jeho nespochybniteľnej nevyhnutnosti.</w:t>
      </w:r>
      <w:r w:rsidRPr="00B24EFE">
        <w:rPr>
          <w:rFonts w:ascii="Times New Roman" w:eastAsia="Calibri" w:hAnsi="Times New Roman" w:cs="Times New Roman"/>
          <w:bCs/>
          <w:i/>
          <w:iCs/>
          <w:color w:val="000000"/>
          <w:sz w:val="24"/>
          <w:szCs w:val="24"/>
        </w:rPr>
        <w:t xml:space="preserve"> Odôvodnenie doložte dôkladným hodnotením prínosov a</w:t>
      </w:r>
      <w:r w:rsidR="005D39D8" w:rsidRPr="00B24EFE">
        <w:rPr>
          <w:rFonts w:ascii="Times New Roman" w:eastAsia="Calibri" w:hAnsi="Times New Roman" w:cs="Times New Roman"/>
          <w:bCs/>
          <w:i/>
          <w:iCs/>
          <w:color w:val="000000"/>
          <w:sz w:val="24"/>
          <w:szCs w:val="24"/>
        </w:rPr>
        <w:t> </w:t>
      </w:r>
      <w:r w:rsidRPr="00B24EFE">
        <w:rPr>
          <w:rFonts w:ascii="Times New Roman" w:eastAsia="Calibri" w:hAnsi="Times New Roman" w:cs="Times New Roman"/>
          <w:bCs/>
          <w:i/>
          <w:iCs/>
          <w:color w:val="000000"/>
          <w:sz w:val="24"/>
          <w:szCs w:val="24"/>
        </w:rPr>
        <w:t>nákladov</w:t>
      </w:r>
      <w:r w:rsidR="005D39D8" w:rsidRPr="00B24EFE">
        <w:rPr>
          <w:rFonts w:ascii="Times New Roman" w:eastAsia="Calibri" w:hAnsi="Times New Roman" w:cs="Times New Roman"/>
          <w:bCs/>
          <w:i/>
          <w:iCs/>
          <w:color w:val="000000"/>
          <w:sz w:val="24"/>
          <w:szCs w:val="24"/>
        </w:rPr>
        <w:t>. Uveďte zvážené alternatívne riešenia</w:t>
      </w:r>
      <w:r w:rsidRPr="00B24EFE">
        <w:rPr>
          <w:rFonts w:ascii="Times New Roman" w:eastAsia="Calibri" w:hAnsi="Times New Roman" w:cs="Times New Roman"/>
          <w:bCs/>
          <w:i/>
          <w:iCs/>
          <w:color w:val="000000"/>
          <w:sz w:val="24"/>
          <w:szCs w:val="24"/>
        </w:rPr>
        <w:t>.</w:t>
      </w:r>
    </w:p>
    <w:p w14:paraId="6A18C579" w14:textId="0633763E" w:rsidR="000C5419" w:rsidRPr="00B24EFE" w:rsidRDefault="00990813" w:rsidP="000C5419">
      <w:pPr>
        <w:jc w:val="both"/>
        <w:rPr>
          <w:rFonts w:ascii="Times New Roman" w:eastAsia="Calibri" w:hAnsi="Times New Roman" w:cs="Times New Roman"/>
          <w:bCs/>
          <w:i/>
          <w:iCs/>
          <w:color w:val="000000"/>
          <w:sz w:val="24"/>
          <w:szCs w:val="24"/>
        </w:rPr>
      </w:pPr>
      <w:r w:rsidRPr="00B24EFE">
        <w:rPr>
          <w:rFonts w:ascii="Times New Roman" w:eastAsia="Calibri" w:hAnsi="Times New Roman" w:cs="Times New Roman"/>
          <w:bCs/>
          <w:i/>
          <w:iCs/>
          <w:color w:val="000000"/>
          <w:sz w:val="24"/>
          <w:szCs w:val="24"/>
        </w:rPr>
        <w:t xml:space="preserve">Zároveň </w:t>
      </w:r>
      <w:r w:rsidR="00D5309D" w:rsidRPr="00B24EFE">
        <w:rPr>
          <w:rFonts w:ascii="Times New Roman" w:eastAsia="Calibri" w:hAnsi="Times New Roman" w:cs="Times New Roman"/>
          <w:bCs/>
          <w:i/>
          <w:iCs/>
          <w:color w:val="000000"/>
          <w:sz w:val="24"/>
          <w:szCs w:val="24"/>
        </w:rPr>
        <w:t>uveďte</w:t>
      </w:r>
      <w:r w:rsidR="000C5419" w:rsidRPr="00B24EFE">
        <w:rPr>
          <w:rFonts w:ascii="Times New Roman" w:eastAsia="Calibri" w:hAnsi="Times New Roman" w:cs="Times New Roman"/>
          <w:bCs/>
          <w:i/>
          <w:iCs/>
          <w:color w:val="000000"/>
          <w:sz w:val="24"/>
          <w:szCs w:val="24"/>
        </w:rPr>
        <w:t xml:space="preserve"> konkrétne informácie súvisiace s </w:t>
      </w:r>
      <w:r w:rsidRPr="00B24EFE">
        <w:rPr>
          <w:rFonts w:ascii="Times New Roman" w:eastAsia="Calibri" w:hAnsi="Times New Roman" w:cs="Times New Roman"/>
          <w:bCs/>
          <w:i/>
          <w:iCs/>
          <w:color w:val="000000"/>
          <w:sz w:val="24"/>
          <w:szCs w:val="24"/>
        </w:rPr>
        <w:t xml:space="preserve">kategóriou </w:t>
      </w:r>
      <w:proofErr w:type="spellStart"/>
      <w:r w:rsidR="000C5419" w:rsidRPr="00B24EFE">
        <w:rPr>
          <w:rFonts w:ascii="Times New Roman" w:eastAsia="Calibri" w:hAnsi="Times New Roman" w:cs="Times New Roman"/>
          <w:bCs/>
          <w:i/>
          <w:iCs/>
          <w:color w:val="000000"/>
          <w:sz w:val="24"/>
          <w:szCs w:val="24"/>
        </w:rPr>
        <w:t>goldplatingu</w:t>
      </w:r>
      <w:proofErr w:type="spellEnd"/>
      <w:r w:rsidRPr="00B24EFE">
        <w:rPr>
          <w:rFonts w:ascii="Times New Roman" w:eastAsia="Calibri" w:hAnsi="Times New Roman" w:cs="Times New Roman"/>
          <w:bCs/>
          <w:i/>
          <w:iCs/>
          <w:color w:val="000000"/>
          <w:sz w:val="24"/>
          <w:szCs w:val="24"/>
        </w:rPr>
        <w:t xml:space="preserve"> podľa </w:t>
      </w:r>
      <w:r w:rsidR="00D114ED" w:rsidRPr="00B24EFE">
        <w:rPr>
          <w:rFonts w:ascii="Times New Roman" w:eastAsia="Calibri" w:hAnsi="Times New Roman" w:cs="Times New Roman"/>
          <w:bCs/>
          <w:i/>
          <w:iCs/>
          <w:color w:val="000000"/>
          <w:sz w:val="24"/>
          <w:szCs w:val="24"/>
        </w:rPr>
        <w:t>jednotnej metodiky</w:t>
      </w:r>
      <w:r w:rsidR="000C5419" w:rsidRPr="00B24EFE">
        <w:rPr>
          <w:rFonts w:ascii="Times New Roman" w:eastAsia="Calibri" w:hAnsi="Times New Roman" w:cs="Times New Roman"/>
          <w:bCs/>
          <w:i/>
          <w:iCs/>
          <w:color w:val="000000"/>
          <w:sz w:val="24"/>
          <w:szCs w:val="24"/>
        </w:rPr>
        <w:t xml:space="preserve">,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 požiadavky. </w:t>
      </w:r>
    </w:p>
    <w:p w14:paraId="1EB0C227" w14:textId="112CF2D8" w:rsidR="00337152" w:rsidRDefault="00D114ED" w:rsidP="00D87FD0">
      <w:pPr>
        <w:jc w:val="both"/>
        <w:rPr>
          <w:rFonts w:ascii="Times New Roman" w:eastAsia="Calibri" w:hAnsi="Times New Roman" w:cs="Times New Roman"/>
          <w:bCs/>
          <w:i/>
          <w:iCs/>
          <w:sz w:val="24"/>
          <w:szCs w:val="24"/>
        </w:rPr>
      </w:pPr>
      <w:r w:rsidRPr="00B24EFE">
        <w:rPr>
          <w:rFonts w:ascii="Times New Roman" w:eastAsia="Calibri" w:hAnsi="Times New Roman" w:cs="Times New Roman"/>
          <w:bCs/>
          <w:i/>
          <w:iCs/>
          <w:sz w:val="24"/>
          <w:szCs w:val="24"/>
        </w:rPr>
        <w:t xml:space="preserve">Využitie </w:t>
      </w:r>
      <w:proofErr w:type="spellStart"/>
      <w:r w:rsidRPr="00B24EFE">
        <w:rPr>
          <w:rFonts w:ascii="Times New Roman" w:eastAsia="Calibri" w:hAnsi="Times New Roman" w:cs="Times New Roman"/>
          <w:bCs/>
          <w:i/>
          <w:iCs/>
          <w:sz w:val="24"/>
          <w:szCs w:val="24"/>
        </w:rPr>
        <w:t>goldplatingu</w:t>
      </w:r>
      <w:proofErr w:type="spellEnd"/>
      <w:r w:rsidRPr="00B24EFE">
        <w:rPr>
          <w:rFonts w:ascii="Times New Roman" w:eastAsia="Calibri" w:hAnsi="Times New Roman" w:cs="Times New Roman"/>
          <w:bCs/>
          <w:i/>
          <w:iCs/>
          <w:sz w:val="24"/>
          <w:szCs w:val="24"/>
        </w:rPr>
        <w:t xml:space="preserve"> pri transpozícii alebo implementácii legislatívy EÚ je v zásade nežiadúce, keďže takýto postup môže viesť k zníženiu konkurencieschopnosti domácich podnikov v porovnaní s podnikmi z krajín, kde právne predpisy nie sú natoľko prísne. Využitie </w:t>
      </w:r>
      <w:proofErr w:type="spellStart"/>
      <w:r w:rsidRPr="00B24EFE">
        <w:rPr>
          <w:rFonts w:ascii="Times New Roman" w:eastAsia="Calibri" w:hAnsi="Times New Roman" w:cs="Times New Roman"/>
          <w:bCs/>
          <w:i/>
          <w:iCs/>
          <w:sz w:val="24"/>
          <w:szCs w:val="24"/>
        </w:rPr>
        <w:t>goldplatingu</w:t>
      </w:r>
      <w:proofErr w:type="spellEnd"/>
      <w:r w:rsidRPr="00B24EFE">
        <w:rPr>
          <w:rFonts w:ascii="Times New Roman" w:eastAsia="Calibri" w:hAnsi="Times New Roman" w:cs="Times New Roman"/>
          <w:bCs/>
          <w:i/>
          <w:iCs/>
          <w:sz w:val="24"/>
          <w:szCs w:val="24"/>
        </w:rPr>
        <w:t xml:space="preserve">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14:paraId="2832190F" w14:textId="02CCA060" w:rsidR="00FC191C" w:rsidRDefault="00FC191C" w:rsidP="00054C41">
      <w:pPr>
        <w:jc w:val="both"/>
        <w:rPr>
          <w:rFonts w:ascii="Times New Roman" w:eastAsia="Calibri" w:hAnsi="Times New Roman" w:cs="Times New Roman"/>
          <w:b/>
          <w:bCs/>
          <w:iCs/>
          <w:sz w:val="24"/>
          <w:szCs w:val="24"/>
        </w:rPr>
      </w:pPr>
      <w:r w:rsidRPr="00FC191C">
        <w:rPr>
          <w:rFonts w:ascii="Times New Roman" w:eastAsia="Calibri" w:hAnsi="Times New Roman" w:cs="Times New Roman"/>
          <w:b/>
          <w:bCs/>
          <w:iCs/>
          <w:sz w:val="24"/>
          <w:szCs w:val="24"/>
        </w:rPr>
        <w:t xml:space="preserve">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w:t>
      </w:r>
    </w:p>
    <w:p w14:paraId="41143BE1" w14:textId="074EAB05" w:rsidR="00FC191C" w:rsidRPr="00FC191C" w:rsidRDefault="00FC191C" w:rsidP="00FC191C">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Identifikovaný </w:t>
      </w:r>
      <w:proofErr w:type="spellStart"/>
      <w:r>
        <w:rPr>
          <w:rFonts w:ascii="Times New Roman" w:eastAsia="Calibri" w:hAnsi="Times New Roman" w:cs="Times New Roman"/>
          <w:bCs/>
          <w:iCs/>
          <w:sz w:val="24"/>
          <w:szCs w:val="24"/>
        </w:rPr>
        <w:t>goldplating</w:t>
      </w:r>
      <w:proofErr w:type="spellEnd"/>
      <w:r>
        <w:rPr>
          <w:rFonts w:ascii="Times New Roman" w:eastAsia="Calibri" w:hAnsi="Times New Roman" w:cs="Times New Roman"/>
          <w:bCs/>
          <w:iCs/>
          <w:sz w:val="24"/>
          <w:szCs w:val="24"/>
        </w:rPr>
        <w:t xml:space="preserve">  je už v súčasnosti obsiahnutý v právnej úprave. Tieto ustanovenia</w:t>
      </w:r>
      <w:r w:rsidRPr="00FC191C">
        <w:rPr>
          <w:rFonts w:ascii="Times New Roman" w:eastAsia="Calibri" w:hAnsi="Times New Roman" w:cs="Times New Roman"/>
          <w:bCs/>
          <w:iCs/>
          <w:sz w:val="24"/>
          <w:szCs w:val="24"/>
        </w:rPr>
        <w:t xml:space="preserve"> sú reflektované rovnakým spôsobo</w:t>
      </w:r>
      <w:r>
        <w:rPr>
          <w:rFonts w:ascii="Times New Roman" w:eastAsia="Calibri" w:hAnsi="Times New Roman" w:cs="Times New Roman"/>
          <w:bCs/>
          <w:iCs/>
          <w:sz w:val="24"/>
          <w:szCs w:val="24"/>
        </w:rPr>
        <w:t xml:space="preserve">m a nejde teda o nové regulácie, vzhľadom na zmenu v časti </w:t>
      </w:r>
      <w:r w:rsidRPr="00FC191C">
        <w:rPr>
          <w:rFonts w:ascii="Times New Roman" w:eastAsia="Calibri" w:hAnsi="Times New Roman" w:cs="Times New Roman"/>
          <w:bCs/>
          <w:iCs/>
          <w:sz w:val="24"/>
          <w:szCs w:val="24"/>
        </w:rPr>
        <w:t xml:space="preserve">notifikovaného ustanovenia dochádza k opätovnej notifikácii. </w:t>
      </w:r>
    </w:p>
    <w:p w14:paraId="2570DF98" w14:textId="77777777" w:rsidR="00FC191C" w:rsidRPr="00FC191C" w:rsidRDefault="00FC191C" w:rsidP="00FC191C">
      <w:pPr>
        <w:spacing w:after="0" w:line="240" w:lineRule="auto"/>
        <w:rPr>
          <w:rFonts w:ascii="Times New Roman" w:hAnsi="Times New Roman" w:cs="Times New Roman"/>
          <w:b/>
          <w:sz w:val="24"/>
          <w:szCs w:val="24"/>
        </w:rPr>
      </w:pPr>
      <w:r w:rsidRPr="00FC191C">
        <w:rPr>
          <w:rFonts w:ascii="Times New Roman" w:hAnsi="Times New Roman" w:cs="Times New Roman"/>
          <w:b/>
          <w:sz w:val="24"/>
          <w:szCs w:val="24"/>
        </w:rPr>
        <w:t>Článok 33 ods. 1</w:t>
      </w:r>
    </w:p>
    <w:p w14:paraId="763E7DB1" w14:textId="3A57818B" w:rsidR="00FC191C" w:rsidRDefault="00FC191C" w:rsidP="00FC191C">
      <w:pPr>
        <w:jc w:val="both"/>
        <w:rPr>
          <w:rFonts w:ascii="Times New Roman" w:hAnsi="Times New Roman" w:cs="Times New Roman"/>
          <w:sz w:val="24"/>
          <w:szCs w:val="24"/>
        </w:rPr>
      </w:pPr>
      <w:r w:rsidRPr="00FC191C">
        <w:rPr>
          <w:rFonts w:ascii="Times New Roman" w:hAnsi="Times New Roman" w:cs="Times New Roman"/>
          <w:sz w:val="24"/>
          <w:szCs w:val="24"/>
        </w:rPr>
        <w:t xml:space="preserve">Predkladateľ v pôvodnej transpozícii pristúpil k rozšíreniu rozsahu tohto ustanovenia aj na iné typy spoločností/družstvá, ktoré nie sú v európskej legislatíve upravené, a to z dôvodu, že s cieľom zachovania právnej istoty nie je možné pre odlišné typy spoločnosti vyžadovať v tejto oblasti odlišný prístup. </w:t>
      </w:r>
    </w:p>
    <w:p w14:paraId="4A117335" w14:textId="05FAC7E0" w:rsidR="00A9646E" w:rsidRDefault="00A9646E" w:rsidP="00FC191C">
      <w:pPr>
        <w:jc w:val="both"/>
        <w:rPr>
          <w:rFonts w:ascii="Times New Roman" w:hAnsi="Times New Roman" w:cs="Times New Roman"/>
          <w:sz w:val="24"/>
          <w:szCs w:val="24"/>
        </w:rPr>
      </w:pPr>
      <w:r>
        <w:rPr>
          <w:rFonts w:ascii="Times New Roman" w:hAnsi="Times New Roman" w:cs="Times New Roman"/>
          <w:sz w:val="24"/>
          <w:szCs w:val="24"/>
        </w:rPr>
        <w:t xml:space="preserve">Lokalizácia v slovenskej právnej úprave: </w:t>
      </w:r>
    </w:p>
    <w:p w14:paraId="00D289DC" w14:textId="5FA93B4C" w:rsidR="00A9646E" w:rsidRDefault="00A9646E" w:rsidP="00A9646E">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návrh zá</w:t>
      </w:r>
      <w:r w:rsidR="00A425B5">
        <w:rPr>
          <w:rFonts w:ascii="Times New Roman" w:hAnsi="Times New Roman" w:cs="Times New Roman"/>
          <w:sz w:val="24"/>
          <w:szCs w:val="24"/>
        </w:rPr>
        <w:t>kona o obchodnom registri - § 99 ods. 3, § 34 písm. h</w:t>
      </w:r>
      <w:r>
        <w:rPr>
          <w:rFonts w:ascii="Times New Roman" w:hAnsi="Times New Roman" w:cs="Times New Roman"/>
          <w:sz w:val="24"/>
          <w:szCs w:val="24"/>
        </w:rPr>
        <w:t xml:space="preserve">), </w:t>
      </w:r>
    </w:p>
    <w:p w14:paraId="4AC2264C" w14:textId="29F458E2" w:rsidR="00A9646E" w:rsidRPr="00A9646E" w:rsidRDefault="00A9646E" w:rsidP="00A9646E">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Obchodný zákonník – § 40 ods. 1 a 2, § 135 ods. 2, § 252 ods. 2.</w:t>
      </w:r>
    </w:p>
    <w:p w14:paraId="73CCDAC7" w14:textId="436A75F2" w:rsidR="00A9646E" w:rsidRDefault="00A9646E" w:rsidP="00FC191C">
      <w:pPr>
        <w:jc w:val="both"/>
        <w:rPr>
          <w:rFonts w:ascii="Times New Roman" w:hAnsi="Times New Roman" w:cs="Times New Roman"/>
          <w:sz w:val="24"/>
          <w:szCs w:val="24"/>
        </w:rPr>
      </w:pPr>
      <w:r>
        <w:rPr>
          <w:rFonts w:ascii="Times New Roman" w:hAnsi="Times New Roman" w:cs="Times New Roman"/>
          <w:sz w:val="24"/>
          <w:szCs w:val="24"/>
        </w:rPr>
        <w:t xml:space="preserve">Kategória GP: f) - </w:t>
      </w:r>
      <w:r w:rsidRPr="00A9646E">
        <w:rPr>
          <w:rFonts w:ascii="Times New Roman" w:hAnsi="Times New Roman" w:cs="Times New Roman"/>
          <w:sz w:val="24"/>
          <w:szCs w:val="24"/>
        </w:rPr>
        <w:t>zachovanie existujúcej úpravy</w:t>
      </w:r>
    </w:p>
    <w:p w14:paraId="3100F564" w14:textId="362FEB88" w:rsidR="00FC191C" w:rsidRPr="00FC191C" w:rsidRDefault="00CB074B" w:rsidP="00054C41">
      <w:pPr>
        <w:jc w:val="both"/>
        <w:rPr>
          <w:rFonts w:ascii="Times New Roman" w:eastAsia="Calibri" w:hAnsi="Times New Roman" w:cs="Times New Roman"/>
          <w:b/>
          <w:bCs/>
          <w:iCs/>
          <w:sz w:val="24"/>
          <w:szCs w:val="24"/>
        </w:rPr>
      </w:pPr>
      <w:r w:rsidRPr="00CB074B">
        <w:rPr>
          <w:rFonts w:ascii="Times New Roman" w:eastAsia="Calibri" w:hAnsi="Times New Roman" w:cs="Times New Roman"/>
          <w:b/>
          <w:bCs/>
          <w:iCs/>
          <w:sz w:val="24"/>
          <w:szCs w:val="24"/>
        </w:rPr>
        <w:t>Smernica Európskeho parlamentu a Rady (EÚ) 2017/1132 zo 14. júna 2017 týkajúca sa niektorých aspekto</w:t>
      </w:r>
      <w:r>
        <w:rPr>
          <w:rFonts w:ascii="Times New Roman" w:eastAsia="Calibri" w:hAnsi="Times New Roman" w:cs="Times New Roman"/>
          <w:b/>
          <w:bCs/>
          <w:iCs/>
          <w:sz w:val="24"/>
          <w:szCs w:val="24"/>
        </w:rPr>
        <w:t xml:space="preserve">v práva obchodných spoločností </w:t>
      </w:r>
    </w:p>
    <w:p w14:paraId="4525AC67" w14:textId="77777777" w:rsidR="00CB074B" w:rsidRPr="00FC191C" w:rsidRDefault="00CB074B" w:rsidP="00CB074B">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Identifikovaný </w:t>
      </w:r>
      <w:proofErr w:type="spellStart"/>
      <w:r>
        <w:rPr>
          <w:rFonts w:ascii="Times New Roman" w:eastAsia="Calibri" w:hAnsi="Times New Roman" w:cs="Times New Roman"/>
          <w:bCs/>
          <w:iCs/>
          <w:sz w:val="24"/>
          <w:szCs w:val="24"/>
        </w:rPr>
        <w:t>goldplating</w:t>
      </w:r>
      <w:proofErr w:type="spellEnd"/>
      <w:r>
        <w:rPr>
          <w:rFonts w:ascii="Times New Roman" w:eastAsia="Calibri" w:hAnsi="Times New Roman" w:cs="Times New Roman"/>
          <w:bCs/>
          <w:iCs/>
          <w:sz w:val="24"/>
          <w:szCs w:val="24"/>
        </w:rPr>
        <w:t xml:space="preserve">  je už v súčasnosti obsiahnutý v právnej úprave. Tieto ustanovenia</w:t>
      </w:r>
      <w:r w:rsidRPr="00FC191C">
        <w:rPr>
          <w:rFonts w:ascii="Times New Roman" w:eastAsia="Calibri" w:hAnsi="Times New Roman" w:cs="Times New Roman"/>
          <w:bCs/>
          <w:iCs/>
          <w:sz w:val="24"/>
          <w:szCs w:val="24"/>
        </w:rPr>
        <w:t xml:space="preserve"> sú reflektované rovnakým spôsobo</w:t>
      </w:r>
      <w:r>
        <w:rPr>
          <w:rFonts w:ascii="Times New Roman" w:eastAsia="Calibri" w:hAnsi="Times New Roman" w:cs="Times New Roman"/>
          <w:bCs/>
          <w:iCs/>
          <w:sz w:val="24"/>
          <w:szCs w:val="24"/>
        </w:rPr>
        <w:t xml:space="preserve">m a nejde teda o nové regulácie, vzhľadom na zmenu v časti </w:t>
      </w:r>
      <w:r w:rsidRPr="00FC191C">
        <w:rPr>
          <w:rFonts w:ascii="Times New Roman" w:eastAsia="Calibri" w:hAnsi="Times New Roman" w:cs="Times New Roman"/>
          <w:bCs/>
          <w:iCs/>
          <w:sz w:val="24"/>
          <w:szCs w:val="24"/>
        </w:rPr>
        <w:t xml:space="preserve">notifikovaného ustanovenia dochádza k opätovnej notifikácii. </w:t>
      </w:r>
    </w:p>
    <w:p w14:paraId="35B9E88D" w14:textId="77777777" w:rsidR="00CB074B" w:rsidRPr="00CB074B" w:rsidRDefault="00CB074B" w:rsidP="00CB074B">
      <w:pPr>
        <w:spacing w:after="0"/>
        <w:jc w:val="both"/>
        <w:rPr>
          <w:rFonts w:ascii="Times New Roman" w:eastAsia="Calibri" w:hAnsi="Times New Roman" w:cs="Times New Roman"/>
          <w:b/>
          <w:bCs/>
          <w:iCs/>
          <w:sz w:val="24"/>
          <w:szCs w:val="24"/>
        </w:rPr>
      </w:pPr>
      <w:r w:rsidRPr="00CB074B">
        <w:rPr>
          <w:rFonts w:ascii="Times New Roman" w:eastAsia="Calibri" w:hAnsi="Times New Roman" w:cs="Times New Roman"/>
          <w:b/>
          <w:bCs/>
          <w:iCs/>
          <w:sz w:val="24"/>
          <w:szCs w:val="24"/>
        </w:rPr>
        <w:t>Článok 13j odsek 3</w:t>
      </w:r>
    </w:p>
    <w:p w14:paraId="093BEABD" w14:textId="4EA993C2" w:rsidR="00CB074B" w:rsidRDefault="00CB074B" w:rsidP="00CB074B">
      <w:pPr>
        <w:jc w:val="both"/>
        <w:rPr>
          <w:rFonts w:ascii="Times New Roman" w:eastAsia="Calibri" w:hAnsi="Times New Roman" w:cs="Times New Roman"/>
          <w:bCs/>
          <w:iCs/>
          <w:sz w:val="24"/>
          <w:szCs w:val="24"/>
        </w:rPr>
      </w:pPr>
      <w:r w:rsidRPr="00CB074B">
        <w:rPr>
          <w:rFonts w:ascii="Times New Roman" w:eastAsia="Calibri" w:hAnsi="Times New Roman" w:cs="Times New Roman"/>
          <w:bCs/>
          <w:iCs/>
          <w:sz w:val="24"/>
          <w:szCs w:val="24"/>
        </w:rPr>
        <w:lastRenderedPageBreak/>
        <w:t>SR využila ponúkanú dobrovoľnú transpozíciu, a teda ustanovila pre všetky kategórie osôb zapisovaných do obchodného registra výlučne elektronickú komunikáciu s registrovým súdom či registrátorom, rovnako ukladanie dokumentov do zbierky dokumentov výlučne elektronickým postupom. Uvedené opatrenie už je obsiahnuté v aktuálne účinnej právnej úprave. Predkladateľ ho považuje za nevyhnutné, nakoľko znižuje administ</w:t>
      </w:r>
      <w:r>
        <w:rPr>
          <w:rFonts w:ascii="Times New Roman" w:eastAsia="Calibri" w:hAnsi="Times New Roman" w:cs="Times New Roman"/>
          <w:bCs/>
          <w:iCs/>
          <w:sz w:val="24"/>
          <w:szCs w:val="24"/>
        </w:rPr>
        <w:t>ratívnu záťaž pre podnikateľov.</w:t>
      </w:r>
    </w:p>
    <w:p w14:paraId="08E2FD43" w14:textId="77777777" w:rsidR="004826D1" w:rsidRDefault="004826D1" w:rsidP="004826D1">
      <w:pPr>
        <w:jc w:val="both"/>
        <w:rPr>
          <w:rFonts w:ascii="Times New Roman" w:hAnsi="Times New Roman" w:cs="Times New Roman"/>
          <w:sz w:val="24"/>
          <w:szCs w:val="24"/>
        </w:rPr>
      </w:pPr>
      <w:r>
        <w:rPr>
          <w:rFonts w:ascii="Times New Roman" w:hAnsi="Times New Roman" w:cs="Times New Roman"/>
          <w:sz w:val="24"/>
          <w:szCs w:val="24"/>
        </w:rPr>
        <w:t xml:space="preserve">Lokalizácia v slovenskej právnej úprave: </w:t>
      </w:r>
    </w:p>
    <w:p w14:paraId="071ABC06" w14:textId="6F473234" w:rsidR="004826D1" w:rsidRDefault="004826D1" w:rsidP="004826D1">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návrh zákona o obchodnom registri - § 44, </w:t>
      </w:r>
      <w:r w:rsidR="00966866">
        <w:rPr>
          <w:rFonts w:ascii="Times New Roman" w:hAnsi="Times New Roman" w:cs="Times New Roman"/>
          <w:sz w:val="24"/>
          <w:szCs w:val="24"/>
        </w:rPr>
        <w:t xml:space="preserve">§ 45, </w:t>
      </w:r>
      <w:r>
        <w:rPr>
          <w:rFonts w:ascii="Times New Roman" w:hAnsi="Times New Roman" w:cs="Times New Roman"/>
          <w:sz w:val="24"/>
          <w:szCs w:val="24"/>
        </w:rPr>
        <w:t xml:space="preserve">§ 39 ods. 4 </w:t>
      </w:r>
    </w:p>
    <w:p w14:paraId="09AFE308" w14:textId="77777777" w:rsidR="004826D1" w:rsidRDefault="004826D1" w:rsidP="004826D1">
      <w:pPr>
        <w:jc w:val="both"/>
        <w:rPr>
          <w:rFonts w:ascii="Times New Roman" w:hAnsi="Times New Roman" w:cs="Times New Roman"/>
          <w:sz w:val="24"/>
          <w:szCs w:val="24"/>
        </w:rPr>
      </w:pPr>
      <w:r>
        <w:rPr>
          <w:rFonts w:ascii="Times New Roman" w:hAnsi="Times New Roman" w:cs="Times New Roman"/>
          <w:sz w:val="24"/>
          <w:szCs w:val="24"/>
        </w:rPr>
        <w:t xml:space="preserve">Kategória GP: f) - </w:t>
      </w:r>
      <w:r w:rsidRPr="00A9646E">
        <w:rPr>
          <w:rFonts w:ascii="Times New Roman" w:hAnsi="Times New Roman" w:cs="Times New Roman"/>
          <w:sz w:val="24"/>
          <w:szCs w:val="24"/>
        </w:rPr>
        <w:t>zachovanie existujúcej úpravy</w:t>
      </w:r>
    </w:p>
    <w:p w14:paraId="5AA90344" w14:textId="77777777" w:rsidR="00CB074B" w:rsidRPr="00CB074B" w:rsidRDefault="00CB074B" w:rsidP="00CB074B">
      <w:pPr>
        <w:spacing w:after="0"/>
        <w:jc w:val="both"/>
        <w:rPr>
          <w:rFonts w:ascii="Times New Roman" w:eastAsia="Calibri" w:hAnsi="Times New Roman" w:cs="Times New Roman"/>
          <w:b/>
          <w:bCs/>
          <w:iCs/>
          <w:sz w:val="24"/>
          <w:szCs w:val="24"/>
        </w:rPr>
      </w:pPr>
      <w:r w:rsidRPr="00CB074B">
        <w:rPr>
          <w:rFonts w:ascii="Times New Roman" w:eastAsia="Calibri" w:hAnsi="Times New Roman" w:cs="Times New Roman"/>
          <w:b/>
          <w:bCs/>
          <w:iCs/>
          <w:sz w:val="24"/>
          <w:szCs w:val="24"/>
        </w:rPr>
        <w:t>Článok 13j odsek 5</w:t>
      </w:r>
    </w:p>
    <w:p w14:paraId="10C9E477" w14:textId="6E02D7B7" w:rsidR="00CB074B" w:rsidRDefault="00CB074B" w:rsidP="00CB074B">
      <w:pPr>
        <w:jc w:val="both"/>
        <w:rPr>
          <w:rFonts w:ascii="Times New Roman" w:eastAsia="Calibri" w:hAnsi="Times New Roman" w:cs="Times New Roman"/>
          <w:bCs/>
          <w:iCs/>
          <w:sz w:val="24"/>
          <w:szCs w:val="24"/>
        </w:rPr>
      </w:pPr>
      <w:r w:rsidRPr="00CB074B">
        <w:rPr>
          <w:rFonts w:ascii="Times New Roman" w:eastAsia="Calibri" w:hAnsi="Times New Roman" w:cs="Times New Roman"/>
          <w:bCs/>
          <w:iCs/>
          <w:sz w:val="24"/>
          <w:szCs w:val="24"/>
        </w:rPr>
        <w:t>Nakoľko ide o rovnaké opatrenie, platí rovnaké v</w:t>
      </w:r>
      <w:r>
        <w:rPr>
          <w:rFonts w:ascii="Times New Roman" w:eastAsia="Calibri" w:hAnsi="Times New Roman" w:cs="Times New Roman"/>
          <w:bCs/>
          <w:iCs/>
          <w:sz w:val="24"/>
          <w:szCs w:val="24"/>
        </w:rPr>
        <w:t>yjadrenie ako v čl. 13j ods. 3.</w:t>
      </w:r>
    </w:p>
    <w:p w14:paraId="11151B27" w14:textId="77777777" w:rsidR="004826D1" w:rsidRDefault="004826D1" w:rsidP="004826D1">
      <w:pPr>
        <w:jc w:val="both"/>
        <w:rPr>
          <w:rFonts w:ascii="Times New Roman" w:hAnsi="Times New Roman" w:cs="Times New Roman"/>
          <w:sz w:val="24"/>
          <w:szCs w:val="24"/>
        </w:rPr>
      </w:pPr>
      <w:r>
        <w:rPr>
          <w:rFonts w:ascii="Times New Roman" w:hAnsi="Times New Roman" w:cs="Times New Roman"/>
          <w:sz w:val="24"/>
          <w:szCs w:val="24"/>
        </w:rPr>
        <w:t xml:space="preserve">Lokalizácia v slovenskej právnej úprave: </w:t>
      </w:r>
    </w:p>
    <w:p w14:paraId="563E8F84" w14:textId="55FBD322" w:rsidR="004826D1" w:rsidRPr="00A9646E" w:rsidRDefault="004826D1" w:rsidP="004826D1">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návrh zákona o obchodnom registri - § </w:t>
      </w:r>
      <w:r w:rsidR="00D233DC">
        <w:rPr>
          <w:rFonts w:ascii="Times New Roman" w:hAnsi="Times New Roman" w:cs="Times New Roman"/>
          <w:sz w:val="24"/>
          <w:szCs w:val="24"/>
        </w:rPr>
        <w:t>39 ods. 4, § 48</w:t>
      </w:r>
    </w:p>
    <w:p w14:paraId="39149F95" w14:textId="4C4BCD2A" w:rsidR="004826D1" w:rsidRDefault="004826D1" w:rsidP="004826D1">
      <w:pPr>
        <w:jc w:val="both"/>
        <w:rPr>
          <w:rFonts w:ascii="Times New Roman" w:hAnsi="Times New Roman" w:cs="Times New Roman"/>
          <w:sz w:val="24"/>
          <w:szCs w:val="24"/>
        </w:rPr>
      </w:pPr>
      <w:r>
        <w:rPr>
          <w:rFonts w:ascii="Times New Roman" w:hAnsi="Times New Roman" w:cs="Times New Roman"/>
          <w:sz w:val="24"/>
          <w:szCs w:val="24"/>
        </w:rPr>
        <w:t xml:space="preserve">Kategória GP: f) - </w:t>
      </w:r>
      <w:r w:rsidRPr="00A9646E">
        <w:rPr>
          <w:rFonts w:ascii="Times New Roman" w:hAnsi="Times New Roman" w:cs="Times New Roman"/>
          <w:sz w:val="24"/>
          <w:szCs w:val="24"/>
        </w:rPr>
        <w:t>zachovanie existujúcej úpravy</w:t>
      </w:r>
    </w:p>
    <w:p w14:paraId="609800FA" w14:textId="77777777" w:rsidR="00D233DC" w:rsidRPr="00D233DC" w:rsidRDefault="00D233DC" w:rsidP="00D233DC">
      <w:pPr>
        <w:jc w:val="both"/>
        <w:rPr>
          <w:rFonts w:ascii="Times New Roman" w:hAnsi="Times New Roman" w:cs="Times New Roman"/>
          <w:b/>
          <w:sz w:val="24"/>
          <w:szCs w:val="24"/>
        </w:rPr>
      </w:pPr>
      <w:r w:rsidRPr="00D233DC">
        <w:rPr>
          <w:rFonts w:ascii="Times New Roman" w:hAnsi="Times New Roman" w:cs="Times New Roman"/>
          <w:b/>
          <w:sz w:val="24"/>
          <w:szCs w:val="24"/>
        </w:rPr>
        <w:t xml:space="preserve">Článok 13g odsek 7 prvý </w:t>
      </w:r>
      <w:proofErr w:type="spellStart"/>
      <w:r w:rsidRPr="00D233DC">
        <w:rPr>
          <w:rFonts w:ascii="Times New Roman" w:hAnsi="Times New Roman" w:cs="Times New Roman"/>
          <w:b/>
          <w:sz w:val="24"/>
          <w:szCs w:val="24"/>
        </w:rPr>
        <w:t>pododsek</w:t>
      </w:r>
      <w:proofErr w:type="spellEnd"/>
    </w:p>
    <w:p w14:paraId="4EC11BF8" w14:textId="77777777" w:rsidR="00D233DC" w:rsidRDefault="00D233DC" w:rsidP="00D233DC">
      <w:pPr>
        <w:jc w:val="both"/>
        <w:rPr>
          <w:rFonts w:ascii="Times New Roman" w:hAnsi="Times New Roman" w:cs="Times New Roman"/>
          <w:sz w:val="24"/>
          <w:szCs w:val="24"/>
        </w:rPr>
      </w:pPr>
      <w:r w:rsidRPr="00D233DC">
        <w:rPr>
          <w:rFonts w:ascii="Times New Roman" w:hAnsi="Times New Roman" w:cs="Times New Roman"/>
          <w:sz w:val="24"/>
          <w:szCs w:val="24"/>
        </w:rPr>
        <w:t xml:space="preserve">SK považuje určenie kratšej lehoty za výhodnejšie pre zapísanú osobu a efektívnejšie vo vzťahu k podpore podnikateľské prostredia. Takýto </w:t>
      </w:r>
      <w:proofErr w:type="spellStart"/>
      <w:r w:rsidRPr="00D233DC">
        <w:rPr>
          <w:rFonts w:ascii="Times New Roman" w:hAnsi="Times New Roman" w:cs="Times New Roman"/>
          <w:sz w:val="24"/>
          <w:szCs w:val="24"/>
        </w:rPr>
        <w:t>goldplating</w:t>
      </w:r>
      <w:proofErr w:type="spellEnd"/>
      <w:r w:rsidRPr="00D233DC">
        <w:rPr>
          <w:rFonts w:ascii="Times New Roman" w:hAnsi="Times New Roman" w:cs="Times New Roman"/>
          <w:sz w:val="24"/>
          <w:szCs w:val="24"/>
        </w:rPr>
        <w:t xml:space="preserve"> tak má pozitívny vplyv na podnikateľské prostredie, negatívny vplyv je prísnejšie určená lehota pre zodpovedné orgány.</w:t>
      </w:r>
    </w:p>
    <w:p w14:paraId="57D52AA4" w14:textId="77777777" w:rsidR="00D233DC" w:rsidRDefault="00D233DC" w:rsidP="00D233DC">
      <w:pPr>
        <w:jc w:val="both"/>
        <w:rPr>
          <w:rFonts w:ascii="Times New Roman" w:hAnsi="Times New Roman" w:cs="Times New Roman"/>
          <w:sz w:val="24"/>
          <w:szCs w:val="24"/>
        </w:rPr>
      </w:pPr>
      <w:r>
        <w:rPr>
          <w:rFonts w:ascii="Times New Roman" w:hAnsi="Times New Roman" w:cs="Times New Roman"/>
          <w:sz w:val="24"/>
          <w:szCs w:val="24"/>
        </w:rPr>
        <w:t xml:space="preserve">Lokalizácia v slovenskej právnej úprave: </w:t>
      </w:r>
    </w:p>
    <w:p w14:paraId="27D1CA2B" w14:textId="3BCB7297" w:rsidR="00D233DC" w:rsidRPr="00A9646E" w:rsidRDefault="00D233DC" w:rsidP="00D233DC">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návrh zákona o obchodnom registri - § 58 ods. 1 </w:t>
      </w:r>
    </w:p>
    <w:p w14:paraId="426A63D7" w14:textId="1BEFBB2C" w:rsidR="00D233DC" w:rsidRPr="00D233DC" w:rsidRDefault="00D233DC" w:rsidP="00D233DC">
      <w:pPr>
        <w:jc w:val="both"/>
        <w:rPr>
          <w:rFonts w:ascii="Times New Roman" w:hAnsi="Times New Roman" w:cs="Times New Roman"/>
          <w:sz w:val="24"/>
          <w:szCs w:val="24"/>
        </w:rPr>
      </w:pPr>
      <w:r>
        <w:rPr>
          <w:rFonts w:ascii="Times New Roman" w:hAnsi="Times New Roman" w:cs="Times New Roman"/>
          <w:sz w:val="24"/>
          <w:szCs w:val="24"/>
        </w:rPr>
        <w:t xml:space="preserve">Kategória GP: f) - </w:t>
      </w:r>
      <w:r w:rsidRPr="00A9646E">
        <w:rPr>
          <w:rFonts w:ascii="Times New Roman" w:hAnsi="Times New Roman" w:cs="Times New Roman"/>
          <w:sz w:val="24"/>
          <w:szCs w:val="24"/>
        </w:rPr>
        <w:t>zachovanie existujúcej úpravy</w:t>
      </w:r>
    </w:p>
    <w:p w14:paraId="068513F6" w14:textId="77777777" w:rsidR="00D233DC" w:rsidRPr="00D233DC" w:rsidRDefault="00D233DC" w:rsidP="00D233DC">
      <w:pPr>
        <w:jc w:val="both"/>
        <w:rPr>
          <w:rFonts w:ascii="Times New Roman" w:hAnsi="Times New Roman" w:cs="Times New Roman"/>
          <w:b/>
          <w:sz w:val="24"/>
          <w:szCs w:val="24"/>
        </w:rPr>
      </w:pPr>
      <w:r w:rsidRPr="00D233DC">
        <w:rPr>
          <w:rFonts w:ascii="Times New Roman" w:hAnsi="Times New Roman" w:cs="Times New Roman"/>
          <w:b/>
          <w:sz w:val="24"/>
          <w:szCs w:val="24"/>
        </w:rPr>
        <w:t>Článok 15 odsek 1</w:t>
      </w:r>
    </w:p>
    <w:p w14:paraId="3ECB939B" w14:textId="40BAFDFD" w:rsidR="00D233DC" w:rsidRDefault="00D233DC" w:rsidP="00D233DC">
      <w:pPr>
        <w:jc w:val="both"/>
        <w:rPr>
          <w:rFonts w:ascii="Times New Roman" w:hAnsi="Times New Roman" w:cs="Times New Roman"/>
          <w:sz w:val="24"/>
          <w:szCs w:val="24"/>
        </w:rPr>
      </w:pPr>
      <w:r w:rsidRPr="00D233DC">
        <w:rPr>
          <w:rFonts w:ascii="Times New Roman" w:hAnsi="Times New Roman" w:cs="Times New Roman"/>
          <w:sz w:val="24"/>
          <w:szCs w:val="24"/>
        </w:rPr>
        <w:t xml:space="preserve">SK považuje určenie kratšej lehoty za výhodnejšie pre zapísanú osobu a efektívnejšie vo vzťahu k podpore podnikateľské prostredia. Takýto </w:t>
      </w:r>
      <w:proofErr w:type="spellStart"/>
      <w:r w:rsidRPr="00D233DC">
        <w:rPr>
          <w:rFonts w:ascii="Times New Roman" w:hAnsi="Times New Roman" w:cs="Times New Roman"/>
          <w:sz w:val="24"/>
          <w:szCs w:val="24"/>
        </w:rPr>
        <w:t>goldplating</w:t>
      </w:r>
      <w:proofErr w:type="spellEnd"/>
      <w:r w:rsidRPr="00D233DC">
        <w:rPr>
          <w:rFonts w:ascii="Times New Roman" w:hAnsi="Times New Roman" w:cs="Times New Roman"/>
          <w:sz w:val="24"/>
          <w:szCs w:val="24"/>
        </w:rPr>
        <w:t xml:space="preserve"> tak má pozitívny vplyv na podnikateľské prostredie, negatívny vplyv je prísnejšie určená lehota pre zodpovedné orgány.</w:t>
      </w:r>
    </w:p>
    <w:p w14:paraId="5875F32C" w14:textId="77777777" w:rsidR="00D233DC" w:rsidRDefault="00D233DC" w:rsidP="00D233DC">
      <w:pPr>
        <w:jc w:val="both"/>
        <w:rPr>
          <w:rFonts w:ascii="Times New Roman" w:hAnsi="Times New Roman" w:cs="Times New Roman"/>
          <w:sz w:val="24"/>
          <w:szCs w:val="24"/>
        </w:rPr>
      </w:pPr>
      <w:r>
        <w:rPr>
          <w:rFonts w:ascii="Times New Roman" w:hAnsi="Times New Roman" w:cs="Times New Roman"/>
          <w:sz w:val="24"/>
          <w:szCs w:val="24"/>
        </w:rPr>
        <w:t xml:space="preserve">Lokalizácia v slovenskej právnej úprave: </w:t>
      </w:r>
    </w:p>
    <w:p w14:paraId="3FFEBC58" w14:textId="77C26A82" w:rsidR="00D233DC" w:rsidRPr="00A9646E" w:rsidRDefault="00D233DC" w:rsidP="00D233DC">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návrh zákona o</w:t>
      </w:r>
      <w:r w:rsidR="00C41F98">
        <w:rPr>
          <w:rFonts w:ascii="Times New Roman" w:hAnsi="Times New Roman" w:cs="Times New Roman"/>
          <w:sz w:val="24"/>
          <w:szCs w:val="24"/>
        </w:rPr>
        <w:t> obchodnom registri - § 100, § 112</w:t>
      </w:r>
    </w:p>
    <w:p w14:paraId="2A8C623F" w14:textId="77777777" w:rsidR="00D233DC" w:rsidRDefault="00D233DC" w:rsidP="00D233DC">
      <w:pPr>
        <w:jc w:val="both"/>
        <w:rPr>
          <w:rFonts w:ascii="Times New Roman" w:hAnsi="Times New Roman" w:cs="Times New Roman"/>
          <w:sz w:val="24"/>
          <w:szCs w:val="24"/>
        </w:rPr>
      </w:pPr>
      <w:r>
        <w:rPr>
          <w:rFonts w:ascii="Times New Roman" w:hAnsi="Times New Roman" w:cs="Times New Roman"/>
          <w:sz w:val="24"/>
          <w:szCs w:val="24"/>
        </w:rPr>
        <w:t xml:space="preserve">Kategória GP: f) - </w:t>
      </w:r>
      <w:r w:rsidRPr="00A9646E">
        <w:rPr>
          <w:rFonts w:ascii="Times New Roman" w:hAnsi="Times New Roman" w:cs="Times New Roman"/>
          <w:sz w:val="24"/>
          <w:szCs w:val="24"/>
        </w:rPr>
        <w:t>zachovanie existujúcej úpravy</w:t>
      </w:r>
    </w:p>
    <w:p w14:paraId="3ADB79A0" w14:textId="77777777" w:rsidR="00CB074B" w:rsidRPr="00CB074B" w:rsidRDefault="00CB074B" w:rsidP="00CB074B">
      <w:pPr>
        <w:spacing w:after="0"/>
        <w:jc w:val="both"/>
        <w:rPr>
          <w:rFonts w:ascii="Times New Roman" w:eastAsia="Calibri" w:hAnsi="Times New Roman" w:cs="Times New Roman"/>
          <w:b/>
          <w:bCs/>
          <w:iCs/>
          <w:sz w:val="24"/>
          <w:szCs w:val="24"/>
        </w:rPr>
      </w:pPr>
      <w:r w:rsidRPr="00CB074B">
        <w:rPr>
          <w:rFonts w:ascii="Times New Roman" w:eastAsia="Calibri" w:hAnsi="Times New Roman" w:cs="Times New Roman"/>
          <w:b/>
          <w:bCs/>
          <w:iCs/>
          <w:sz w:val="24"/>
          <w:szCs w:val="24"/>
        </w:rPr>
        <w:t xml:space="preserve">Článok 18 odsek 1, druhý </w:t>
      </w:r>
      <w:proofErr w:type="spellStart"/>
      <w:r w:rsidRPr="00CB074B">
        <w:rPr>
          <w:rFonts w:ascii="Times New Roman" w:eastAsia="Calibri" w:hAnsi="Times New Roman" w:cs="Times New Roman"/>
          <w:b/>
          <w:bCs/>
          <w:iCs/>
          <w:sz w:val="24"/>
          <w:szCs w:val="24"/>
        </w:rPr>
        <w:t>pododsek</w:t>
      </w:r>
      <w:proofErr w:type="spellEnd"/>
    </w:p>
    <w:p w14:paraId="10D5BD47" w14:textId="77777777" w:rsidR="00CB074B" w:rsidRPr="00CB074B" w:rsidRDefault="00CB074B" w:rsidP="00CB074B">
      <w:pPr>
        <w:jc w:val="both"/>
        <w:rPr>
          <w:rFonts w:ascii="Times New Roman" w:eastAsia="Calibri" w:hAnsi="Times New Roman" w:cs="Times New Roman"/>
          <w:bCs/>
          <w:iCs/>
          <w:sz w:val="24"/>
          <w:szCs w:val="24"/>
        </w:rPr>
      </w:pPr>
      <w:r w:rsidRPr="00CB074B">
        <w:rPr>
          <w:rFonts w:ascii="Times New Roman" w:eastAsia="Calibri" w:hAnsi="Times New Roman" w:cs="Times New Roman"/>
          <w:bCs/>
          <w:iCs/>
          <w:sz w:val="24"/>
          <w:szCs w:val="24"/>
        </w:rPr>
        <w:t xml:space="preserve">SR nevyužila dobrovoľnú transpozíciu ponúkanú predmetným ustanovením smernice, a teda dokumenty a údaje prostredníctvom systému prepojenia registrov sprístupňuje len v rozsahu osobnej pôsobnosti vymedzenej čl. 18 ods. 1 smernice – príloha II (AS, SRO).Uvedenú skutočnosť, nie je podľa názoru predkladateľa potrebné v národnej právnej úprave výslovne pozitívno-právne ustanoviť, nakoľko žiadatelia môžu žiadať o sprístupnenie len vo vzťahu k tým formám spoločností, kde to funkcionalita systému BRIS umožňuje. </w:t>
      </w:r>
    </w:p>
    <w:p w14:paraId="72CB1193" w14:textId="46E56929" w:rsidR="00CB074B" w:rsidRDefault="00CB074B" w:rsidP="00CB074B">
      <w:pPr>
        <w:jc w:val="both"/>
        <w:rPr>
          <w:rFonts w:ascii="Times New Roman" w:eastAsia="Calibri" w:hAnsi="Times New Roman" w:cs="Times New Roman"/>
          <w:bCs/>
          <w:iCs/>
          <w:sz w:val="24"/>
          <w:szCs w:val="24"/>
        </w:rPr>
      </w:pPr>
      <w:r w:rsidRPr="00CB074B">
        <w:rPr>
          <w:rFonts w:ascii="Times New Roman" w:eastAsia="Calibri" w:hAnsi="Times New Roman" w:cs="Times New Roman"/>
          <w:bCs/>
          <w:iCs/>
          <w:sz w:val="24"/>
          <w:szCs w:val="24"/>
        </w:rPr>
        <w:lastRenderedPageBreak/>
        <w:t>Nakoľko údaje o iných formách spoločností (</w:t>
      </w:r>
      <w:proofErr w:type="spellStart"/>
      <w:r w:rsidRPr="00CB074B">
        <w:rPr>
          <w:rFonts w:ascii="Times New Roman" w:eastAsia="Calibri" w:hAnsi="Times New Roman" w:cs="Times New Roman"/>
          <w:bCs/>
          <w:iCs/>
          <w:sz w:val="24"/>
          <w:szCs w:val="24"/>
        </w:rPr>
        <w:t>v.o.s</w:t>
      </w:r>
      <w:proofErr w:type="spellEnd"/>
      <w:r w:rsidRPr="00CB074B">
        <w:rPr>
          <w:rFonts w:ascii="Times New Roman" w:eastAsia="Calibri" w:hAnsi="Times New Roman" w:cs="Times New Roman"/>
          <w:bCs/>
          <w:iCs/>
          <w:sz w:val="24"/>
          <w:szCs w:val="24"/>
        </w:rPr>
        <w:t xml:space="preserve">., </w:t>
      </w:r>
      <w:proofErr w:type="spellStart"/>
      <w:r w:rsidRPr="00CB074B">
        <w:rPr>
          <w:rFonts w:ascii="Times New Roman" w:eastAsia="Calibri" w:hAnsi="Times New Roman" w:cs="Times New Roman"/>
          <w:bCs/>
          <w:iCs/>
          <w:sz w:val="24"/>
          <w:szCs w:val="24"/>
        </w:rPr>
        <w:t>k.s</w:t>
      </w:r>
      <w:proofErr w:type="spellEnd"/>
      <w:r w:rsidRPr="00CB074B">
        <w:rPr>
          <w:rFonts w:ascii="Times New Roman" w:eastAsia="Calibri" w:hAnsi="Times New Roman" w:cs="Times New Roman"/>
          <w:bCs/>
          <w:iCs/>
          <w:sz w:val="24"/>
          <w:szCs w:val="24"/>
        </w:rPr>
        <w:t xml:space="preserve">.) sú zverejnené na webovom sídle obchodného registra v celom rozsahu (oproti iným ČŠ, ktoré zverejňujú zadarmo len základné údaje), nevyužitie tejto výnimky nepredstavuje pre podnikateľov administratívnu záťaž a je odôvodnené najmä technickou náročnosťou a pri neexistencii harmonizácie v oblasti osobných spoločností aj právnymi rozdielmi, ktoré by v podmienkach BRIS nebolo možné odlíšiť. </w:t>
      </w:r>
    </w:p>
    <w:p w14:paraId="2DF0348A" w14:textId="77777777" w:rsidR="00AC6043" w:rsidRDefault="00AC6043" w:rsidP="00AC6043">
      <w:pPr>
        <w:jc w:val="both"/>
        <w:rPr>
          <w:rFonts w:ascii="Times New Roman" w:hAnsi="Times New Roman" w:cs="Times New Roman"/>
          <w:sz w:val="24"/>
          <w:szCs w:val="24"/>
        </w:rPr>
      </w:pPr>
      <w:r>
        <w:rPr>
          <w:rFonts w:ascii="Times New Roman" w:hAnsi="Times New Roman" w:cs="Times New Roman"/>
          <w:sz w:val="24"/>
          <w:szCs w:val="24"/>
        </w:rPr>
        <w:t xml:space="preserve">Lokalizácia v slovenskej právnej úprave: </w:t>
      </w:r>
    </w:p>
    <w:p w14:paraId="2187223D" w14:textId="0E63EAE8" w:rsidR="00AC6043" w:rsidRPr="00A9646E" w:rsidRDefault="00AC6043" w:rsidP="00AC6043">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nakoľko pri tomto </w:t>
      </w:r>
      <w:proofErr w:type="spellStart"/>
      <w:r>
        <w:rPr>
          <w:rFonts w:ascii="Times New Roman" w:hAnsi="Times New Roman" w:cs="Times New Roman"/>
          <w:sz w:val="24"/>
          <w:szCs w:val="24"/>
        </w:rPr>
        <w:t>goldplatingu</w:t>
      </w:r>
      <w:proofErr w:type="spellEnd"/>
      <w:r>
        <w:rPr>
          <w:rFonts w:ascii="Times New Roman" w:hAnsi="Times New Roman" w:cs="Times New Roman"/>
          <w:sz w:val="24"/>
          <w:szCs w:val="24"/>
        </w:rPr>
        <w:t xml:space="preserve"> nebola využitá možnosť na úpravu, </w:t>
      </w:r>
      <w:r w:rsidR="00060A0C">
        <w:rPr>
          <w:rFonts w:ascii="Times New Roman" w:hAnsi="Times New Roman" w:cs="Times New Roman"/>
          <w:sz w:val="24"/>
          <w:szCs w:val="24"/>
        </w:rPr>
        <w:t>ustanovenie</w:t>
      </w:r>
      <w:r>
        <w:rPr>
          <w:rFonts w:ascii="Times New Roman" w:hAnsi="Times New Roman" w:cs="Times New Roman"/>
          <w:sz w:val="24"/>
          <w:szCs w:val="24"/>
        </w:rPr>
        <w:t xml:space="preserve"> v slovenskom právnom poriadku </w:t>
      </w:r>
      <w:r w:rsidR="00060A0C">
        <w:rPr>
          <w:rFonts w:ascii="Times New Roman" w:hAnsi="Times New Roman" w:cs="Times New Roman"/>
          <w:sz w:val="24"/>
          <w:szCs w:val="24"/>
        </w:rPr>
        <w:t>absentuje.</w:t>
      </w:r>
    </w:p>
    <w:p w14:paraId="58394484" w14:textId="77777777" w:rsidR="00AC6043" w:rsidRDefault="00AC6043" w:rsidP="00AC6043">
      <w:pPr>
        <w:jc w:val="both"/>
        <w:rPr>
          <w:rFonts w:ascii="Times New Roman" w:hAnsi="Times New Roman" w:cs="Times New Roman"/>
          <w:sz w:val="24"/>
          <w:szCs w:val="24"/>
        </w:rPr>
      </w:pPr>
      <w:r>
        <w:rPr>
          <w:rFonts w:ascii="Times New Roman" w:hAnsi="Times New Roman" w:cs="Times New Roman"/>
          <w:sz w:val="24"/>
          <w:szCs w:val="24"/>
        </w:rPr>
        <w:t xml:space="preserve">Kategória GP: f) - </w:t>
      </w:r>
      <w:r w:rsidRPr="00A9646E">
        <w:rPr>
          <w:rFonts w:ascii="Times New Roman" w:hAnsi="Times New Roman" w:cs="Times New Roman"/>
          <w:sz w:val="24"/>
          <w:szCs w:val="24"/>
        </w:rPr>
        <w:t>zachovanie existujúcej úpravy</w:t>
      </w:r>
    </w:p>
    <w:p w14:paraId="646F40DE" w14:textId="77777777" w:rsidR="00CB074B" w:rsidRPr="00CB074B" w:rsidRDefault="00CB074B" w:rsidP="00CB074B">
      <w:pPr>
        <w:spacing w:after="0"/>
        <w:jc w:val="both"/>
        <w:rPr>
          <w:rFonts w:ascii="Times New Roman" w:eastAsia="Calibri" w:hAnsi="Times New Roman" w:cs="Times New Roman"/>
          <w:b/>
          <w:bCs/>
          <w:iCs/>
          <w:sz w:val="24"/>
          <w:szCs w:val="24"/>
        </w:rPr>
      </w:pPr>
      <w:r w:rsidRPr="00CB074B">
        <w:rPr>
          <w:rFonts w:ascii="Times New Roman" w:eastAsia="Calibri" w:hAnsi="Times New Roman" w:cs="Times New Roman"/>
          <w:b/>
          <w:bCs/>
          <w:iCs/>
          <w:sz w:val="24"/>
          <w:szCs w:val="24"/>
        </w:rPr>
        <w:t xml:space="preserve">Článok 21 odsek 2, druhý </w:t>
      </w:r>
      <w:proofErr w:type="spellStart"/>
      <w:r w:rsidRPr="00CB074B">
        <w:rPr>
          <w:rFonts w:ascii="Times New Roman" w:eastAsia="Calibri" w:hAnsi="Times New Roman" w:cs="Times New Roman"/>
          <w:b/>
          <w:bCs/>
          <w:iCs/>
          <w:sz w:val="24"/>
          <w:szCs w:val="24"/>
        </w:rPr>
        <w:t>pododsek</w:t>
      </w:r>
      <w:proofErr w:type="spellEnd"/>
    </w:p>
    <w:p w14:paraId="1B1863BC" w14:textId="7A9270BE" w:rsidR="00CB074B" w:rsidRDefault="00CB074B" w:rsidP="00CB074B">
      <w:pPr>
        <w:jc w:val="both"/>
        <w:rPr>
          <w:rFonts w:ascii="Times New Roman" w:eastAsia="Calibri" w:hAnsi="Times New Roman" w:cs="Times New Roman"/>
          <w:bCs/>
          <w:iCs/>
          <w:sz w:val="24"/>
          <w:szCs w:val="24"/>
        </w:rPr>
      </w:pPr>
      <w:r w:rsidRPr="00CB074B">
        <w:rPr>
          <w:rFonts w:ascii="Times New Roman" w:eastAsia="Calibri" w:hAnsi="Times New Roman" w:cs="Times New Roman"/>
          <w:bCs/>
          <w:iCs/>
          <w:sz w:val="24"/>
          <w:szCs w:val="24"/>
        </w:rPr>
        <w:t>Predkladateľ považuje za nevyhnutné, aby dokumenty, ktoré sa zverejňujú v obchodnom registri v inom ako slovenskom jazyku, boli preložené, a to z dôvodu transparentnosti a možnosti overenia ich obsahu.</w:t>
      </w:r>
    </w:p>
    <w:p w14:paraId="484253A8" w14:textId="77777777" w:rsidR="00AC6043" w:rsidRDefault="00AC6043" w:rsidP="00AC6043">
      <w:pPr>
        <w:jc w:val="both"/>
        <w:rPr>
          <w:rFonts w:ascii="Times New Roman" w:hAnsi="Times New Roman" w:cs="Times New Roman"/>
          <w:sz w:val="24"/>
          <w:szCs w:val="24"/>
        </w:rPr>
      </w:pPr>
      <w:r>
        <w:rPr>
          <w:rFonts w:ascii="Times New Roman" w:hAnsi="Times New Roman" w:cs="Times New Roman"/>
          <w:sz w:val="24"/>
          <w:szCs w:val="24"/>
        </w:rPr>
        <w:t xml:space="preserve">Lokalizácia v slovenskej právnej úprave: </w:t>
      </w:r>
    </w:p>
    <w:p w14:paraId="339034EA" w14:textId="73DFBCE2" w:rsidR="00AC6043" w:rsidRDefault="00AC6043" w:rsidP="00AC6043">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návrh zákona o obchodnom registri - § 40 </w:t>
      </w:r>
    </w:p>
    <w:p w14:paraId="5EFC32D1" w14:textId="485EFC33" w:rsidR="00AC6043" w:rsidRDefault="00AC6043" w:rsidP="00CB074B">
      <w:pPr>
        <w:jc w:val="both"/>
        <w:rPr>
          <w:rFonts w:ascii="Times New Roman" w:hAnsi="Times New Roman" w:cs="Times New Roman"/>
          <w:sz w:val="24"/>
          <w:szCs w:val="24"/>
        </w:rPr>
      </w:pPr>
      <w:r>
        <w:rPr>
          <w:rFonts w:ascii="Times New Roman" w:hAnsi="Times New Roman" w:cs="Times New Roman"/>
          <w:sz w:val="24"/>
          <w:szCs w:val="24"/>
        </w:rPr>
        <w:t xml:space="preserve">Kategória GP: f) - </w:t>
      </w:r>
      <w:r w:rsidRPr="00A9646E">
        <w:rPr>
          <w:rFonts w:ascii="Times New Roman" w:hAnsi="Times New Roman" w:cs="Times New Roman"/>
          <w:sz w:val="24"/>
          <w:szCs w:val="24"/>
        </w:rPr>
        <w:t>zachovanie existujúcej úpravy</w:t>
      </w:r>
    </w:p>
    <w:p w14:paraId="54E0D4F6" w14:textId="50B94C7B" w:rsidR="00356381" w:rsidRPr="00CB074B" w:rsidRDefault="00356381" w:rsidP="00356381">
      <w:pPr>
        <w:spacing w:after="0"/>
        <w:jc w:val="both"/>
        <w:rPr>
          <w:rFonts w:ascii="Times New Roman" w:eastAsia="Calibri" w:hAnsi="Times New Roman" w:cs="Times New Roman"/>
          <w:b/>
          <w:bCs/>
          <w:iCs/>
          <w:sz w:val="24"/>
          <w:szCs w:val="24"/>
        </w:rPr>
      </w:pPr>
      <w:r w:rsidRPr="00CB074B">
        <w:rPr>
          <w:rFonts w:ascii="Times New Roman" w:eastAsia="Calibri" w:hAnsi="Times New Roman" w:cs="Times New Roman"/>
          <w:b/>
          <w:bCs/>
          <w:iCs/>
          <w:sz w:val="24"/>
          <w:szCs w:val="24"/>
        </w:rPr>
        <w:t xml:space="preserve">Článok 21 odsek </w:t>
      </w:r>
      <w:r>
        <w:rPr>
          <w:rFonts w:ascii="Times New Roman" w:eastAsia="Calibri" w:hAnsi="Times New Roman" w:cs="Times New Roman"/>
          <w:b/>
          <w:bCs/>
          <w:iCs/>
          <w:sz w:val="24"/>
          <w:szCs w:val="24"/>
        </w:rPr>
        <w:t>3</w:t>
      </w:r>
    </w:p>
    <w:p w14:paraId="097B5292" w14:textId="77777777" w:rsidR="00356381" w:rsidRDefault="00356381" w:rsidP="00356381">
      <w:pPr>
        <w:jc w:val="both"/>
        <w:rPr>
          <w:rFonts w:ascii="Times New Roman" w:eastAsia="Calibri" w:hAnsi="Times New Roman" w:cs="Times New Roman"/>
          <w:bCs/>
          <w:iCs/>
          <w:sz w:val="24"/>
          <w:szCs w:val="24"/>
        </w:rPr>
      </w:pPr>
      <w:r w:rsidRPr="00356381">
        <w:rPr>
          <w:rFonts w:ascii="Times New Roman" w:eastAsia="Calibri" w:hAnsi="Times New Roman" w:cs="Times New Roman"/>
          <w:bCs/>
          <w:iCs/>
          <w:sz w:val="24"/>
          <w:szCs w:val="24"/>
        </w:rPr>
        <w:t>Predkladateľ považuje za vhodné, aby sa dokumenty, ktoré sa zverejňujú v obchodnom registri a boli vypracované aj v inom ako slovenskom jazyku, mohli uložiť do zbierky listín z dôvodu transparentnosti. Uvedené ustanovenie nevyjadruje povinnosť, ale možnosť pre spoločnosť uložiť aj takéto dokumenty. Rovnako predkladateľ považuje za nevyhnutné, aby dokumenty, ktoré sa zverejňujú v obchodnom registri v inom ako slovenskom jazyku, boli preložené, a to z dôvodu transparentnosti a možnosti overenia ich obsahu.</w:t>
      </w:r>
    </w:p>
    <w:p w14:paraId="297B6A46" w14:textId="080D8386" w:rsidR="00356381" w:rsidRDefault="00356381" w:rsidP="00356381">
      <w:pPr>
        <w:jc w:val="both"/>
        <w:rPr>
          <w:rFonts w:ascii="Times New Roman" w:hAnsi="Times New Roman" w:cs="Times New Roman"/>
          <w:sz w:val="24"/>
          <w:szCs w:val="24"/>
        </w:rPr>
      </w:pPr>
      <w:r>
        <w:rPr>
          <w:rFonts w:ascii="Times New Roman" w:hAnsi="Times New Roman" w:cs="Times New Roman"/>
          <w:sz w:val="24"/>
          <w:szCs w:val="24"/>
        </w:rPr>
        <w:t xml:space="preserve">Lokalizácia v slovenskej právnej úprave: </w:t>
      </w:r>
    </w:p>
    <w:p w14:paraId="7EA8B812" w14:textId="77777777" w:rsidR="00356381" w:rsidRDefault="00356381" w:rsidP="00356381">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návrh zákona o obchodnom registri - § 40 </w:t>
      </w:r>
    </w:p>
    <w:p w14:paraId="29AA9708" w14:textId="2B4DE603" w:rsidR="00356381" w:rsidRDefault="00356381" w:rsidP="00356381">
      <w:pPr>
        <w:jc w:val="both"/>
        <w:rPr>
          <w:rFonts w:ascii="Times New Roman" w:hAnsi="Times New Roman" w:cs="Times New Roman"/>
          <w:sz w:val="24"/>
          <w:szCs w:val="24"/>
        </w:rPr>
      </w:pPr>
      <w:r>
        <w:rPr>
          <w:rFonts w:ascii="Times New Roman" w:hAnsi="Times New Roman" w:cs="Times New Roman"/>
          <w:sz w:val="24"/>
          <w:szCs w:val="24"/>
        </w:rPr>
        <w:t xml:space="preserve">Kategória GP: f) - </w:t>
      </w:r>
      <w:r w:rsidRPr="00A9646E">
        <w:rPr>
          <w:rFonts w:ascii="Times New Roman" w:hAnsi="Times New Roman" w:cs="Times New Roman"/>
          <w:sz w:val="24"/>
          <w:szCs w:val="24"/>
        </w:rPr>
        <w:t>zachovanie existujúcej úpravy</w:t>
      </w:r>
    </w:p>
    <w:p w14:paraId="43E8746D" w14:textId="77777777" w:rsidR="003E0766" w:rsidRPr="003E0766" w:rsidRDefault="003E0766" w:rsidP="003E0766">
      <w:pPr>
        <w:jc w:val="both"/>
        <w:rPr>
          <w:rFonts w:ascii="Times New Roman" w:hAnsi="Times New Roman" w:cs="Times New Roman"/>
          <w:b/>
          <w:sz w:val="24"/>
          <w:szCs w:val="24"/>
        </w:rPr>
      </w:pPr>
      <w:r w:rsidRPr="003E0766">
        <w:rPr>
          <w:rFonts w:ascii="Times New Roman" w:hAnsi="Times New Roman" w:cs="Times New Roman"/>
          <w:b/>
          <w:sz w:val="24"/>
          <w:szCs w:val="24"/>
        </w:rPr>
        <w:t>Článok 28a odsek 6</w:t>
      </w:r>
    </w:p>
    <w:p w14:paraId="47C765A5" w14:textId="11E05F8B" w:rsidR="003E0766" w:rsidRPr="003E0766" w:rsidRDefault="003E0766" w:rsidP="003E0766">
      <w:pPr>
        <w:jc w:val="both"/>
        <w:rPr>
          <w:rFonts w:ascii="Times New Roman" w:hAnsi="Times New Roman" w:cs="Times New Roman"/>
          <w:sz w:val="24"/>
          <w:szCs w:val="24"/>
        </w:rPr>
      </w:pPr>
      <w:r w:rsidRPr="003E0766">
        <w:rPr>
          <w:rFonts w:ascii="Times New Roman" w:hAnsi="Times New Roman" w:cs="Times New Roman"/>
          <w:sz w:val="24"/>
          <w:szCs w:val="24"/>
        </w:rPr>
        <w:t xml:space="preserve">Ustanovenie lehoty na registráciu kratšej ako vyžaduje smernica predstavuje </w:t>
      </w:r>
      <w:proofErr w:type="spellStart"/>
      <w:r w:rsidRPr="003E0766">
        <w:rPr>
          <w:rFonts w:ascii="Times New Roman" w:hAnsi="Times New Roman" w:cs="Times New Roman"/>
          <w:sz w:val="24"/>
          <w:szCs w:val="24"/>
        </w:rPr>
        <w:t>goldplating</w:t>
      </w:r>
      <w:proofErr w:type="spellEnd"/>
      <w:r w:rsidRPr="003E0766">
        <w:rPr>
          <w:rFonts w:ascii="Times New Roman" w:hAnsi="Times New Roman" w:cs="Times New Roman"/>
          <w:sz w:val="24"/>
          <w:szCs w:val="24"/>
        </w:rPr>
        <w:t>, ktorý však má pozitívny vplyv na podnikateľské prostredie. Predkladateľ pristúpil k takejto úprave z toho dôvodu, že lehota je rovnaká pre všetky obdobné typy registrácií a nie je dôvod na to, aby pre  registráciu pobočky zriadenej zjednodušeným spôsobom bola lehota na registráciu iná.</w:t>
      </w:r>
    </w:p>
    <w:p w14:paraId="479341EF" w14:textId="77777777" w:rsidR="003E0766" w:rsidRPr="003E0766" w:rsidRDefault="003E0766" w:rsidP="003E0766">
      <w:pPr>
        <w:jc w:val="both"/>
        <w:rPr>
          <w:rFonts w:ascii="Times New Roman" w:hAnsi="Times New Roman" w:cs="Times New Roman"/>
          <w:sz w:val="24"/>
          <w:szCs w:val="24"/>
        </w:rPr>
      </w:pPr>
      <w:r w:rsidRPr="003E0766">
        <w:rPr>
          <w:rFonts w:ascii="Times New Roman" w:hAnsi="Times New Roman" w:cs="Times New Roman"/>
          <w:sz w:val="24"/>
          <w:szCs w:val="24"/>
        </w:rPr>
        <w:t xml:space="preserve">Lokalizácia v slovenskej právnej úprave: </w:t>
      </w:r>
    </w:p>
    <w:p w14:paraId="7755433D" w14:textId="77777777" w:rsidR="003E0766" w:rsidRPr="003E0766" w:rsidRDefault="003E0766" w:rsidP="003E0766">
      <w:pPr>
        <w:jc w:val="both"/>
        <w:rPr>
          <w:rFonts w:ascii="Times New Roman" w:hAnsi="Times New Roman" w:cs="Times New Roman"/>
          <w:sz w:val="24"/>
          <w:szCs w:val="24"/>
        </w:rPr>
      </w:pPr>
      <w:r w:rsidRPr="003E0766">
        <w:rPr>
          <w:rFonts w:ascii="Times New Roman" w:hAnsi="Times New Roman" w:cs="Times New Roman"/>
          <w:sz w:val="24"/>
          <w:szCs w:val="24"/>
        </w:rPr>
        <w:t>-</w:t>
      </w:r>
      <w:r w:rsidRPr="003E0766">
        <w:rPr>
          <w:rFonts w:ascii="Times New Roman" w:hAnsi="Times New Roman" w:cs="Times New Roman"/>
          <w:sz w:val="24"/>
          <w:szCs w:val="24"/>
        </w:rPr>
        <w:tab/>
        <w:t>návrh zákona o obchodnom registri - § 58 ods. 1</w:t>
      </w:r>
    </w:p>
    <w:p w14:paraId="667DCB0B" w14:textId="1D017E10" w:rsidR="003E0766" w:rsidRDefault="003E0766" w:rsidP="003E0766">
      <w:pPr>
        <w:jc w:val="both"/>
        <w:rPr>
          <w:rFonts w:ascii="Times New Roman" w:hAnsi="Times New Roman" w:cs="Times New Roman"/>
          <w:sz w:val="24"/>
          <w:szCs w:val="24"/>
        </w:rPr>
      </w:pPr>
      <w:r w:rsidRPr="003E0766">
        <w:rPr>
          <w:rFonts w:ascii="Times New Roman" w:hAnsi="Times New Roman" w:cs="Times New Roman"/>
          <w:sz w:val="24"/>
          <w:szCs w:val="24"/>
        </w:rPr>
        <w:t>Kategória GP: f) - zachovanie existujúcej úpravy</w:t>
      </w:r>
    </w:p>
    <w:p w14:paraId="504F4C39" w14:textId="5DC23BBF" w:rsidR="003E0766" w:rsidRDefault="003E0766" w:rsidP="00356381">
      <w:pPr>
        <w:jc w:val="both"/>
        <w:rPr>
          <w:rFonts w:ascii="Times New Roman" w:hAnsi="Times New Roman" w:cs="Times New Roman"/>
          <w:sz w:val="24"/>
          <w:szCs w:val="24"/>
        </w:rPr>
      </w:pPr>
    </w:p>
    <w:p w14:paraId="7F7AF017" w14:textId="77777777" w:rsidR="00255225" w:rsidRPr="00AC6043" w:rsidRDefault="00255225" w:rsidP="00356381">
      <w:pPr>
        <w:jc w:val="both"/>
        <w:rPr>
          <w:rFonts w:ascii="Times New Roman" w:hAnsi="Times New Roman" w:cs="Times New Roman"/>
          <w:sz w:val="24"/>
          <w:szCs w:val="24"/>
        </w:rPr>
      </w:pPr>
      <w:bookmarkStart w:id="0" w:name="_GoBack"/>
      <w:bookmarkEnd w:id="0"/>
    </w:p>
    <w:p w14:paraId="1A3B862E" w14:textId="77777777" w:rsidR="00CB074B" w:rsidRPr="00CB074B" w:rsidRDefault="00CB074B" w:rsidP="00CB074B">
      <w:pPr>
        <w:spacing w:after="0"/>
        <w:jc w:val="both"/>
        <w:rPr>
          <w:rFonts w:ascii="Times New Roman" w:eastAsia="Calibri" w:hAnsi="Times New Roman" w:cs="Times New Roman"/>
          <w:b/>
          <w:bCs/>
          <w:iCs/>
          <w:sz w:val="24"/>
          <w:szCs w:val="24"/>
        </w:rPr>
      </w:pPr>
      <w:r w:rsidRPr="00CB074B">
        <w:rPr>
          <w:rFonts w:ascii="Times New Roman" w:eastAsia="Calibri" w:hAnsi="Times New Roman" w:cs="Times New Roman"/>
          <w:b/>
          <w:bCs/>
          <w:iCs/>
          <w:sz w:val="24"/>
          <w:szCs w:val="24"/>
        </w:rPr>
        <w:lastRenderedPageBreak/>
        <w:t>Článok 28b odsek 3</w:t>
      </w:r>
    </w:p>
    <w:p w14:paraId="61E1C946" w14:textId="5A282363" w:rsidR="00CB074B" w:rsidRDefault="00CB074B" w:rsidP="00CB074B">
      <w:pPr>
        <w:jc w:val="both"/>
        <w:rPr>
          <w:rFonts w:ascii="Times New Roman" w:eastAsia="Calibri" w:hAnsi="Times New Roman" w:cs="Times New Roman"/>
          <w:bCs/>
          <w:iCs/>
          <w:sz w:val="24"/>
          <w:szCs w:val="24"/>
        </w:rPr>
      </w:pPr>
      <w:r w:rsidRPr="00CB074B">
        <w:rPr>
          <w:rFonts w:ascii="Times New Roman" w:eastAsia="Calibri" w:hAnsi="Times New Roman" w:cs="Times New Roman"/>
          <w:bCs/>
          <w:iCs/>
          <w:sz w:val="24"/>
          <w:szCs w:val="24"/>
        </w:rPr>
        <w:t>SR využila ponúkanú dobrovoľnú transpozíciu, a teda ustanovila pre všetky kategórie subjektov zapi</w:t>
      </w:r>
      <w:r>
        <w:rPr>
          <w:rFonts w:ascii="Times New Roman" w:eastAsia="Calibri" w:hAnsi="Times New Roman" w:cs="Times New Roman"/>
          <w:bCs/>
          <w:iCs/>
          <w:sz w:val="24"/>
          <w:szCs w:val="24"/>
        </w:rPr>
        <w:t>sovaných do obchodného registra,</w:t>
      </w:r>
      <w:r w:rsidRPr="00CB074B">
        <w:rPr>
          <w:rFonts w:ascii="Times New Roman" w:eastAsia="Calibri" w:hAnsi="Times New Roman" w:cs="Times New Roman"/>
          <w:bCs/>
          <w:iCs/>
          <w:sz w:val="24"/>
          <w:szCs w:val="24"/>
        </w:rPr>
        <w:t xml:space="preserve"> teda aj pobočiek z krajín EU (EHP), elektronické „podávanie“ všetkých dokumentov a údajov (ktorými je potrebné v terminológii národnej právnej úpravy rozumieť návrh na registráciu v obchodnom registri a dokumen</w:t>
      </w:r>
      <w:r>
        <w:rPr>
          <w:rFonts w:ascii="Times New Roman" w:eastAsia="Calibri" w:hAnsi="Times New Roman" w:cs="Times New Roman"/>
          <w:bCs/>
          <w:iCs/>
          <w:sz w:val="24"/>
          <w:szCs w:val="24"/>
        </w:rPr>
        <w:t>ty, ktoré tvoria jeho prílohy).</w:t>
      </w:r>
    </w:p>
    <w:p w14:paraId="759F4E69" w14:textId="77777777" w:rsidR="00AC6043" w:rsidRDefault="00AC6043" w:rsidP="00AC6043">
      <w:pPr>
        <w:jc w:val="both"/>
        <w:rPr>
          <w:rFonts w:ascii="Times New Roman" w:hAnsi="Times New Roman" w:cs="Times New Roman"/>
          <w:sz w:val="24"/>
          <w:szCs w:val="24"/>
        </w:rPr>
      </w:pPr>
      <w:r>
        <w:rPr>
          <w:rFonts w:ascii="Times New Roman" w:hAnsi="Times New Roman" w:cs="Times New Roman"/>
          <w:sz w:val="24"/>
          <w:szCs w:val="24"/>
        </w:rPr>
        <w:t xml:space="preserve">Lokalizácia v slovenskej právnej úprave: </w:t>
      </w:r>
    </w:p>
    <w:p w14:paraId="61141264" w14:textId="5E4BD910" w:rsidR="00AC6043" w:rsidRPr="00A9646E" w:rsidRDefault="00AC6043" w:rsidP="00AC6043">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návrh zákona o obchodnom registri - § 44</w:t>
      </w:r>
      <w:r w:rsidR="00C41F98">
        <w:rPr>
          <w:rFonts w:ascii="Times New Roman" w:hAnsi="Times New Roman" w:cs="Times New Roman"/>
          <w:sz w:val="24"/>
          <w:szCs w:val="24"/>
        </w:rPr>
        <w:t>, § 45</w:t>
      </w:r>
    </w:p>
    <w:p w14:paraId="5A126C28" w14:textId="77777777" w:rsidR="00AC6043" w:rsidRDefault="00AC6043" w:rsidP="00AC6043">
      <w:pPr>
        <w:jc w:val="both"/>
        <w:rPr>
          <w:rFonts w:ascii="Times New Roman" w:hAnsi="Times New Roman" w:cs="Times New Roman"/>
          <w:sz w:val="24"/>
          <w:szCs w:val="24"/>
        </w:rPr>
      </w:pPr>
      <w:r>
        <w:rPr>
          <w:rFonts w:ascii="Times New Roman" w:hAnsi="Times New Roman" w:cs="Times New Roman"/>
          <w:sz w:val="24"/>
          <w:szCs w:val="24"/>
        </w:rPr>
        <w:t xml:space="preserve">Kategória GP: f) - </w:t>
      </w:r>
      <w:r w:rsidRPr="00A9646E">
        <w:rPr>
          <w:rFonts w:ascii="Times New Roman" w:hAnsi="Times New Roman" w:cs="Times New Roman"/>
          <w:sz w:val="24"/>
          <w:szCs w:val="24"/>
        </w:rPr>
        <w:t>zachovanie existujúcej úpravy</w:t>
      </w:r>
    </w:p>
    <w:p w14:paraId="2DF37F09" w14:textId="77777777" w:rsidR="00CB074B" w:rsidRPr="00CB074B" w:rsidRDefault="00CB074B" w:rsidP="00CB074B">
      <w:pPr>
        <w:spacing w:after="0"/>
        <w:jc w:val="both"/>
        <w:rPr>
          <w:rFonts w:ascii="Times New Roman" w:eastAsia="Calibri" w:hAnsi="Times New Roman" w:cs="Times New Roman"/>
          <w:b/>
          <w:bCs/>
          <w:iCs/>
          <w:sz w:val="24"/>
          <w:szCs w:val="24"/>
        </w:rPr>
      </w:pPr>
      <w:r w:rsidRPr="00CB074B">
        <w:rPr>
          <w:rFonts w:ascii="Times New Roman" w:eastAsia="Calibri" w:hAnsi="Times New Roman" w:cs="Times New Roman"/>
          <w:b/>
          <w:bCs/>
          <w:iCs/>
          <w:sz w:val="24"/>
          <w:szCs w:val="24"/>
        </w:rPr>
        <w:t>Článok 30 odsek 2, písmená a) až d)</w:t>
      </w:r>
    </w:p>
    <w:p w14:paraId="2521DD52" w14:textId="7E39C2A6" w:rsidR="00CB074B" w:rsidRDefault="00CB074B" w:rsidP="00CB074B">
      <w:pPr>
        <w:jc w:val="both"/>
        <w:rPr>
          <w:rFonts w:ascii="Times New Roman" w:eastAsia="Calibri" w:hAnsi="Times New Roman" w:cs="Times New Roman"/>
          <w:bCs/>
          <w:iCs/>
          <w:sz w:val="24"/>
          <w:szCs w:val="24"/>
        </w:rPr>
      </w:pPr>
      <w:r w:rsidRPr="00CB074B">
        <w:rPr>
          <w:rFonts w:ascii="Times New Roman" w:eastAsia="Calibri" w:hAnsi="Times New Roman" w:cs="Times New Roman"/>
          <w:bCs/>
          <w:iCs/>
          <w:sz w:val="24"/>
          <w:szCs w:val="24"/>
        </w:rPr>
        <w:t>Predkladateľ v pôvodnej transpozícii v zákone č. 530/2003 Z. z. pristúpil k zverejňovaniu tohto dokumentu v zmysle smernice (EÚ) 2017/1132 z dôvodu právnej istoty, pričom neexistuje dôvod, pre ktorý by tieto dokumenty (ak sa zverejňujú pri obchodných spoločnostiach) nemali b</w:t>
      </w:r>
      <w:r>
        <w:rPr>
          <w:rFonts w:ascii="Times New Roman" w:eastAsia="Calibri" w:hAnsi="Times New Roman" w:cs="Times New Roman"/>
          <w:bCs/>
          <w:iCs/>
          <w:sz w:val="24"/>
          <w:szCs w:val="24"/>
        </w:rPr>
        <w:t>yť zverejnené aj pri pobočkách.</w:t>
      </w:r>
    </w:p>
    <w:p w14:paraId="7619DAFA" w14:textId="77777777" w:rsidR="00AC6043" w:rsidRDefault="00AC6043" w:rsidP="00AC6043">
      <w:pPr>
        <w:jc w:val="both"/>
        <w:rPr>
          <w:rFonts w:ascii="Times New Roman" w:hAnsi="Times New Roman" w:cs="Times New Roman"/>
          <w:sz w:val="24"/>
          <w:szCs w:val="24"/>
        </w:rPr>
      </w:pPr>
      <w:r>
        <w:rPr>
          <w:rFonts w:ascii="Times New Roman" w:hAnsi="Times New Roman" w:cs="Times New Roman"/>
          <w:sz w:val="24"/>
          <w:szCs w:val="24"/>
        </w:rPr>
        <w:t xml:space="preserve">Lokalizácia v slovenskej právnej úprave: </w:t>
      </w:r>
    </w:p>
    <w:p w14:paraId="6CC1A596" w14:textId="006F706B" w:rsidR="00AC6043" w:rsidRPr="00A9646E" w:rsidRDefault="00AC6043" w:rsidP="00AC6043">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návrh zákona o obchodnom registri - § 35 písm. b), c), g), f)</w:t>
      </w:r>
    </w:p>
    <w:p w14:paraId="5BFA6506" w14:textId="77777777" w:rsidR="00AC6043" w:rsidRDefault="00AC6043" w:rsidP="00AC6043">
      <w:pPr>
        <w:jc w:val="both"/>
        <w:rPr>
          <w:rFonts w:ascii="Times New Roman" w:hAnsi="Times New Roman" w:cs="Times New Roman"/>
          <w:sz w:val="24"/>
          <w:szCs w:val="24"/>
        </w:rPr>
      </w:pPr>
      <w:r>
        <w:rPr>
          <w:rFonts w:ascii="Times New Roman" w:hAnsi="Times New Roman" w:cs="Times New Roman"/>
          <w:sz w:val="24"/>
          <w:szCs w:val="24"/>
        </w:rPr>
        <w:t xml:space="preserve">Kategória GP: f) - </w:t>
      </w:r>
      <w:r w:rsidRPr="00A9646E">
        <w:rPr>
          <w:rFonts w:ascii="Times New Roman" w:hAnsi="Times New Roman" w:cs="Times New Roman"/>
          <w:sz w:val="24"/>
          <w:szCs w:val="24"/>
        </w:rPr>
        <w:t>zachovanie existujúcej úpravy</w:t>
      </w:r>
    </w:p>
    <w:p w14:paraId="1F344F1C" w14:textId="77777777" w:rsidR="00CB074B" w:rsidRPr="00CB074B" w:rsidRDefault="00CB074B" w:rsidP="00CB074B">
      <w:pPr>
        <w:spacing w:after="0"/>
        <w:jc w:val="both"/>
        <w:rPr>
          <w:rFonts w:ascii="Times New Roman" w:eastAsia="Calibri" w:hAnsi="Times New Roman" w:cs="Times New Roman"/>
          <w:b/>
          <w:bCs/>
          <w:iCs/>
          <w:sz w:val="24"/>
          <w:szCs w:val="24"/>
        </w:rPr>
      </w:pPr>
      <w:r w:rsidRPr="00CB074B">
        <w:rPr>
          <w:rFonts w:ascii="Times New Roman" w:eastAsia="Calibri" w:hAnsi="Times New Roman" w:cs="Times New Roman"/>
          <w:b/>
          <w:bCs/>
          <w:iCs/>
          <w:sz w:val="24"/>
          <w:szCs w:val="24"/>
        </w:rPr>
        <w:t>Článok 42 odsek 2</w:t>
      </w:r>
    </w:p>
    <w:p w14:paraId="09C6F2E7" w14:textId="3EE2F007" w:rsidR="00FC191C" w:rsidRDefault="00CB074B" w:rsidP="008A14ED">
      <w:pPr>
        <w:spacing w:after="0"/>
        <w:jc w:val="both"/>
        <w:rPr>
          <w:rFonts w:ascii="Times New Roman" w:eastAsia="Calibri" w:hAnsi="Times New Roman" w:cs="Times New Roman"/>
          <w:bCs/>
          <w:iCs/>
          <w:sz w:val="24"/>
          <w:szCs w:val="24"/>
        </w:rPr>
      </w:pPr>
      <w:r w:rsidRPr="00CB074B">
        <w:rPr>
          <w:rFonts w:ascii="Times New Roman" w:eastAsia="Calibri" w:hAnsi="Times New Roman" w:cs="Times New Roman"/>
          <w:bCs/>
          <w:iCs/>
          <w:sz w:val="24"/>
          <w:szCs w:val="24"/>
        </w:rPr>
        <w:t>SK nevyužila výnimku a uplatňuje ustanovenia aj na pobočky zriadené zahraničnými poisťovňami. Predkladateľ považuje uvedené za nevyhnutné vo vzťahu k transparentnosti pre tretie osoby.</w:t>
      </w:r>
    </w:p>
    <w:p w14:paraId="231F2033" w14:textId="69422F97" w:rsidR="00CB074B" w:rsidRDefault="00CB074B" w:rsidP="008A14ED">
      <w:pPr>
        <w:spacing w:after="0"/>
        <w:jc w:val="both"/>
        <w:rPr>
          <w:rFonts w:ascii="Times New Roman" w:eastAsia="Calibri" w:hAnsi="Times New Roman" w:cs="Times New Roman"/>
          <w:bCs/>
          <w:iCs/>
          <w:sz w:val="24"/>
          <w:szCs w:val="24"/>
        </w:rPr>
      </w:pPr>
    </w:p>
    <w:p w14:paraId="2B289650" w14:textId="0D7980FB" w:rsidR="008A14ED" w:rsidRDefault="008A14ED" w:rsidP="00CB074B">
      <w:pPr>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Vzhľadom na charakter regulácie nie je možné dopady kvantifikovať. </w:t>
      </w:r>
    </w:p>
    <w:p w14:paraId="7B1D1081" w14:textId="77777777" w:rsidR="00060A0C" w:rsidRDefault="00060A0C" w:rsidP="00060A0C">
      <w:pPr>
        <w:jc w:val="both"/>
        <w:rPr>
          <w:rFonts w:ascii="Times New Roman" w:hAnsi="Times New Roman" w:cs="Times New Roman"/>
          <w:sz w:val="24"/>
          <w:szCs w:val="24"/>
        </w:rPr>
      </w:pPr>
      <w:r>
        <w:rPr>
          <w:rFonts w:ascii="Times New Roman" w:hAnsi="Times New Roman" w:cs="Times New Roman"/>
          <w:sz w:val="24"/>
          <w:szCs w:val="24"/>
        </w:rPr>
        <w:t xml:space="preserve">Lokalizácia v slovenskej právnej úprave: </w:t>
      </w:r>
    </w:p>
    <w:p w14:paraId="4E16F110" w14:textId="42954AD2" w:rsidR="00060A0C" w:rsidRPr="00A9646E" w:rsidRDefault="00060A0C" w:rsidP="00060A0C">
      <w:pPr>
        <w:pStyle w:val="Odsekzoznamu"/>
        <w:numPr>
          <w:ilvl w:val="0"/>
          <w:numId w:val="17"/>
        </w:numPr>
        <w:jc w:val="both"/>
        <w:rPr>
          <w:rFonts w:ascii="Times New Roman" w:hAnsi="Times New Roman" w:cs="Times New Roman"/>
          <w:sz w:val="24"/>
          <w:szCs w:val="24"/>
        </w:rPr>
      </w:pPr>
      <w:r>
        <w:rPr>
          <w:rFonts w:ascii="Times New Roman" w:hAnsi="Times New Roman" w:cs="Times New Roman"/>
          <w:sz w:val="24"/>
          <w:szCs w:val="24"/>
        </w:rPr>
        <w:t>nakoľko SK nevyužila výnimku a ustanovenia sú aplikovateľné aj na pobočky zriadené poisťovňami, ustanovenie v slovenskom právnom poriadku absentuje.</w:t>
      </w:r>
    </w:p>
    <w:p w14:paraId="0955D54F" w14:textId="46CCA89C" w:rsidR="00060A0C" w:rsidRPr="00060A0C" w:rsidRDefault="00060A0C" w:rsidP="00CB074B">
      <w:pPr>
        <w:jc w:val="both"/>
        <w:rPr>
          <w:rFonts w:ascii="Times New Roman" w:hAnsi="Times New Roman" w:cs="Times New Roman"/>
          <w:sz w:val="24"/>
          <w:szCs w:val="24"/>
        </w:rPr>
      </w:pPr>
      <w:r>
        <w:rPr>
          <w:rFonts w:ascii="Times New Roman" w:hAnsi="Times New Roman" w:cs="Times New Roman"/>
          <w:sz w:val="24"/>
          <w:szCs w:val="24"/>
        </w:rPr>
        <w:t xml:space="preserve">Kategória GP: f) - </w:t>
      </w:r>
      <w:r w:rsidRPr="00A9646E">
        <w:rPr>
          <w:rFonts w:ascii="Times New Roman" w:hAnsi="Times New Roman" w:cs="Times New Roman"/>
          <w:sz w:val="24"/>
          <w:szCs w:val="24"/>
        </w:rPr>
        <w:t>zachovanie existujúcej úpravy</w:t>
      </w:r>
    </w:p>
    <w:p w14:paraId="39D55FBC" w14:textId="0B684507" w:rsidR="00054C41" w:rsidRPr="00B24EFE" w:rsidRDefault="00054C41" w:rsidP="00054C41">
      <w:pPr>
        <w:jc w:val="both"/>
        <w:rPr>
          <w:rFonts w:ascii="Times New Roman" w:eastAsia="Calibri" w:hAnsi="Times New Roman" w:cs="Times New Roman"/>
          <w:b/>
          <w:sz w:val="24"/>
          <w:szCs w:val="24"/>
        </w:rPr>
      </w:pPr>
      <w:r w:rsidRPr="00B24EFE">
        <w:rPr>
          <w:rFonts w:ascii="Times New Roman" w:eastAsia="Calibri" w:hAnsi="Times New Roman" w:cs="Times New Roman"/>
          <w:b/>
          <w:sz w:val="24"/>
          <w:szCs w:val="24"/>
        </w:rPr>
        <w:t>3.2 Vyhodnotenie konzultácií s podnikateľskými subjektmi pred predbežným pripomienkovým konaním</w:t>
      </w:r>
    </w:p>
    <w:p w14:paraId="49C67761" w14:textId="77777777" w:rsidR="00054C41" w:rsidRPr="00B24EFE" w:rsidRDefault="00054C41" w:rsidP="00054C41">
      <w:pPr>
        <w:spacing w:after="0"/>
        <w:jc w:val="both"/>
        <w:rPr>
          <w:rFonts w:ascii="Times New Roman" w:eastAsia="Calibri" w:hAnsi="Times New Roman" w:cs="Times New Roman"/>
          <w:i/>
          <w:sz w:val="24"/>
          <w:szCs w:val="24"/>
        </w:rPr>
      </w:pPr>
      <w:r w:rsidRPr="00B24EFE">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B24EFE">
        <w:rPr>
          <w:rFonts w:ascii="Times New Roman" w:eastAsia="Calibri" w:hAnsi="Times New Roman" w:cs="Times New Roman"/>
          <w:i/>
          <w:sz w:val="24"/>
          <w:szCs w:val="24"/>
        </w:rPr>
        <w:t>link</w:t>
      </w:r>
      <w:proofErr w:type="spellEnd"/>
      <w:r w:rsidRPr="00B24EFE">
        <w:rPr>
          <w:rFonts w:ascii="Times New Roman" w:eastAsia="Calibri" w:hAnsi="Times New Roman" w:cs="Times New Roman"/>
          <w:i/>
          <w:sz w:val="24"/>
          <w:szCs w:val="24"/>
        </w:rPr>
        <w:t xml:space="preserve"> na webovú stránku, na ktorej boli konzultácie zverejnené. </w:t>
      </w:r>
    </w:p>
    <w:p w14:paraId="5DDE9409" w14:textId="77777777" w:rsidR="00054C41" w:rsidRPr="00B24EFE" w:rsidRDefault="00054C41" w:rsidP="00054C41">
      <w:pPr>
        <w:spacing w:after="0"/>
        <w:jc w:val="both"/>
        <w:rPr>
          <w:rFonts w:ascii="Times New Roman" w:eastAsia="Calibri" w:hAnsi="Times New Roman" w:cs="Times New Roman"/>
          <w:i/>
          <w:sz w:val="24"/>
          <w:szCs w:val="24"/>
        </w:rPr>
      </w:pPr>
      <w:r w:rsidRPr="00B24EFE">
        <w:rPr>
          <w:rFonts w:ascii="Times New Roman" w:eastAsia="Calibri" w:hAnsi="Times New Roman" w:cs="Times New Roman"/>
          <w:i/>
          <w:sz w:val="24"/>
          <w:szCs w:val="24"/>
        </w:rPr>
        <w:t xml:space="preserve">Uveďte hlavné body konzultácií a ich závery. </w:t>
      </w:r>
    </w:p>
    <w:p w14:paraId="3EE20844" w14:textId="77777777" w:rsidR="00054C41" w:rsidRPr="00B24EFE" w:rsidRDefault="00054C41" w:rsidP="00054C41">
      <w:pPr>
        <w:spacing w:after="0"/>
        <w:jc w:val="both"/>
        <w:rPr>
          <w:rFonts w:ascii="Times New Roman" w:eastAsia="Calibri" w:hAnsi="Times New Roman" w:cs="Times New Roman"/>
          <w:i/>
          <w:sz w:val="24"/>
          <w:szCs w:val="24"/>
        </w:rPr>
      </w:pPr>
      <w:r w:rsidRPr="00B24EFE">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58B08A2C" w14:textId="416CE79E" w:rsidR="003C1848" w:rsidRPr="00B24EFE" w:rsidRDefault="00054C41" w:rsidP="00054C41">
      <w:pPr>
        <w:spacing w:after="0"/>
        <w:jc w:val="both"/>
        <w:rPr>
          <w:rFonts w:ascii="Times New Roman" w:eastAsia="Calibri" w:hAnsi="Times New Roman" w:cs="Times New Roman"/>
          <w:i/>
          <w:sz w:val="24"/>
          <w:szCs w:val="24"/>
        </w:rPr>
      </w:pPr>
      <w:r w:rsidRPr="00B24EFE">
        <w:rPr>
          <w:rFonts w:ascii="Times New Roman" w:eastAsia="Calibri" w:hAnsi="Times New Roman" w:cs="Times New Roman"/>
          <w:i/>
          <w:sz w:val="24"/>
          <w:szCs w:val="24"/>
        </w:rPr>
        <w:t>Alternatívne namiesto vypĺňania bodu 3.2 môžete uviesť ako samostatnú prílohu tejto analýzy Záznam z konzultácií obsahujúci pož</w:t>
      </w:r>
      <w:r w:rsidR="003C1848" w:rsidRPr="00B24EFE">
        <w:rPr>
          <w:rFonts w:ascii="Times New Roman" w:eastAsia="Calibri" w:hAnsi="Times New Roman" w:cs="Times New Roman"/>
          <w:i/>
          <w:sz w:val="24"/>
          <w:szCs w:val="24"/>
        </w:rPr>
        <w:t xml:space="preserve">adované informácie. </w:t>
      </w:r>
    </w:p>
    <w:p w14:paraId="09FE63DB" w14:textId="1B31F60D" w:rsidR="003C1848" w:rsidRPr="00B24EFE" w:rsidRDefault="003C1848" w:rsidP="00054C41">
      <w:pPr>
        <w:spacing w:after="0"/>
        <w:jc w:val="both"/>
        <w:rPr>
          <w:rFonts w:ascii="Times New Roman" w:eastAsia="Calibri" w:hAnsi="Times New Roman" w:cs="Times New Roman"/>
          <w:i/>
          <w:sz w:val="24"/>
          <w:szCs w:val="24"/>
        </w:rPr>
      </w:pPr>
    </w:p>
    <w:p w14:paraId="3220B4CE" w14:textId="271F4F69" w:rsidR="001C7331" w:rsidRPr="00B24EFE" w:rsidRDefault="00CF1B43" w:rsidP="00CF1B43">
      <w:pPr>
        <w:adjustRightInd w:val="0"/>
        <w:spacing w:after="0" w:line="240" w:lineRule="auto"/>
        <w:rPr>
          <w:rFonts w:ascii="Times New Roman" w:eastAsia="Times New Roman" w:hAnsi="Times New Roman" w:cs="Times New Roman"/>
          <w:b/>
          <w:caps/>
          <w:sz w:val="24"/>
          <w:szCs w:val="24"/>
        </w:rPr>
      </w:pPr>
      <w:r w:rsidRPr="00B24EFE">
        <w:rPr>
          <w:rFonts w:ascii="Times New Roman" w:eastAsia="Times New Roman" w:hAnsi="Times New Roman" w:cs="Times New Roman"/>
          <w:b/>
          <w:sz w:val="24"/>
          <w:szCs w:val="24"/>
        </w:rPr>
        <w:lastRenderedPageBreak/>
        <w:t>Vyhodnotenie konzultácií s podnikateľskými subjektmi</w:t>
      </w:r>
    </w:p>
    <w:p w14:paraId="2BC50C58" w14:textId="77777777" w:rsidR="001C7331" w:rsidRPr="00B24EFE" w:rsidRDefault="001C7331" w:rsidP="001C7331">
      <w:pPr>
        <w:spacing w:after="0" w:line="240" w:lineRule="auto"/>
        <w:jc w:val="center"/>
        <w:rPr>
          <w:rFonts w:ascii="Times New Roman" w:hAnsi="Times New Roman" w:cs="Times New Roman"/>
          <w:sz w:val="24"/>
          <w:szCs w:val="24"/>
        </w:rPr>
      </w:pPr>
    </w:p>
    <w:p w14:paraId="417746B6" w14:textId="77777777" w:rsidR="001C7331" w:rsidRPr="00B24EFE" w:rsidRDefault="001C7331" w:rsidP="00CF1B43">
      <w:pPr>
        <w:spacing w:after="0" w:line="240" w:lineRule="auto"/>
        <w:rPr>
          <w:rFonts w:ascii="Times New Roman" w:hAnsi="Times New Roman" w:cs="Times New Roman"/>
          <w:sz w:val="24"/>
          <w:szCs w:val="24"/>
        </w:rPr>
      </w:pPr>
      <w:r w:rsidRPr="00B24EFE">
        <w:rPr>
          <w:rFonts w:ascii="Times New Roman" w:hAnsi="Times New Roman" w:cs="Times New Roman"/>
          <w:b/>
          <w:sz w:val="24"/>
          <w:szCs w:val="24"/>
        </w:rPr>
        <w:t xml:space="preserve">Návrh zákona o obchodnom registri a ktorým sa menia a dopĺňajú niektoré zákony </w:t>
      </w:r>
      <w:r w:rsidRPr="00B24EFE">
        <w:rPr>
          <w:rFonts w:ascii="Times New Roman" w:hAnsi="Times New Roman" w:cs="Times New Roman"/>
          <w:sz w:val="24"/>
          <w:szCs w:val="24"/>
        </w:rPr>
        <w:t>(PI/2021/12)</w:t>
      </w:r>
    </w:p>
    <w:p w14:paraId="17E09D8B" w14:textId="77777777" w:rsidR="001C7331" w:rsidRPr="00B24EFE" w:rsidRDefault="001C7331" w:rsidP="001C7331">
      <w:pPr>
        <w:spacing w:after="0" w:line="240" w:lineRule="auto"/>
        <w:jc w:val="center"/>
        <w:rPr>
          <w:rFonts w:ascii="Times New Roman" w:hAnsi="Times New Roman" w:cs="Times New Roman"/>
          <w:sz w:val="24"/>
          <w:szCs w:val="24"/>
        </w:rPr>
      </w:pPr>
    </w:p>
    <w:tbl>
      <w:tblPr>
        <w:tblW w:w="15598" w:type="dxa"/>
        <w:tblCellMar>
          <w:left w:w="0" w:type="dxa"/>
          <w:right w:w="0" w:type="dxa"/>
        </w:tblCellMar>
        <w:tblLook w:val="0000" w:firstRow="0" w:lastRow="0" w:firstColumn="0" w:lastColumn="0" w:noHBand="0" w:noVBand="0"/>
      </w:tblPr>
      <w:tblGrid>
        <w:gridCol w:w="8222"/>
        <w:gridCol w:w="7376"/>
      </w:tblGrid>
      <w:tr w:rsidR="001C7331" w:rsidRPr="00B24EFE" w14:paraId="713D154C" w14:textId="77777777" w:rsidTr="00377568">
        <w:tc>
          <w:tcPr>
            <w:tcW w:w="8222" w:type="dxa"/>
            <w:tcBorders>
              <w:top w:val="nil"/>
              <w:left w:val="nil"/>
              <w:bottom w:val="nil"/>
              <w:right w:val="nil"/>
            </w:tcBorders>
          </w:tcPr>
          <w:p w14:paraId="1F08A6C7" w14:textId="77777777" w:rsidR="001C7331" w:rsidRPr="00B24EFE" w:rsidRDefault="001C7331" w:rsidP="00377568">
            <w:pPr>
              <w:spacing w:after="0" w:line="240" w:lineRule="auto"/>
              <w:jc w:val="both"/>
              <w:rPr>
                <w:rFonts w:ascii="Times New Roman" w:hAnsi="Times New Roman" w:cs="Times New Roman"/>
                <w:sz w:val="24"/>
                <w:szCs w:val="24"/>
              </w:rPr>
            </w:pPr>
            <w:r w:rsidRPr="00B24EFE">
              <w:rPr>
                <w:rFonts w:ascii="Times New Roman" w:hAnsi="Times New Roman" w:cs="Times New Roman"/>
                <w:sz w:val="24"/>
                <w:szCs w:val="24"/>
              </w:rPr>
              <w:t xml:space="preserve">Spôsob konzultácií s podnikateľskými subjektmi – prostredníctvom zasielania vyjadrení k zverejnenej predbežnej informácii PI/2021/12: </w:t>
            </w:r>
          </w:p>
          <w:p w14:paraId="29F2EC7F" w14:textId="77777777" w:rsidR="001C7331" w:rsidRPr="00B24EFE" w:rsidRDefault="00903EB1" w:rsidP="00377568">
            <w:pPr>
              <w:spacing w:after="0" w:line="240" w:lineRule="auto"/>
              <w:jc w:val="both"/>
              <w:rPr>
                <w:rFonts w:ascii="Times New Roman" w:hAnsi="Times New Roman" w:cs="Times New Roman"/>
                <w:sz w:val="24"/>
                <w:szCs w:val="24"/>
              </w:rPr>
            </w:pPr>
            <w:hyperlink r:id="rId12" w:history="1">
              <w:r w:rsidR="001C7331" w:rsidRPr="00B24EFE">
                <w:rPr>
                  <w:rStyle w:val="Hypertextovprepojenie"/>
                  <w:rFonts w:ascii="Times New Roman" w:hAnsi="Times New Roman" w:cs="Times New Roman"/>
                  <w:sz w:val="24"/>
                  <w:szCs w:val="24"/>
                </w:rPr>
                <w:t>https://www.slov-lex.sk/legislativne-procesy/SK/PI/2021/12</w:t>
              </w:r>
            </w:hyperlink>
            <w:r w:rsidR="001C7331" w:rsidRPr="00B24EFE">
              <w:rPr>
                <w:rFonts w:ascii="Times New Roman" w:hAnsi="Times New Roman" w:cs="Times New Roman"/>
                <w:sz w:val="24"/>
                <w:szCs w:val="24"/>
              </w:rPr>
              <w:t xml:space="preserve"> </w:t>
            </w:r>
          </w:p>
          <w:p w14:paraId="6767938F" w14:textId="77777777" w:rsidR="001C7331" w:rsidRPr="00B24EFE" w:rsidRDefault="001C7331" w:rsidP="00377568">
            <w:pPr>
              <w:spacing w:after="0" w:line="240" w:lineRule="auto"/>
              <w:jc w:val="both"/>
              <w:rPr>
                <w:rFonts w:ascii="Times New Roman" w:hAnsi="Times New Roman" w:cs="Times New Roman"/>
                <w:sz w:val="24"/>
                <w:szCs w:val="24"/>
              </w:rPr>
            </w:pPr>
            <w:r w:rsidRPr="00B24EFE">
              <w:rPr>
                <w:rFonts w:ascii="Times New Roman" w:hAnsi="Times New Roman" w:cs="Times New Roman"/>
                <w:sz w:val="24"/>
                <w:szCs w:val="24"/>
              </w:rPr>
              <w:t>Priebeh konzultácií: od 1.2.2021 do 1.3.2021</w:t>
            </w:r>
          </w:p>
          <w:p w14:paraId="0B94C379" w14:textId="77777777" w:rsidR="001C7331" w:rsidRPr="00B24EFE" w:rsidRDefault="001C7331" w:rsidP="00377568">
            <w:pPr>
              <w:spacing w:after="0" w:line="240" w:lineRule="auto"/>
              <w:jc w:val="both"/>
              <w:rPr>
                <w:rFonts w:ascii="Times New Roman" w:hAnsi="Times New Roman" w:cs="Times New Roman"/>
                <w:sz w:val="24"/>
                <w:szCs w:val="24"/>
              </w:rPr>
            </w:pPr>
          </w:p>
        </w:tc>
        <w:tc>
          <w:tcPr>
            <w:tcW w:w="7376" w:type="dxa"/>
            <w:tcBorders>
              <w:top w:val="nil"/>
              <w:left w:val="nil"/>
              <w:bottom w:val="nil"/>
              <w:right w:val="nil"/>
            </w:tcBorders>
          </w:tcPr>
          <w:p w14:paraId="651BA95C" w14:textId="77777777" w:rsidR="001C7331" w:rsidRPr="00B24EFE" w:rsidRDefault="001C7331" w:rsidP="00377568">
            <w:pPr>
              <w:spacing w:after="0" w:line="240" w:lineRule="auto"/>
              <w:jc w:val="both"/>
              <w:rPr>
                <w:rFonts w:ascii="Times New Roman" w:hAnsi="Times New Roman" w:cs="Times New Roman"/>
                <w:sz w:val="24"/>
                <w:szCs w:val="24"/>
              </w:rPr>
            </w:pPr>
            <w:r w:rsidRPr="00B24EFE">
              <w:rPr>
                <w:rFonts w:ascii="Times New Roman" w:hAnsi="Times New Roman" w:cs="Times New Roman"/>
                <w:sz w:val="24"/>
                <w:szCs w:val="24"/>
              </w:rPr>
              <w:t> </w:t>
            </w:r>
          </w:p>
        </w:tc>
      </w:tr>
      <w:tr w:rsidR="001C7331" w:rsidRPr="00B24EFE" w14:paraId="6BEA4030" w14:textId="77777777" w:rsidTr="00377568">
        <w:tc>
          <w:tcPr>
            <w:tcW w:w="8222" w:type="dxa"/>
            <w:tcBorders>
              <w:top w:val="nil"/>
              <w:left w:val="nil"/>
              <w:bottom w:val="nil"/>
              <w:right w:val="nil"/>
            </w:tcBorders>
          </w:tcPr>
          <w:p w14:paraId="4F66ED82" w14:textId="77777777" w:rsidR="001C7331" w:rsidRPr="00B24EFE" w:rsidRDefault="001C7331" w:rsidP="00377568">
            <w:pPr>
              <w:spacing w:after="0" w:line="240" w:lineRule="auto"/>
              <w:rPr>
                <w:rFonts w:ascii="Times New Roman" w:hAnsi="Times New Roman" w:cs="Times New Roman"/>
                <w:sz w:val="24"/>
                <w:szCs w:val="24"/>
              </w:rPr>
            </w:pPr>
            <w:r w:rsidRPr="00B24EFE">
              <w:rPr>
                <w:rFonts w:ascii="Times New Roman" w:hAnsi="Times New Roman" w:cs="Times New Roman"/>
                <w:sz w:val="24"/>
                <w:szCs w:val="24"/>
              </w:rPr>
              <w:t xml:space="preserve">Počet zaslaných vyjadrení </w:t>
            </w:r>
          </w:p>
        </w:tc>
        <w:tc>
          <w:tcPr>
            <w:tcW w:w="7376" w:type="dxa"/>
            <w:tcBorders>
              <w:top w:val="nil"/>
              <w:left w:val="nil"/>
              <w:bottom w:val="nil"/>
              <w:right w:val="nil"/>
            </w:tcBorders>
          </w:tcPr>
          <w:p w14:paraId="3AB27975" w14:textId="77777777" w:rsidR="001C7331" w:rsidRPr="00B24EFE" w:rsidRDefault="001C7331" w:rsidP="00377568">
            <w:pPr>
              <w:spacing w:after="0" w:line="240" w:lineRule="auto"/>
              <w:rPr>
                <w:rFonts w:ascii="Times New Roman" w:hAnsi="Times New Roman" w:cs="Times New Roman"/>
                <w:sz w:val="24"/>
                <w:szCs w:val="24"/>
              </w:rPr>
            </w:pPr>
            <w:r w:rsidRPr="00B24EFE">
              <w:rPr>
                <w:rFonts w:ascii="Times New Roman" w:hAnsi="Times New Roman" w:cs="Times New Roman"/>
                <w:sz w:val="24"/>
                <w:szCs w:val="24"/>
              </w:rPr>
              <w:t xml:space="preserve"> 8</w:t>
            </w:r>
          </w:p>
        </w:tc>
      </w:tr>
      <w:tr w:rsidR="001C7331" w:rsidRPr="00B24EFE" w14:paraId="286BC189" w14:textId="77777777" w:rsidTr="00377568">
        <w:tc>
          <w:tcPr>
            <w:tcW w:w="8222" w:type="dxa"/>
            <w:tcBorders>
              <w:top w:val="nil"/>
              <w:left w:val="nil"/>
              <w:bottom w:val="nil"/>
              <w:right w:val="nil"/>
            </w:tcBorders>
          </w:tcPr>
          <w:p w14:paraId="14AD649B" w14:textId="77777777" w:rsidR="001C7331" w:rsidRPr="00B24EFE" w:rsidRDefault="001C7331" w:rsidP="00377568">
            <w:pPr>
              <w:spacing w:after="0" w:line="240" w:lineRule="auto"/>
              <w:rPr>
                <w:rFonts w:ascii="Times New Roman" w:hAnsi="Times New Roman" w:cs="Times New Roman"/>
                <w:sz w:val="24"/>
                <w:szCs w:val="24"/>
              </w:rPr>
            </w:pPr>
            <w:r w:rsidRPr="00B24EFE">
              <w:rPr>
                <w:rFonts w:ascii="Times New Roman" w:hAnsi="Times New Roman" w:cs="Times New Roman"/>
                <w:sz w:val="24"/>
                <w:szCs w:val="24"/>
              </w:rPr>
              <w:t xml:space="preserve">Počet vyhodnotených vyjadrení </w:t>
            </w:r>
          </w:p>
        </w:tc>
        <w:tc>
          <w:tcPr>
            <w:tcW w:w="7376" w:type="dxa"/>
            <w:tcBorders>
              <w:top w:val="nil"/>
              <w:left w:val="nil"/>
              <w:bottom w:val="nil"/>
              <w:right w:val="nil"/>
            </w:tcBorders>
          </w:tcPr>
          <w:p w14:paraId="5AF948D4" w14:textId="77777777" w:rsidR="001C7331" w:rsidRPr="00B24EFE" w:rsidRDefault="001C7331" w:rsidP="00377568">
            <w:pPr>
              <w:spacing w:after="0" w:line="240" w:lineRule="auto"/>
              <w:rPr>
                <w:rFonts w:ascii="Times New Roman" w:hAnsi="Times New Roman" w:cs="Times New Roman"/>
                <w:sz w:val="24"/>
                <w:szCs w:val="24"/>
              </w:rPr>
            </w:pPr>
            <w:r w:rsidRPr="00B24EFE">
              <w:rPr>
                <w:rFonts w:ascii="Times New Roman" w:hAnsi="Times New Roman" w:cs="Times New Roman"/>
                <w:sz w:val="24"/>
                <w:szCs w:val="24"/>
              </w:rPr>
              <w:t xml:space="preserve"> 8</w:t>
            </w:r>
          </w:p>
        </w:tc>
      </w:tr>
      <w:tr w:rsidR="001C7331" w:rsidRPr="00B24EFE" w14:paraId="13F9F77C" w14:textId="77777777" w:rsidTr="00377568">
        <w:tc>
          <w:tcPr>
            <w:tcW w:w="8222" w:type="dxa"/>
            <w:tcBorders>
              <w:top w:val="nil"/>
              <w:left w:val="nil"/>
              <w:bottom w:val="nil"/>
              <w:right w:val="nil"/>
            </w:tcBorders>
          </w:tcPr>
          <w:p w14:paraId="48EC7A6A" w14:textId="77777777" w:rsidR="001C7331" w:rsidRPr="00B24EFE" w:rsidRDefault="001C7331" w:rsidP="00377568">
            <w:pPr>
              <w:spacing w:after="0" w:line="240" w:lineRule="auto"/>
              <w:rPr>
                <w:rFonts w:ascii="Times New Roman" w:hAnsi="Times New Roman" w:cs="Times New Roman"/>
                <w:sz w:val="24"/>
                <w:szCs w:val="24"/>
              </w:rPr>
            </w:pPr>
          </w:p>
        </w:tc>
        <w:tc>
          <w:tcPr>
            <w:tcW w:w="7376" w:type="dxa"/>
            <w:tcBorders>
              <w:top w:val="nil"/>
              <w:left w:val="nil"/>
              <w:bottom w:val="nil"/>
              <w:right w:val="nil"/>
            </w:tcBorders>
          </w:tcPr>
          <w:p w14:paraId="3320FF96" w14:textId="77777777" w:rsidR="001C7331" w:rsidRPr="00B24EFE" w:rsidRDefault="001C7331" w:rsidP="00377568">
            <w:pPr>
              <w:spacing w:after="0" w:line="240" w:lineRule="auto"/>
              <w:rPr>
                <w:rFonts w:ascii="Times New Roman" w:hAnsi="Times New Roman" w:cs="Times New Roman"/>
                <w:sz w:val="24"/>
                <w:szCs w:val="24"/>
              </w:rPr>
            </w:pPr>
          </w:p>
        </w:tc>
      </w:tr>
      <w:tr w:rsidR="001C7331" w:rsidRPr="00B24EFE" w14:paraId="60F118BD" w14:textId="77777777" w:rsidTr="00377568">
        <w:tc>
          <w:tcPr>
            <w:tcW w:w="8222" w:type="dxa"/>
            <w:tcBorders>
              <w:top w:val="nil"/>
              <w:left w:val="nil"/>
              <w:bottom w:val="nil"/>
              <w:right w:val="nil"/>
            </w:tcBorders>
          </w:tcPr>
          <w:p w14:paraId="7798094A" w14:textId="77777777" w:rsidR="001C7331" w:rsidRPr="00B24EFE" w:rsidRDefault="001C7331" w:rsidP="00377568">
            <w:pPr>
              <w:spacing w:after="0" w:line="240" w:lineRule="auto"/>
              <w:rPr>
                <w:rFonts w:ascii="Times New Roman" w:hAnsi="Times New Roman" w:cs="Times New Roman"/>
                <w:bCs/>
                <w:sz w:val="24"/>
                <w:szCs w:val="24"/>
              </w:rPr>
            </w:pPr>
          </w:p>
        </w:tc>
        <w:tc>
          <w:tcPr>
            <w:tcW w:w="7376" w:type="dxa"/>
            <w:tcBorders>
              <w:top w:val="nil"/>
              <w:left w:val="nil"/>
              <w:bottom w:val="nil"/>
              <w:right w:val="nil"/>
            </w:tcBorders>
          </w:tcPr>
          <w:p w14:paraId="1EA95365" w14:textId="77777777" w:rsidR="001C7331" w:rsidRPr="00B24EFE" w:rsidRDefault="001C7331" w:rsidP="00377568">
            <w:pPr>
              <w:spacing w:after="0" w:line="240" w:lineRule="auto"/>
              <w:rPr>
                <w:rFonts w:ascii="Times New Roman" w:hAnsi="Times New Roman" w:cs="Times New Roman"/>
                <w:sz w:val="24"/>
                <w:szCs w:val="24"/>
              </w:rPr>
            </w:pPr>
          </w:p>
        </w:tc>
      </w:tr>
    </w:tbl>
    <w:p w14:paraId="1D414A67" w14:textId="742849E6" w:rsidR="001C7331" w:rsidRPr="00B24EFE" w:rsidRDefault="001C7331" w:rsidP="001C7331">
      <w:pPr>
        <w:spacing w:after="0" w:line="240" w:lineRule="auto"/>
        <w:rPr>
          <w:rFonts w:ascii="Times New Roman" w:hAnsi="Times New Roman" w:cs="Times New Roman"/>
          <w:sz w:val="24"/>
          <w:szCs w:val="24"/>
        </w:rPr>
      </w:pPr>
      <w:r w:rsidRPr="00B24EFE">
        <w:rPr>
          <w:rFonts w:ascii="Times New Roman" w:hAnsi="Times New Roman" w:cs="Times New Roman"/>
          <w:sz w:val="24"/>
          <w:szCs w:val="24"/>
        </w:rPr>
        <w:t>Sumarizácia zaslaných vyjadrení podľa subjektov:</w:t>
      </w:r>
    </w:p>
    <w:p w14:paraId="6CD0100E" w14:textId="77777777" w:rsidR="001C7331" w:rsidRPr="00B24EFE" w:rsidRDefault="001C7331" w:rsidP="001C7331">
      <w:pPr>
        <w:spacing w:after="0" w:line="240" w:lineRule="auto"/>
        <w:rPr>
          <w:rFonts w:ascii="Times New Roman" w:hAnsi="Times New Roman" w:cs="Times New Roman"/>
          <w:sz w:val="24"/>
          <w:szCs w:val="24"/>
        </w:rPr>
      </w:pPr>
    </w:p>
    <w:tbl>
      <w:tblPr>
        <w:tblW w:w="4791"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72"/>
        <w:gridCol w:w="7230"/>
        <w:gridCol w:w="1175"/>
      </w:tblGrid>
      <w:tr w:rsidR="001C7331" w:rsidRPr="00B24EFE" w14:paraId="79243486" w14:textId="77777777" w:rsidTr="00377568">
        <w:trPr>
          <w:jc w:val="center"/>
        </w:trPr>
        <w:tc>
          <w:tcPr>
            <w:tcW w:w="220" w:type="pct"/>
            <w:tcBorders>
              <w:top w:val="outset" w:sz="6" w:space="0" w:color="000000"/>
              <w:left w:val="outset" w:sz="6" w:space="0" w:color="000000"/>
              <w:bottom w:val="outset" w:sz="6" w:space="0" w:color="000000"/>
              <w:right w:val="outset" w:sz="6" w:space="0" w:color="000000"/>
            </w:tcBorders>
            <w:vAlign w:val="center"/>
            <w:hideMark/>
          </w:tcPr>
          <w:p w14:paraId="0504E399" w14:textId="77777777" w:rsidR="001C7331" w:rsidRPr="00B24EFE" w:rsidRDefault="001C7331" w:rsidP="00377568">
            <w:pPr>
              <w:spacing w:after="0" w:line="240" w:lineRule="auto"/>
              <w:jc w:val="center"/>
              <w:rPr>
                <w:rFonts w:ascii="Times New Roman" w:hAnsi="Times New Roman" w:cs="Times New Roman"/>
                <w:b/>
                <w:bCs/>
                <w:sz w:val="24"/>
                <w:szCs w:val="24"/>
              </w:rPr>
            </w:pPr>
            <w:r w:rsidRPr="00B24EFE">
              <w:rPr>
                <w:rFonts w:ascii="Times New Roman" w:hAnsi="Times New Roman" w:cs="Times New Roman"/>
                <w:b/>
                <w:bCs/>
                <w:sz w:val="24"/>
                <w:szCs w:val="24"/>
              </w:rPr>
              <w:t>Č.</w:t>
            </w:r>
          </w:p>
        </w:tc>
        <w:tc>
          <w:tcPr>
            <w:tcW w:w="4229" w:type="pct"/>
            <w:tcBorders>
              <w:top w:val="outset" w:sz="6" w:space="0" w:color="000000"/>
              <w:left w:val="outset" w:sz="6" w:space="0" w:color="000000"/>
              <w:bottom w:val="outset" w:sz="6" w:space="0" w:color="000000"/>
              <w:right w:val="outset" w:sz="6" w:space="0" w:color="000000"/>
            </w:tcBorders>
            <w:vAlign w:val="center"/>
            <w:hideMark/>
          </w:tcPr>
          <w:p w14:paraId="279C1776" w14:textId="77777777" w:rsidR="001C7331" w:rsidRPr="00B24EFE" w:rsidRDefault="001C7331" w:rsidP="00377568">
            <w:pPr>
              <w:spacing w:after="0" w:line="240" w:lineRule="auto"/>
              <w:jc w:val="center"/>
              <w:rPr>
                <w:rFonts w:ascii="Times New Roman" w:hAnsi="Times New Roman" w:cs="Times New Roman"/>
                <w:b/>
                <w:bCs/>
                <w:sz w:val="24"/>
                <w:szCs w:val="24"/>
              </w:rPr>
            </w:pPr>
            <w:r w:rsidRPr="00B24EFE">
              <w:rPr>
                <w:rFonts w:ascii="Times New Roman" w:hAnsi="Times New Roman" w:cs="Times New Roman"/>
                <w:b/>
                <w:bCs/>
                <w:sz w:val="24"/>
                <w:szCs w:val="24"/>
              </w:rPr>
              <w:t>Subjekt</w:t>
            </w:r>
          </w:p>
        </w:tc>
        <w:tc>
          <w:tcPr>
            <w:tcW w:w="551" w:type="pct"/>
            <w:tcBorders>
              <w:top w:val="outset" w:sz="6" w:space="0" w:color="000000"/>
              <w:left w:val="outset" w:sz="6" w:space="0" w:color="000000"/>
              <w:bottom w:val="outset" w:sz="6" w:space="0" w:color="000000"/>
              <w:right w:val="outset" w:sz="6" w:space="0" w:color="000000"/>
            </w:tcBorders>
            <w:vAlign w:val="center"/>
            <w:hideMark/>
          </w:tcPr>
          <w:p w14:paraId="2A3CCA28" w14:textId="77777777" w:rsidR="001C7331" w:rsidRPr="00B24EFE" w:rsidRDefault="001C7331" w:rsidP="00377568">
            <w:pPr>
              <w:spacing w:after="0" w:line="240" w:lineRule="auto"/>
              <w:jc w:val="center"/>
              <w:rPr>
                <w:rFonts w:ascii="Times New Roman" w:hAnsi="Times New Roman" w:cs="Times New Roman"/>
                <w:b/>
                <w:bCs/>
                <w:sz w:val="24"/>
                <w:szCs w:val="24"/>
              </w:rPr>
            </w:pPr>
            <w:r w:rsidRPr="00B24EFE">
              <w:rPr>
                <w:rFonts w:ascii="Times New Roman" w:hAnsi="Times New Roman" w:cs="Times New Roman"/>
                <w:b/>
                <w:bCs/>
                <w:sz w:val="24"/>
                <w:szCs w:val="24"/>
              </w:rPr>
              <w:t>Vyjadrenia do termínu</w:t>
            </w:r>
          </w:p>
        </w:tc>
      </w:tr>
      <w:tr w:rsidR="001C7331" w:rsidRPr="00B24EFE" w14:paraId="78C57058" w14:textId="77777777" w:rsidTr="00377568">
        <w:trPr>
          <w:jc w:val="center"/>
        </w:trPr>
        <w:tc>
          <w:tcPr>
            <w:tcW w:w="220" w:type="pct"/>
            <w:tcBorders>
              <w:top w:val="outset" w:sz="6" w:space="0" w:color="000000"/>
              <w:left w:val="outset" w:sz="6" w:space="0" w:color="000000"/>
              <w:bottom w:val="outset" w:sz="6" w:space="0" w:color="000000"/>
              <w:right w:val="outset" w:sz="6" w:space="0" w:color="000000"/>
            </w:tcBorders>
          </w:tcPr>
          <w:p w14:paraId="7CFFEA45" w14:textId="77777777" w:rsidR="001C7331" w:rsidRPr="00B24EFE" w:rsidRDefault="001C7331" w:rsidP="00377568">
            <w:pPr>
              <w:spacing w:after="0" w:line="240" w:lineRule="auto"/>
              <w:jc w:val="center"/>
              <w:rPr>
                <w:rFonts w:ascii="Times New Roman" w:hAnsi="Times New Roman" w:cs="Times New Roman"/>
                <w:sz w:val="24"/>
                <w:szCs w:val="24"/>
              </w:rPr>
            </w:pPr>
            <w:r w:rsidRPr="00B24EFE">
              <w:rPr>
                <w:rFonts w:ascii="Times New Roman" w:hAnsi="Times New Roman" w:cs="Times New Roman"/>
                <w:sz w:val="24"/>
                <w:szCs w:val="24"/>
              </w:rPr>
              <w:t>1</w:t>
            </w:r>
          </w:p>
        </w:tc>
        <w:tc>
          <w:tcPr>
            <w:tcW w:w="4229" w:type="pct"/>
            <w:tcBorders>
              <w:top w:val="outset" w:sz="6" w:space="0" w:color="000000"/>
              <w:left w:val="outset" w:sz="6" w:space="0" w:color="000000"/>
              <w:bottom w:val="outset" w:sz="6" w:space="0" w:color="000000"/>
              <w:right w:val="outset" w:sz="6" w:space="0" w:color="000000"/>
            </w:tcBorders>
          </w:tcPr>
          <w:p w14:paraId="00CB40FF" w14:textId="77777777" w:rsidR="001C7331" w:rsidRPr="00B24EFE" w:rsidRDefault="001C7331" w:rsidP="00377568">
            <w:pPr>
              <w:spacing w:after="0" w:line="240" w:lineRule="auto"/>
              <w:rPr>
                <w:rFonts w:ascii="Times New Roman" w:hAnsi="Times New Roman" w:cs="Times New Roman"/>
                <w:sz w:val="24"/>
                <w:szCs w:val="24"/>
              </w:rPr>
            </w:pPr>
            <w:proofErr w:type="spellStart"/>
            <w:r w:rsidRPr="00B24EFE">
              <w:rPr>
                <w:rFonts w:ascii="Times New Roman" w:hAnsi="Times New Roman" w:cs="Times New Roman"/>
                <w:sz w:val="24"/>
                <w:szCs w:val="24"/>
              </w:rPr>
              <w:t>AmCham</w:t>
            </w:r>
            <w:proofErr w:type="spellEnd"/>
            <w:r w:rsidRPr="00B24EFE">
              <w:rPr>
                <w:rFonts w:ascii="Times New Roman" w:hAnsi="Times New Roman" w:cs="Times New Roman"/>
                <w:sz w:val="24"/>
                <w:szCs w:val="24"/>
              </w:rPr>
              <w:t xml:space="preserve"> Slovakia (Americká obchodná komora v Slovenskej republike)</w:t>
            </w:r>
          </w:p>
        </w:tc>
        <w:tc>
          <w:tcPr>
            <w:tcW w:w="0" w:type="auto"/>
            <w:tcBorders>
              <w:top w:val="outset" w:sz="6" w:space="0" w:color="000000"/>
              <w:left w:val="outset" w:sz="6" w:space="0" w:color="000000"/>
              <w:bottom w:val="outset" w:sz="6" w:space="0" w:color="000000"/>
              <w:right w:val="outset" w:sz="6" w:space="0" w:color="000000"/>
            </w:tcBorders>
          </w:tcPr>
          <w:p w14:paraId="108927B8" w14:textId="77777777" w:rsidR="001C7331" w:rsidRPr="00B24EFE" w:rsidRDefault="001C7331" w:rsidP="00377568">
            <w:pPr>
              <w:spacing w:after="0" w:line="240" w:lineRule="auto"/>
              <w:jc w:val="center"/>
              <w:rPr>
                <w:rFonts w:ascii="Times New Roman" w:hAnsi="Times New Roman" w:cs="Times New Roman"/>
                <w:sz w:val="24"/>
                <w:szCs w:val="24"/>
              </w:rPr>
            </w:pPr>
            <w:r w:rsidRPr="00B24EFE">
              <w:rPr>
                <w:rFonts w:ascii="Times New Roman" w:hAnsi="Times New Roman" w:cs="Times New Roman"/>
                <w:sz w:val="24"/>
                <w:szCs w:val="24"/>
              </w:rPr>
              <w:t>7</w:t>
            </w:r>
          </w:p>
        </w:tc>
      </w:tr>
      <w:tr w:rsidR="001C7331" w:rsidRPr="00B24EFE" w14:paraId="36DE96CF" w14:textId="77777777" w:rsidTr="00377568">
        <w:trPr>
          <w:jc w:val="center"/>
        </w:trPr>
        <w:tc>
          <w:tcPr>
            <w:tcW w:w="220" w:type="pct"/>
            <w:tcBorders>
              <w:top w:val="outset" w:sz="6" w:space="0" w:color="000000"/>
              <w:left w:val="outset" w:sz="6" w:space="0" w:color="000000"/>
              <w:bottom w:val="outset" w:sz="6" w:space="0" w:color="000000"/>
              <w:right w:val="outset" w:sz="6" w:space="0" w:color="000000"/>
            </w:tcBorders>
          </w:tcPr>
          <w:p w14:paraId="4973D5A5" w14:textId="77777777" w:rsidR="001C7331" w:rsidRPr="00B24EFE" w:rsidRDefault="001C7331" w:rsidP="00377568">
            <w:pPr>
              <w:spacing w:after="0" w:line="240" w:lineRule="auto"/>
              <w:jc w:val="center"/>
              <w:rPr>
                <w:rFonts w:ascii="Times New Roman" w:hAnsi="Times New Roman" w:cs="Times New Roman"/>
                <w:sz w:val="24"/>
                <w:szCs w:val="24"/>
              </w:rPr>
            </w:pPr>
            <w:r w:rsidRPr="00B24EFE">
              <w:rPr>
                <w:rFonts w:ascii="Times New Roman" w:hAnsi="Times New Roman" w:cs="Times New Roman"/>
                <w:sz w:val="24"/>
                <w:szCs w:val="24"/>
              </w:rPr>
              <w:t>2</w:t>
            </w:r>
          </w:p>
        </w:tc>
        <w:tc>
          <w:tcPr>
            <w:tcW w:w="4229" w:type="pct"/>
            <w:tcBorders>
              <w:top w:val="outset" w:sz="6" w:space="0" w:color="000000"/>
              <w:left w:val="outset" w:sz="6" w:space="0" w:color="000000"/>
              <w:bottom w:val="outset" w:sz="6" w:space="0" w:color="000000"/>
              <w:right w:val="outset" w:sz="6" w:space="0" w:color="000000"/>
            </w:tcBorders>
          </w:tcPr>
          <w:p w14:paraId="7BD7EBF0" w14:textId="77777777" w:rsidR="001C7331" w:rsidRPr="00B24EFE" w:rsidRDefault="001C7331" w:rsidP="00377568">
            <w:pPr>
              <w:spacing w:after="0" w:line="240" w:lineRule="auto"/>
              <w:rPr>
                <w:rFonts w:ascii="Times New Roman" w:hAnsi="Times New Roman" w:cs="Times New Roman"/>
                <w:sz w:val="24"/>
                <w:szCs w:val="24"/>
              </w:rPr>
            </w:pPr>
            <w:r w:rsidRPr="00B24EFE">
              <w:rPr>
                <w:rFonts w:ascii="Times New Roman" w:hAnsi="Times New Roman" w:cs="Times New Roman"/>
                <w:sz w:val="24"/>
                <w:szCs w:val="24"/>
              </w:rPr>
              <w:t>Ministerstvo pôdohospodárstva a rozvoja vidieka Slovenskej republiky</w:t>
            </w:r>
          </w:p>
        </w:tc>
        <w:tc>
          <w:tcPr>
            <w:tcW w:w="0" w:type="auto"/>
            <w:tcBorders>
              <w:top w:val="outset" w:sz="6" w:space="0" w:color="000000"/>
              <w:left w:val="outset" w:sz="6" w:space="0" w:color="000000"/>
              <w:bottom w:val="outset" w:sz="6" w:space="0" w:color="000000"/>
              <w:right w:val="outset" w:sz="6" w:space="0" w:color="000000"/>
            </w:tcBorders>
          </w:tcPr>
          <w:p w14:paraId="25833D97" w14:textId="77777777" w:rsidR="001C7331" w:rsidRPr="00B24EFE" w:rsidRDefault="001C7331" w:rsidP="00377568">
            <w:pPr>
              <w:spacing w:after="0" w:line="240" w:lineRule="auto"/>
              <w:jc w:val="center"/>
              <w:rPr>
                <w:rFonts w:ascii="Times New Roman" w:hAnsi="Times New Roman" w:cs="Times New Roman"/>
                <w:sz w:val="24"/>
                <w:szCs w:val="24"/>
              </w:rPr>
            </w:pPr>
            <w:r w:rsidRPr="00B24EFE">
              <w:rPr>
                <w:rFonts w:ascii="Times New Roman" w:hAnsi="Times New Roman" w:cs="Times New Roman"/>
                <w:sz w:val="24"/>
                <w:szCs w:val="24"/>
              </w:rPr>
              <w:t>1</w:t>
            </w:r>
          </w:p>
        </w:tc>
      </w:tr>
      <w:tr w:rsidR="001C7331" w:rsidRPr="00B24EFE" w14:paraId="79F744E2" w14:textId="77777777" w:rsidTr="00377568">
        <w:trPr>
          <w:jc w:val="center"/>
        </w:trPr>
        <w:tc>
          <w:tcPr>
            <w:tcW w:w="220" w:type="pct"/>
            <w:tcBorders>
              <w:top w:val="outset" w:sz="6" w:space="0" w:color="000000"/>
              <w:left w:val="outset" w:sz="6" w:space="0" w:color="000000"/>
              <w:bottom w:val="outset" w:sz="6" w:space="0" w:color="000000"/>
              <w:right w:val="outset" w:sz="6" w:space="0" w:color="000000"/>
            </w:tcBorders>
            <w:hideMark/>
          </w:tcPr>
          <w:p w14:paraId="144C4B95" w14:textId="77777777" w:rsidR="001C7331" w:rsidRPr="00B24EFE" w:rsidRDefault="001C7331" w:rsidP="00377568">
            <w:pPr>
              <w:spacing w:after="0" w:line="240" w:lineRule="auto"/>
              <w:jc w:val="center"/>
              <w:rPr>
                <w:rFonts w:ascii="Times New Roman" w:hAnsi="Times New Roman" w:cs="Times New Roman"/>
                <w:sz w:val="24"/>
                <w:szCs w:val="24"/>
              </w:rPr>
            </w:pPr>
          </w:p>
        </w:tc>
        <w:tc>
          <w:tcPr>
            <w:tcW w:w="4229" w:type="pct"/>
            <w:tcBorders>
              <w:top w:val="outset" w:sz="6" w:space="0" w:color="000000"/>
              <w:left w:val="outset" w:sz="6" w:space="0" w:color="000000"/>
              <w:bottom w:val="outset" w:sz="6" w:space="0" w:color="000000"/>
              <w:right w:val="outset" w:sz="6" w:space="0" w:color="000000"/>
            </w:tcBorders>
            <w:hideMark/>
          </w:tcPr>
          <w:p w14:paraId="4DFC5870" w14:textId="77777777" w:rsidR="001C7331" w:rsidRPr="00B24EFE" w:rsidRDefault="001C7331" w:rsidP="00377568">
            <w:pPr>
              <w:spacing w:after="0" w:line="240" w:lineRule="auto"/>
              <w:rPr>
                <w:rFonts w:ascii="Times New Roman" w:hAnsi="Times New Roman" w:cs="Times New Roman"/>
                <w:sz w:val="24"/>
                <w:szCs w:val="24"/>
              </w:rPr>
            </w:pPr>
            <w:r w:rsidRPr="00B24EFE">
              <w:rPr>
                <w:rFonts w:ascii="Times New Roman" w:hAnsi="Times New Roman" w:cs="Times New Roman"/>
                <w:sz w:val="24"/>
                <w:szCs w:val="24"/>
              </w:rPr>
              <w:t>Spolu</w:t>
            </w:r>
          </w:p>
        </w:tc>
        <w:tc>
          <w:tcPr>
            <w:tcW w:w="0" w:type="auto"/>
            <w:tcBorders>
              <w:top w:val="outset" w:sz="6" w:space="0" w:color="000000"/>
              <w:left w:val="outset" w:sz="6" w:space="0" w:color="000000"/>
              <w:bottom w:val="outset" w:sz="6" w:space="0" w:color="000000"/>
              <w:right w:val="outset" w:sz="6" w:space="0" w:color="000000"/>
            </w:tcBorders>
            <w:hideMark/>
          </w:tcPr>
          <w:p w14:paraId="64D99B33" w14:textId="77777777" w:rsidR="001C7331" w:rsidRPr="00B24EFE" w:rsidRDefault="001C7331" w:rsidP="00377568">
            <w:pPr>
              <w:spacing w:after="0" w:line="240" w:lineRule="auto"/>
              <w:jc w:val="center"/>
              <w:rPr>
                <w:rFonts w:ascii="Times New Roman" w:hAnsi="Times New Roman" w:cs="Times New Roman"/>
                <w:sz w:val="24"/>
                <w:szCs w:val="24"/>
              </w:rPr>
            </w:pPr>
            <w:r w:rsidRPr="00B24EFE">
              <w:rPr>
                <w:rFonts w:ascii="Times New Roman" w:hAnsi="Times New Roman" w:cs="Times New Roman"/>
                <w:sz w:val="24"/>
                <w:szCs w:val="24"/>
              </w:rPr>
              <w:t>8</w:t>
            </w:r>
          </w:p>
          <w:p w14:paraId="0B23DD8E" w14:textId="77777777" w:rsidR="001C7331" w:rsidRPr="00B24EFE" w:rsidRDefault="001C7331" w:rsidP="00377568">
            <w:pPr>
              <w:spacing w:after="0" w:line="240" w:lineRule="auto"/>
              <w:jc w:val="center"/>
              <w:rPr>
                <w:rFonts w:ascii="Times New Roman" w:hAnsi="Times New Roman" w:cs="Times New Roman"/>
                <w:sz w:val="24"/>
                <w:szCs w:val="24"/>
              </w:rPr>
            </w:pPr>
            <w:r w:rsidRPr="00B24EFE">
              <w:rPr>
                <w:rFonts w:ascii="Times New Roman" w:hAnsi="Times New Roman" w:cs="Times New Roman"/>
                <w:sz w:val="24"/>
                <w:szCs w:val="24"/>
              </w:rPr>
              <w:t xml:space="preserve"> </w:t>
            </w:r>
          </w:p>
        </w:tc>
      </w:tr>
    </w:tbl>
    <w:p w14:paraId="73DDCABB" w14:textId="77777777" w:rsidR="00B24EFE" w:rsidRDefault="00B24EFE" w:rsidP="001C7331">
      <w:pPr>
        <w:spacing w:after="0" w:line="240" w:lineRule="auto"/>
        <w:rPr>
          <w:rFonts w:ascii="Times New Roman" w:eastAsia="Times New Roman" w:hAnsi="Times New Roman" w:cs="Times New Roman"/>
          <w:bCs/>
          <w:color w:val="000000"/>
          <w:sz w:val="24"/>
          <w:szCs w:val="24"/>
          <w:lang w:eastAsia="sk-SK"/>
        </w:rPr>
      </w:pPr>
    </w:p>
    <w:p w14:paraId="76511A9D" w14:textId="77777777" w:rsidR="00B24EFE" w:rsidRDefault="00B24EFE" w:rsidP="001C7331">
      <w:pPr>
        <w:spacing w:after="0" w:line="240" w:lineRule="auto"/>
        <w:rPr>
          <w:rFonts w:ascii="Times New Roman" w:eastAsia="Times New Roman" w:hAnsi="Times New Roman" w:cs="Times New Roman"/>
          <w:bCs/>
          <w:color w:val="000000"/>
          <w:sz w:val="24"/>
          <w:szCs w:val="24"/>
          <w:lang w:eastAsia="sk-SK"/>
        </w:rPr>
      </w:pPr>
    </w:p>
    <w:p w14:paraId="1E1A8A10" w14:textId="09C56F72" w:rsidR="001C7331" w:rsidRPr="00B24EFE" w:rsidRDefault="001C7331" w:rsidP="001C7331">
      <w:pPr>
        <w:spacing w:after="0" w:line="240" w:lineRule="auto"/>
        <w:rPr>
          <w:rFonts w:ascii="Times New Roman" w:hAnsi="Times New Roman" w:cs="Times New Roman"/>
          <w:b/>
          <w:bCs/>
          <w:color w:val="000000"/>
          <w:sz w:val="24"/>
          <w:szCs w:val="24"/>
        </w:rPr>
      </w:pPr>
      <w:r w:rsidRPr="00B24EFE">
        <w:rPr>
          <w:rFonts w:ascii="Times New Roman" w:eastAsia="Times New Roman" w:hAnsi="Times New Roman" w:cs="Times New Roman"/>
          <w:bCs/>
          <w:color w:val="000000"/>
          <w:sz w:val="24"/>
          <w:szCs w:val="24"/>
          <w:lang w:eastAsia="sk-SK"/>
        </w:rPr>
        <w:t>Vyhodnotenie vecných vyjadrení je uvedené v tabuľkovej časti.</w:t>
      </w:r>
    </w:p>
    <w:p w14:paraId="70C4FAB5" w14:textId="77777777" w:rsidR="001C7331" w:rsidRPr="00B24EFE" w:rsidRDefault="001C7331" w:rsidP="001C7331">
      <w:pPr>
        <w:spacing w:after="0" w:line="240" w:lineRule="auto"/>
        <w:rPr>
          <w:rFonts w:ascii="Times New Roman" w:hAnsi="Times New Roman" w:cs="Times New Roman"/>
          <w:sz w:val="24"/>
          <w:szCs w:val="24"/>
        </w:rPr>
      </w:pPr>
    </w:p>
    <w:tbl>
      <w:tblPr>
        <w:tblW w:w="4677" w:type="pct"/>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1211"/>
        <w:gridCol w:w="3812"/>
        <w:gridCol w:w="3448"/>
      </w:tblGrid>
      <w:tr w:rsidR="001C7331" w:rsidRPr="00B24EFE" w14:paraId="41298633" w14:textId="77777777" w:rsidTr="00377568">
        <w:trPr>
          <w:jc w:val="center"/>
        </w:trPr>
        <w:tc>
          <w:tcPr>
            <w:tcW w:w="715" w:type="pct"/>
            <w:tcBorders>
              <w:top w:val="outset" w:sz="6" w:space="0" w:color="000000"/>
              <w:left w:val="outset" w:sz="6" w:space="0" w:color="000000"/>
              <w:bottom w:val="outset" w:sz="6" w:space="0" w:color="000000"/>
              <w:right w:val="outset" w:sz="6" w:space="0" w:color="000000"/>
            </w:tcBorders>
            <w:vAlign w:val="center"/>
            <w:hideMark/>
          </w:tcPr>
          <w:p w14:paraId="4FD2E7FD" w14:textId="77777777" w:rsidR="001C7331" w:rsidRPr="00B24EFE" w:rsidRDefault="001C7331" w:rsidP="00377568">
            <w:pPr>
              <w:spacing w:after="0" w:line="240" w:lineRule="auto"/>
              <w:jc w:val="center"/>
              <w:rPr>
                <w:rFonts w:ascii="Times New Roman" w:hAnsi="Times New Roman" w:cs="Times New Roman"/>
                <w:b/>
                <w:bCs/>
                <w:sz w:val="24"/>
                <w:szCs w:val="24"/>
              </w:rPr>
            </w:pPr>
            <w:r w:rsidRPr="00B24EFE">
              <w:rPr>
                <w:rFonts w:ascii="Times New Roman" w:hAnsi="Times New Roman" w:cs="Times New Roman"/>
                <w:b/>
                <w:bCs/>
                <w:sz w:val="24"/>
                <w:szCs w:val="24"/>
              </w:rPr>
              <w:t>Subjekt</w:t>
            </w:r>
          </w:p>
        </w:tc>
        <w:tc>
          <w:tcPr>
            <w:tcW w:w="2250" w:type="pct"/>
            <w:tcBorders>
              <w:top w:val="outset" w:sz="6" w:space="0" w:color="000000"/>
              <w:left w:val="outset" w:sz="6" w:space="0" w:color="000000"/>
              <w:bottom w:val="outset" w:sz="6" w:space="0" w:color="000000"/>
              <w:right w:val="outset" w:sz="6" w:space="0" w:color="000000"/>
            </w:tcBorders>
            <w:vAlign w:val="center"/>
            <w:hideMark/>
          </w:tcPr>
          <w:p w14:paraId="691AC706" w14:textId="77777777" w:rsidR="001C7331" w:rsidRPr="00B24EFE" w:rsidRDefault="001C7331" w:rsidP="00377568">
            <w:pPr>
              <w:spacing w:after="0" w:line="240" w:lineRule="auto"/>
              <w:ind w:left="284" w:right="284"/>
              <w:jc w:val="center"/>
              <w:rPr>
                <w:rFonts w:ascii="Times New Roman" w:hAnsi="Times New Roman" w:cs="Times New Roman"/>
                <w:b/>
                <w:bCs/>
                <w:sz w:val="24"/>
                <w:szCs w:val="24"/>
              </w:rPr>
            </w:pPr>
            <w:r w:rsidRPr="00B24EFE">
              <w:rPr>
                <w:rFonts w:ascii="Times New Roman" w:hAnsi="Times New Roman" w:cs="Times New Roman"/>
                <w:b/>
                <w:bCs/>
                <w:sz w:val="24"/>
                <w:szCs w:val="24"/>
              </w:rPr>
              <w:t>Pripomienka</w:t>
            </w:r>
          </w:p>
        </w:tc>
        <w:tc>
          <w:tcPr>
            <w:tcW w:w="2035" w:type="pct"/>
            <w:tcBorders>
              <w:top w:val="outset" w:sz="6" w:space="0" w:color="000000"/>
              <w:left w:val="outset" w:sz="6" w:space="0" w:color="000000"/>
              <w:bottom w:val="outset" w:sz="6" w:space="0" w:color="000000"/>
              <w:right w:val="outset" w:sz="6" w:space="0" w:color="000000"/>
            </w:tcBorders>
            <w:hideMark/>
          </w:tcPr>
          <w:p w14:paraId="43522385" w14:textId="77777777" w:rsidR="001C7331" w:rsidRPr="00B24EFE" w:rsidRDefault="001C7331" w:rsidP="00377568">
            <w:pPr>
              <w:spacing w:after="0" w:line="240" w:lineRule="auto"/>
              <w:ind w:left="284" w:right="284"/>
              <w:jc w:val="center"/>
              <w:rPr>
                <w:rFonts w:ascii="Times New Roman" w:hAnsi="Times New Roman" w:cs="Times New Roman"/>
                <w:b/>
                <w:bCs/>
                <w:sz w:val="24"/>
                <w:szCs w:val="24"/>
              </w:rPr>
            </w:pPr>
            <w:r w:rsidRPr="00B24EFE">
              <w:rPr>
                <w:rFonts w:ascii="Times New Roman" w:hAnsi="Times New Roman" w:cs="Times New Roman"/>
                <w:b/>
                <w:bCs/>
                <w:sz w:val="24"/>
                <w:szCs w:val="24"/>
              </w:rPr>
              <w:t>Vyhodnotenie</w:t>
            </w:r>
          </w:p>
        </w:tc>
      </w:tr>
      <w:tr w:rsidR="001C7331" w:rsidRPr="00B24EFE" w14:paraId="54C3D6E3" w14:textId="77777777" w:rsidTr="00377568">
        <w:trPr>
          <w:jc w:val="center"/>
        </w:trPr>
        <w:tc>
          <w:tcPr>
            <w:tcW w:w="715" w:type="pct"/>
            <w:tcBorders>
              <w:top w:val="outset" w:sz="6" w:space="0" w:color="000000"/>
              <w:left w:val="outset" w:sz="6" w:space="0" w:color="000000"/>
              <w:bottom w:val="outset" w:sz="6" w:space="0" w:color="000000"/>
              <w:right w:val="outset" w:sz="6" w:space="0" w:color="000000"/>
            </w:tcBorders>
          </w:tcPr>
          <w:p w14:paraId="710E270B" w14:textId="77777777" w:rsidR="001C7331" w:rsidRPr="00B24EFE" w:rsidRDefault="001C7331" w:rsidP="00377568">
            <w:pPr>
              <w:spacing w:after="0" w:line="240" w:lineRule="auto"/>
              <w:jc w:val="center"/>
              <w:rPr>
                <w:rFonts w:ascii="Times New Roman" w:hAnsi="Times New Roman" w:cs="Times New Roman"/>
                <w:b/>
                <w:bCs/>
                <w:sz w:val="24"/>
                <w:szCs w:val="24"/>
              </w:rPr>
            </w:pPr>
            <w:proofErr w:type="spellStart"/>
            <w:r w:rsidRPr="00B24EFE">
              <w:rPr>
                <w:rFonts w:ascii="Times New Roman" w:hAnsi="Times New Roman" w:cs="Times New Roman"/>
                <w:b/>
                <w:bCs/>
                <w:sz w:val="24"/>
                <w:szCs w:val="24"/>
              </w:rPr>
              <w:t>AmCham</w:t>
            </w:r>
            <w:proofErr w:type="spellEnd"/>
            <w:r w:rsidRPr="00B24EFE">
              <w:rPr>
                <w:rFonts w:ascii="Times New Roman" w:hAnsi="Times New Roman" w:cs="Times New Roman"/>
                <w:b/>
                <w:bCs/>
                <w:sz w:val="24"/>
                <w:szCs w:val="24"/>
              </w:rPr>
              <w:t xml:space="preserve"> Slovakia </w:t>
            </w:r>
            <w:r w:rsidRPr="00B24EFE">
              <w:rPr>
                <w:rFonts w:ascii="Times New Roman" w:hAnsi="Times New Roman" w:cs="Times New Roman"/>
                <w:bCs/>
                <w:sz w:val="24"/>
                <w:szCs w:val="24"/>
              </w:rPr>
              <w:t>(Americká obchodná komora v Slovenskej republike)</w:t>
            </w:r>
          </w:p>
        </w:tc>
        <w:tc>
          <w:tcPr>
            <w:tcW w:w="2250" w:type="pct"/>
            <w:tcBorders>
              <w:top w:val="outset" w:sz="6" w:space="0" w:color="000000"/>
              <w:left w:val="outset" w:sz="6" w:space="0" w:color="000000"/>
              <w:bottom w:val="outset" w:sz="6" w:space="0" w:color="000000"/>
              <w:right w:val="outset" w:sz="6" w:space="0" w:color="000000"/>
            </w:tcBorders>
          </w:tcPr>
          <w:p w14:paraId="46FCCD01"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Registrové súdy: V súčasnosti je príslušnosť na vedenie obchodného registra zverená ôsmim registrovým súdom. Návrh predpokladá zmenšenie počtu registrových súdov. Registrový súd by mal byť jeden, a to Okresný súd v Žiline. Návrh opatrení tiež predpokladá, že registrovať budú okrem registrového súdu vo vymedzených veciach aj externí registrátori. Predbežne MS SR navrhuje, aby túto činnosť vykonávali notári. 1. Navrhujeme zvážiť dualitu (ponechať registrové súdy a zároveň externých registrátorov) alebo rozšíriť okruh externých registrátorov (ak notári nebudú zvládať nápor), resp., 2. Navrhujeme zvážiť ponechanie </w:t>
            </w:r>
            <w:r w:rsidRPr="00B24EFE">
              <w:rPr>
                <w:rFonts w:ascii="Times New Roman" w:hAnsi="Times New Roman" w:cs="Times New Roman"/>
                <w:sz w:val="24"/>
                <w:szCs w:val="24"/>
              </w:rPr>
              <w:lastRenderedPageBreak/>
              <w:t xml:space="preserve">niektorých konštitutívnych zápisov na registrový súd (napr. zápis a výmaz spoločnosti). Zvýšila by sa tým dôveryhodnosť zápisov. Ďalej zápis niektorých údajov si vyžaduje preverenie v systémoch (register diskvalifikácií, register vydaných poverení na vykonanie exekúcií,...) a je otázne, či by toto dokázali popri svojej rozsiahlej činnosti zabezpečovať notári. 3. Navrhujeme uplatnenie opatrení, ktoré zabezpečia jednotný postup pri preverovaní zapisovaných údajov a dokladov ich preukazujúcich, potenciálne možnosti zlyhania či až „zneužitia“ takejto registrácie, keď určitý údaj overí notár a zároveň zabezpečí jeho zápis. Odlišný postup jednotlivých registrátorov by predstavoval právnu neistotu nielen pre zapísané osoby, už pri súčasnom počte registrových súdov môže dôjsť k rozdielnym postupom, o to viac pri oveľa väčšom počte registrátorov. 4. Dúfame, že sa nezvýšia finančné náklady spoločností v súvislosti s registráciou údajov u registrátorov. 5. Považujeme za potrebné riešiť prístup k registrovému spisu a prístupu k zbierke listín - nie všetky listiny sú dostupné v digitalizovanej podobe. 6. Bude potrebné jasne definovať vzťah medzi registrovým súdom a externými registrátormi. Predpokladáme, že registrový súd bude riešiť námietky v prípade, že nedôjde k </w:t>
            </w:r>
            <w:proofErr w:type="spellStart"/>
            <w:r w:rsidRPr="00B24EFE">
              <w:rPr>
                <w:rFonts w:ascii="Times New Roman" w:hAnsi="Times New Roman" w:cs="Times New Roman"/>
                <w:sz w:val="24"/>
                <w:szCs w:val="24"/>
              </w:rPr>
              <w:t>autoremedúre</w:t>
            </w:r>
            <w:proofErr w:type="spellEnd"/>
            <w:r w:rsidRPr="00B24EFE">
              <w:rPr>
                <w:rFonts w:ascii="Times New Roman" w:hAnsi="Times New Roman" w:cs="Times New Roman"/>
                <w:sz w:val="24"/>
                <w:szCs w:val="24"/>
              </w:rPr>
              <w:t xml:space="preserve"> na úrovni registrátora. 7. Zapisovanie údajov do OR do 24 hodín. Už dnešná lehota do 48 hodín sa nám javí ako dostatočne rýchla, ak by bola dodržiavaná v praxi. Uprednostňujeme lehotu, ktorá </w:t>
            </w:r>
            <w:r w:rsidRPr="00B24EFE">
              <w:rPr>
                <w:rFonts w:ascii="Times New Roman" w:hAnsi="Times New Roman" w:cs="Times New Roman"/>
                <w:sz w:val="24"/>
                <w:szCs w:val="24"/>
              </w:rPr>
              <w:lastRenderedPageBreak/>
              <w:t>bude realistická, ale v praxi skutočne dodržiavaná. Vlastný materiál k návrhu opatrení na podporu tohto opatrenia uvádza „Nový informačný systém bude nastavený tak, aby tok návrhov riadiť dynamicky podľa aktuálnej záťaže pracoviska/pracovísk. Uvedené predpokladá nový systém prerozdeľovania návrhov a novú filozofiu prideľovania spisových značiek.“ Bude nevyhnutné zabezpečiť prepracovaný systém prerozdeľovanie doručeného nápadu vecí. Z pohľadu realizácie ide o náročný záväzok a zatiaľ nie je jasné, ako to chce MS SR dosiahnuť.</w:t>
            </w:r>
          </w:p>
        </w:tc>
        <w:tc>
          <w:tcPr>
            <w:tcW w:w="2035" w:type="pct"/>
            <w:tcBorders>
              <w:top w:val="outset" w:sz="6" w:space="0" w:color="000000"/>
              <w:left w:val="outset" w:sz="6" w:space="0" w:color="000000"/>
              <w:bottom w:val="outset" w:sz="6" w:space="0" w:color="000000"/>
              <w:right w:val="outset" w:sz="6" w:space="0" w:color="000000"/>
            </w:tcBorders>
          </w:tcPr>
          <w:p w14:paraId="6B516A84"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lastRenderedPageBreak/>
              <w:t>MS SR počíta s dualistickým konceptom registrácie, tzn. že registrácia bude spadať do právomoci registrového súdu (OS ZA) a externých registrátorov. Domnievame sa, že vzhľadom na počet notárskych úradov v Slovenskej republike, obava z nedostupnosti z dôvodu vyťaženosti notárov v situácii, keď podstata reformy spočíva práve v zásadnom zvýšení počtu „registračných miest“, nie je odôvodnená. MS SR napriek tomu aktuálne analyzuje možnosť rozšírenia okruhu externých registrátorov, tieto analýzy však aktuálne nie sú ukončené.</w:t>
            </w:r>
          </w:p>
          <w:p w14:paraId="2D702AE9"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p>
          <w:p w14:paraId="432B0848"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MS SR aktuálne neplánuje rozčlenenie agendy registrového súdu spôsobom, že by istú jej časť vykonával len registrový súd (prvozápis/výmaz). Nie je našim zámerom kvalitatívne rozlišovať medzi jednotlivými typmi zápisov a medzi jednotlivými druhmi národných registračných autorít. Skutočnosť, že voľba, či návrh bude podaný na registrový súd (elektronicky) alebo externému registrátorovi (listinne/elektronicky), je ponechaná výlučne navrhovateľovi je z nášho pohľadu rozhodujúcim prvkom. Externí registrátori samozrejme budú musieť vykonávať materiálny prieskum podania do obchodného registra v rovnakom rozsahu ako registrový súd. Prístupy do príslušných systémov budú zabezpečované v súčinnosti s Notárskou komorou SR.</w:t>
            </w:r>
          </w:p>
          <w:p w14:paraId="64E9919D"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p>
          <w:p w14:paraId="6F841D9B"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Podmienky formálneho ako aj materiálneho prieskumu podania do obchodného registra budú definované zákonom (resp. na základe zákona vykonávacím predpisom), z toho vyplýva aj ich jednotná aplikácia bez ohľadu na skutočnosť, či pôjde o registráciu registrovým súdom alebo externým registrátorom. MS SR však v súvislosti s rozdielnym prístupom/výkladom zvažuje možnosť udeliť registrovému súdu právomoc vydávania záväzných </w:t>
            </w:r>
            <w:r w:rsidRPr="00B24EFE">
              <w:rPr>
                <w:rFonts w:ascii="Times New Roman" w:hAnsi="Times New Roman" w:cs="Times New Roman"/>
                <w:sz w:val="24"/>
                <w:szCs w:val="24"/>
              </w:rPr>
              <w:lastRenderedPageBreak/>
              <w:t xml:space="preserve">pokynov/stanovísk, od ktorých sa nebudú môcť  externí registrátori v rámci registrácie odkloniť. </w:t>
            </w:r>
          </w:p>
          <w:p w14:paraId="3A70C0E4"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p>
          <w:p w14:paraId="12A4AECB"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Registrácia zostane naďalej spoplatnením konaním, tzn. bez ohľadu na skutočnosť, či ju v konečnom dôsledku vykoná registrový súd alebo externý registrátor, bude podliehať platbe súdneho poplatku. Naviac vo vzťahu k externým registrátorom je objektívne nevyhnutné zohľadniť náklady ich činnosti a poskytovanej odbornej asistencie v podobe odmeny za výkon tejto činnosti. Na tejto skutočnosti nevnímame nič negatívne, a to najmä vzhľadom na skutočnosť, že je to vždy voľba navrhovateľa, ktoré z „registračných miest“ v konkrétnom prípade volí, a teda koľko v konečnom dôsledku za registráciu zaplatí. </w:t>
            </w:r>
          </w:p>
          <w:p w14:paraId="52D24B8E"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p>
          <w:p w14:paraId="68A96E0F"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Samozrejme vytvorenie jedného centrálneho registrového súdu a reálny výkon činnosti externými registrátormi nevyhnutne vyžaduje aj digitalizáciu obsahu zbierkového spisu (a nielen neho, ideálne aj registrového spisu). Digitalizáciu obsahu zbierky ministerstvo sleduje a pravidelne vyhodnocuje.  Niektoré súdy majú zbierku listín, pokiaľ ide  o existujúce spoločnosti už kompletne prevedenú do digitálnej podoby. Pre Okresný súd Bratislava I sa zvažuje osobitné riešenie.</w:t>
            </w:r>
          </w:p>
          <w:p w14:paraId="46F02FBB"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p>
          <w:p w14:paraId="0764038F"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lastRenderedPageBreak/>
              <w:t xml:space="preserve">Odmietnutie žiadosti o registráciu externým registrátorom nebude automaticky viesť k „možnosti podania opravného prostriedku - námietok“ na registrový súd, a to najmä vzhľadom na skutočnosť, že externý registrátor (notár) je tzv. právny profesionál – osoba znalá práva (dôvody pre odmietnutie zápisu v jeho prípade teda budú súvisieť výlučne s porušením alebo nedodržaním práva). V takej situácii nie je podľa nášho názoru efektívne aj s poukazom na nechcené delenie zodpovednosti za zápis, aby bolo možné „napadnúť“ odmietnutie na registrovom súde. Nespokojný  navrhovateľ bude môcť opätovne podať návrh na zápis na registrový súd. </w:t>
            </w:r>
          </w:p>
          <w:p w14:paraId="22E94AA2"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p>
          <w:p w14:paraId="6AE0FFD7"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Lehota 24 hodín pre zápis je možná len vo vzťahu k niektorým druhom zápisov. V tejto súvislosti je vysoko pravdepodobné, že príslušná právna úprava bude túto podrobne vnútorne </w:t>
            </w:r>
            <w:proofErr w:type="spellStart"/>
            <w:r w:rsidRPr="00B24EFE">
              <w:rPr>
                <w:rFonts w:ascii="Times New Roman" w:hAnsi="Times New Roman" w:cs="Times New Roman"/>
                <w:sz w:val="24"/>
                <w:szCs w:val="24"/>
              </w:rPr>
              <w:t>štruktúrovať</w:t>
            </w:r>
            <w:proofErr w:type="spellEnd"/>
            <w:r w:rsidRPr="00B24EFE">
              <w:rPr>
                <w:rFonts w:ascii="Times New Roman" w:hAnsi="Times New Roman" w:cs="Times New Roman"/>
                <w:sz w:val="24"/>
                <w:szCs w:val="24"/>
              </w:rPr>
              <w:t>. Niektoré zápis budú totiž závislé od súčinnosti zahraničných registrov, typicky cezhraničné zlúčenie alebo splynutie, cezhraničná zmena právnej formy spojená s premiestnením sídla a pod., ktoré zasielajú osvedčenie o splnení podmienok uvedených procesov na ich strane.</w:t>
            </w:r>
          </w:p>
        </w:tc>
      </w:tr>
      <w:tr w:rsidR="001C7331" w:rsidRPr="00B24EFE" w14:paraId="13CB402B" w14:textId="77777777" w:rsidTr="00377568">
        <w:trPr>
          <w:jc w:val="center"/>
        </w:trPr>
        <w:tc>
          <w:tcPr>
            <w:tcW w:w="715" w:type="pct"/>
            <w:tcBorders>
              <w:top w:val="outset" w:sz="6" w:space="0" w:color="000000"/>
              <w:left w:val="outset" w:sz="6" w:space="0" w:color="000000"/>
              <w:bottom w:val="outset" w:sz="6" w:space="0" w:color="000000"/>
              <w:right w:val="outset" w:sz="6" w:space="0" w:color="000000"/>
            </w:tcBorders>
          </w:tcPr>
          <w:p w14:paraId="78179F00" w14:textId="77777777" w:rsidR="001C7331" w:rsidRPr="00B24EFE" w:rsidRDefault="001C7331" w:rsidP="00377568">
            <w:pPr>
              <w:jc w:val="center"/>
              <w:rPr>
                <w:rFonts w:ascii="Times New Roman" w:hAnsi="Times New Roman" w:cs="Times New Roman"/>
                <w:sz w:val="24"/>
                <w:szCs w:val="24"/>
              </w:rPr>
            </w:pPr>
            <w:proofErr w:type="spellStart"/>
            <w:r w:rsidRPr="00B24EFE">
              <w:rPr>
                <w:rFonts w:ascii="Times New Roman" w:hAnsi="Times New Roman" w:cs="Times New Roman"/>
                <w:b/>
                <w:bCs/>
                <w:sz w:val="24"/>
                <w:szCs w:val="24"/>
              </w:rPr>
              <w:lastRenderedPageBreak/>
              <w:t>AmCham</w:t>
            </w:r>
            <w:proofErr w:type="spellEnd"/>
            <w:r w:rsidRPr="00B24EFE">
              <w:rPr>
                <w:rFonts w:ascii="Times New Roman" w:hAnsi="Times New Roman" w:cs="Times New Roman"/>
                <w:b/>
                <w:bCs/>
                <w:sz w:val="24"/>
                <w:szCs w:val="24"/>
              </w:rPr>
              <w:t xml:space="preserve"> Slovakia</w:t>
            </w:r>
          </w:p>
        </w:tc>
        <w:tc>
          <w:tcPr>
            <w:tcW w:w="2250" w:type="pct"/>
            <w:tcBorders>
              <w:top w:val="outset" w:sz="6" w:space="0" w:color="000000"/>
              <w:left w:val="outset" w:sz="6" w:space="0" w:color="000000"/>
              <w:bottom w:val="outset" w:sz="6" w:space="0" w:color="000000"/>
              <w:right w:val="outset" w:sz="6" w:space="0" w:color="000000"/>
            </w:tcBorders>
          </w:tcPr>
          <w:p w14:paraId="3D3BA95A"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Všeobecne: MS SR predkladá návrh opatrení, ktoré majú zlepšiť fungovanie obchodného registra. Vzhľadom na súčasnú situáciu </w:t>
            </w:r>
            <w:r w:rsidRPr="00B24EFE">
              <w:rPr>
                <w:rFonts w:ascii="Times New Roman" w:hAnsi="Times New Roman" w:cs="Times New Roman"/>
                <w:sz w:val="24"/>
                <w:szCs w:val="24"/>
              </w:rPr>
              <w:lastRenderedPageBreak/>
              <w:t>túto snahu MS SR podporujeme. Súhlasíme s tým, že je potrebné pred samotným začatím fungovania nového systému OR realizovať opatrenia, akými sú oprava neaktuálnych údajov v OR, výmaz zápisných osôb, ktoré si neplania svoje zákonné povinnosti, elektronizáciu zbierky listín. K návrhu „Opatrení k efektívnemu fungovaniu obchodného registra“ máme niekoľko poznámok, postrehov z praxe a otázok, na ktoré chceme poukázať, nakoľko v tomto štádiu procesu nám nie sú niektoré návrhy opatrení jasné. Radi sa oboznámime s paragrafovaným znením návrhu zákona o OR, ktorý by mal veľa otázok vyjasniť a detailnejšie ozrejmiť systém efektívneho fungovania OR.</w:t>
            </w:r>
          </w:p>
        </w:tc>
        <w:tc>
          <w:tcPr>
            <w:tcW w:w="2035" w:type="pct"/>
            <w:tcBorders>
              <w:top w:val="outset" w:sz="6" w:space="0" w:color="000000"/>
              <w:left w:val="outset" w:sz="6" w:space="0" w:color="000000"/>
              <w:bottom w:val="outset" w:sz="6" w:space="0" w:color="000000"/>
              <w:right w:val="outset" w:sz="6" w:space="0" w:color="000000"/>
            </w:tcBorders>
          </w:tcPr>
          <w:p w14:paraId="34DCC055"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lastRenderedPageBreak/>
              <w:t>MS SR ako predkladateľ budúcej právnej úpravy berie uvedené všeobecné konštatovanie na vedomie.</w:t>
            </w:r>
          </w:p>
        </w:tc>
      </w:tr>
      <w:tr w:rsidR="001C7331" w:rsidRPr="00B24EFE" w14:paraId="265D816C" w14:textId="77777777" w:rsidTr="00377568">
        <w:trPr>
          <w:jc w:val="center"/>
        </w:trPr>
        <w:tc>
          <w:tcPr>
            <w:tcW w:w="715" w:type="pct"/>
            <w:tcBorders>
              <w:top w:val="outset" w:sz="6" w:space="0" w:color="000000"/>
              <w:left w:val="outset" w:sz="6" w:space="0" w:color="000000"/>
              <w:bottom w:val="outset" w:sz="6" w:space="0" w:color="000000"/>
              <w:right w:val="outset" w:sz="6" w:space="0" w:color="000000"/>
            </w:tcBorders>
          </w:tcPr>
          <w:p w14:paraId="77696971" w14:textId="77777777" w:rsidR="001C7331" w:rsidRPr="00B24EFE" w:rsidRDefault="001C7331" w:rsidP="00377568">
            <w:pPr>
              <w:jc w:val="center"/>
              <w:rPr>
                <w:rFonts w:ascii="Times New Roman" w:hAnsi="Times New Roman" w:cs="Times New Roman"/>
                <w:sz w:val="24"/>
                <w:szCs w:val="24"/>
              </w:rPr>
            </w:pPr>
            <w:proofErr w:type="spellStart"/>
            <w:r w:rsidRPr="00B24EFE">
              <w:rPr>
                <w:rFonts w:ascii="Times New Roman" w:hAnsi="Times New Roman" w:cs="Times New Roman"/>
                <w:b/>
                <w:bCs/>
                <w:sz w:val="24"/>
                <w:szCs w:val="24"/>
              </w:rPr>
              <w:t>AmCham</w:t>
            </w:r>
            <w:proofErr w:type="spellEnd"/>
            <w:r w:rsidRPr="00B24EFE">
              <w:rPr>
                <w:rFonts w:ascii="Times New Roman" w:hAnsi="Times New Roman" w:cs="Times New Roman"/>
                <w:b/>
                <w:bCs/>
                <w:sz w:val="24"/>
                <w:szCs w:val="24"/>
              </w:rPr>
              <w:t xml:space="preserve"> Slovakia</w:t>
            </w:r>
          </w:p>
        </w:tc>
        <w:tc>
          <w:tcPr>
            <w:tcW w:w="2250" w:type="pct"/>
            <w:tcBorders>
              <w:top w:val="outset" w:sz="6" w:space="0" w:color="000000"/>
              <w:left w:val="outset" w:sz="6" w:space="0" w:color="000000"/>
              <w:bottom w:val="outset" w:sz="6" w:space="0" w:color="000000"/>
              <w:right w:val="outset" w:sz="6" w:space="0" w:color="000000"/>
            </w:tcBorders>
          </w:tcPr>
          <w:p w14:paraId="21FEFA41"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Registrové súdy: V súčasnosti je príslušnosť na vedenie obchodného registra zverená ôsmim registrovým súdom. Návrh predpokladá zmenšenie počtu registrových súdov, pričom za vhodné riešenie považujeme jej zverenie jednému registrovému súdu. Zapojenie externých registrátorov by mohlo vyvolávať „nedôveru“ k jednotlivým zápisom, vzhľadom na nejednotnosť posudzovania resp. vyhodnocovania kritérií pre uskutočnenie zápisu u externého registrátora. Príkladom uvedeného postupu je zaručená konverzia dokumentov, pri ktorej nie je často zabezpečený rovnaký prístup/dostupnosť u všetkých notárov resp. na pošte.</w:t>
            </w:r>
          </w:p>
        </w:tc>
        <w:tc>
          <w:tcPr>
            <w:tcW w:w="2035" w:type="pct"/>
            <w:tcBorders>
              <w:top w:val="outset" w:sz="6" w:space="0" w:color="000000"/>
              <w:left w:val="outset" w:sz="6" w:space="0" w:color="000000"/>
              <w:bottom w:val="outset" w:sz="6" w:space="0" w:color="000000"/>
              <w:right w:val="outset" w:sz="6" w:space="0" w:color="000000"/>
            </w:tcBorders>
          </w:tcPr>
          <w:p w14:paraId="4DD36029"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Zverenie vedenia obchodného registra a právomoci na konania vo veciach obchodného registra jednému registrovému súdu je v súlade s návrhom  LP/2020/587: </w:t>
            </w:r>
          </w:p>
          <w:p w14:paraId="411CE8D9" w14:textId="77777777" w:rsidR="001C7331" w:rsidRPr="00B24EFE" w:rsidRDefault="00903EB1" w:rsidP="00377568">
            <w:pPr>
              <w:spacing w:after="0" w:line="240" w:lineRule="auto"/>
              <w:ind w:left="284" w:right="284"/>
              <w:jc w:val="both"/>
              <w:rPr>
                <w:rFonts w:ascii="Times New Roman" w:hAnsi="Times New Roman" w:cs="Times New Roman"/>
                <w:sz w:val="24"/>
                <w:szCs w:val="24"/>
              </w:rPr>
            </w:pPr>
            <w:hyperlink r:id="rId13" w:history="1">
              <w:r w:rsidR="001C7331" w:rsidRPr="00B24EFE">
                <w:rPr>
                  <w:rStyle w:val="Hypertextovprepojenie"/>
                  <w:rFonts w:ascii="Times New Roman" w:hAnsi="Times New Roman" w:cs="Times New Roman"/>
                  <w:sz w:val="24"/>
                  <w:szCs w:val="24"/>
                </w:rPr>
                <w:t>https://www.slov-lex.sk/legislativne-procesy/SK/LP/2020/587</w:t>
              </w:r>
            </w:hyperlink>
          </w:p>
          <w:p w14:paraId="0D1DB283"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Zavedenie externých registrátorov na tomto cieli nič nemení. </w:t>
            </w:r>
          </w:p>
          <w:p w14:paraId="475611B9"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Podmienky formálneho ako aj materiálneho prieskumu podania do obchodného registra budú definované zákonom (resp. na základe zákona vykonávacím predpisom), z toho vyplýva aj ich jednotná aplikácia bez ohľadu na skutočnosť, či pôjde o registráciu registrovým súdom alebo externým registrátorom. MS SR však v súvislosti s rozdielnym prístupom/výkladom zvažuje možnosť udeliť registrovému </w:t>
            </w:r>
            <w:r w:rsidRPr="00B24EFE">
              <w:rPr>
                <w:rFonts w:ascii="Times New Roman" w:hAnsi="Times New Roman" w:cs="Times New Roman"/>
                <w:sz w:val="24"/>
                <w:szCs w:val="24"/>
              </w:rPr>
              <w:lastRenderedPageBreak/>
              <w:t>súdu právomoc vydávania záväzných pokynov/stanovísk, od ktorých sa nebudú môcť  externí registrátori v rámci registrácie odkloniť. Verejná publicita týchto bude samozrejme zabezpečená.</w:t>
            </w:r>
          </w:p>
          <w:p w14:paraId="4BF2C0A5"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Systém registrácie prostredníctvom externých registrátorov bude z princípu založený na prvku „dôvery“, to je hlavné kritérium, keďže výber externého registrátora nebude náhodný v porovnaní s prípadom podania realizovaného registrovému súdu (kde systém bude naďalej založený na systéme náhodného prideľovania spisov). Externého registrátora si bude vyberať sám navrhovateľ, v takom prípade sa uvedená výhrada  o „nedôvere“ k zápisom vykonávaným externým registrátorom javí ako neodôvodnená. </w:t>
            </w:r>
          </w:p>
          <w:p w14:paraId="3AD55CFF"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p>
        </w:tc>
      </w:tr>
      <w:tr w:rsidR="001C7331" w:rsidRPr="00B24EFE" w14:paraId="021F2A90" w14:textId="77777777" w:rsidTr="00377568">
        <w:trPr>
          <w:jc w:val="center"/>
        </w:trPr>
        <w:tc>
          <w:tcPr>
            <w:tcW w:w="715" w:type="pct"/>
            <w:tcBorders>
              <w:top w:val="outset" w:sz="6" w:space="0" w:color="000000"/>
              <w:left w:val="outset" w:sz="6" w:space="0" w:color="000000"/>
              <w:bottom w:val="outset" w:sz="6" w:space="0" w:color="000000"/>
              <w:right w:val="outset" w:sz="6" w:space="0" w:color="000000"/>
            </w:tcBorders>
          </w:tcPr>
          <w:p w14:paraId="6C3ADD74" w14:textId="77777777" w:rsidR="001C7331" w:rsidRPr="00B24EFE" w:rsidRDefault="001C7331" w:rsidP="00377568">
            <w:pPr>
              <w:jc w:val="center"/>
              <w:rPr>
                <w:rFonts w:ascii="Times New Roman" w:hAnsi="Times New Roman" w:cs="Times New Roman"/>
                <w:sz w:val="24"/>
                <w:szCs w:val="24"/>
              </w:rPr>
            </w:pPr>
            <w:proofErr w:type="spellStart"/>
            <w:r w:rsidRPr="00B24EFE">
              <w:rPr>
                <w:rFonts w:ascii="Times New Roman" w:hAnsi="Times New Roman" w:cs="Times New Roman"/>
                <w:b/>
                <w:bCs/>
                <w:sz w:val="24"/>
                <w:szCs w:val="24"/>
              </w:rPr>
              <w:lastRenderedPageBreak/>
              <w:t>AmCham</w:t>
            </w:r>
            <w:proofErr w:type="spellEnd"/>
            <w:r w:rsidRPr="00B24EFE">
              <w:rPr>
                <w:rFonts w:ascii="Times New Roman" w:hAnsi="Times New Roman" w:cs="Times New Roman"/>
                <w:b/>
                <w:bCs/>
                <w:sz w:val="24"/>
                <w:szCs w:val="24"/>
              </w:rPr>
              <w:t xml:space="preserve"> Slovakia</w:t>
            </w:r>
          </w:p>
        </w:tc>
        <w:tc>
          <w:tcPr>
            <w:tcW w:w="2250" w:type="pct"/>
            <w:tcBorders>
              <w:top w:val="outset" w:sz="6" w:space="0" w:color="000000"/>
              <w:left w:val="outset" w:sz="6" w:space="0" w:color="000000"/>
              <w:bottom w:val="outset" w:sz="6" w:space="0" w:color="000000"/>
              <w:right w:val="outset" w:sz="6" w:space="0" w:color="000000"/>
            </w:tcBorders>
          </w:tcPr>
          <w:p w14:paraId="294EA773"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Rýchlosť elektronického podania: V praxi, pri porovnaní podávania návrhu v listinnej dobe a elektronicky, sú z našej skúsenosti doby na registráciu niekedy dlhšie pri elektronickom podaní kvôli platbe poplatku. Hoci už existuje možnosť platby cez platobnú bránu prostredníctvom bankovej karty, v praxi tento systém ešte nie je vždy plne funkčný.</w:t>
            </w:r>
          </w:p>
        </w:tc>
        <w:tc>
          <w:tcPr>
            <w:tcW w:w="2035" w:type="pct"/>
            <w:tcBorders>
              <w:top w:val="outset" w:sz="6" w:space="0" w:color="000000"/>
              <w:left w:val="outset" w:sz="6" w:space="0" w:color="000000"/>
              <w:bottom w:val="outset" w:sz="6" w:space="0" w:color="000000"/>
              <w:right w:val="outset" w:sz="6" w:space="0" w:color="000000"/>
            </w:tcBorders>
          </w:tcPr>
          <w:p w14:paraId="497AA771"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Elektronické návrhy znevýhodňoval systém platenia súdnych poplatkov, keďže podanie čakalo na spracovanie, pokým nie je uhradený súdny poplatok. MS SR preto zaviedlo od 15.7.2020 možnosť online platby za podania do obchodného registra platobnou kartou, aby sa tento problém odstránil. Aktuálne nemáme spätnú väzbu od klientov týkajúcu sa funkčností systému. Systém ale nepatrí do kompetencie MS SR, ako taký je súčasťou Ústredného portálu verejnej správy.</w:t>
            </w:r>
          </w:p>
          <w:p w14:paraId="01766A87"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Do budúcnosti sa predpokladá aj skrátenie doby </w:t>
            </w:r>
            <w:r w:rsidRPr="00B24EFE">
              <w:rPr>
                <w:rFonts w:ascii="Times New Roman" w:hAnsi="Times New Roman" w:cs="Times New Roman"/>
                <w:sz w:val="24"/>
                <w:szCs w:val="24"/>
              </w:rPr>
              <w:lastRenderedPageBreak/>
              <w:t>potrebnej na overenie platnosti elektronických podpisov využitím overenie protokolom OCSP – online overenie, tam kde to bude možné.</w:t>
            </w:r>
          </w:p>
          <w:p w14:paraId="36E173AB"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Pri podávaní elektronických návrhov je tiež dôležité, že možno prevziať štruktúrované údaje, pričom sa tak minimalizujú chyby.</w:t>
            </w:r>
          </w:p>
        </w:tc>
      </w:tr>
      <w:tr w:rsidR="001C7331" w:rsidRPr="00B24EFE" w14:paraId="56EDF409" w14:textId="77777777" w:rsidTr="00377568">
        <w:trPr>
          <w:jc w:val="center"/>
        </w:trPr>
        <w:tc>
          <w:tcPr>
            <w:tcW w:w="715" w:type="pct"/>
            <w:tcBorders>
              <w:top w:val="outset" w:sz="6" w:space="0" w:color="000000"/>
              <w:left w:val="outset" w:sz="6" w:space="0" w:color="000000"/>
              <w:bottom w:val="outset" w:sz="6" w:space="0" w:color="000000"/>
              <w:right w:val="outset" w:sz="6" w:space="0" w:color="000000"/>
            </w:tcBorders>
          </w:tcPr>
          <w:p w14:paraId="00B0812D" w14:textId="77777777" w:rsidR="001C7331" w:rsidRPr="00B24EFE" w:rsidRDefault="001C7331" w:rsidP="00377568">
            <w:pPr>
              <w:jc w:val="center"/>
              <w:rPr>
                <w:rFonts w:ascii="Times New Roman" w:hAnsi="Times New Roman" w:cs="Times New Roman"/>
                <w:sz w:val="24"/>
                <w:szCs w:val="24"/>
              </w:rPr>
            </w:pPr>
            <w:proofErr w:type="spellStart"/>
            <w:r w:rsidRPr="00B24EFE">
              <w:rPr>
                <w:rFonts w:ascii="Times New Roman" w:hAnsi="Times New Roman" w:cs="Times New Roman"/>
                <w:b/>
                <w:bCs/>
                <w:sz w:val="24"/>
                <w:szCs w:val="24"/>
              </w:rPr>
              <w:lastRenderedPageBreak/>
              <w:t>AmCham</w:t>
            </w:r>
            <w:proofErr w:type="spellEnd"/>
            <w:r w:rsidRPr="00B24EFE">
              <w:rPr>
                <w:rFonts w:ascii="Times New Roman" w:hAnsi="Times New Roman" w:cs="Times New Roman"/>
                <w:b/>
                <w:bCs/>
                <w:sz w:val="24"/>
                <w:szCs w:val="24"/>
              </w:rPr>
              <w:t xml:space="preserve"> Slovakia</w:t>
            </w:r>
          </w:p>
        </w:tc>
        <w:tc>
          <w:tcPr>
            <w:tcW w:w="2250" w:type="pct"/>
            <w:tcBorders>
              <w:top w:val="outset" w:sz="6" w:space="0" w:color="000000"/>
              <w:left w:val="outset" w:sz="6" w:space="0" w:color="000000"/>
              <w:bottom w:val="outset" w:sz="6" w:space="0" w:color="000000"/>
              <w:right w:val="outset" w:sz="6" w:space="0" w:color="000000"/>
            </w:tcBorders>
          </w:tcPr>
          <w:p w14:paraId="0E584AEF"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Informačný systém: Moderný informačný systém obchodného registra by mal obsahovať (okrem iných) nasledovné funkcie: - jednotná informácia o čísle konania (číselný identifikátor) </w:t>
            </w:r>
            <w:proofErr w:type="spellStart"/>
            <w:r w:rsidRPr="00B24EFE">
              <w:rPr>
                <w:rFonts w:ascii="Times New Roman" w:hAnsi="Times New Roman" w:cs="Times New Roman"/>
                <w:sz w:val="24"/>
                <w:szCs w:val="24"/>
              </w:rPr>
              <w:t>vs</w:t>
            </w:r>
            <w:proofErr w:type="spellEnd"/>
            <w:r w:rsidRPr="00B24EFE">
              <w:rPr>
                <w:rFonts w:ascii="Times New Roman" w:hAnsi="Times New Roman" w:cs="Times New Roman"/>
                <w:sz w:val="24"/>
                <w:szCs w:val="24"/>
              </w:rPr>
              <w:t>. spisová značka - priebežne aktualizovaná informácia o prebiehajúcej lehote / stave zápisu, rozhodnutia o námietke - e-mailová notifikácia navrhovateľovi o uskutočnení zápisu - možnosť vyhotovenia výpisu z obchodného registra v cudzom jazyku - informácia o ostatných zápisoch v relevantných registroch (s integráciou na Systém prepojenia centrálnych registrov, obchodných registrov a registrov spoločností, ako aj s integráciou na iné registre, ako napríklad Centrálny register zmlúv, Register partnerov verejného sektora a Register diskvalifikácií, Kataster nehnuteľností) - uchovanie platobných údajov pre navrhovateľa pre opakované zápisy do obchodného registra - možnosť vytvárania historických prehľadov z údajov zapísaných v obchodnom registri - jednotnosť identifikačných údajov naprieč registrami - možnosť vyhotovenia samostatných výpisoch o zapísaných skutočnostiach / údajoch a pod.</w:t>
            </w:r>
          </w:p>
        </w:tc>
        <w:tc>
          <w:tcPr>
            <w:tcW w:w="2035" w:type="pct"/>
            <w:tcBorders>
              <w:top w:val="outset" w:sz="6" w:space="0" w:color="000000"/>
              <w:left w:val="outset" w:sz="6" w:space="0" w:color="000000"/>
              <w:bottom w:val="outset" w:sz="6" w:space="0" w:color="000000"/>
              <w:right w:val="outset" w:sz="6" w:space="0" w:color="000000"/>
            </w:tcBorders>
          </w:tcPr>
          <w:p w14:paraId="6C3F640B"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Plánované technické riešenie predpokladá viacero s uvedených funkcionalít. Konkrétne – sledovanie stavu konania, identifikátor zapísaného údaja, výpis z obchodného registra v anglickej jazykovej mutácii. Pokiaľ ide o </w:t>
            </w:r>
            <w:proofErr w:type="spellStart"/>
            <w:r w:rsidRPr="00B24EFE">
              <w:rPr>
                <w:rFonts w:ascii="Times New Roman" w:hAnsi="Times New Roman" w:cs="Times New Roman"/>
                <w:sz w:val="24"/>
                <w:szCs w:val="24"/>
              </w:rPr>
              <w:t>interkonektivitu</w:t>
            </w:r>
            <w:proofErr w:type="spellEnd"/>
            <w:r w:rsidRPr="00B24EFE">
              <w:rPr>
                <w:rFonts w:ascii="Times New Roman" w:hAnsi="Times New Roman" w:cs="Times New Roman"/>
                <w:sz w:val="24"/>
                <w:szCs w:val="24"/>
              </w:rPr>
              <w:t xml:space="preserve"> registrov, ide o úlohu nadrezortnú, pričom MS SR má ambíciu novým obchodným registrom naznačiť cestu pre elektronizáciu a vývoj aj ostatných registrov verejnej moci. Platobné údaje sa generujú na úrovni štátu centrálnym systémom evidencie poplatkov pre každé jednotlivé podanie/úkon samostatne v zmysle zákona Slovenskej národnej rady č. 71/1992 Zb. o súdnych poplatkoch a poplatku za výpis z registra trestov v znení neskorších predpisov.</w:t>
            </w:r>
          </w:p>
        </w:tc>
      </w:tr>
      <w:tr w:rsidR="001C7331" w:rsidRPr="00B24EFE" w14:paraId="5F535D5E" w14:textId="77777777" w:rsidTr="00377568">
        <w:trPr>
          <w:jc w:val="center"/>
        </w:trPr>
        <w:tc>
          <w:tcPr>
            <w:tcW w:w="715" w:type="pct"/>
            <w:tcBorders>
              <w:top w:val="outset" w:sz="6" w:space="0" w:color="000000"/>
              <w:left w:val="outset" w:sz="6" w:space="0" w:color="000000"/>
              <w:bottom w:val="outset" w:sz="6" w:space="0" w:color="000000"/>
              <w:right w:val="outset" w:sz="6" w:space="0" w:color="000000"/>
            </w:tcBorders>
          </w:tcPr>
          <w:p w14:paraId="01B7DADC" w14:textId="77777777" w:rsidR="001C7331" w:rsidRPr="00B24EFE" w:rsidRDefault="001C7331" w:rsidP="00377568">
            <w:pPr>
              <w:jc w:val="center"/>
              <w:rPr>
                <w:rFonts w:ascii="Times New Roman" w:hAnsi="Times New Roman" w:cs="Times New Roman"/>
                <w:sz w:val="24"/>
                <w:szCs w:val="24"/>
              </w:rPr>
            </w:pPr>
            <w:proofErr w:type="spellStart"/>
            <w:r w:rsidRPr="00B24EFE">
              <w:rPr>
                <w:rFonts w:ascii="Times New Roman" w:hAnsi="Times New Roman" w:cs="Times New Roman"/>
                <w:b/>
                <w:bCs/>
                <w:sz w:val="24"/>
                <w:szCs w:val="24"/>
              </w:rPr>
              <w:lastRenderedPageBreak/>
              <w:t>AmCham</w:t>
            </w:r>
            <w:proofErr w:type="spellEnd"/>
            <w:r w:rsidRPr="00B24EFE">
              <w:rPr>
                <w:rFonts w:ascii="Times New Roman" w:hAnsi="Times New Roman" w:cs="Times New Roman"/>
                <w:b/>
                <w:bCs/>
                <w:sz w:val="24"/>
                <w:szCs w:val="24"/>
              </w:rPr>
              <w:t xml:space="preserve"> Slovakia</w:t>
            </w:r>
          </w:p>
        </w:tc>
        <w:tc>
          <w:tcPr>
            <w:tcW w:w="2250" w:type="pct"/>
            <w:tcBorders>
              <w:top w:val="outset" w:sz="6" w:space="0" w:color="000000"/>
              <w:left w:val="outset" w:sz="6" w:space="0" w:color="000000"/>
              <w:bottom w:val="outset" w:sz="6" w:space="0" w:color="000000"/>
              <w:right w:val="outset" w:sz="6" w:space="0" w:color="000000"/>
            </w:tcBorders>
          </w:tcPr>
          <w:p w14:paraId="0553D862"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Proces zápisov v Obchodnom registri: Navrhujeme zaviesť podrobnejšiu procesnú úpravu konania pred registrovým súdom vo veci zápisov do Obchodného registra, obdobne ako je prepracovaná v prípade katastra nehnuteľností (najmä napr. priorita zápisov v prípade viacerých návrhov, možnosť priradiť viacero návrhov zápisov jednej „transakcii“ tak, aby vec riešil jeden VSÚ, možnosť disponovať s návrhom na zápis zmien a pod.). Zároveň navrhujeme dôslednejšiu úpravu prieskumnej právomoci Obchodného registra. Aktuálne Obchodný register často rieši aj otázky, ktoré idú nad rámec formálneho prieskumu (oprávnenie zahraničných štatutárov a pod.).</w:t>
            </w:r>
          </w:p>
        </w:tc>
        <w:tc>
          <w:tcPr>
            <w:tcW w:w="2035" w:type="pct"/>
            <w:tcBorders>
              <w:top w:val="outset" w:sz="6" w:space="0" w:color="000000"/>
              <w:left w:val="outset" w:sz="6" w:space="0" w:color="000000"/>
              <w:bottom w:val="outset" w:sz="6" w:space="0" w:color="000000"/>
              <w:right w:val="outset" w:sz="6" w:space="0" w:color="000000"/>
            </w:tcBorders>
          </w:tcPr>
          <w:p w14:paraId="7CA0CC64"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Niektoré z návrhov uvedených vo vyjadrení boli v aktuálnom systéme napriek ich formálnemu zakotveniu nemožné vzhľadom na technické obmedzenia informačného systému, ktorých realizácia by si vyžiadala podstatné zmeny (napr. zlúčenie niekoľkých súčasne podaných návrhov do jedného podania). Nový informačný systém obchodného registra bude musieť nevyhnutne využívať systém aktívnych „blokácií“ alebo inými slovami „priority“. Nevnímame však ako správne ho vecne prirovnávať, resp. porovnávať s katastrom nehnuteľností, kde ide o iný druh „registrácie“, kde sa odôvodnene volí aj iný prístup k vykonávaniu zápisov. Skutočnosť, či osoba zahraničného štatutára disponuje dostatočným oprávnením konať v mene/za zahraničnú osobu - navrhovateľa nie je podľa nášho názoru možné považovať za prekročenie princípu formálneho prieskumu. </w:t>
            </w:r>
          </w:p>
          <w:p w14:paraId="3FCE1047"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p>
        </w:tc>
      </w:tr>
      <w:tr w:rsidR="001C7331" w:rsidRPr="00B24EFE" w14:paraId="147CAE56" w14:textId="77777777" w:rsidTr="00377568">
        <w:trPr>
          <w:jc w:val="center"/>
        </w:trPr>
        <w:tc>
          <w:tcPr>
            <w:tcW w:w="715" w:type="pct"/>
            <w:tcBorders>
              <w:top w:val="outset" w:sz="6" w:space="0" w:color="000000"/>
              <w:left w:val="outset" w:sz="6" w:space="0" w:color="000000"/>
              <w:bottom w:val="outset" w:sz="6" w:space="0" w:color="000000"/>
              <w:right w:val="outset" w:sz="6" w:space="0" w:color="000000"/>
            </w:tcBorders>
          </w:tcPr>
          <w:p w14:paraId="1C31B65E" w14:textId="77777777" w:rsidR="001C7331" w:rsidRPr="00B24EFE" w:rsidRDefault="001C7331" w:rsidP="00377568">
            <w:pPr>
              <w:jc w:val="center"/>
              <w:rPr>
                <w:rFonts w:ascii="Times New Roman" w:hAnsi="Times New Roman" w:cs="Times New Roman"/>
                <w:sz w:val="24"/>
                <w:szCs w:val="24"/>
              </w:rPr>
            </w:pPr>
            <w:proofErr w:type="spellStart"/>
            <w:r w:rsidRPr="00B24EFE">
              <w:rPr>
                <w:rFonts w:ascii="Times New Roman" w:hAnsi="Times New Roman" w:cs="Times New Roman"/>
                <w:b/>
                <w:bCs/>
                <w:sz w:val="24"/>
                <w:szCs w:val="24"/>
              </w:rPr>
              <w:t>AmCham</w:t>
            </w:r>
            <w:proofErr w:type="spellEnd"/>
            <w:r w:rsidRPr="00B24EFE">
              <w:rPr>
                <w:rFonts w:ascii="Times New Roman" w:hAnsi="Times New Roman" w:cs="Times New Roman"/>
                <w:b/>
                <w:bCs/>
                <w:sz w:val="24"/>
                <w:szCs w:val="24"/>
              </w:rPr>
              <w:t xml:space="preserve"> Slovakia</w:t>
            </w:r>
          </w:p>
        </w:tc>
        <w:tc>
          <w:tcPr>
            <w:tcW w:w="2250" w:type="pct"/>
            <w:tcBorders>
              <w:top w:val="outset" w:sz="6" w:space="0" w:color="000000"/>
              <w:left w:val="outset" w:sz="6" w:space="0" w:color="000000"/>
              <w:bottom w:val="outset" w:sz="6" w:space="0" w:color="000000"/>
              <w:right w:val="outset" w:sz="6" w:space="0" w:color="000000"/>
            </w:tcBorders>
          </w:tcPr>
          <w:p w14:paraId="3A2DF81C"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Informačný systém: Nový informačný systém by mal pokryť aktuálne požiadavky na správu obchodného registra a umožniť podávanie návrhov s prílohami, bez potreby „rozdeliť“ na dáta objemnejšie prílohy do viacerých súborov (napr. jedna príloha, spoločenská zmluva, musí byť v súčasnosti naskenovaná k návrhu vo viacerých súboroch, lebo to inak nie je technicky možné). Nový informačný systém by mal taktiež umožniť podávanie </w:t>
            </w:r>
            <w:r w:rsidRPr="00B24EFE">
              <w:rPr>
                <w:rFonts w:ascii="Times New Roman" w:hAnsi="Times New Roman" w:cs="Times New Roman"/>
                <w:sz w:val="24"/>
                <w:szCs w:val="24"/>
              </w:rPr>
              <w:lastRenderedPageBreak/>
              <w:t>návrhov s prílohami v rôznych formátoch, prioritne vo formáte PDF, bez potreby obmedzenia veľkosti príloh (ak to je technicky možné).</w:t>
            </w:r>
          </w:p>
        </w:tc>
        <w:tc>
          <w:tcPr>
            <w:tcW w:w="2035" w:type="pct"/>
            <w:tcBorders>
              <w:top w:val="outset" w:sz="6" w:space="0" w:color="000000"/>
              <w:left w:val="outset" w:sz="6" w:space="0" w:color="000000"/>
              <w:bottom w:val="outset" w:sz="6" w:space="0" w:color="000000"/>
              <w:right w:val="outset" w:sz="6" w:space="0" w:color="000000"/>
            </w:tcBorders>
          </w:tcPr>
          <w:p w14:paraId="10941A59"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lastRenderedPageBreak/>
              <w:t>Ide o limity centrálneho riešenia Ústredného portálu verejnej správy (</w:t>
            </w:r>
            <w:hyperlink r:id="rId14" w:history="1">
              <w:r w:rsidRPr="00B24EFE">
                <w:rPr>
                  <w:rStyle w:val="Hypertextovprepojenie"/>
                  <w:rFonts w:ascii="Times New Roman" w:hAnsi="Times New Roman" w:cs="Times New Roman"/>
                  <w:sz w:val="24"/>
                  <w:szCs w:val="24"/>
                </w:rPr>
                <w:t>www.slovensko.sk</w:t>
              </w:r>
            </w:hyperlink>
            <w:r w:rsidRPr="00B24EFE">
              <w:rPr>
                <w:rFonts w:ascii="Times New Roman" w:hAnsi="Times New Roman" w:cs="Times New Roman"/>
                <w:sz w:val="24"/>
                <w:szCs w:val="24"/>
              </w:rPr>
              <w:t xml:space="preserve">). </w:t>
            </w:r>
          </w:p>
          <w:p w14:paraId="1CC38972"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MS SR preferuje a v rámci prípravy nového systému sa bude snažiť o to, aby sa v situáciách, kde je to možné, čo najväčšie množstvo príloh predkladalo na štruktúrovaných formulároch, a teda minimalizovali sa dátové objemy. </w:t>
            </w:r>
          </w:p>
        </w:tc>
      </w:tr>
      <w:tr w:rsidR="001C7331" w:rsidRPr="00B24EFE" w14:paraId="0D7D0F5A" w14:textId="77777777" w:rsidTr="00377568">
        <w:trPr>
          <w:jc w:val="center"/>
        </w:trPr>
        <w:tc>
          <w:tcPr>
            <w:tcW w:w="715" w:type="pct"/>
            <w:tcBorders>
              <w:top w:val="outset" w:sz="6" w:space="0" w:color="000000"/>
              <w:left w:val="outset" w:sz="6" w:space="0" w:color="000000"/>
              <w:bottom w:val="outset" w:sz="6" w:space="0" w:color="000000"/>
              <w:right w:val="outset" w:sz="6" w:space="0" w:color="000000"/>
            </w:tcBorders>
          </w:tcPr>
          <w:p w14:paraId="0E38DD81" w14:textId="77777777" w:rsidR="001C7331" w:rsidRPr="00B24EFE" w:rsidRDefault="001C7331" w:rsidP="00377568">
            <w:pPr>
              <w:spacing w:after="0" w:line="240" w:lineRule="auto"/>
              <w:jc w:val="center"/>
              <w:rPr>
                <w:rFonts w:ascii="Times New Roman" w:hAnsi="Times New Roman" w:cs="Times New Roman"/>
                <w:sz w:val="24"/>
                <w:szCs w:val="24"/>
              </w:rPr>
            </w:pPr>
            <w:r w:rsidRPr="00B24EFE">
              <w:rPr>
                <w:rFonts w:ascii="Times New Roman" w:hAnsi="Times New Roman" w:cs="Times New Roman"/>
                <w:b/>
                <w:bCs/>
                <w:sz w:val="24"/>
                <w:szCs w:val="24"/>
              </w:rPr>
              <w:t xml:space="preserve">MPRVSR </w:t>
            </w:r>
            <w:r w:rsidRPr="00B24EFE">
              <w:rPr>
                <w:rFonts w:ascii="Times New Roman" w:hAnsi="Times New Roman" w:cs="Times New Roman"/>
                <w:bCs/>
                <w:sz w:val="24"/>
                <w:szCs w:val="24"/>
              </w:rPr>
              <w:t>(Ministerstvo pôdohospodárstva a rozvoja vidieka Slovenskej republiky)</w:t>
            </w:r>
          </w:p>
        </w:tc>
        <w:tc>
          <w:tcPr>
            <w:tcW w:w="2250" w:type="pct"/>
            <w:tcBorders>
              <w:top w:val="outset" w:sz="6" w:space="0" w:color="000000"/>
              <w:left w:val="outset" w:sz="6" w:space="0" w:color="000000"/>
              <w:bottom w:val="outset" w:sz="6" w:space="0" w:color="000000"/>
              <w:right w:val="outset" w:sz="6" w:space="0" w:color="000000"/>
            </w:tcBorders>
          </w:tcPr>
          <w:p w14:paraId="3696638C"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Navrhujeme do pripravovaného návrhu zákona zahrnúť aj registráciu pozemkových spoločenstiev ako právnických osôb, t. j. presunúť túto registráciu z osobitného registra pozemkových spoločenstiev vedeného okresnými úradmi do režimu obchodného registra. Pozemkové spoločenstvá sú podľa z. č. 97/2013 Z. z. dnes výlučne právnickými osobami vykonávajúcimi podnikanie (§ 3 a 19). Podľa tohto zákona vznikajú zápisom do registra pozemkových spoločenstiev a zanikajú výmazom z neho. Register vedú okresné úrady a proces registrácie (zápisu spoločenstva do registra) sa spravuje správnym poriadkom. Správnym poriadkom sa spravuje ešte konanie o zápise zrušenia pozemkového spoločenstva v prípade, že o zrušení rozhodlo jeho valné zhromaždenie. Ostatné zápisy do registra pozemkových spoločenstiev sa dejú mimo správneho konania a to buď na základe oznámenia alebo v niektorých prípadoch ex </w:t>
            </w:r>
            <w:proofErr w:type="spellStart"/>
            <w:r w:rsidRPr="00B24EFE">
              <w:rPr>
                <w:rFonts w:ascii="Times New Roman" w:hAnsi="Times New Roman" w:cs="Times New Roman"/>
                <w:sz w:val="24"/>
                <w:szCs w:val="24"/>
              </w:rPr>
              <w:t>offo</w:t>
            </w:r>
            <w:proofErr w:type="spellEnd"/>
            <w:r w:rsidRPr="00B24EFE">
              <w:rPr>
                <w:rFonts w:ascii="Times New Roman" w:hAnsi="Times New Roman" w:cs="Times New Roman"/>
                <w:sz w:val="24"/>
                <w:szCs w:val="24"/>
              </w:rPr>
              <w:t xml:space="preserve"> (zápis zmien registrovaných údajov, zápis zrušenia "zo zákona", výmaz z registra). Napriek určitej voľnosti zápisu údajov do registra pozemkových spoločenstiev túto administráciu vnímame ako nesystémovú byrokratickú záťaž zaťažujúcu okresné úrady na úkor iných jej úloh. Keďže každé pozemkové spoločenstvo je podnikateľom a režim jeho "právneho života" nie je v zásadných charakteristikách odlišný od iných právnických </w:t>
            </w:r>
            <w:r w:rsidRPr="00B24EFE">
              <w:rPr>
                <w:rFonts w:ascii="Times New Roman" w:hAnsi="Times New Roman" w:cs="Times New Roman"/>
                <w:sz w:val="24"/>
                <w:szCs w:val="24"/>
              </w:rPr>
              <w:lastRenderedPageBreak/>
              <w:t xml:space="preserve">osôb - podnikateľov, považujeme za dvojkoľajné, aby tento typ podnikateľa nebol evidovaný v obchodnom registri, ale v samostatnom registri na úseku miestne štátnej správy. Z hľadiska povahy miestnej štátnej správy sa nám rovnako javí ako nezmyselné, aby orgán miestnej štátnej správy viedol register a proces kreovania súkromnoprávnych právnických osôb - podnikateľov. Rovnako dôležitou okolnosťou je, že okresné úrady, pozemkovo-lesné odbory, na rozdiel od registrových súdov zodpovedných za vedenie obchodného registra nedisponujú personálom, ktorý by mal právne vzdelanie, t. j. odbornú spôsobilosť zodpovedajúcu povahe vedenia registra nejakého typu právnických osôb. Tento register je vedený spravidla osobami s lesníckym, ekonomickým, poľnohospodárskym a pod. vzdelaním. Vzhľadom na deklarované ciele pripravovaného návrhu zákona o obchodnom registri a na princípy, ktorými sa má jeho právna úprava riadiť, sa nám zdá, že myšlienka podriadiť aj pozemkové spoločenstvá registrácii v obchodnom registri je s týmito princípmi a cieľmi plne konzistentná. Obchodný register má slúžiť na registrovanie právnických osôb, ktoré sú podnikateľmi. Presne do takto vymedzenej množiny subjektov patria aj pozemkové spoločenstvá. ​Náš podnet sa netýka právneho postavenia pozemkových spoločenstiev, vlastníckych ani užívacích vzťahov k pozemkom či interných pravidiel fungovania týchto subjektov, preto si </w:t>
            </w:r>
            <w:r w:rsidRPr="00B24EFE">
              <w:rPr>
                <w:rFonts w:ascii="Times New Roman" w:hAnsi="Times New Roman" w:cs="Times New Roman"/>
                <w:sz w:val="24"/>
                <w:szCs w:val="24"/>
              </w:rPr>
              <w:lastRenderedPageBreak/>
              <w:t>myslíme, že proces ich registrácie možno riešiť v rámci zákona o obchodnom registri a nie je potrebné ho riešiť až v súvislosti s prípravou rekodifikácie občianskeho práva.</w:t>
            </w:r>
          </w:p>
        </w:tc>
        <w:tc>
          <w:tcPr>
            <w:tcW w:w="2035" w:type="pct"/>
            <w:tcBorders>
              <w:top w:val="outset" w:sz="6" w:space="0" w:color="000000"/>
              <w:left w:val="outset" w:sz="6" w:space="0" w:color="000000"/>
              <w:bottom w:val="outset" w:sz="6" w:space="0" w:color="000000"/>
              <w:right w:val="outset" w:sz="6" w:space="0" w:color="000000"/>
            </w:tcBorders>
          </w:tcPr>
          <w:p w14:paraId="4275C8DA"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lastRenderedPageBreak/>
              <w:t>MS SR ako gestor predmetnej právnej úpravy nemôže súhlasiť s predloženým návrhom na rozšírenie zoznamu zapisovaných subjektov do obchodného registra o pozemkové spoločenstvá.</w:t>
            </w:r>
          </w:p>
          <w:p w14:paraId="3BA7289D"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Skutočnosť, že pozemkové spoločenstvá okrem svojho primárneho a hlavného účelu, ktorým je zabezpečiť efektívne obhospodarovanie a správu spoločnej nehnuteľnosti, môžu vykonávať aj podnikateľskú činnosť, nie je dostatočným vecným zdôvodnením na tak závažný zásah do existujúceho konceptu vedenia obchodného registra. </w:t>
            </w:r>
          </w:p>
          <w:p w14:paraId="16CDEB93"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Vedenie registra pozemkových spoločenstiev okresnými úradmi ponúka podľa nášho názoru ďalší argument proti. Tento koncept vychádza z existujúcej úpravy výkonu dohľadu nad hospodárením so spoločnou nehnuteľnosťou, ktorý zas rešpektuje skutočnosť, že sú to práve okresné úrady, ktoré ako najnižšie jednotky štátnej správy v oblasti pozemkových úprav a ochrany poľnohospodárskej pôdy, boli a sú príslušnými primárnymi (prvostupňovými) orgánmi v procese povoľovania pozemkových úprav (výsledkom, ktorých sú </w:t>
            </w:r>
            <w:r w:rsidRPr="00B24EFE">
              <w:rPr>
                <w:rFonts w:ascii="Times New Roman" w:hAnsi="Times New Roman" w:cs="Times New Roman"/>
                <w:i/>
                <w:sz w:val="24"/>
                <w:szCs w:val="24"/>
              </w:rPr>
              <w:t xml:space="preserve">de </w:t>
            </w:r>
            <w:proofErr w:type="spellStart"/>
            <w:r w:rsidRPr="00B24EFE">
              <w:rPr>
                <w:rFonts w:ascii="Times New Roman" w:hAnsi="Times New Roman" w:cs="Times New Roman"/>
                <w:i/>
                <w:sz w:val="24"/>
                <w:szCs w:val="24"/>
              </w:rPr>
              <w:t>facto</w:t>
            </w:r>
            <w:proofErr w:type="spellEnd"/>
            <w:r w:rsidRPr="00B24EFE">
              <w:rPr>
                <w:rFonts w:ascii="Times New Roman" w:hAnsi="Times New Roman" w:cs="Times New Roman"/>
                <w:sz w:val="24"/>
                <w:szCs w:val="24"/>
              </w:rPr>
              <w:t xml:space="preserve"> existujúce pozemkové spoločenstvá). Naviac </w:t>
            </w:r>
            <w:r w:rsidRPr="00B24EFE">
              <w:rPr>
                <w:rFonts w:ascii="Times New Roman" w:hAnsi="Times New Roman" w:cs="Times New Roman"/>
                <w:sz w:val="24"/>
                <w:szCs w:val="24"/>
              </w:rPr>
              <w:lastRenderedPageBreak/>
              <w:t>pozemkové spoločenstvá práve vzhľadom na ich definíciu a ďalšie ich podstatné charakterové prvky (členom spoločenstva môže byť len osoba vlastníka podielu na spoločnej nehnuteľnosti – tzn. musí ísť o osobu s konkrétnym vzťahom k veci, ktorá tvorí predmet spoločnej správy), nie je možné považovať za združenie právnických a fyzických osôb (ako sú z pohľadu všeobecnej právnej úpravy Občianskeho zákonníka definované obchodné spoločnosti a družstvá práve vzhľadom na neexistujúcu konkrétnu väzbu všetkých zakladateľov, či už na predmet vkladu alebo predmet  činnosti, ktorý bude budúca spoločnosť – právnická osoba vykonávať), ale skôr je možné ich považovať za „účelové združenia majetku“ alebo ide o kategóriu „iného subjektu, o ktorom to ustanovuje osobitný zákon“.</w:t>
            </w:r>
          </w:p>
          <w:p w14:paraId="74D32663" w14:textId="77777777" w:rsidR="001C7331" w:rsidRPr="00B24EFE" w:rsidRDefault="001C7331" w:rsidP="00377568">
            <w:pPr>
              <w:spacing w:after="0" w:line="240" w:lineRule="auto"/>
              <w:ind w:right="284"/>
              <w:jc w:val="both"/>
              <w:rPr>
                <w:rFonts w:ascii="Times New Roman" w:hAnsi="Times New Roman" w:cs="Times New Roman"/>
                <w:sz w:val="24"/>
                <w:szCs w:val="24"/>
              </w:rPr>
            </w:pPr>
          </w:p>
          <w:p w14:paraId="6374A8D0" w14:textId="77777777" w:rsidR="001C7331" w:rsidRPr="00B24EFE" w:rsidRDefault="001C7331" w:rsidP="00377568">
            <w:pPr>
              <w:spacing w:after="0" w:line="240" w:lineRule="auto"/>
              <w:ind w:left="284" w:right="284"/>
              <w:jc w:val="both"/>
              <w:rPr>
                <w:rFonts w:ascii="Times New Roman" w:hAnsi="Times New Roman" w:cs="Times New Roman"/>
                <w:sz w:val="24"/>
                <w:szCs w:val="24"/>
              </w:rPr>
            </w:pPr>
            <w:r w:rsidRPr="00B24EFE">
              <w:rPr>
                <w:rFonts w:ascii="Times New Roman" w:hAnsi="Times New Roman" w:cs="Times New Roman"/>
                <w:sz w:val="24"/>
                <w:szCs w:val="24"/>
              </w:rPr>
              <w:t xml:space="preserve">Deklarované ciele pripravovaného návrhu zákona je potrebné vnímať vo svetle vyššie uvedených skutočností. Registrácia v obchodnom registri automaticky zakladá status podnikateľa z pohľadu aplikácie ustanovení Obchodného zákonníka a súvisiacich predpisov (§ 2 ods. 2 písm. a)), pričom pozemkové spoločenstvo v zmysle zákona č. 97/2013 Z. z. podnikateľom môže, no nemusí byť. Ak by bolo úmyslom zákonodarcu dosiahnuť registráciu </w:t>
            </w:r>
            <w:r w:rsidRPr="00B24EFE">
              <w:rPr>
                <w:rFonts w:ascii="Times New Roman" w:hAnsi="Times New Roman" w:cs="Times New Roman"/>
                <w:sz w:val="24"/>
                <w:szCs w:val="24"/>
              </w:rPr>
              <w:lastRenderedPageBreak/>
              <w:t xml:space="preserve">pozemkových spoločenstiev v obchodnom registri mal v čase tvorby príslušnej právnej úpravy definovať takú požiadavku na „zriadenie“ týchto subjektov práv a povinností výslovne v niektorej z právnych foriem obchodných spoločností alebo družstva, čo samozrejme vtedy aj teraz nevyhnutne predpokladá transformáciu týchto subjektov tak, aby spĺňali všetky zákonné podmienky (mnohé vyplývajúcej z európskej legislatívy). To, že sa tak nestalo v roku 2013 je pre MS SR tiež dokladom toho, že zákonodarca odlišne vnímal a chápal podstatu a charakter týchto subjektov, ktorý nie je totožný s tými, ktoré sú a majú byť registrované v obchodnom registri. Skutočnosť, že sa v obchodnom registri registrujú aj iné právnické osoby, o ktorých to ustanovuje osobitný zákon rovnako nie je argumentom, ktorý by podporoval koncept predloženého návrhu, nakoľko v danom prípade nejde o genericky registrované subjekty, ale o individuálne jednotlivo sa vyskytujúce prípady, pri ktorých z historických dôvodov (pretože v danom čase neexistoval iný všeobecný register právnických osôb tak ako dnešný Register právnických osôb) a dôvodu požiadavky na zabezpečení  transparentnosti a publicity došlo k ustanoveniu povinnosti ich registrácie </w:t>
            </w:r>
            <w:r w:rsidRPr="00B24EFE">
              <w:rPr>
                <w:rFonts w:ascii="Times New Roman" w:hAnsi="Times New Roman" w:cs="Times New Roman"/>
                <w:sz w:val="24"/>
                <w:szCs w:val="24"/>
              </w:rPr>
              <w:lastRenderedPageBreak/>
              <w:t>v obchodnom registri. V tejto súvislosti má MS SR ako gestor predmetnej právnej úpravy do budúcnosti ambíciu a snahu registráciu takýchto subjektov definitívnym spôsobom presmerovať na Register právnických osôb.</w:t>
            </w:r>
          </w:p>
        </w:tc>
      </w:tr>
    </w:tbl>
    <w:p w14:paraId="11C2B6BB" w14:textId="77777777" w:rsidR="001C7331" w:rsidRPr="00B24EFE" w:rsidRDefault="001C7331" w:rsidP="001C7331">
      <w:pPr>
        <w:spacing w:after="0" w:line="240" w:lineRule="auto"/>
        <w:rPr>
          <w:rFonts w:ascii="Times New Roman" w:hAnsi="Times New Roman" w:cs="Times New Roman"/>
          <w:sz w:val="24"/>
          <w:szCs w:val="24"/>
        </w:rPr>
      </w:pPr>
    </w:p>
    <w:p w14:paraId="609C066C" w14:textId="77777777" w:rsidR="00054C41" w:rsidRPr="00B24EFE" w:rsidRDefault="00054C41" w:rsidP="00054C41">
      <w:pPr>
        <w:jc w:val="both"/>
        <w:rPr>
          <w:rFonts w:ascii="Times New Roman" w:eastAsia="Calibri" w:hAnsi="Times New Roman" w:cs="Times New Roman"/>
          <w:b/>
          <w:sz w:val="24"/>
          <w:szCs w:val="24"/>
        </w:rPr>
      </w:pPr>
      <w:bookmarkStart w:id="1" w:name="_Hlk47698091"/>
      <w:r w:rsidRPr="00B24EFE">
        <w:rPr>
          <w:rFonts w:ascii="Times New Roman" w:eastAsia="Calibri" w:hAnsi="Times New Roman" w:cs="Times New Roman"/>
          <w:b/>
          <w:sz w:val="24"/>
          <w:szCs w:val="24"/>
        </w:rPr>
        <w:t>3.3 Vplyvy na konkurencieschopnosť a produktivitu</w:t>
      </w:r>
    </w:p>
    <w:bookmarkEnd w:id="1"/>
    <w:p w14:paraId="5CAF52B4" w14:textId="77777777" w:rsidR="00054C41" w:rsidRPr="009A0103" w:rsidRDefault="00054C41" w:rsidP="00054C41">
      <w:pPr>
        <w:spacing w:after="0"/>
        <w:jc w:val="both"/>
        <w:rPr>
          <w:rFonts w:ascii="Times New Roman" w:eastAsia="Calibri" w:hAnsi="Times New Roman" w:cs="Times New Roman"/>
          <w:i/>
          <w:sz w:val="24"/>
          <w:szCs w:val="24"/>
        </w:rPr>
      </w:pPr>
      <w:r w:rsidRPr="009A0103">
        <w:rPr>
          <w:rFonts w:ascii="Times New Roman" w:eastAsia="Calibri" w:hAnsi="Times New Roman" w:cs="Times New Roman"/>
          <w:i/>
          <w:sz w:val="24"/>
          <w:szCs w:val="24"/>
        </w:rPr>
        <w:t xml:space="preserve">Dochádza k vytvoreniu resp. k zmene bariér na trhu? </w:t>
      </w:r>
    </w:p>
    <w:p w14:paraId="4D049DE7" w14:textId="77777777" w:rsidR="00054C41" w:rsidRPr="009A0103" w:rsidRDefault="00054C41" w:rsidP="00054C41">
      <w:pPr>
        <w:spacing w:after="0"/>
        <w:jc w:val="both"/>
        <w:rPr>
          <w:rFonts w:ascii="Times New Roman" w:eastAsia="Calibri" w:hAnsi="Times New Roman" w:cs="Times New Roman"/>
          <w:i/>
          <w:sz w:val="24"/>
          <w:szCs w:val="24"/>
        </w:rPr>
      </w:pPr>
      <w:r w:rsidRPr="009A0103">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9A0103">
        <w:rPr>
          <w:rFonts w:ascii="Times New Roman" w:eastAsia="Calibri" w:hAnsi="Times New Roman" w:cs="Times New Roman"/>
          <w:i/>
          <w:sz w:val="24"/>
          <w:szCs w:val="24"/>
        </w:rPr>
        <w:t>mikro</w:t>
      </w:r>
      <w:proofErr w:type="spellEnd"/>
      <w:r w:rsidRPr="009A0103">
        <w:rPr>
          <w:rFonts w:ascii="Times New Roman" w:eastAsia="Calibri" w:hAnsi="Times New Roman" w:cs="Times New Roman"/>
          <w:i/>
          <w:sz w:val="24"/>
          <w:szCs w:val="24"/>
        </w:rPr>
        <w:t xml:space="preserve">, malé a stredné podniky tzv. MSP)? </w:t>
      </w:r>
    </w:p>
    <w:p w14:paraId="452A90F1" w14:textId="77777777" w:rsidR="00054C41" w:rsidRPr="009A0103" w:rsidRDefault="00054C41" w:rsidP="00054C41">
      <w:pPr>
        <w:spacing w:after="0"/>
        <w:jc w:val="both"/>
        <w:rPr>
          <w:rFonts w:ascii="Times New Roman" w:eastAsia="Calibri" w:hAnsi="Times New Roman" w:cs="Times New Roman"/>
          <w:i/>
          <w:sz w:val="24"/>
          <w:szCs w:val="24"/>
        </w:rPr>
      </w:pPr>
      <w:r w:rsidRPr="009A0103">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14:paraId="0D074838" w14:textId="77777777" w:rsidR="00054C41" w:rsidRPr="009A0103" w:rsidRDefault="00054C41" w:rsidP="00054C41">
      <w:pPr>
        <w:spacing w:after="0"/>
        <w:jc w:val="both"/>
        <w:rPr>
          <w:rFonts w:ascii="Times New Roman" w:eastAsia="Calibri" w:hAnsi="Times New Roman" w:cs="Times New Roman"/>
          <w:i/>
          <w:sz w:val="24"/>
          <w:szCs w:val="24"/>
        </w:rPr>
      </w:pPr>
      <w:r w:rsidRPr="009A0103">
        <w:rPr>
          <w:rFonts w:ascii="Times New Roman" w:eastAsia="Calibri" w:hAnsi="Times New Roman" w:cs="Times New Roman"/>
          <w:i/>
          <w:sz w:val="24"/>
          <w:szCs w:val="24"/>
        </w:rPr>
        <w:t xml:space="preserve">Ovplyvní dostupnosť základných zdrojov (financie, pracovná sila, suroviny, mechanizmy, energie atď.)? </w:t>
      </w:r>
    </w:p>
    <w:p w14:paraId="6B6A3793" w14:textId="77777777" w:rsidR="007259CB" w:rsidRPr="009A0103" w:rsidRDefault="007259CB" w:rsidP="00054C41">
      <w:pPr>
        <w:spacing w:after="0"/>
        <w:jc w:val="both"/>
        <w:rPr>
          <w:rFonts w:ascii="Times New Roman" w:eastAsia="Calibri" w:hAnsi="Times New Roman" w:cs="Times New Roman"/>
          <w:i/>
          <w:sz w:val="24"/>
          <w:szCs w:val="24"/>
        </w:rPr>
      </w:pPr>
      <w:r w:rsidRPr="009A0103">
        <w:rPr>
          <w:rFonts w:ascii="Times New Roman" w:eastAsia="Calibri" w:hAnsi="Times New Roman" w:cs="Times New Roman"/>
          <w:i/>
          <w:sz w:val="24"/>
          <w:szCs w:val="24"/>
        </w:rPr>
        <w:t>Ovplyvňuje zmena regulácie inovácie, vedu a výskum?</w:t>
      </w:r>
    </w:p>
    <w:p w14:paraId="64E2FB2F" w14:textId="77777777" w:rsidR="00BA19B0" w:rsidRPr="009A0103" w:rsidRDefault="00BA19B0" w:rsidP="00054C41">
      <w:pPr>
        <w:spacing w:after="0"/>
        <w:jc w:val="both"/>
        <w:rPr>
          <w:rFonts w:ascii="Times New Roman" w:eastAsia="Calibri" w:hAnsi="Times New Roman" w:cs="Times New Roman"/>
          <w:i/>
          <w:sz w:val="24"/>
          <w:szCs w:val="24"/>
        </w:rPr>
      </w:pPr>
      <w:r w:rsidRPr="009A0103">
        <w:rPr>
          <w:rFonts w:ascii="Times New Roman" w:eastAsia="Calibri" w:hAnsi="Times New Roman" w:cs="Times New Roman"/>
          <w:i/>
          <w:sz w:val="24"/>
          <w:szCs w:val="24"/>
        </w:rPr>
        <w:t xml:space="preserve">Ak bol identifikovaný </w:t>
      </w:r>
      <w:proofErr w:type="spellStart"/>
      <w:r w:rsidRPr="009A0103">
        <w:rPr>
          <w:rFonts w:ascii="Times New Roman" w:eastAsia="Calibri" w:hAnsi="Times New Roman" w:cs="Times New Roman"/>
          <w:i/>
          <w:sz w:val="24"/>
          <w:szCs w:val="24"/>
        </w:rPr>
        <w:t>goldplating</w:t>
      </w:r>
      <w:proofErr w:type="spellEnd"/>
      <w:r w:rsidR="00581EB9" w:rsidRPr="009A0103">
        <w:rPr>
          <w:rFonts w:ascii="Times New Roman" w:eastAsia="Calibri" w:hAnsi="Times New Roman" w:cs="Times New Roman"/>
          <w:i/>
          <w:sz w:val="24"/>
          <w:szCs w:val="24"/>
        </w:rPr>
        <w:t>,</w:t>
      </w:r>
      <w:r w:rsidR="00C14655" w:rsidRPr="009A0103">
        <w:rPr>
          <w:rFonts w:ascii="Times New Roman" w:eastAsia="Calibri" w:hAnsi="Times New Roman" w:cs="Times New Roman"/>
          <w:i/>
          <w:sz w:val="24"/>
          <w:szCs w:val="24"/>
        </w:rPr>
        <w:t xml:space="preserve"> prispieva k zníženiu konkurencieschopnosti a produktivity?</w:t>
      </w:r>
      <w:r w:rsidR="00581EB9" w:rsidRPr="009A0103">
        <w:rPr>
          <w:rFonts w:ascii="Times New Roman" w:eastAsia="Calibri" w:hAnsi="Times New Roman" w:cs="Times New Roman"/>
          <w:i/>
          <w:sz w:val="24"/>
          <w:szCs w:val="24"/>
        </w:rPr>
        <w:t xml:space="preserve"> Akým spôsobom?</w:t>
      </w:r>
    </w:p>
    <w:p w14:paraId="72CB32C8" w14:textId="77777777" w:rsidR="00054C41" w:rsidRPr="009A0103" w:rsidRDefault="00054C41" w:rsidP="00054C41">
      <w:pPr>
        <w:spacing w:after="0"/>
        <w:jc w:val="both"/>
        <w:rPr>
          <w:rFonts w:ascii="Times New Roman" w:eastAsia="Calibri" w:hAnsi="Times New Roman" w:cs="Times New Roman"/>
          <w:i/>
          <w:sz w:val="24"/>
          <w:szCs w:val="24"/>
        </w:rPr>
      </w:pPr>
      <w:r w:rsidRPr="009A0103">
        <w:rPr>
          <w:rFonts w:ascii="Times New Roman" w:eastAsia="Calibri" w:hAnsi="Times New Roman" w:cs="Times New Roman"/>
          <w:i/>
          <w:iCs/>
          <w:sz w:val="24"/>
          <w:szCs w:val="24"/>
        </w:rPr>
        <w:t>Ako prispieva zmena regulácie k cieľu Slovenska mať najlepšie podnikateľské prostredie spomedzi susediacich krajín EÚ?</w:t>
      </w:r>
    </w:p>
    <w:p w14:paraId="78681465" w14:textId="77777777" w:rsidR="00054C41" w:rsidRPr="009A0103" w:rsidRDefault="00054C41" w:rsidP="00054C41">
      <w:pPr>
        <w:spacing w:after="0"/>
        <w:jc w:val="both"/>
        <w:rPr>
          <w:rFonts w:ascii="Times New Roman" w:eastAsia="Calibri" w:hAnsi="Times New Roman" w:cs="Times New Roman"/>
          <w:i/>
          <w:sz w:val="24"/>
          <w:szCs w:val="24"/>
        </w:rPr>
      </w:pPr>
    </w:p>
    <w:p w14:paraId="4BE35CB4" w14:textId="77777777" w:rsidR="00054C41" w:rsidRPr="009A0103" w:rsidRDefault="00054C41" w:rsidP="00054C41">
      <w:pPr>
        <w:spacing w:after="0"/>
        <w:jc w:val="both"/>
        <w:rPr>
          <w:rFonts w:ascii="Times New Roman" w:eastAsia="Calibri" w:hAnsi="Times New Roman" w:cs="Times New Roman"/>
          <w:b/>
          <w:i/>
          <w:sz w:val="24"/>
          <w:szCs w:val="24"/>
        </w:rPr>
      </w:pPr>
      <w:r w:rsidRPr="009A0103">
        <w:rPr>
          <w:rFonts w:ascii="Times New Roman" w:eastAsia="Calibri" w:hAnsi="Times New Roman" w:cs="Times New Roman"/>
          <w:b/>
          <w:i/>
          <w:sz w:val="24"/>
          <w:szCs w:val="24"/>
        </w:rPr>
        <w:t>Konkurencieschopnosť:</w:t>
      </w:r>
    </w:p>
    <w:p w14:paraId="6C684286" w14:textId="77777777" w:rsidR="00054C41" w:rsidRPr="009A0103" w:rsidRDefault="00054C41" w:rsidP="00054C41">
      <w:pPr>
        <w:spacing w:after="0"/>
        <w:jc w:val="both"/>
        <w:rPr>
          <w:rFonts w:ascii="Times New Roman" w:eastAsia="Calibri" w:hAnsi="Times New Roman" w:cs="Times New Roman"/>
          <w:i/>
          <w:sz w:val="24"/>
          <w:szCs w:val="24"/>
        </w:rPr>
      </w:pPr>
      <w:r w:rsidRPr="009A0103">
        <w:rPr>
          <w:rFonts w:ascii="Times New Roman" w:eastAsia="Calibri" w:hAnsi="Times New Roman" w:cs="Times New Roman"/>
          <w:i/>
          <w:sz w:val="24"/>
          <w:szCs w:val="24"/>
        </w:rPr>
        <w:t>Na základe uvedených odpovedí zaškrtnite a popíšte, či materiál konkurencieschopnosť:</w:t>
      </w:r>
    </w:p>
    <w:p w14:paraId="76CD0669" w14:textId="1497EC58" w:rsidR="00054C41" w:rsidRPr="009A0103" w:rsidRDefault="00903EB1"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sdt>
                <w:sdtPr>
                  <w:rPr>
                    <w:rFonts w:ascii="Times New Roman" w:eastAsia="Calibri" w:hAnsi="Times New Roman" w:cs="Times New Roman"/>
                    <w:i/>
                    <w:sz w:val="24"/>
                    <w:szCs w:val="24"/>
                  </w:rPr>
                  <w:id w:val="-1095632131"/>
                </w:sdtPr>
                <w:sdtEndPr/>
                <w:sdtContent>
                  <w:sdt>
                    <w:sdtPr>
                      <w:rPr>
                        <w:rFonts w:ascii="Times New Roman" w:eastAsia="Calibri" w:hAnsi="Times New Roman" w:cs="Times New Roman"/>
                        <w:i/>
                        <w:sz w:val="24"/>
                        <w:szCs w:val="24"/>
                      </w:rPr>
                      <w:id w:val="-1912987594"/>
                    </w:sdtPr>
                    <w:sdtEndPr/>
                    <w:sdtContent>
                      <w:sdt>
                        <w:sdtPr>
                          <w:rPr>
                            <w:rFonts w:ascii="Times New Roman" w:eastAsia="Calibri" w:hAnsi="Times New Roman" w:cs="Times New Roman"/>
                            <w:i/>
                            <w:sz w:val="24"/>
                            <w:szCs w:val="24"/>
                          </w:rPr>
                          <w:id w:val="-1317332080"/>
                        </w:sdtPr>
                        <w:sdtEndPr/>
                        <w:sdtContent>
                          <w:sdt>
                            <w:sdtPr>
                              <w:rPr>
                                <w:rFonts w:ascii="Times New Roman" w:eastAsia="Calibri" w:hAnsi="Times New Roman" w:cs="Times New Roman"/>
                                <w:i/>
                                <w:sz w:val="24"/>
                                <w:szCs w:val="24"/>
                              </w:rPr>
                              <w:id w:val="1189490278"/>
                            </w:sdtPr>
                            <w:sdtEndPr/>
                            <w:sdtContent>
                              <w:sdt>
                                <w:sdtPr>
                                  <w:rPr>
                                    <w:rFonts w:ascii="Times New Roman" w:eastAsia="Calibri" w:hAnsi="Times New Roman" w:cs="Times New Roman"/>
                                    <w:i/>
                                    <w:sz w:val="24"/>
                                    <w:szCs w:val="24"/>
                                  </w:rPr>
                                  <w:id w:val="1026834082"/>
                                </w:sdtPr>
                                <w:sdtEndPr/>
                                <w:sdtContent>
                                  <w:r w:rsidR="00D3068D" w:rsidRPr="009A0103">
                                    <w:rPr>
                                      <w:rFonts w:ascii="Segoe UI Symbol" w:eastAsia="Calibri" w:hAnsi="Segoe UI Symbol" w:cs="Segoe UI Symbol"/>
                                      <w:i/>
                                      <w:sz w:val="24"/>
                                      <w:szCs w:val="24"/>
                                    </w:rPr>
                                    <w:t>☐</w:t>
                                  </w:r>
                                </w:sdtContent>
                              </w:sdt>
                            </w:sdtContent>
                          </w:sdt>
                        </w:sdtContent>
                      </w:sdt>
                    </w:sdtContent>
                  </w:sdt>
                </w:sdtContent>
              </w:sdt>
            </w:sdtContent>
          </w:sdt>
        </w:sdtContent>
      </w:sdt>
      <w:r w:rsidR="00054C41" w:rsidRPr="009A0103">
        <w:rPr>
          <w:rFonts w:ascii="Times New Roman" w:eastAsia="Calibri" w:hAnsi="Times New Roman" w:cs="Times New Roman"/>
          <w:i/>
          <w:sz w:val="24"/>
          <w:szCs w:val="24"/>
        </w:rPr>
        <w:t xml:space="preserve"> zvyšuje  </w:t>
      </w:r>
      <w:r w:rsidR="00054C41" w:rsidRPr="009A0103">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10579887"/>
        </w:sdtPr>
        <w:sdtEndPr/>
        <w:sdtContent>
          <w:sdt>
            <w:sdtPr>
              <w:rPr>
                <w:rFonts w:ascii="Times New Roman" w:eastAsia="Calibri" w:hAnsi="Times New Roman" w:cs="Times New Roman"/>
                <w:i/>
                <w:sz w:val="24"/>
                <w:szCs w:val="24"/>
              </w:rPr>
              <w:id w:val="-80300261"/>
            </w:sdtPr>
            <w:sdtEndPr/>
            <w:sdtContent>
              <w:sdt>
                <w:sdtPr>
                  <w:rPr>
                    <w:rFonts w:ascii="Times New Roman" w:eastAsia="Calibri" w:hAnsi="Times New Roman" w:cs="Times New Roman"/>
                    <w:i/>
                    <w:sz w:val="24"/>
                    <w:szCs w:val="24"/>
                  </w:rPr>
                  <w:id w:val="1219550796"/>
                </w:sdtPr>
                <w:sdtEndPr/>
                <w:sdtContent>
                  <w:r w:rsidR="00005281" w:rsidRPr="009A0103">
                    <w:rPr>
                      <w:rFonts w:ascii="Segoe UI Symbol" w:eastAsia="Calibri" w:hAnsi="Segoe UI Symbol" w:cs="Segoe UI Symbol"/>
                      <w:i/>
                      <w:sz w:val="24"/>
                      <w:szCs w:val="24"/>
                    </w:rPr>
                    <w:t>☐</w:t>
                  </w:r>
                </w:sdtContent>
              </w:sdt>
            </w:sdtContent>
          </w:sdt>
        </w:sdtContent>
      </w:sdt>
      <w:r w:rsidR="00054C41" w:rsidRPr="009A0103">
        <w:rPr>
          <w:rFonts w:ascii="Times New Roman" w:eastAsia="Calibri" w:hAnsi="Times New Roman" w:cs="Times New Roman"/>
          <w:i/>
          <w:sz w:val="24"/>
          <w:szCs w:val="24"/>
        </w:rPr>
        <w:t xml:space="preserve"> nemení</w:t>
      </w:r>
      <w:r w:rsidR="00054C41" w:rsidRPr="009A0103">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sdt>
                <w:sdtPr>
                  <w:rPr>
                    <w:rFonts w:ascii="Times New Roman" w:eastAsia="Calibri" w:hAnsi="Times New Roman" w:cs="Times New Roman"/>
                    <w:i/>
                    <w:sz w:val="24"/>
                    <w:szCs w:val="24"/>
                  </w:rPr>
                  <w:id w:val="-1009364566"/>
                </w:sdtPr>
                <w:sdtEndPr/>
                <w:sdtContent>
                  <w:r w:rsidR="00D3068D" w:rsidRPr="009A0103">
                    <w:rPr>
                      <w:rFonts w:ascii="Cambria Math" w:eastAsia="Calibri" w:hAnsi="Cambria Math" w:cs="Cambria Math"/>
                      <w:i/>
                      <w:sz w:val="24"/>
                      <w:szCs w:val="24"/>
                    </w:rPr>
                    <w:t>⌧</w:t>
                  </w:r>
                </w:sdtContent>
              </w:sdt>
            </w:sdtContent>
          </w:sdt>
        </w:sdtContent>
      </w:sdt>
      <w:r w:rsidR="00054C41" w:rsidRPr="009A0103">
        <w:rPr>
          <w:rFonts w:ascii="Times New Roman" w:eastAsia="Calibri" w:hAnsi="Times New Roman" w:cs="Times New Roman"/>
          <w:i/>
          <w:sz w:val="24"/>
          <w:szCs w:val="24"/>
        </w:rPr>
        <w:t xml:space="preserve"> znižuje</w:t>
      </w:r>
    </w:p>
    <w:p w14:paraId="06F06D4F" w14:textId="17931B3E" w:rsidR="00FA0EC5" w:rsidRPr="009A0103" w:rsidRDefault="00FA0EC5" w:rsidP="00054C41">
      <w:pPr>
        <w:spacing w:after="0"/>
        <w:jc w:val="both"/>
        <w:rPr>
          <w:rFonts w:ascii="Times New Roman" w:eastAsia="Calibri" w:hAnsi="Times New Roman" w:cs="Times New Roman"/>
          <w:i/>
          <w:sz w:val="24"/>
          <w:szCs w:val="24"/>
        </w:rPr>
      </w:pPr>
    </w:p>
    <w:p w14:paraId="47389E2D" w14:textId="77777777" w:rsidR="009A0103" w:rsidRPr="009A0103" w:rsidRDefault="00497B4D" w:rsidP="00054C41">
      <w:pPr>
        <w:spacing w:after="0"/>
        <w:jc w:val="both"/>
        <w:rPr>
          <w:rFonts w:ascii="Times New Roman" w:eastAsia="Calibri" w:hAnsi="Times New Roman" w:cs="Times New Roman"/>
          <w:sz w:val="24"/>
          <w:szCs w:val="24"/>
        </w:rPr>
      </w:pPr>
      <w:r w:rsidRPr="009A0103">
        <w:rPr>
          <w:rFonts w:ascii="Times New Roman" w:eastAsia="Calibri" w:hAnsi="Times New Roman" w:cs="Times New Roman"/>
          <w:sz w:val="24"/>
          <w:szCs w:val="24"/>
        </w:rPr>
        <w:t xml:space="preserve">Materiál nepredpokladá rôzne zaobchádzanie s podnikmi podľa ich veľkosti. </w:t>
      </w:r>
    </w:p>
    <w:p w14:paraId="695A435D" w14:textId="37D7F94C" w:rsidR="009A0103" w:rsidRPr="009A0103" w:rsidRDefault="009A0103" w:rsidP="00054C41">
      <w:pPr>
        <w:spacing w:after="0"/>
        <w:jc w:val="both"/>
        <w:rPr>
          <w:rFonts w:ascii="Times New Roman" w:eastAsia="Calibri" w:hAnsi="Times New Roman" w:cs="Times New Roman"/>
          <w:sz w:val="24"/>
          <w:szCs w:val="24"/>
        </w:rPr>
      </w:pPr>
      <w:r w:rsidRPr="009A0103">
        <w:rPr>
          <w:rFonts w:ascii="Times New Roman" w:eastAsia="Calibri" w:hAnsi="Times New Roman" w:cs="Times New Roman"/>
          <w:sz w:val="24"/>
          <w:szCs w:val="24"/>
        </w:rPr>
        <w:t xml:space="preserve">Zmena </w:t>
      </w:r>
      <w:proofErr w:type="spellStart"/>
      <w:r w:rsidRPr="009A0103">
        <w:rPr>
          <w:rFonts w:ascii="Times New Roman" w:eastAsia="Calibri" w:hAnsi="Times New Roman" w:cs="Times New Roman"/>
          <w:sz w:val="24"/>
          <w:szCs w:val="24"/>
        </w:rPr>
        <w:t>neovplyňuje</w:t>
      </w:r>
      <w:proofErr w:type="spellEnd"/>
      <w:r w:rsidRPr="009A0103">
        <w:rPr>
          <w:rFonts w:ascii="Times New Roman" w:eastAsia="Calibri" w:hAnsi="Times New Roman" w:cs="Times New Roman"/>
          <w:sz w:val="24"/>
          <w:szCs w:val="24"/>
        </w:rPr>
        <w:t xml:space="preserve"> cezhraničné investície, hoci existuje možnosť, že sprísnenie podmienok pre zápis spoločnosti odradí niektoré podniky od vstupu na slovenský trh. </w:t>
      </w:r>
    </w:p>
    <w:p w14:paraId="7383B60B" w14:textId="00C53226" w:rsidR="009A0103" w:rsidRPr="009A0103" w:rsidRDefault="009A0103" w:rsidP="00054C41">
      <w:pPr>
        <w:spacing w:after="0"/>
        <w:jc w:val="both"/>
        <w:rPr>
          <w:rFonts w:ascii="Times New Roman" w:eastAsia="Calibri" w:hAnsi="Times New Roman" w:cs="Times New Roman"/>
          <w:sz w:val="24"/>
          <w:szCs w:val="24"/>
        </w:rPr>
      </w:pPr>
      <w:r w:rsidRPr="009A0103">
        <w:rPr>
          <w:rFonts w:ascii="Times New Roman" w:eastAsia="Calibri" w:hAnsi="Times New Roman" w:cs="Times New Roman"/>
          <w:sz w:val="24"/>
          <w:szCs w:val="24"/>
        </w:rPr>
        <w:t xml:space="preserve">Návrh neovplyvňuje dostupnosť základných zdrojov, inovácie, vedu ani výskum. </w:t>
      </w:r>
    </w:p>
    <w:p w14:paraId="282189F6" w14:textId="6E78ABC0" w:rsidR="009A0103" w:rsidRPr="009A0103" w:rsidRDefault="009A0103" w:rsidP="00054C41">
      <w:pPr>
        <w:spacing w:after="0"/>
        <w:jc w:val="both"/>
        <w:rPr>
          <w:rFonts w:ascii="Times New Roman" w:eastAsia="Calibri" w:hAnsi="Times New Roman" w:cs="Times New Roman"/>
          <w:sz w:val="24"/>
          <w:szCs w:val="24"/>
        </w:rPr>
      </w:pPr>
      <w:r w:rsidRPr="009A0103">
        <w:rPr>
          <w:rFonts w:ascii="Times New Roman" w:eastAsia="Calibri" w:hAnsi="Times New Roman" w:cs="Times New Roman"/>
          <w:sz w:val="24"/>
          <w:szCs w:val="24"/>
        </w:rPr>
        <w:t xml:space="preserve">Zmena regulácie neprispieva k cieľu mať najlepšie podnikateľské prostredie spomedzi krajín EÚ. </w:t>
      </w:r>
    </w:p>
    <w:p w14:paraId="327BF48A" w14:textId="5FBD9B99" w:rsidR="00054C41" w:rsidRPr="009A0103" w:rsidRDefault="00054C41" w:rsidP="00054C41">
      <w:pPr>
        <w:spacing w:after="0"/>
        <w:jc w:val="both"/>
        <w:rPr>
          <w:rFonts w:ascii="Times New Roman" w:eastAsia="Calibri" w:hAnsi="Times New Roman" w:cs="Times New Roman"/>
          <w:i/>
          <w:sz w:val="24"/>
          <w:szCs w:val="24"/>
        </w:rPr>
      </w:pPr>
    </w:p>
    <w:p w14:paraId="5861187D" w14:textId="77777777" w:rsidR="00054C41" w:rsidRPr="009A0103" w:rsidRDefault="00054C41" w:rsidP="00054C41">
      <w:pPr>
        <w:spacing w:after="0"/>
        <w:jc w:val="both"/>
        <w:rPr>
          <w:rFonts w:ascii="Times New Roman" w:eastAsia="Calibri" w:hAnsi="Times New Roman" w:cs="Times New Roman"/>
          <w:b/>
          <w:i/>
          <w:sz w:val="24"/>
          <w:szCs w:val="24"/>
        </w:rPr>
      </w:pPr>
      <w:r w:rsidRPr="009A0103">
        <w:rPr>
          <w:rFonts w:ascii="Times New Roman" w:eastAsia="Calibri" w:hAnsi="Times New Roman" w:cs="Times New Roman"/>
          <w:b/>
          <w:i/>
          <w:sz w:val="24"/>
          <w:szCs w:val="24"/>
        </w:rPr>
        <w:t>Produktivita:</w:t>
      </w:r>
    </w:p>
    <w:p w14:paraId="1FF562C2" w14:textId="77777777" w:rsidR="00054C41" w:rsidRPr="009A0103" w:rsidRDefault="00054C41" w:rsidP="00054C41">
      <w:pPr>
        <w:spacing w:after="0"/>
        <w:jc w:val="both"/>
        <w:rPr>
          <w:rFonts w:ascii="Times New Roman" w:eastAsia="Calibri" w:hAnsi="Times New Roman" w:cs="Times New Roman"/>
          <w:i/>
          <w:sz w:val="24"/>
          <w:szCs w:val="24"/>
        </w:rPr>
      </w:pPr>
      <w:r w:rsidRPr="009A0103">
        <w:rPr>
          <w:rFonts w:ascii="Times New Roman" w:eastAsia="Calibri" w:hAnsi="Times New Roman" w:cs="Times New Roman"/>
          <w:i/>
          <w:sz w:val="24"/>
          <w:szCs w:val="24"/>
        </w:rPr>
        <w:t xml:space="preserve">Aký má materiál vplyv na zmenu pomeru medzi produkciou podnikov a ich nákladmi? </w:t>
      </w:r>
    </w:p>
    <w:p w14:paraId="23DA5CCF" w14:textId="77777777" w:rsidR="00054C41" w:rsidRPr="009A0103" w:rsidRDefault="00054C41" w:rsidP="00054C41">
      <w:pPr>
        <w:spacing w:after="0"/>
        <w:jc w:val="both"/>
        <w:rPr>
          <w:rFonts w:ascii="Times New Roman" w:eastAsia="Calibri" w:hAnsi="Times New Roman" w:cs="Times New Roman"/>
          <w:i/>
          <w:sz w:val="24"/>
          <w:szCs w:val="24"/>
        </w:rPr>
      </w:pPr>
    </w:p>
    <w:p w14:paraId="0B272ABF" w14:textId="77777777" w:rsidR="00054C41" w:rsidRPr="009A0103" w:rsidRDefault="00054C41" w:rsidP="00054C41">
      <w:pPr>
        <w:spacing w:after="0"/>
        <w:jc w:val="both"/>
        <w:rPr>
          <w:rFonts w:ascii="Times New Roman" w:eastAsia="Calibri" w:hAnsi="Times New Roman" w:cs="Times New Roman"/>
          <w:i/>
          <w:sz w:val="24"/>
          <w:szCs w:val="24"/>
        </w:rPr>
      </w:pPr>
      <w:r w:rsidRPr="009A0103">
        <w:rPr>
          <w:rFonts w:ascii="Times New Roman" w:eastAsia="Calibri" w:hAnsi="Times New Roman" w:cs="Times New Roman"/>
          <w:i/>
          <w:sz w:val="24"/>
          <w:szCs w:val="24"/>
        </w:rPr>
        <w:t>Na základe uvedenej odpovede zaškrtnite a popíšte, či materiál produktivitu:</w:t>
      </w:r>
    </w:p>
    <w:p w14:paraId="789FA80A" w14:textId="1778802B" w:rsidR="00054C41" w:rsidRPr="009A0103" w:rsidRDefault="00903EB1" w:rsidP="00054C41">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266199554"/>
        </w:sdtPr>
        <w:sdtEndPr/>
        <w:sdtContent>
          <w:sdt>
            <w:sdtPr>
              <w:rPr>
                <w:rFonts w:ascii="Times New Roman" w:eastAsia="Calibri" w:hAnsi="Times New Roman" w:cs="Times New Roman"/>
                <w:i/>
                <w:sz w:val="24"/>
                <w:szCs w:val="24"/>
              </w:rPr>
              <w:id w:val="-756667193"/>
            </w:sdtPr>
            <w:sdtEndPr/>
            <w:sdtContent>
              <w:r w:rsidR="00497B4D" w:rsidRPr="009A0103">
                <w:rPr>
                  <w:rFonts w:ascii="Segoe UI Symbol" w:eastAsia="Calibri" w:hAnsi="Segoe UI Symbol" w:cs="Segoe UI Symbol"/>
                  <w:i/>
                  <w:sz w:val="24"/>
                  <w:szCs w:val="24"/>
                </w:rPr>
                <w:t>☐</w:t>
              </w:r>
            </w:sdtContent>
          </w:sdt>
        </w:sdtContent>
      </w:sdt>
      <w:r w:rsidR="00497B4D" w:rsidRPr="009A0103">
        <w:rPr>
          <w:rFonts w:ascii="Times New Roman" w:eastAsia="Calibri" w:hAnsi="Times New Roman" w:cs="Times New Roman"/>
          <w:i/>
          <w:sz w:val="24"/>
          <w:szCs w:val="24"/>
        </w:rPr>
        <w:t xml:space="preserve"> </w:t>
      </w:r>
      <w:r w:rsidR="00054C41" w:rsidRPr="009A0103">
        <w:rPr>
          <w:rFonts w:ascii="Times New Roman" w:eastAsia="Calibri" w:hAnsi="Times New Roman" w:cs="Times New Roman"/>
          <w:i/>
          <w:sz w:val="24"/>
          <w:szCs w:val="24"/>
        </w:rPr>
        <w:t xml:space="preserve">zvyšuje  </w:t>
      </w:r>
      <w:r w:rsidR="00054C41" w:rsidRPr="009A0103">
        <w:rPr>
          <w:rFonts w:ascii="Times New Roman" w:eastAsia="Calibri" w:hAnsi="Times New Roman" w:cs="Times New Roman"/>
          <w:i/>
          <w:sz w:val="24"/>
          <w:szCs w:val="24"/>
        </w:rPr>
        <w:tab/>
      </w:r>
      <w:sdt>
        <w:sdtPr>
          <w:rPr>
            <w:rFonts w:ascii="Times New Roman" w:eastAsia="Calibri" w:hAnsi="Times New Roman" w:cs="Times New Roman"/>
            <w:i/>
            <w:sz w:val="24"/>
            <w:szCs w:val="24"/>
          </w:rPr>
          <w:id w:val="-353966921"/>
        </w:sdtPr>
        <w:sdtEndPr/>
        <w:sdtContent>
          <w:sdt>
            <w:sdtPr>
              <w:rPr>
                <w:rFonts w:ascii="Times New Roman" w:eastAsia="Calibri" w:hAnsi="Times New Roman" w:cs="Times New Roman"/>
                <w:i/>
                <w:sz w:val="24"/>
                <w:szCs w:val="24"/>
              </w:rPr>
              <w:id w:val="-1222205104"/>
            </w:sdtPr>
            <w:sdtEndPr/>
            <w:sdtContent>
              <w:sdt>
                <w:sdtPr>
                  <w:rPr>
                    <w:rFonts w:ascii="Times New Roman" w:eastAsia="Calibri" w:hAnsi="Times New Roman" w:cs="Times New Roman"/>
                    <w:i/>
                    <w:sz w:val="24"/>
                    <w:szCs w:val="24"/>
                  </w:rPr>
                  <w:id w:val="1892919452"/>
                </w:sdtPr>
                <w:sdtEndPr/>
                <w:sdtContent>
                  <w:sdt>
                    <w:sdtPr>
                      <w:rPr>
                        <w:rFonts w:ascii="Times New Roman" w:eastAsia="Calibri" w:hAnsi="Times New Roman" w:cs="Times New Roman"/>
                        <w:i/>
                        <w:sz w:val="24"/>
                        <w:szCs w:val="24"/>
                      </w:rPr>
                      <w:id w:val="737216625"/>
                    </w:sdtPr>
                    <w:sdtEndPr/>
                    <w:sdtContent>
                      <w:sdt>
                        <w:sdtPr>
                          <w:rPr>
                            <w:rFonts w:ascii="Times New Roman" w:eastAsia="Calibri" w:hAnsi="Times New Roman" w:cs="Times New Roman"/>
                            <w:i/>
                            <w:sz w:val="24"/>
                            <w:szCs w:val="24"/>
                          </w:rPr>
                          <w:id w:val="249012944"/>
                        </w:sdtPr>
                        <w:sdtEndPr/>
                        <w:sdtContent>
                          <w:sdt>
                            <w:sdtPr>
                              <w:rPr>
                                <w:rFonts w:ascii="Times New Roman" w:eastAsia="Calibri" w:hAnsi="Times New Roman" w:cs="Times New Roman"/>
                                <w:i/>
                                <w:sz w:val="24"/>
                                <w:szCs w:val="24"/>
                              </w:rPr>
                              <w:id w:val="9108421"/>
                            </w:sdtPr>
                            <w:sdtEndPr/>
                            <w:sdtContent>
                              <w:r w:rsidR="00497B4D" w:rsidRPr="009A0103">
                                <w:rPr>
                                  <w:rFonts w:ascii="Cambria Math" w:eastAsia="Calibri" w:hAnsi="Cambria Math" w:cs="Cambria Math"/>
                                  <w:i/>
                                  <w:sz w:val="24"/>
                                  <w:szCs w:val="24"/>
                                </w:rPr>
                                <w:t>⌧</w:t>
                              </w:r>
                            </w:sdtContent>
                          </w:sdt>
                        </w:sdtContent>
                      </w:sdt>
                    </w:sdtContent>
                  </w:sdt>
                </w:sdtContent>
              </w:sdt>
            </w:sdtContent>
          </w:sdt>
        </w:sdtContent>
      </w:sdt>
      <w:r w:rsidR="00054C41" w:rsidRPr="009A0103">
        <w:rPr>
          <w:rFonts w:ascii="Times New Roman" w:eastAsia="Calibri" w:hAnsi="Times New Roman" w:cs="Times New Roman"/>
          <w:i/>
          <w:sz w:val="24"/>
          <w:szCs w:val="24"/>
        </w:rPr>
        <w:t xml:space="preserve"> nemení</w:t>
      </w:r>
      <w:r w:rsidR="00054C41" w:rsidRPr="009A0103">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054C41" w:rsidRPr="009A0103">
                <w:rPr>
                  <w:rFonts w:ascii="Segoe UI Symbol" w:eastAsia="Calibri" w:hAnsi="Segoe UI Symbol" w:cs="Segoe UI Symbol"/>
                  <w:i/>
                  <w:sz w:val="24"/>
                  <w:szCs w:val="24"/>
                </w:rPr>
                <w:t>☐</w:t>
              </w:r>
            </w:sdtContent>
          </w:sdt>
        </w:sdtContent>
      </w:sdt>
      <w:r w:rsidR="00054C41" w:rsidRPr="009A0103">
        <w:rPr>
          <w:rFonts w:ascii="Times New Roman" w:eastAsia="Calibri" w:hAnsi="Times New Roman" w:cs="Times New Roman"/>
          <w:i/>
          <w:sz w:val="24"/>
          <w:szCs w:val="24"/>
        </w:rPr>
        <w:t xml:space="preserve"> znižuje</w:t>
      </w:r>
    </w:p>
    <w:p w14:paraId="39D8B6F2" w14:textId="17C7ACBB" w:rsidR="004553A1" w:rsidRPr="00D3068D" w:rsidRDefault="004553A1" w:rsidP="00054C41">
      <w:pPr>
        <w:spacing w:after="0"/>
        <w:jc w:val="both"/>
        <w:rPr>
          <w:rFonts w:ascii="Times New Roman" w:eastAsia="Calibri" w:hAnsi="Times New Roman" w:cs="Times New Roman"/>
          <w:i/>
          <w:sz w:val="24"/>
          <w:szCs w:val="24"/>
          <w:highlight w:val="yellow"/>
        </w:rPr>
      </w:pPr>
    </w:p>
    <w:p w14:paraId="1FFE92DA" w14:textId="77777777" w:rsidR="00054C41" w:rsidRPr="00B24EFE" w:rsidRDefault="00054C41" w:rsidP="00054C41">
      <w:pPr>
        <w:spacing w:after="0"/>
        <w:jc w:val="both"/>
        <w:rPr>
          <w:rFonts w:ascii="Times New Roman" w:eastAsia="Calibri" w:hAnsi="Times New Roman" w:cs="Times New Roman"/>
          <w:i/>
          <w:sz w:val="24"/>
          <w:szCs w:val="24"/>
        </w:rPr>
      </w:pPr>
    </w:p>
    <w:p w14:paraId="0F05F45F" w14:textId="77777777" w:rsidR="00054C41" w:rsidRPr="00B24EFE" w:rsidRDefault="00054C41" w:rsidP="00054C41">
      <w:pPr>
        <w:jc w:val="both"/>
        <w:rPr>
          <w:rFonts w:ascii="Times New Roman" w:eastAsia="Calibri" w:hAnsi="Times New Roman" w:cs="Times New Roman"/>
          <w:b/>
          <w:sz w:val="24"/>
          <w:szCs w:val="24"/>
        </w:rPr>
      </w:pPr>
      <w:r w:rsidRPr="00B24EFE">
        <w:rPr>
          <w:rFonts w:ascii="Times New Roman" w:eastAsia="Calibri" w:hAnsi="Times New Roman" w:cs="Times New Roman"/>
          <w:b/>
          <w:sz w:val="24"/>
          <w:szCs w:val="24"/>
        </w:rPr>
        <w:t xml:space="preserve">3.4  Iné vplyvy na podnikateľské prostredie </w:t>
      </w:r>
    </w:p>
    <w:p w14:paraId="727C9A0E" w14:textId="77777777" w:rsidR="00FF414B" w:rsidRPr="00B24EFE" w:rsidRDefault="00FF414B" w:rsidP="00FF414B">
      <w:pPr>
        <w:spacing w:after="0"/>
        <w:jc w:val="both"/>
        <w:rPr>
          <w:rFonts w:ascii="Times New Roman" w:eastAsia="Calibri" w:hAnsi="Times New Roman" w:cs="Times New Roman"/>
          <w:i/>
          <w:sz w:val="24"/>
          <w:szCs w:val="24"/>
        </w:rPr>
      </w:pPr>
      <w:r w:rsidRPr="00B24EFE">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14:paraId="312EF81C" w14:textId="77777777" w:rsidR="00FF414B" w:rsidRPr="00B24EFE"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sidRPr="00B24EFE">
        <w:rPr>
          <w:rFonts w:ascii="Times New Roman" w:eastAsia="Calibri" w:hAnsi="Times New Roman" w:cs="Times New Roman"/>
          <w:i/>
          <w:sz w:val="24"/>
          <w:szCs w:val="24"/>
        </w:rPr>
        <w:lastRenderedPageBreak/>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71F108BC" w14:textId="77777777" w:rsidR="00FF414B" w:rsidRPr="00B24EFE"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sidRPr="00B24EFE">
        <w:rPr>
          <w:rFonts w:ascii="Times New Roman" w:eastAsia="Calibri" w:hAnsi="Times New Roman" w:cs="Times New Roman"/>
          <w:i/>
          <w:sz w:val="24"/>
          <w:szCs w:val="24"/>
        </w:rPr>
        <w:t>regulované ceny podľa zákona č. 18/1996 Z. z. o cenách;</w:t>
      </w:r>
    </w:p>
    <w:p w14:paraId="46E907D6" w14:textId="77777777" w:rsidR="00FF414B" w:rsidRPr="00B24EFE" w:rsidRDefault="00FF414B" w:rsidP="00FF414B">
      <w:pPr>
        <w:pStyle w:val="Odsekzoznamu"/>
        <w:numPr>
          <w:ilvl w:val="0"/>
          <w:numId w:val="6"/>
        </w:numPr>
        <w:spacing w:after="0" w:line="254" w:lineRule="auto"/>
        <w:jc w:val="both"/>
        <w:rPr>
          <w:rFonts w:ascii="Times New Roman" w:eastAsia="Calibri" w:hAnsi="Times New Roman" w:cs="Times New Roman"/>
          <w:i/>
          <w:sz w:val="24"/>
          <w:szCs w:val="24"/>
        </w:rPr>
      </w:pPr>
      <w:r w:rsidRPr="00B24EFE">
        <w:rPr>
          <w:rFonts w:ascii="Times New Roman" w:eastAsia="Calibri" w:hAnsi="Times New Roman" w:cs="Times New Roman"/>
          <w:i/>
          <w:sz w:val="24"/>
          <w:szCs w:val="24"/>
        </w:rPr>
        <w:t>iné vplyvy, ktoré predpokladá materiál, ale nemožno ich zaradiť do častí 3.1 a 3.3.</w:t>
      </w:r>
      <w:r w:rsidR="00E214C0" w:rsidRPr="00B24EFE">
        <w:rPr>
          <w:rFonts w:ascii="Times New Roman" w:eastAsia="Calibri" w:hAnsi="Times New Roman" w:cs="Times New Roman"/>
          <w:i/>
          <w:sz w:val="24"/>
          <w:szCs w:val="24"/>
        </w:rPr>
        <w:t>,</w:t>
      </w:r>
    </w:p>
    <w:p w14:paraId="0AF01D43" w14:textId="04AF72A7" w:rsidR="008C7800" w:rsidRDefault="00D114ED" w:rsidP="00377568">
      <w:pPr>
        <w:pStyle w:val="Odsekzoznamu"/>
        <w:numPr>
          <w:ilvl w:val="0"/>
          <w:numId w:val="6"/>
        </w:numPr>
        <w:spacing w:after="0" w:line="254" w:lineRule="auto"/>
        <w:jc w:val="both"/>
        <w:rPr>
          <w:rFonts w:ascii="Times New Roman" w:eastAsia="Calibri" w:hAnsi="Times New Roman" w:cs="Times New Roman"/>
          <w:i/>
          <w:sz w:val="24"/>
          <w:szCs w:val="24"/>
        </w:rPr>
      </w:pPr>
      <w:r w:rsidRPr="00965F03">
        <w:rPr>
          <w:rFonts w:ascii="Times New Roman" w:eastAsia="Calibri" w:hAnsi="Times New Roman" w:cs="Times New Roman"/>
          <w:i/>
          <w:sz w:val="24"/>
          <w:szCs w:val="24"/>
        </w:rPr>
        <w:t xml:space="preserve">iné vplyvy podľa písm. a) až c), ktoré sú </w:t>
      </w:r>
      <w:proofErr w:type="spellStart"/>
      <w:r w:rsidRPr="00965F03">
        <w:rPr>
          <w:rFonts w:ascii="Times New Roman" w:eastAsia="Calibri" w:hAnsi="Times New Roman" w:cs="Times New Roman"/>
          <w:i/>
          <w:sz w:val="24"/>
          <w:szCs w:val="24"/>
        </w:rPr>
        <w:t>goldplatingom</w:t>
      </w:r>
      <w:proofErr w:type="spellEnd"/>
      <w:r w:rsidRPr="00965F03">
        <w:rPr>
          <w:rFonts w:ascii="Times New Roman" w:eastAsia="Calibri" w:hAnsi="Times New Roman" w:cs="Times New Roman"/>
          <w:i/>
          <w:sz w:val="24"/>
          <w:szCs w:val="24"/>
        </w:rPr>
        <w:t>.</w:t>
      </w:r>
    </w:p>
    <w:p w14:paraId="59CE35FA" w14:textId="07DDF989" w:rsidR="00377568" w:rsidRDefault="00377568" w:rsidP="00377568">
      <w:pPr>
        <w:spacing w:after="0" w:line="254" w:lineRule="auto"/>
        <w:jc w:val="both"/>
        <w:rPr>
          <w:rFonts w:ascii="Times New Roman" w:eastAsia="Calibri" w:hAnsi="Times New Roman" w:cs="Times New Roman"/>
          <w:i/>
          <w:sz w:val="24"/>
          <w:szCs w:val="24"/>
        </w:rPr>
      </w:pPr>
    </w:p>
    <w:p w14:paraId="25927E42" w14:textId="4DE5EC80" w:rsidR="00377568" w:rsidRDefault="00497B4D" w:rsidP="00377568">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Vplyv na notárov</w:t>
      </w:r>
    </w:p>
    <w:p w14:paraId="41A85C8D" w14:textId="4F0B84D7" w:rsidR="00497B4D" w:rsidRPr="004C469A" w:rsidRDefault="00497B4D" w:rsidP="00497B4D">
      <w:pPr>
        <w:spacing w:line="254"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Predkladateľ vníma predpoklad pozitívneho vplyvu na notárov, ako zákonom splnomocnené </w:t>
      </w:r>
      <w:r w:rsidRPr="004C469A">
        <w:rPr>
          <w:rFonts w:ascii="Times New Roman" w:eastAsia="Calibri" w:hAnsi="Times New Roman" w:cs="Times New Roman"/>
          <w:sz w:val="24"/>
          <w:szCs w:val="24"/>
        </w:rPr>
        <w:t xml:space="preserve">osoby, ktoré v zmysle návrhu budú registrátormi. </w:t>
      </w:r>
    </w:p>
    <w:p w14:paraId="1FA0DACC" w14:textId="782F72EF" w:rsidR="00153C7D" w:rsidRPr="004C469A" w:rsidRDefault="00153C7D" w:rsidP="00497B4D">
      <w:pPr>
        <w:spacing w:line="254" w:lineRule="auto"/>
        <w:jc w:val="both"/>
        <w:rPr>
          <w:rFonts w:ascii="Times New Roman" w:eastAsia="Calibri" w:hAnsi="Times New Roman" w:cs="Times New Roman"/>
          <w:sz w:val="24"/>
          <w:szCs w:val="24"/>
        </w:rPr>
      </w:pPr>
      <w:r w:rsidRPr="004C469A">
        <w:rPr>
          <w:rFonts w:ascii="Times New Roman" w:eastAsia="Calibri" w:hAnsi="Times New Roman" w:cs="Times New Roman"/>
          <w:sz w:val="24"/>
          <w:szCs w:val="24"/>
        </w:rPr>
        <w:t>V kalkulačke nákladov predkladateľ odhaduje vplyv na kategóriu podnikateľských subjektov – notárov (vo vzťahu k odmene notára ho možno považovať za podnikateľa) vo vzťahu k zvýšenému príjmu notárov v súvislosti s odmenami notárov za registrácie, ktoré budú vykonávať. Tento vplyv je prepojený s výpadkom na štátnom rozpočte. Vplyv je popísaný v časti 3.1.3 pri regulácii č. 14.</w:t>
      </w:r>
    </w:p>
    <w:p w14:paraId="56FC6474" w14:textId="513EDC9B" w:rsidR="00497B4D" w:rsidRPr="004C469A" w:rsidRDefault="00153C7D" w:rsidP="00377568">
      <w:pPr>
        <w:spacing w:after="0" w:line="254" w:lineRule="auto"/>
        <w:jc w:val="both"/>
        <w:rPr>
          <w:rFonts w:ascii="Times New Roman" w:eastAsia="Calibri" w:hAnsi="Times New Roman" w:cs="Times New Roman"/>
          <w:sz w:val="24"/>
          <w:szCs w:val="24"/>
        </w:rPr>
      </w:pPr>
      <w:r w:rsidRPr="004C469A">
        <w:rPr>
          <w:rFonts w:ascii="Times New Roman" w:eastAsia="Calibri" w:hAnsi="Times New Roman" w:cs="Times New Roman"/>
          <w:sz w:val="24"/>
          <w:szCs w:val="24"/>
        </w:rPr>
        <w:t xml:space="preserve">Predkladateľ </w:t>
      </w:r>
      <w:r w:rsidR="00E15FD3" w:rsidRPr="004C469A">
        <w:rPr>
          <w:rFonts w:ascii="Times New Roman" w:eastAsia="Calibri" w:hAnsi="Times New Roman" w:cs="Times New Roman"/>
          <w:sz w:val="24"/>
          <w:szCs w:val="24"/>
        </w:rPr>
        <w:t xml:space="preserve">predpokladá aj ďalšie vplyvy, ktoré však nie je možné kvantifikovať: </w:t>
      </w:r>
    </w:p>
    <w:p w14:paraId="76D0F1F0" w14:textId="71E3C1B0" w:rsidR="00497B4D" w:rsidRPr="004C469A" w:rsidRDefault="00497B4D" w:rsidP="00497B4D">
      <w:pPr>
        <w:pStyle w:val="Odsekzoznamu"/>
        <w:numPr>
          <w:ilvl w:val="0"/>
          <w:numId w:val="16"/>
        </w:numPr>
        <w:spacing w:after="0" w:line="254" w:lineRule="auto"/>
        <w:jc w:val="both"/>
        <w:rPr>
          <w:rFonts w:ascii="Times New Roman" w:eastAsia="Calibri" w:hAnsi="Times New Roman" w:cs="Times New Roman"/>
          <w:sz w:val="24"/>
          <w:szCs w:val="24"/>
        </w:rPr>
      </w:pPr>
      <w:r w:rsidRPr="004C469A">
        <w:rPr>
          <w:rFonts w:ascii="Times New Roman" w:eastAsia="Calibri" w:hAnsi="Times New Roman" w:cs="Times New Roman"/>
          <w:sz w:val="24"/>
          <w:szCs w:val="24"/>
        </w:rPr>
        <w:t xml:space="preserve">zvýšenie príjmu (v závislosti od počtu osôb, ktoré vyhľadajú služby notára pre potreby vyhotovenia </w:t>
      </w:r>
      <w:proofErr w:type="spellStart"/>
      <w:r w:rsidRPr="004C469A">
        <w:rPr>
          <w:rFonts w:ascii="Times New Roman" w:eastAsia="Calibri" w:hAnsi="Times New Roman" w:cs="Times New Roman"/>
          <w:sz w:val="24"/>
          <w:szCs w:val="24"/>
        </w:rPr>
        <w:t>korporátnych</w:t>
      </w:r>
      <w:proofErr w:type="spellEnd"/>
      <w:r w:rsidRPr="004C469A">
        <w:rPr>
          <w:rFonts w:ascii="Times New Roman" w:eastAsia="Calibri" w:hAnsi="Times New Roman" w:cs="Times New Roman"/>
          <w:sz w:val="24"/>
          <w:szCs w:val="24"/>
        </w:rPr>
        <w:t xml:space="preserve"> dokumentov vo forme notárskej zápisnice a zastúpenie pri podávaní návrhu)</w:t>
      </w:r>
    </w:p>
    <w:p w14:paraId="7839AB75" w14:textId="69BBCE49" w:rsidR="00497B4D" w:rsidRPr="004C469A" w:rsidRDefault="00497B4D" w:rsidP="00497B4D">
      <w:pPr>
        <w:pStyle w:val="Odsekzoznamu"/>
        <w:numPr>
          <w:ilvl w:val="0"/>
          <w:numId w:val="16"/>
        </w:numPr>
        <w:spacing w:after="0" w:line="254" w:lineRule="auto"/>
        <w:jc w:val="both"/>
        <w:rPr>
          <w:rFonts w:ascii="Times New Roman" w:eastAsia="Calibri" w:hAnsi="Times New Roman" w:cs="Times New Roman"/>
          <w:sz w:val="24"/>
          <w:szCs w:val="24"/>
        </w:rPr>
      </w:pPr>
      <w:r w:rsidRPr="004C469A">
        <w:rPr>
          <w:rFonts w:ascii="Times New Roman" w:eastAsia="Calibri" w:hAnsi="Times New Roman" w:cs="Times New Roman"/>
          <w:sz w:val="24"/>
          <w:szCs w:val="24"/>
        </w:rPr>
        <w:t>zamestnanosť – je možné, že notári budú musieť zvýšiť počty zamestnancov notárskych úradov</w:t>
      </w:r>
    </w:p>
    <w:p w14:paraId="64E5B782" w14:textId="0C50DFDF" w:rsidR="00497B4D" w:rsidRPr="004C469A" w:rsidRDefault="00497B4D" w:rsidP="00497B4D">
      <w:pPr>
        <w:spacing w:after="0" w:line="254" w:lineRule="auto"/>
        <w:jc w:val="both"/>
        <w:rPr>
          <w:rFonts w:ascii="Times New Roman" w:eastAsia="Calibri" w:hAnsi="Times New Roman" w:cs="Times New Roman"/>
          <w:sz w:val="24"/>
          <w:szCs w:val="24"/>
        </w:rPr>
      </w:pPr>
    </w:p>
    <w:p w14:paraId="15A929A8" w14:textId="0AA10B86" w:rsidR="00497B4D" w:rsidRPr="004C469A" w:rsidRDefault="00497B4D" w:rsidP="00497B4D">
      <w:pPr>
        <w:spacing w:after="0" w:line="254" w:lineRule="auto"/>
        <w:jc w:val="both"/>
        <w:rPr>
          <w:rFonts w:ascii="Times New Roman" w:eastAsia="Calibri" w:hAnsi="Times New Roman" w:cs="Times New Roman"/>
          <w:sz w:val="24"/>
          <w:szCs w:val="24"/>
        </w:rPr>
      </w:pPr>
      <w:r w:rsidRPr="004C469A">
        <w:rPr>
          <w:rFonts w:ascii="Times New Roman" w:eastAsia="Calibri" w:hAnsi="Times New Roman" w:cs="Times New Roman"/>
          <w:b/>
          <w:sz w:val="24"/>
          <w:szCs w:val="24"/>
        </w:rPr>
        <w:t>Vplyv na advokátov</w:t>
      </w:r>
    </w:p>
    <w:p w14:paraId="57B74316" w14:textId="77777777" w:rsidR="00497B4D" w:rsidRPr="004C469A" w:rsidRDefault="00497B4D" w:rsidP="00497B4D">
      <w:pPr>
        <w:spacing w:line="254" w:lineRule="auto"/>
        <w:jc w:val="both"/>
        <w:rPr>
          <w:rFonts w:ascii="Times New Roman" w:eastAsia="Calibri" w:hAnsi="Times New Roman" w:cs="Times New Roman"/>
          <w:sz w:val="24"/>
          <w:szCs w:val="24"/>
        </w:rPr>
      </w:pPr>
      <w:r w:rsidRPr="004C469A">
        <w:rPr>
          <w:rFonts w:ascii="Times New Roman" w:eastAsia="Calibri" w:hAnsi="Times New Roman" w:cs="Times New Roman"/>
          <w:sz w:val="24"/>
          <w:szCs w:val="24"/>
        </w:rPr>
        <w:t>Predpokladá sa pozitívny vplyv na advokátov.</w:t>
      </w:r>
    </w:p>
    <w:p w14:paraId="5F43C19C" w14:textId="0D582611" w:rsidR="00497B4D" w:rsidRPr="00497B4D" w:rsidRDefault="00497B4D" w:rsidP="00497B4D">
      <w:pPr>
        <w:spacing w:after="0" w:line="254" w:lineRule="auto"/>
        <w:jc w:val="both"/>
        <w:rPr>
          <w:rFonts w:ascii="Times New Roman" w:eastAsia="Calibri" w:hAnsi="Times New Roman" w:cs="Times New Roman"/>
          <w:sz w:val="24"/>
          <w:szCs w:val="24"/>
        </w:rPr>
      </w:pPr>
      <w:r w:rsidRPr="004C469A">
        <w:rPr>
          <w:rFonts w:ascii="Times New Roman" w:eastAsia="Calibri" w:hAnsi="Times New Roman" w:cs="Times New Roman"/>
          <w:sz w:val="24"/>
          <w:szCs w:val="24"/>
        </w:rPr>
        <w:t xml:space="preserve">Vzhľadom na umožnenie vytvárať </w:t>
      </w:r>
      <w:proofErr w:type="spellStart"/>
      <w:r w:rsidRPr="004C469A">
        <w:rPr>
          <w:rFonts w:ascii="Times New Roman" w:eastAsia="Calibri" w:hAnsi="Times New Roman" w:cs="Times New Roman"/>
          <w:sz w:val="24"/>
          <w:szCs w:val="24"/>
        </w:rPr>
        <w:t>korporátne</w:t>
      </w:r>
      <w:proofErr w:type="spellEnd"/>
      <w:r w:rsidRPr="004C469A">
        <w:rPr>
          <w:rFonts w:ascii="Times New Roman" w:eastAsia="Calibri" w:hAnsi="Times New Roman" w:cs="Times New Roman"/>
          <w:sz w:val="24"/>
          <w:szCs w:val="24"/>
        </w:rPr>
        <w:t xml:space="preserve"> dokumenty vo forme zmluvy autorizovanej advokátom a nevyhnutnosť zastúpenia v určitých prípadoch sa rozšíri počet klientov, ktorí vyhľadajú služby advokáta</w:t>
      </w:r>
      <w:r>
        <w:rPr>
          <w:rFonts w:ascii="Times New Roman" w:eastAsia="Calibri" w:hAnsi="Times New Roman" w:cs="Times New Roman"/>
          <w:sz w:val="24"/>
          <w:szCs w:val="24"/>
        </w:rPr>
        <w:t xml:space="preserve">. Vplyv (aj vzhľadom na voľnosť klienta v hľadaní svojho advokáta) </w:t>
      </w:r>
      <w:r w:rsidR="00D75BBD">
        <w:rPr>
          <w:rFonts w:ascii="Times New Roman" w:eastAsia="Calibri" w:hAnsi="Times New Roman" w:cs="Times New Roman"/>
          <w:sz w:val="24"/>
          <w:szCs w:val="24"/>
        </w:rPr>
        <w:t>nie je možné odhadnúť</w:t>
      </w:r>
      <w:r>
        <w:rPr>
          <w:rFonts w:ascii="Times New Roman" w:eastAsia="Calibri" w:hAnsi="Times New Roman" w:cs="Times New Roman"/>
          <w:sz w:val="24"/>
          <w:szCs w:val="24"/>
        </w:rPr>
        <w:t xml:space="preserve"> (nápad vecí bude nerovnomerný</w:t>
      </w:r>
      <w:r w:rsidR="00D75BBD">
        <w:rPr>
          <w:rFonts w:ascii="Times New Roman" w:eastAsia="Calibri" w:hAnsi="Times New Roman" w:cs="Times New Roman"/>
          <w:sz w:val="24"/>
          <w:szCs w:val="24"/>
        </w:rPr>
        <w:t>, advokáti účtujú klientom rôzne sadzby stanovené na zmluvnom základe</w:t>
      </w:r>
      <w:r>
        <w:rPr>
          <w:rFonts w:ascii="Times New Roman" w:eastAsia="Calibri" w:hAnsi="Times New Roman" w:cs="Times New Roman"/>
          <w:sz w:val="24"/>
          <w:szCs w:val="24"/>
        </w:rPr>
        <w:t>).</w:t>
      </w:r>
    </w:p>
    <w:sectPr w:rsidR="00497B4D" w:rsidRPr="00497B4D" w:rsidSect="00231B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ECC35" w14:textId="77777777" w:rsidR="00903EB1" w:rsidRDefault="00903EB1" w:rsidP="00054C41">
      <w:pPr>
        <w:spacing w:after="0" w:line="240" w:lineRule="auto"/>
      </w:pPr>
      <w:r>
        <w:separator/>
      </w:r>
    </w:p>
  </w:endnote>
  <w:endnote w:type="continuationSeparator" w:id="0">
    <w:p w14:paraId="1A3B036F" w14:textId="77777777" w:rsidR="00903EB1" w:rsidRDefault="00903EB1" w:rsidP="000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14:paraId="5D55F2F5" w14:textId="3C897368" w:rsidR="00FC17F3" w:rsidRPr="006045CB" w:rsidRDefault="00FC17F3"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255225">
          <w:rPr>
            <w:rFonts w:ascii="Times New Roman" w:hAnsi="Times New Roman" w:cs="Times New Roman"/>
            <w:noProof/>
            <w:sz w:val="24"/>
            <w:szCs w:val="24"/>
          </w:rPr>
          <w:t>28</w:t>
        </w:r>
        <w:r w:rsidRPr="006045CB">
          <w:rPr>
            <w:rFonts w:ascii="Times New Roman" w:hAnsi="Times New Roman" w:cs="Times New Roman"/>
            <w:sz w:val="24"/>
            <w:szCs w:val="24"/>
          </w:rPr>
          <w:fldChar w:fldCharType="end"/>
        </w:r>
      </w:p>
    </w:sdtContent>
  </w:sdt>
  <w:p w14:paraId="4556761F" w14:textId="77777777" w:rsidR="00FC17F3" w:rsidRPr="00FF7125" w:rsidRDefault="00FC17F3" w:rsidP="00054C41">
    <w:pPr>
      <w:pStyle w:val="Pta"/>
      <w:rPr>
        <w:sz w:val="24"/>
        <w:szCs w:val="24"/>
      </w:rPr>
    </w:pPr>
  </w:p>
  <w:p w14:paraId="20FE6A4A" w14:textId="77777777" w:rsidR="00FC17F3" w:rsidRDefault="00FC17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3FECE" w14:textId="77777777" w:rsidR="00903EB1" w:rsidRDefault="00903EB1" w:rsidP="00054C41">
      <w:pPr>
        <w:spacing w:after="0" w:line="240" w:lineRule="auto"/>
      </w:pPr>
      <w:r>
        <w:separator/>
      </w:r>
    </w:p>
  </w:footnote>
  <w:footnote w:type="continuationSeparator" w:id="0">
    <w:p w14:paraId="19A23958" w14:textId="77777777" w:rsidR="00903EB1" w:rsidRDefault="00903EB1" w:rsidP="00054C41">
      <w:pPr>
        <w:spacing w:after="0" w:line="240" w:lineRule="auto"/>
      </w:pPr>
      <w:r>
        <w:continuationSeparator/>
      </w:r>
    </w:p>
  </w:footnote>
  <w:footnote w:id="1">
    <w:p w14:paraId="6CC680CB" w14:textId="6BF8CDC6" w:rsidR="00FC17F3" w:rsidRPr="000A6B7F" w:rsidRDefault="00FC17F3" w:rsidP="00C929AE">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w:t>
      </w:r>
      <w:proofErr w:type="spellStart"/>
      <w:r w:rsidRPr="000A6B7F">
        <w:rPr>
          <w:rFonts w:ascii="Times New Roman" w:hAnsi="Times New Roman" w:cs="Times New Roman"/>
        </w:rPr>
        <w:t>goldplatingu</w:t>
      </w:r>
      <w:proofErr w:type="spellEnd"/>
      <w:r w:rsidRPr="000A6B7F">
        <w:rPr>
          <w:rFonts w:ascii="Times New Roman" w:hAnsi="Times New Roman" w:cs="Times New Roman"/>
        </w:rPr>
        <w:t xml:space="preserve"> </w:t>
      </w:r>
      <w:r w:rsidRPr="00D114ED">
        <w:rPr>
          <w:rFonts w:ascii="Times New Roman" w:hAnsi="Times New Roman" w:cs="Times New Roman"/>
        </w:rPr>
        <w:t>je uvedená v bode 4 časti III. jednotnej metodiky.</w:t>
      </w:r>
    </w:p>
  </w:footnote>
  <w:footnote w:id="2">
    <w:p w14:paraId="1647D7DF" w14:textId="77777777" w:rsidR="00FC17F3" w:rsidRPr="00804BC8" w:rsidRDefault="00FC17F3" w:rsidP="00804BC8">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w:t>
      </w:r>
      <w:proofErr w:type="spellStart"/>
      <w:r w:rsidRPr="00804BC8">
        <w:rPr>
          <w:rFonts w:ascii="Times New Roman" w:hAnsi="Times New Roman" w:cs="Times New Roman"/>
        </w:rPr>
        <w:t>goldplating</w:t>
      </w:r>
      <w:proofErr w:type="spellEnd"/>
      <w:r w:rsidRPr="00804BC8">
        <w:rPr>
          <w:rFonts w:ascii="Times New Roman" w:hAnsi="Times New Roman" w:cs="Times New Roman"/>
        </w:rPr>
        <w:t xml:space="preserve"> podľa tabuľky zhody alebo sa vykonáva implementácia nariadenia EÚ s </w:t>
      </w:r>
      <w:proofErr w:type="spellStart"/>
      <w:r w:rsidRPr="00804BC8">
        <w:rPr>
          <w:rFonts w:ascii="Times New Roman" w:hAnsi="Times New Roman" w:cs="Times New Roman"/>
        </w:rPr>
        <w:t>goldplatingom</w:t>
      </w:r>
      <w:proofErr w:type="spellEnd"/>
      <w:r w:rsidRPr="00804BC8">
        <w:rPr>
          <w:rFonts w:ascii="Times New Roman" w:hAnsi="Times New Roman" w:cs="Times New Roman"/>
        </w:rPr>
        <w:t>.</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xml:space="preserve">, ak sa predloženým návrhom odstraňuje </w:t>
      </w:r>
      <w:proofErr w:type="spellStart"/>
      <w:r>
        <w:rPr>
          <w:rFonts w:ascii="Times New Roman" w:hAnsi="Times New Roman" w:cs="Times New Roman"/>
        </w:rPr>
        <w:t>goldplating</w:t>
      </w:r>
      <w:proofErr w:type="spellEnd"/>
      <w:r>
        <w:rPr>
          <w:rFonts w:ascii="Times New Roman" w:hAnsi="Times New Roman" w:cs="Times New Roman"/>
        </w:rPr>
        <w:t>, ktorého pôvod je v skoršom zachovaní existujúcej právnej úpravy (existujúcich vnútroštátnych požiadaviek).</w:t>
      </w:r>
    </w:p>
    <w:p w14:paraId="5D313DAF" w14:textId="77777777" w:rsidR="00FC17F3" w:rsidRDefault="00FC17F3" w:rsidP="00512BA7">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8E6B" w14:textId="77777777" w:rsidR="00FC17F3" w:rsidRPr="006045CB" w:rsidRDefault="00FC17F3"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14:paraId="4B2D726A" w14:textId="77777777" w:rsidR="00FC17F3" w:rsidRPr="006045CB" w:rsidRDefault="00FC17F3" w:rsidP="0014215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A226B"/>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F264938"/>
    <w:multiLevelType w:val="hybridMultilevel"/>
    <w:tmpl w:val="E0142290"/>
    <w:lvl w:ilvl="0" w:tplc="276CB7C6">
      <w:start w:val="1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B66859"/>
    <w:multiLevelType w:val="hybridMultilevel"/>
    <w:tmpl w:val="6BFACF3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75E2235"/>
    <w:multiLevelType w:val="hybridMultilevel"/>
    <w:tmpl w:val="93EC2C2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F982F49"/>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9B4294"/>
    <w:multiLevelType w:val="hybridMultilevel"/>
    <w:tmpl w:val="DB90B4D4"/>
    <w:lvl w:ilvl="0" w:tplc="A80C46B4">
      <w:start w:val="3"/>
      <w:numFmt w:val="bullet"/>
      <w:lvlText w:val="-"/>
      <w:lvlJc w:val="left"/>
      <w:pPr>
        <w:ind w:left="720" w:hanging="360"/>
      </w:pPr>
      <w:rPr>
        <w:rFonts w:ascii="Times New Roman" w:eastAsia="Calibri" w:hAnsi="Times New Roman" w:cs="Times New Roman" w:hint="default"/>
        <w:b/>
        <w:i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F361D3F"/>
    <w:multiLevelType w:val="hybridMultilevel"/>
    <w:tmpl w:val="5BC05082"/>
    <w:lvl w:ilvl="0" w:tplc="4F805708">
      <w:start w:val="1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F7276D"/>
    <w:multiLevelType w:val="hybridMultilevel"/>
    <w:tmpl w:val="50AE8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D21570F"/>
    <w:multiLevelType w:val="hybridMultilevel"/>
    <w:tmpl w:val="22E4D50E"/>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F252805"/>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70BB77D5"/>
    <w:multiLevelType w:val="hybridMultilevel"/>
    <w:tmpl w:val="F7CE663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736C4BD0"/>
    <w:multiLevelType w:val="hybridMultilevel"/>
    <w:tmpl w:val="5AD88732"/>
    <w:lvl w:ilvl="0" w:tplc="3E049D2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6FD0C6E"/>
    <w:multiLevelType w:val="multilevel"/>
    <w:tmpl w:val="FE3028BC"/>
    <w:lvl w:ilvl="0">
      <w:start w:val="1"/>
      <w:numFmt w:val="upperRoman"/>
      <w:lvlText w:val="%1."/>
      <w:lvlJc w:val="left"/>
      <w:pPr>
        <w:ind w:left="1080" w:hanging="720"/>
      </w:pPr>
      <w:rPr>
        <w:rFonts w:hint="default"/>
        <w:sz w:val="24"/>
      </w:rPr>
    </w:lvl>
    <w:lvl w:ilvl="1">
      <w:start w:val="1"/>
      <w:numFmt w:val="decimal"/>
      <w:isLgl/>
      <w:lvlText w:val="%1.%2."/>
      <w:lvlJc w:val="left"/>
      <w:pPr>
        <w:ind w:left="900" w:hanging="540"/>
      </w:pPr>
      <w:rPr>
        <w:rFonts w:hint="default"/>
        <w:b/>
      </w:rPr>
    </w:lvl>
    <w:lvl w:ilvl="2">
      <w:start w:val="3"/>
      <w:numFmt w:val="decimal"/>
      <w:isLgl/>
      <w:lvlText w:val="%1.%2.%3."/>
      <w:lvlJc w:val="left"/>
      <w:pPr>
        <w:ind w:left="1145"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
  </w:num>
  <w:num w:numId="2">
    <w:abstractNumId w:val="11"/>
  </w:num>
  <w:num w:numId="3">
    <w:abstractNumId w:val="12"/>
  </w:num>
  <w:num w:numId="4">
    <w:abstractNumId w:val="10"/>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5"/>
  </w:num>
  <w:num w:numId="12">
    <w:abstractNumId w:val="0"/>
  </w:num>
  <w:num w:numId="13">
    <w:abstractNumId w:val="13"/>
  </w:num>
  <w:num w:numId="14">
    <w:abstractNumId w:val="7"/>
  </w:num>
  <w:num w:numId="15">
    <w:abstractNumId w:val="6"/>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41"/>
    <w:rsid w:val="00001418"/>
    <w:rsid w:val="00005281"/>
    <w:rsid w:val="00005BC9"/>
    <w:rsid w:val="000061A3"/>
    <w:rsid w:val="00014B0D"/>
    <w:rsid w:val="0002425A"/>
    <w:rsid w:val="00024EE4"/>
    <w:rsid w:val="000272CE"/>
    <w:rsid w:val="00031CA9"/>
    <w:rsid w:val="000417B5"/>
    <w:rsid w:val="00047C70"/>
    <w:rsid w:val="00050AAB"/>
    <w:rsid w:val="000537FB"/>
    <w:rsid w:val="00054A53"/>
    <w:rsid w:val="00054C41"/>
    <w:rsid w:val="00060A0C"/>
    <w:rsid w:val="00060DA1"/>
    <w:rsid w:val="00061E85"/>
    <w:rsid w:val="00080C8A"/>
    <w:rsid w:val="000820E0"/>
    <w:rsid w:val="000864E0"/>
    <w:rsid w:val="00091A43"/>
    <w:rsid w:val="0009490E"/>
    <w:rsid w:val="000A6B7F"/>
    <w:rsid w:val="000B13B0"/>
    <w:rsid w:val="000B5FA7"/>
    <w:rsid w:val="000C5419"/>
    <w:rsid w:val="000C5E9A"/>
    <w:rsid w:val="000D15F0"/>
    <w:rsid w:val="0011003B"/>
    <w:rsid w:val="001133DA"/>
    <w:rsid w:val="00115920"/>
    <w:rsid w:val="00126A2B"/>
    <w:rsid w:val="00142154"/>
    <w:rsid w:val="00147339"/>
    <w:rsid w:val="001476A4"/>
    <w:rsid w:val="00153C7D"/>
    <w:rsid w:val="00162C6C"/>
    <w:rsid w:val="0016512E"/>
    <w:rsid w:val="0016765A"/>
    <w:rsid w:val="00173665"/>
    <w:rsid w:val="0018715C"/>
    <w:rsid w:val="001A1561"/>
    <w:rsid w:val="001B4C03"/>
    <w:rsid w:val="001B79A2"/>
    <w:rsid w:val="001B7A6E"/>
    <w:rsid w:val="001C7331"/>
    <w:rsid w:val="001C7B91"/>
    <w:rsid w:val="001D1083"/>
    <w:rsid w:val="001D217E"/>
    <w:rsid w:val="001D3FA0"/>
    <w:rsid w:val="001D6F23"/>
    <w:rsid w:val="001E24E8"/>
    <w:rsid w:val="001E53CB"/>
    <w:rsid w:val="001F0CFD"/>
    <w:rsid w:val="001F1B8C"/>
    <w:rsid w:val="001F2E75"/>
    <w:rsid w:val="00201E46"/>
    <w:rsid w:val="00207F43"/>
    <w:rsid w:val="002232D3"/>
    <w:rsid w:val="00225A83"/>
    <w:rsid w:val="00231B8F"/>
    <w:rsid w:val="00255225"/>
    <w:rsid w:val="00270EA5"/>
    <w:rsid w:val="002712B9"/>
    <w:rsid w:val="002745E8"/>
    <w:rsid w:val="0028092E"/>
    <w:rsid w:val="00284B8C"/>
    <w:rsid w:val="00287EE6"/>
    <w:rsid w:val="0029483F"/>
    <w:rsid w:val="002A6716"/>
    <w:rsid w:val="002C2FC0"/>
    <w:rsid w:val="002E5F3C"/>
    <w:rsid w:val="002E7C92"/>
    <w:rsid w:val="00302A17"/>
    <w:rsid w:val="00310767"/>
    <w:rsid w:val="00314D25"/>
    <w:rsid w:val="00315BE2"/>
    <w:rsid w:val="003179F4"/>
    <w:rsid w:val="003322EE"/>
    <w:rsid w:val="00337152"/>
    <w:rsid w:val="00337630"/>
    <w:rsid w:val="00340CFD"/>
    <w:rsid w:val="003413D5"/>
    <w:rsid w:val="00342621"/>
    <w:rsid w:val="003513C4"/>
    <w:rsid w:val="00356381"/>
    <w:rsid w:val="00357F22"/>
    <w:rsid w:val="00363137"/>
    <w:rsid w:val="003669B9"/>
    <w:rsid w:val="0036748D"/>
    <w:rsid w:val="00376039"/>
    <w:rsid w:val="00377568"/>
    <w:rsid w:val="0038255E"/>
    <w:rsid w:val="00391648"/>
    <w:rsid w:val="0039304E"/>
    <w:rsid w:val="0039334E"/>
    <w:rsid w:val="00393BA0"/>
    <w:rsid w:val="00394AD2"/>
    <w:rsid w:val="003A02AF"/>
    <w:rsid w:val="003A2ADC"/>
    <w:rsid w:val="003A3124"/>
    <w:rsid w:val="003A686F"/>
    <w:rsid w:val="003C1848"/>
    <w:rsid w:val="003E0766"/>
    <w:rsid w:val="003E58B8"/>
    <w:rsid w:val="003F06D7"/>
    <w:rsid w:val="00400224"/>
    <w:rsid w:val="00400BA5"/>
    <w:rsid w:val="004052BB"/>
    <w:rsid w:val="00410E62"/>
    <w:rsid w:val="00414FA7"/>
    <w:rsid w:val="00420090"/>
    <w:rsid w:val="004239D1"/>
    <w:rsid w:val="00443931"/>
    <w:rsid w:val="00445638"/>
    <w:rsid w:val="00445AC4"/>
    <w:rsid w:val="00446432"/>
    <w:rsid w:val="00446512"/>
    <w:rsid w:val="00453873"/>
    <w:rsid w:val="004545B5"/>
    <w:rsid w:val="004553A1"/>
    <w:rsid w:val="00462048"/>
    <w:rsid w:val="00466D7A"/>
    <w:rsid w:val="0048237B"/>
    <w:rsid w:val="004826D1"/>
    <w:rsid w:val="00484D16"/>
    <w:rsid w:val="004851A4"/>
    <w:rsid w:val="004862B9"/>
    <w:rsid w:val="00491853"/>
    <w:rsid w:val="00492E66"/>
    <w:rsid w:val="004948C9"/>
    <w:rsid w:val="00496737"/>
    <w:rsid w:val="00497B4D"/>
    <w:rsid w:val="004A14CD"/>
    <w:rsid w:val="004A1DE0"/>
    <w:rsid w:val="004A2C6B"/>
    <w:rsid w:val="004B101A"/>
    <w:rsid w:val="004C119F"/>
    <w:rsid w:val="004C2F7F"/>
    <w:rsid w:val="004C469A"/>
    <w:rsid w:val="004D20CB"/>
    <w:rsid w:val="004D23FF"/>
    <w:rsid w:val="004D26B2"/>
    <w:rsid w:val="004D65B2"/>
    <w:rsid w:val="004D65E0"/>
    <w:rsid w:val="004D681D"/>
    <w:rsid w:val="004E04CC"/>
    <w:rsid w:val="004E2324"/>
    <w:rsid w:val="004F0A17"/>
    <w:rsid w:val="004F63E6"/>
    <w:rsid w:val="00503501"/>
    <w:rsid w:val="005103DA"/>
    <w:rsid w:val="00511F8F"/>
    <w:rsid w:val="00512BA7"/>
    <w:rsid w:val="005133A8"/>
    <w:rsid w:val="0051372E"/>
    <w:rsid w:val="00515726"/>
    <w:rsid w:val="00521521"/>
    <w:rsid w:val="00531913"/>
    <w:rsid w:val="00542C20"/>
    <w:rsid w:val="00562527"/>
    <w:rsid w:val="00562A1E"/>
    <w:rsid w:val="00563427"/>
    <w:rsid w:val="00581EB9"/>
    <w:rsid w:val="005838FB"/>
    <w:rsid w:val="00596A5A"/>
    <w:rsid w:val="005B4E6E"/>
    <w:rsid w:val="005B56E4"/>
    <w:rsid w:val="005B654F"/>
    <w:rsid w:val="005C299F"/>
    <w:rsid w:val="005C4C6E"/>
    <w:rsid w:val="005C795C"/>
    <w:rsid w:val="005D0E50"/>
    <w:rsid w:val="005D39D8"/>
    <w:rsid w:val="00602F45"/>
    <w:rsid w:val="0061097B"/>
    <w:rsid w:val="0061612F"/>
    <w:rsid w:val="006177C8"/>
    <w:rsid w:val="0062600A"/>
    <w:rsid w:val="0063777D"/>
    <w:rsid w:val="00643358"/>
    <w:rsid w:val="00646084"/>
    <w:rsid w:val="006564C3"/>
    <w:rsid w:val="006578CB"/>
    <w:rsid w:val="00661198"/>
    <w:rsid w:val="00685545"/>
    <w:rsid w:val="006A21C8"/>
    <w:rsid w:val="006A4E85"/>
    <w:rsid w:val="006A60C0"/>
    <w:rsid w:val="006A712F"/>
    <w:rsid w:val="006B1454"/>
    <w:rsid w:val="006B5D74"/>
    <w:rsid w:val="006C25BE"/>
    <w:rsid w:val="006D7AD8"/>
    <w:rsid w:val="006F1D57"/>
    <w:rsid w:val="00702815"/>
    <w:rsid w:val="0070364C"/>
    <w:rsid w:val="00710EDF"/>
    <w:rsid w:val="00711E81"/>
    <w:rsid w:val="007161E9"/>
    <w:rsid w:val="0072045E"/>
    <w:rsid w:val="0072221D"/>
    <w:rsid w:val="0072357C"/>
    <w:rsid w:val="007259CB"/>
    <w:rsid w:val="00726031"/>
    <w:rsid w:val="00751DA9"/>
    <w:rsid w:val="00755E69"/>
    <w:rsid w:val="007648EE"/>
    <w:rsid w:val="00766EF4"/>
    <w:rsid w:val="0077106D"/>
    <w:rsid w:val="007732AF"/>
    <w:rsid w:val="00773D77"/>
    <w:rsid w:val="00774E5F"/>
    <w:rsid w:val="00780ACC"/>
    <w:rsid w:val="00787A11"/>
    <w:rsid w:val="00792EC2"/>
    <w:rsid w:val="0079765B"/>
    <w:rsid w:val="00797B40"/>
    <w:rsid w:val="007A0C9D"/>
    <w:rsid w:val="007B0C81"/>
    <w:rsid w:val="007B40FB"/>
    <w:rsid w:val="007B62AF"/>
    <w:rsid w:val="007C2396"/>
    <w:rsid w:val="007D1DB0"/>
    <w:rsid w:val="007E24B2"/>
    <w:rsid w:val="007E2DA4"/>
    <w:rsid w:val="007E6815"/>
    <w:rsid w:val="007E7632"/>
    <w:rsid w:val="007F1C84"/>
    <w:rsid w:val="007F4579"/>
    <w:rsid w:val="00801596"/>
    <w:rsid w:val="00804BC8"/>
    <w:rsid w:val="00806E23"/>
    <w:rsid w:val="00807981"/>
    <w:rsid w:val="00812B42"/>
    <w:rsid w:val="0082391E"/>
    <w:rsid w:val="00823F5A"/>
    <w:rsid w:val="00832A30"/>
    <w:rsid w:val="00845D3B"/>
    <w:rsid w:val="00860A60"/>
    <w:rsid w:val="008634E9"/>
    <w:rsid w:val="008801B5"/>
    <w:rsid w:val="00880578"/>
    <w:rsid w:val="00882407"/>
    <w:rsid w:val="008920C3"/>
    <w:rsid w:val="00894052"/>
    <w:rsid w:val="008956D5"/>
    <w:rsid w:val="008A14ED"/>
    <w:rsid w:val="008A7B87"/>
    <w:rsid w:val="008B4AA1"/>
    <w:rsid w:val="008C1C71"/>
    <w:rsid w:val="008C64F1"/>
    <w:rsid w:val="008C7800"/>
    <w:rsid w:val="008E1AD0"/>
    <w:rsid w:val="008E315F"/>
    <w:rsid w:val="008E6B82"/>
    <w:rsid w:val="008F6ADE"/>
    <w:rsid w:val="00903EB1"/>
    <w:rsid w:val="0091269B"/>
    <w:rsid w:val="00920D1C"/>
    <w:rsid w:val="00923C0C"/>
    <w:rsid w:val="00933AFA"/>
    <w:rsid w:val="009444D5"/>
    <w:rsid w:val="0095170D"/>
    <w:rsid w:val="00952CF6"/>
    <w:rsid w:val="0095754E"/>
    <w:rsid w:val="00960413"/>
    <w:rsid w:val="00965670"/>
    <w:rsid w:val="00965F03"/>
    <w:rsid w:val="00966866"/>
    <w:rsid w:val="00981995"/>
    <w:rsid w:val="00981C7F"/>
    <w:rsid w:val="00984946"/>
    <w:rsid w:val="00985515"/>
    <w:rsid w:val="00990813"/>
    <w:rsid w:val="00993F0A"/>
    <w:rsid w:val="0099544D"/>
    <w:rsid w:val="00997513"/>
    <w:rsid w:val="009A0103"/>
    <w:rsid w:val="009A0426"/>
    <w:rsid w:val="009A053B"/>
    <w:rsid w:val="009A0E2C"/>
    <w:rsid w:val="009A4D56"/>
    <w:rsid w:val="009B1F04"/>
    <w:rsid w:val="009C71B6"/>
    <w:rsid w:val="009D6DCC"/>
    <w:rsid w:val="009E09F7"/>
    <w:rsid w:val="009E2D5C"/>
    <w:rsid w:val="009E3E44"/>
    <w:rsid w:val="009E628E"/>
    <w:rsid w:val="009F0C22"/>
    <w:rsid w:val="009F24B1"/>
    <w:rsid w:val="009F4175"/>
    <w:rsid w:val="009F66A4"/>
    <w:rsid w:val="009F6C80"/>
    <w:rsid w:val="00A000DA"/>
    <w:rsid w:val="00A07732"/>
    <w:rsid w:val="00A1176A"/>
    <w:rsid w:val="00A1736E"/>
    <w:rsid w:val="00A216DF"/>
    <w:rsid w:val="00A33F2C"/>
    <w:rsid w:val="00A425B5"/>
    <w:rsid w:val="00A50EE3"/>
    <w:rsid w:val="00A61BAA"/>
    <w:rsid w:val="00A62F38"/>
    <w:rsid w:val="00A63309"/>
    <w:rsid w:val="00A83E11"/>
    <w:rsid w:val="00A94A0F"/>
    <w:rsid w:val="00A9646E"/>
    <w:rsid w:val="00AA3C6D"/>
    <w:rsid w:val="00AB4990"/>
    <w:rsid w:val="00AB57C4"/>
    <w:rsid w:val="00AC6043"/>
    <w:rsid w:val="00AD7193"/>
    <w:rsid w:val="00B04E51"/>
    <w:rsid w:val="00B06B82"/>
    <w:rsid w:val="00B11CF5"/>
    <w:rsid w:val="00B209FA"/>
    <w:rsid w:val="00B2151A"/>
    <w:rsid w:val="00B21D1F"/>
    <w:rsid w:val="00B23654"/>
    <w:rsid w:val="00B2478D"/>
    <w:rsid w:val="00B24EFE"/>
    <w:rsid w:val="00B35C77"/>
    <w:rsid w:val="00B410BA"/>
    <w:rsid w:val="00B42D60"/>
    <w:rsid w:val="00B43D68"/>
    <w:rsid w:val="00B44A3A"/>
    <w:rsid w:val="00B50E11"/>
    <w:rsid w:val="00B5600C"/>
    <w:rsid w:val="00B6686C"/>
    <w:rsid w:val="00B66E33"/>
    <w:rsid w:val="00B72FB1"/>
    <w:rsid w:val="00B94330"/>
    <w:rsid w:val="00B953DA"/>
    <w:rsid w:val="00B963D1"/>
    <w:rsid w:val="00BA19B0"/>
    <w:rsid w:val="00BB3870"/>
    <w:rsid w:val="00BB45A7"/>
    <w:rsid w:val="00BC2D9C"/>
    <w:rsid w:val="00BD0EF7"/>
    <w:rsid w:val="00BD6778"/>
    <w:rsid w:val="00BE11E1"/>
    <w:rsid w:val="00C01599"/>
    <w:rsid w:val="00C048D1"/>
    <w:rsid w:val="00C05563"/>
    <w:rsid w:val="00C11132"/>
    <w:rsid w:val="00C115B9"/>
    <w:rsid w:val="00C123A6"/>
    <w:rsid w:val="00C12FDD"/>
    <w:rsid w:val="00C145AA"/>
    <w:rsid w:val="00C14655"/>
    <w:rsid w:val="00C20360"/>
    <w:rsid w:val="00C21399"/>
    <w:rsid w:val="00C26D49"/>
    <w:rsid w:val="00C41F98"/>
    <w:rsid w:val="00C446E2"/>
    <w:rsid w:val="00C52118"/>
    <w:rsid w:val="00C535F5"/>
    <w:rsid w:val="00C560C4"/>
    <w:rsid w:val="00C61B25"/>
    <w:rsid w:val="00C6748F"/>
    <w:rsid w:val="00C74337"/>
    <w:rsid w:val="00C74CEA"/>
    <w:rsid w:val="00C75DC8"/>
    <w:rsid w:val="00C76B55"/>
    <w:rsid w:val="00C90897"/>
    <w:rsid w:val="00C929AE"/>
    <w:rsid w:val="00CA4344"/>
    <w:rsid w:val="00CA6348"/>
    <w:rsid w:val="00CB074B"/>
    <w:rsid w:val="00CB1232"/>
    <w:rsid w:val="00CB17A0"/>
    <w:rsid w:val="00CC3B7D"/>
    <w:rsid w:val="00CD5AE4"/>
    <w:rsid w:val="00CD5E86"/>
    <w:rsid w:val="00CE3B21"/>
    <w:rsid w:val="00CE3E51"/>
    <w:rsid w:val="00CF1B43"/>
    <w:rsid w:val="00CF4D09"/>
    <w:rsid w:val="00D005F2"/>
    <w:rsid w:val="00D020AC"/>
    <w:rsid w:val="00D03A8E"/>
    <w:rsid w:val="00D04B3F"/>
    <w:rsid w:val="00D114ED"/>
    <w:rsid w:val="00D233DC"/>
    <w:rsid w:val="00D3032C"/>
    <w:rsid w:val="00D3068D"/>
    <w:rsid w:val="00D31A3B"/>
    <w:rsid w:val="00D34349"/>
    <w:rsid w:val="00D5309D"/>
    <w:rsid w:val="00D631FA"/>
    <w:rsid w:val="00D66EFD"/>
    <w:rsid w:val="00D71064"/>
    <w:rsid w:val="00D7273B"/>
    <w:rsid w:val="00D75BBD"/>
    <w:rsid w:val="00D76A4C"/>
    <w:rsid w:val="00D811BB"/>
    <w:rsid w:val="00D82356"/>
    <w:rsid w:val="00D84EEE"/>
    <w:rsid w:val="00D87FD0"/>
    <w:rsid w:val="00D90A61"/>
    <w:rsid w:val="00D946EF"/>
    <w:rsid w:val="00D95553"/>
    <w:rsid w:val="00DA2289"/>
    <w:rsid w:val="00DB60C0"/>
    <w:rsid w:val="00DB758E"/>
    <w:rsid w:val="00DC355F"/>
    <w:rsid w:val="00DD1E4C"/>
    <w:rsid w:val="00DE2140"/>
    <w:rsid w:val="00DE331A"/>
    <w:rsid w:val="00DE33E1"/>
    <w:rsid w:val="00DE6ACB"/>
    <w:rsid w:val="00DF02CE"/>
    <w:rsid w:val="00DF1462"/>
    <w:rsid w:val="00E030DA"/>
    <w:rsid w:val="00E04593"/>
    <w:rsid w:val="00E06882"/>
    <w:rsid w:val="00E11BE2"/>
    <w:rsid w:val="00E15FD3"/>
    <w:rsid w:val="00E214C0"/>
    <w:rsid w:val="00E23930"/>
    <w:rsid w:val="00E30D85"/>
    <w:rsid w:val="00E370CF"/>
    <w:rsid w:val="00E444EB"/>
    <w:rsid w:val="00E64E77"/>
    <w:rsid w:val="00E769E1"/>
    <w:rsid w:val="00E77A69"/>
    <w:rsid w:val="00E81A42"/>
    <w:rsid w:val="00E82B5A"/>
    <w:rsid w:val="00E92A89"/>
    <w:rsid w:val="00E92DDD"/>
    <w:rsid w:val="00E961E8"/>
    <w:rsid w:val="00E96244"/>
    <w:rsid w:val="00E96DE0"/>
    <w:rsid w:val="00EA0B3E"/>
    <w:rsid w:val="00EA325C"/>
    <w:rsid w:val="00EA55FF"/>
    <w:rsid w:val="00EA7419"/>
    <w:rsid w:val="00EB2BEC"/>
    <w:rsid w:val="00EB74BF"/>
    <w:rsid w:val="00EC0704"/>
    <w:rsid w:val="00EC1DF7"/>
    <w:rsid w:val="00EC508B"/>
    <w:rsid w:val="00ED6B5D"/>
    <w:rsid w:val="00EE0586"/>
    <w:rsid w:val="00EE0D58"/>
    <w:rsid w:val="00EE4C99"/>
    <w:rsid w:val="00EE6D8E"/>
    <w:rsid w:val="00F05BBC"/>
    <w:rsid w:val="00F0717D"/>
    <w:rsid w:val="00F153D7"/>
    <w:rsid w:val="00F1599C"/>
    <w:rsid w:val="00F2408F"/>
    <w:rsid w:val="00F2433F"/>
    <w:rsid w:val="00F244DC"/>
    <w:rsid w:val="00F27021"/>
    <w:rsid w:val="00F30CDE"/>
    <w:rsid w:val="00F378F4"/>
    <w:rsid w:val="00F43564"/>
    <w:rsid w:val="00F47912"/>
    <w:rsid w:val="00F541B6"/>
    <w:rsid w:val="00F57702"/>
    <w:rsid w:val="00F60D31"/>
    <w:rsid w:val="00F61361"/>
    <w:rsid w:val="00F613E8"/>
    <w:rsid w:val="00F74D3C"/>
    <w:rsid w:val="00F74FC9"/>
    <w:rsid w:val="00F91F47"/>
    <w:rsid w:val="00FA0EC5"/>
    <w:rsid w:val="00FA4F36"/>
    <w:rsid w:val="00FA6FFE"/>
    <w:rsid w:val="00FC121B"/>
    <w:rsid w:val="00FC17F3"/>
    <w:rsid w:val="00FC191C"/>
    <w:rsid w:val="00FC4824"/>
    <w:rsid w:val="00FC4C11"/>
    <w:rsid w:val="00FC5706"/>
    <w:rsid w:val="00FD3DFB"/>
    <w:rsid w:val="00FE0FEA"/>
    <w:rsid w:val="00FE3151"/>
    <w:rsid w:val="00FF0272"/>
    <w:rsid w:val="00FF414B"/>
    <w:rsid w:val="00FF4B7A"/>
    <w:rsid w:val="00FF6FF5"/>
    <w:rsid w:val="00FF7E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D44A8"/>
  <w15:docId w15:val="{4971B98A-309B-41B5-937D-82CDFE46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4C4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54C4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54C41"/>
  </w:style>
  <w:style w:type="paragraph" w:styleId="Normlnywebov">
    <w:name w:val="Normal (Web)"/>
    <w:basedOn w:val="Normlny"/>
    <w:uiPriority w:val="99"/>
    <w:unhideWhenUsed/>
    <w:rsid w:val="00054C41"/>
    <w:pPr>
      <w:spacing w:after="0" w:line="240" w:lineRule="auto"/>
    </w:pPr>
    <w:rPr>
      <w:rFonts w:ascii="Times New Roman" w:eastAsia="Times New Roman" w:hAnsi="Times New Roman" w:cs="Times New Roman"/>
      <w:sz w:val="24"/>
      <w:szCs w:val="24"/>
      <w:lang w:eastAsia="sk-SK"/>
    </w:rPr>
  </w:style>
  <w:style w:type="table" w:customStyle="1" w:styleId="Mriekatabuky2">
    <w:name w:val="Mriežka tabuľky2"/>
    <w:basedOn w:val="Normlnatabuka"/>
    <w:next w:val="Mriekatabuky"/>
    <w:uiPriority w:val="5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54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054C41"/>
    <w:pPr>
      <w:tabs>
        <w:tab w:val="center" w:pos="4536"/>
        <w:tab w:val="right" w:pos="9072"/>
      </w:tabs>
      <w:spacing w:after="0" w:line="240" w:lineRule="auto"/>
    </w:pPr>
  </w:style>
  <w:style w:type="character" w:customStyle="1" w:styleId="PtaChar">
    <w:name w:val="Päta Char"/>
    <w:basedOn w:val="Predvolenpsmoodseku"/>
    <w:link w:val="Pta"/>
    <w:uiPriority w:val="99"/>
    <w:rsid w:val="00054C41"/>
  </w:style>
  <w:style w:type="paragraph" w:styleId="Textbubliny">
    <w:name w:val="Balloon Text"/>
    <w:basedOn w:val="Normlny"/>
    <w:link w:val="TextbublinyChar"/>
    <w:uiPriority w:val="99"/>
    <w:semiHidden/>
    <w:unhideWhenUsed/>
    <w:rsid w:val="001B4C0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4C03"/>
    <w:rPr>
      <w:rFonts w:ascii="Segoe UI" w:hAnsi="Segoe UI" w:cs="Segoe UI"/>
      <w:sz w:val="18"/>
      <w:szCs w:val="18"/>
    </w:rPr>
  </w:style>
  <w:style w:type="character" w:styleId="Odkaznakomentr">
    <w:name w:val="annotation reference"/>
    <w:basedOn w:val="Predvolenpsmoodseku"/>
    <w:uiPriority w:val="99"/>
    <w:semiHidden/>
    <w:unhideWhenUsed/>
    <w:rsid w:val="001B4C03"/>
    <w:rPr>
      <w:sz w:val="16"/>
      <w:szCs w:val="16"/>
    </w:rPr>
  </w:style>
  <w:style w:type="paragraph" w:styleId="Textkomentra">
    <w:name w:val="annotation text"/>
    <w:basedOn w:val="Normlny"/>
    <w:link w:val="TextkomentraChar"/>
    <w:uiPriority w:val="99"/>
    <w:semiHidden/>
    <w:unhideWhenUsed/>
    <w:rsid w:val="001B4C03"/>
    <w:pPr>
      <w:spacing w:line="240" w:lineRule="auto"/>
    </w:pPr>
    <w:rPr>
      <w:sz w:val="20"/>
      <w:szCs w:val="20"/>
    </w:rPr>
  </w:style>
  <w:style w:type="character" w:customStyle="1" w:styleId="TextkomentraChar">
    <w:name w:val="Text komentára Char"/>
    <w:basedOn w:val="Predvolenpsmoodseku"/>
    <w:link w:val="Textkomentra"/>
    <w:uiPriority w:val="99"/>
    <w:semiHidden/>
    <w:rsid w:val="001B4C03"/>
    <w:rPr>
      <w:sz w:val="20"/>
      <w:szCs w:val="20"/>
    </w:rPr>
  </w:style>
  <w:style w:type="paragraph" w:styleId="Predmetkomentra">
    <w:name w:val="annotation subject"/>
    <w:basedOn w:val="Textkomentra"/>
    <w:next w:val="Textkomentra"/>
    <w:link w:val="PredmetkomentraChar"/>
    <w:uiPriority w:val="99"/>
    <w:semiHidden/>
    <w:unhideWhenUsed/>
    <w:rsid w:val="001B4C03"/>
    <w:rPr>
      <w:b/>
      <w:bCs/>
    </w:rPr>
  </w:style>
  <w:style w:type="character" w:customStyle="1" w:styleId="PredmetkomentraChar">
    <w:name w:val="Predmet komentára Char"/>
    <w:basedOn w:val="TextkomentraChar"/>
    <w:link w:val="Predmetkomentra"/>
    <w:uiPriority w:val="99"/>
    <w:semiHidden/>
    <w:rsid w:val="001B4C03"/>
    <w:rPr>
      <w:b/>
      <w:bCs/>
      <w:sz w:val="20"/>
      <w:szCs w:val="20"/>
    </w:rPr>
  </w:style>
  <w:style w:type="paragraph" w:styleId="Odsekzoznamu">
    <w:name w:val="List Paragraph"/>
    <w:basedOn w:val="Normlny"/>
    <w:uiPriority w:val="34"/>
    <w:qFormat/>
    <w:rsid w:val="00EE4C99"/>
    <w:pPr>
      <w:ind w:left="720"/>
      <w:contextualSpacing/>
    </w:pPr>
  </w:style>
  <w:style w:type="paragraph" w:customStyle="1" w:styleId="gmail-m-1648484718305530482msolistparagraph">
    <w:name w:val="gmail-m_-1648484718305530482msolistparagraph"/>
    <w:basedOn w:val="Normlny"/>
    <w:rsid w:val="00A50EE3"/>
    <w:pPr>
      <w:spacing w:before="100" w:beforeAutospacing="1" w:after="100" w:afterAutospacing="1" w:line="240" w:lineRule="auto"/>
    </w:pPr>
    <w:rPr>
      <w:rFonts w:ascii="Calibri" w:hAnsi="Calibri" w:cs="Calibri"/>
      <w:lang w:eastAsia="sk-SK"/>
    </w:rPr>
  </w:style>
  <w:style w:type="paragraph" w:styleId="Textpoznmkypodiarou">
    <w:name w:val="footnote text"/>
    <w:basedOn w:val="Normlny"/>
    <w:link w:val="TextpoznmkypodiarouChar"/>
    <w:uiPriority w:val="99"/>
    <w:semiHidden/>
    <w:unhideWhenUsed/>
    <w:rsid w:val="00C929A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929AE"/>
    <w:rPr>
      <w:sz w:val="20"/>
      <w:szCs w:val="20"/>
    </w:rPr>
  </w:style>
  <w:style w:type="character" w:styleId="Odkaznapoznmkupodiarou">
    <w:name w:val="footnote reference"/>
    <w:basedOn w:val="Predvolenpsmoodseku"/>
    <w:uiPriority w:val="99"/>
    <w:semiHidden/>
    <w:unhideWhenUsed/>
    <w:rsid w:val="00C929AE"/>
    <w:rPr>
      <w:vertAlign w:val="superscript"/>
    </w:rPr>
  </w:style>
  <w:style w:type="paragraph" w:styleId="Revzia">
    <w:name w:val="Revision"/>
    <w:hidden/>
    <w:uiPriority w:val="99"/>
    <w:semiHidden/>
    <w:rsid w:val="00DE6ACB"/>
    <w:pPr>
      <w:spacing w:after="0" w:line="240" w:lineRule="auto"/>
    </w:pPr>
  </w:style>
  <w:style w:type="character" w:styleId="Hypertextovprepojenie">
    <w:name w:val="Hyperlink"/>
    <w:basedOn w:val="Predvolenpsmoodseku"/>
    <w:uiPriority w:val="99"/>
    <w:unhideWhenUsed/>
    <w:rsid w:val="00393BA0"/>
    <w:rPr>
      <w:color w:val="0563C1" w:themeColor="hyperlink"/>
      <w:u w:val="single"/>
    </w:rPr>
  </w:style>
  <w:style w:type="paragraph" w:styleId="Zkladntext">
    <w:name w:val="Body Text"/>
    <w:basedOn w:val="Normlny"/>
    <w:link w:val="ZkladntextChar"/>
    <w:uiPriority w:val="99"/>
    <w:semiHidden/>
    <w:rsid w:val="001C7331"/>
    <w:pPr>
      <w:widowControl w:val="0"/>
      <w:adjustRightInd w:val="0"/>
      <w:spacing w:after="0" w:line="240" w:lineRule="auto"/>
      <w:jc w:val="center"/>
    </w:pPr>
    <w:rPr>
      <w:rFonts w:ascii="Times New Roman" w:eastAsia="Times New Roman" w:hAnsi="Times New Roman" w:cs="Times New Roman"/>
      <w:b/>
      <w:bCs/>
      <w:sz w:val="28"/>
      <w:szCs w:val="28"/>
      <w:lang w:eastAsia="sk-SK"/>
    </w:rPr>
  </w:style>
  <w:style w:type="character" w:customStyle="1" w:styleId="ZkladntextChar">
    <w:name w:val="Základný text Char"/>
    <w:basedOn w:val="Predvolenpsmoodseku"/>
    <w:link w:val="Zkladntext"/>
    <w:uiPriority w:val="99"/>
    <w:semiHidden/>
    <w:rsid w:val="001C7331"/>
    <w:rPr>
      <w:rFonts w:ascii="Times New Roman" w:eastAsia="Times New Roman" w:hAnsi="Times New Roman" w:cs="Times New Roman"/>
      <w:b/>
      <w:bCs/>
      <w:sz w:val="28"/>
      <w:szCs w:val="2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17862">
      <w:bodyDiv w:val="1"/>
      <w:marLeft w:val="0"/>
      <w:marRight w:val="0"/>
      <w:marTop w:val="0"/>
      <w:marBottom w:val="0"/>
      <w:divBdr>
        <w:top w:val="none" w:sz="0" w:space="0" w:color="auto"/>
        <w:left w:val="none" w:sz="0" w:space="0" w:color="auto"/>
        <w:bottom w:val="none" w:sz="0" w:space="0" w:color="auto"/>
        <w:right w:val="none" w:sz="0" w:space="0" w:color="auto"/>
      </w:divBdr>
    </w:div>
    <w:div w:id="101582348">
      <w:bodyDiv w:val="1"/>
      <w:marLeft w:val="0"/>
      <w:marRight w:val="0"/>
      <w:marTop w:val="0"/>
      <w:marBottom w:val="0"/>
      <w:divBdr>
        <w:top w:val="none" w:sz="0" w:space="0" w:color="auto"/>
        <w:left w:val="none" w:sz="0" w:space="0" w:color="auto"/>
        <w:bottom w:val="none" w:sz="0" w:space="0" w:color="auto"/>
        <w:right w:val="none" w:sz="0" w:space="0" w:color="auto"/>
      </w:divBdr>
    </w:div>
    <w:div w:id="253713910">
      <w:bodyDiv w:val="1"/>
      <w:marLeft w:val="0"/>
      <w:marRight w:val="0"/>
      <w:marTop w:val="0"/>
      <w:marBottom w:val="0"/>
      <w:divBdr>
        <w:top w:val="none" w:sz="0" w:space="0" w:color="auto"/>
        <w:left w:val="none" w:sz="0" w:space="0" w:color="auto"/>
        <w:bottom w:val="none" w:sz="0" w:space="0" w:color="auto"/>
        <w:right w:val="none" w:sz="0" w:space="0" w:color="auto"/>
      </w:divBdr>
    </w:div>
    <w:div w:id="264073756">
      <w:bodyDiv w:val="1"/>
      <w:marLeft w:val="0"/>
      <w:marRight w:val="0"/>
      <w:marTop w:val="0"/>
      <w:marBottom w:val="0"/>
      <w:divBdr>
        <w:top w:val="none" w:sz="0" w:space="0" w:color="auto"/>
        <w:left w:val="none" w:sz="0" w:space="0" w:color="auto"/>
        <w:bottom w:val="none" w:sz="0" w:space="0" w:color="auto"/>
        <w:right w:val="none" w:sz="0" w:space="0" w:color="auto"/>
      </w:divBdr>
    </w:div>
    <w:div w:id="348261086">
      <w:bodyDiv w:val="1"/>
      <w:marLeft w:val="0"/>
      <w:marRight w:val="0"/>
      <w:marTop w:val="0"/>
      <w:marBottom w:val="0"/>
      <w:divBdr>
        <w:top w:val="none" w:sz="0" w:space="0" w:color="auto"/>
        <w:left w:val="none" w:sz="0" w:space="0" w:color="auto"/>
        <w:bottom w:val="none" w:sz="0" w:space="0" w:color="auto"/>
        <w:right w:val="none" w:sz="0" w:space="0" w:color="auto"/>
      </w:divBdr>
    </w:div>
    <w:div w:id="348797041">
      <w:bodyDiv w:val="1"/>
      <w:marLeft w:val="0"/>
      <w:marRight w:val="0"/>
      <w:marTop w:val="0"/>
      <w:marBottom w:val="0"/>
      <w:divBdr>
        <w:top w:val="none" w:sz="0" w:space="0" w:color="auto"/>
        <w:left w:val="none" w:sz="0" w:space="0" w:color="auto"/>
        <w:bottom w:val="none" w:sz="0" w:space="0" w:color="auto"/>
        <w:right w:val="none" w:sz="0" w:space="0" w:color="auto"/>
      </w:divBdr>
    </w:div>
    <w:div w:id="467238227">
      <w:bodyDiv w:val="1"/>
      <w:marLeft w:val="0"/>
      <w:marRight w:val="0"/>
      <w:marTop w:val="0"/>
      <w:marBottom w:val="0"/>
      <w:divBdr>
        <w:top w:val="none" w:sz="0" w:space="0" w:color="auto"/>
        <w:left w:val="none" w:sz="0" w:space="0" w:color="auto"/>
        <w:bottom w:val="none" w:sz="0" w:space="0" w:color="auto"/>
        <w:right w:val="none" w:sz="0" w:space="0" w:color="auto"/>
      </w:divBdr>
    </w:div>
    <w:div w:id="627048967">
      <w:bodyDiv w:val="1"/>
      <w:marLeft w:val="0"/>
      <w:marRight w:val="0"/>
      <w:marTop w:val="0"/>
      <w:marBottom w:val="0"/>
      <w:divBdr>
        <w:top w:val="none" w:sz="0" w:space="0" w:color="auto"/>
        <w:left w:val="none" w:sz="0" w:space="0" w:color="auto"/>
        <w:bottom w:val="none" w:sz="0" w:space="0" w:color="auto"/>
        <w:right w:val="none" w:sz="0" w:space="0" w:color="auto"/>
      </w:divBdr>
    </w:div>
    <w:div w:id="747580039">
      <w:bodyDiv w:val="1"/>
      <w:marLeft w:val="0"/>
      <w:marRight w:val="0"/>
      <w:marTop w:val="0"/>
      <w:marBottom w:val="0"/>
      <w:divBdr>
        <w:top w:val="none" w:sz="0" w:space="0" w:color="auto"/>
        <w:left w:val="none" w:sz="0" w:space="0" w:color="auto"/>
        <w:bottom w:val="none" w:sz="0" w:space="0" w:color="auto"/>
        <w:right w:val="none" w:sz="0" w:space="0" w:color="auto"/>
      </w:divBdr>
    </w:div>
    <w:div w:id="897276704">
      <w:bodyDiv w:val="1"/>
      <w:marLeft w:val="0"/>
      <w:marRight w:val="0"/>
      <w:marTop w:val="0"/>
      <w:marBottom w:val="0"/>
      <w:divBdr>
        <w:top w:val="none" w:sz="0" w:space="0" w:color="auto"/>
        <w:left w:val="none" w:sz="0" w:space="0" w:color="auto"/>
        <w:bottom w:val="none" w:sz="0" w:space="0" w:color="auto"/>
        <w:right w:val="none" w:sz="0" w:space="0" w:color="auto"/>
      </w:divBdr>
    </w:div>
    <w:div w:id="1098526378">
      <w:bodyDiv w:val="1"/>
      <w:marLeft w:val="0"/>
      <w:marRight w:val="0"/>
      <w:marTop w:val="0"/>
      <w:marBottom w:val="0"/>
      <w:divBdr>
        <w:top w:val="none" w:sz="0" w:space="0" w:color="auto"/>
        <w:left w:val="none" w:sz="0" w:space="0" w:color="auto"/>
        <w:bottom w:val="none" w:sz="0" w:space="0" w:color="auto"/>
        <w:right w:val="none" w:sz="0" w:space="0" w:color="auto"/>
      </w:divBdr>
    </w:div>
    <w:div w:id="1099058068">
      <w:bodyDiv w:val="1"/>
      <w:marLeft w:val="0"/>
      <w:marRight w:val="0"/>
      <w:marTop w:val="0"/>
      <w:marBottom w:val="0"/>
      <w:divBdr>
        <w:top w:val="none" w:sz="0" w:space="0" w:color="auto"/>
        <w:left w:val="none" w:sz="0" w:space="0" w:color="auto"/>
        <w:bottom w:val="none" w:sz="0" w:space="0" w:color="auto"/>
        <w:right w:val="none" w:sz="0" w:space="0" w:color="auto"/>
      </w:divBdr>
    </w:div>
    <w:div w:id="1142238006">
      <w:bodyDiv w:val="1"/>
      <w:marLeft w:val="0"/>
      <w:marRight w:val="0"/>
      <w:marTop w:val="0"/>
      <w:marBottom w:val="0"/>
      <w:divBdr>
        <w:top w:val="none" w:sz="0" w:space="0" w:color="auto"/>
        <w:left w:val="none" w:sz="0" w:space="0" w:color="auto"/>
        <w:bottom w:val="none" w:sz="0" w:space="0" w:color="auto"/>
        <w:right w:val="none" w:sz="0" w:space="0" w:color="auto"/>
      </w:divBdr>
    </w:div>
    <w:div w:id="1246376856">
      <w:bodyDiv w:val="1"/>
      <w:marLeft w:val="0"/>
      <w:marRight w:val="0"/>
      <w:marTop w:val="0"/>
      <w:marBottom w:val="0"/>
      <w:divBdr>
        <w:top w:val="none" w:sz="0" w:space="0" w:color="auto"/>
        <w:left w:val="none" w:sz="0" w:space="0" w:color="auto"/>
        <w:bottom w:val="none" w:sz="0" w:space="0" w:color="auto"/>
        <w:right w:val="none" w:sz="0" w:space="0" w:color="auto"/>
      </w:divBdr>
    </w:div>
    <w:div w:id="1312245496">
      <w:bodyDiv w:val="1"/>
      <w:marLeft w:val="0"/>
      <w:marRight w:val="0"/>
      <w:marTop w:val="0"/>
      <w:marBottom w:val="0"/>
      <w:divBdr>
        <w:top w:val="none" w:sz="0" w:space="0" w:color="auto"/>
        <w:left w:val="none" w:sz="0" w:space="0" w:color="auto"/>
        <w:bottom w:val="none" w:sz="0" w:space="0" w:color="auto"/>
        <w:right w:val="none" w:sz="0" w:space="0" w:color="auto"/>
      </w:divBdr>
    </w:div>
    <w:div w:id="1336617123">
      <w:bodyDiv w:val="1"/>
      <w:marLeft w:val="0"/>
      <w:marRight w:val="0"/>
      <w:marTop w:val="0"/>
      <w:marBottom w:val="0"/>
      <w:divBdr>
        <w:top w:val="none" w:sz="0" w:space="0" w:color="auto"/>
        <w:left w:val="none" w:sz="0" w:space="0" w:color="auto"/>
        <w:bottom w:val="none" w:sz="0" w:space="0" w:color="auto"/>
        <w:right w:val="none" w:sz="0" w:space="0" w:color="auto"/>
      </w:divBdr>
    </w:div>
    <w:div w:id="1423917238">
      <w:bodyDiv w:val="1"/>
      <w:marLeft w:val="0"/>
      <w:marRight w:val="0"/>
      <w:marTop w:val="0"/>
      <w:marBottom w:val="0"/>
      <w:divBdr>
        <w:top w:val="none" w:sz="0" w:space="0" w:color="auto"/>
        <w:left w:val="none" w:sz="0" w:space="0" w:color="auto"/>
        <w:bottom w:val="none" w:sz="0" w:space="0" w:color="auto"/>
        <w:right w:val="none" w:sz="0" w:space="0" w:color="auto"/>
      </w:divBdr>
    </w:div>
    <w:div w:id="1640454007">
      <w:bodyDiv w:val="1"/>
      <w:marLeft w:val="0"/>
      <w:marRight w:val="0"/>
      <w:marTop w:val="0"/>
      <w:marBottom w:val="0"/>
      <w:divBdr>
        <w:top w:val="none" w:sz="0" w:space="0" w:color="auto"/>
        <w:left w:val="none" w:sz="0" w:space="0" w:color="auto"/>
        <w:bottom w:val="none" w:sz="0" w:space="0" w:color="auto"/>
        <w:right w:val="none" w:sz="0" w:space="0" w:color="auto"/>
      </w:divBdr>
    </w:div>
    <w:div w:id="1756516482">
      <w:bodyDiv w:val="1"/>
      <w:marLeft w:val="0"/>
      <w:marRight w:val="0"/>
      <w:marTop w:val="0"/>
      <w:marBottom w:val="0"/>
      <w:divBdr>
        <w:top w:val="none" w:sz="0" w:space="0" w:color="auto"/>
        <w:left w:val="none" w:sz="0" w:space="0" w:color="auto"/>
        <w:bottom w:val="none" w:sz="0" w:space="0" w:color="auto"/>
        <w:right w:val="none" w:sz="0" w:space="0" w:color="auto"/>
      </w:divBdr>
    </w:div>
    <w:div w:id="1992371052">
      <w:bodyDiv w:val="1"/>
      <w:marLeft w:val="0"/>
      <w:marRight w:val="0"/>
      <w:marTop w:val="0"/>
      <w:marBottom w:val="0"/>
      <w:divBdr>
        <w:top w:val="none" w:sz="0" w:space="0" w:color="auto"/>
        <w:left w:val="none" w:sz="0" w:space="0" w:color="auto"/>
        <w:bottom w:val="none" w:sz="0" w:space="0" w:color="auto"/>
        <w:right w:val="none" w:sz="0" w:space="0" w:color="auto"/>
      </w:divBdr>
    </w:div>
    <w:div w:id="209285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lov-lex.sk/legislativne-procesy/SK/LP/2020/587"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slov-lex.sk/legislativne-procesy/SK/PI/2021/1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hyperlink" Target="http://www.slovensko.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Priloha-3a-AVnaPP-do-MPK"/>
    <f:field ref="objsubject" par="" edit="true" text=""/>
    <f:field ref="objcreatedby" par="" text="Pavlíková, Katarína, Mgr."/>
    <f:field ref="objcreatedat" par="" text="10.11.2022 9:46:51"/>
    <f:field ref="objchangedby" par="" text="Administrator, System"/>
    <f:field ref="objmodifiedat" par="" text="10.11.2022 9:46:5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9C67146-EAB4-49B1-8C7F-C29E32FE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9070</Words>
  <Characters>51699</Characters>
  <DocSecurity>0</DocSecurity>
  <Lines>430</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2024-10-04T10:13:00Z</cp:lastPrinted>
  <dcterms:created xsi:type="dcterms:W3CDTF">2025-10-20T10:48:00Z</dcterms:created>
  <dcterms:modified xsi:type="dcterms:W3CDTF">2025-10-28T11:05:00Z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COO.2145.1000.3.5328105</vt:lpwstr>
  </property>
  <property fmtid="{D5CDD505-2E9C-101B-9397-08002B2CF9AE}" pid="152" name="FSC#FSCFOLIO@1.1001:docpropproject">
    <vt:lpwstr/>
  </property>
</Properties>
</file>