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20AC" w14:textId="61AAF1E2" w:rsidR="00113AE4" w:rsidRPr="00612E08" w:rsidRDefault="00AA7DED" w:rsidP="00AA7D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="00A340BB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</w:p>
    <w:p w14:paraId="55663934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DAD6E1C" w14:textId="77777777" w:rsidR="001B23B7" w:rsidRPr="00612E08" w:rsidRDefault="001B23B7" w:rsidP="00482C38">
      <w:pPr>
        <w:spacing w:after="200" w:line="276" w:lineRule="auto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128491F6" w14:textId="77777777" w:rsidTr="00FD71BF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1166096F" w14:textId="77777777" w:rsidR="001B23B7" w:rsidRPr="00612E08" w:rsidRDefault="001B23B7" w:rsidP="00FD71B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71B9A1BB" w14:textId="77777777" w:rsidTr="00FD71BF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2E04B69" w14:textId="77777777" w:rsidR="001B23B7" w:rsidRPr="00612E08" w:rsidRDefault="001B23B7" w:rsidP="00FD71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4C765212" w14:textId="77777777" w:rsidTr="00FD71BF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797E71AD" w14:textId="59CED3FC" w:rsidR="001B23B7" w:rsidRPr="00612E08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</w:t>
            </w:r>
            <w:r w:rsidR="004965F4" w:rsidRPr="004965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obchodnom registri a o zmene a doplnení niektorých zákonov (zákon o obchodnom registri)</w:t>
            </w:r>
          </w:p>
          <w:p w14:paraId="02DBFC9A" w14:textId="77777777" w:rsidR="001B23B7" w:rsidRPr="00612E08" w:rsidRDefault="001B23B7" w:rsidP="00FD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2F36DA4" w14:textId="77777777" w:rsidTr="00FD71B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2376A3C" w14:textId="77777777" w:rsidR="001B23B7" w:rsidRPr="00612E08" w:rsidRDefault="001B23B7" w:rsidP="00FD71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6572CDB4" w14:textId="77777777" w:rsidTr="00FD71B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21181" w14:textId="77777777" w:rsidR="00E80D48" w:rsidRPr="00B043B4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spravodlivosti Slovenskej republiky</w:t>
            </w:r>
          </w:p>
          <w:p w14:paraId="33267567" w14:textId="77777777" w:rsidR="001B23B7" w:rsidRPr="00612E08" w:rsidRDefault="001B23B7" w:rsidP="00FD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C92BDF0" w14:textId="77777777" w:rsidTr="00FD71B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004A51B4" w14:textId="77777777" w:rsidR="001B23B7" w:rsidRPr="00612E08" w:rsidRDefault="001B23B7" w:rsidP="00FD71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E2D1BAA" w14:textId="77777777" w:rsidR="001B23B7" w:rsidRPr="00612E08" w:rsidRDefault="000013C3" w:rsidP="00FD71B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B2837" w14:textId="77777777" w:rsidR="001B23B7" w:rsidRPr="00612E08" w:rsidRDefault="001B23B7" w:rsidP="00FD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3E28797B" w14:textId="77777777" w:rsidTr="00FD71B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48D98F9" w14:textId="77777777" w:rsidR="001B23B7" w:rsidRPr="00612E08" w:rsidRDefault="001B23B7" w:rsidP="00FD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7325ACD" w14:textId="77777777" w:rsidR="001B23B7" w:rsidRPr="00612E08" w:rsidRDefault="00E80D4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1D25C37" w14:textId="77777777" w:rsidR="001B23B7" w:rsidRPr="00612E08" w:rsidRDefault="001B23B7" w:rsidP="00FD71BF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2CFD5239" w14:textId="77777777" w:rsidTr="00FD71B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31C932CF" w14:textId="77777777" w:rsidR="001B23B7" w:rsidRPr="00612E08" w:rsidRDefault="001B23B7" w:rsidP="00FD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EAF01D9" w14:textId="77777777" w:rsidR="001B23B7" w:rsidRPr="00612E08" w:rsidRDefault="00640B62" w:rsidP="00FD71B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AE6A2B8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151142DA" w14:textId="77777777" w:rsidTr="00FD71B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0D482569" w14:textId="77777777" w:rsidR="001B23B7" w:rsidRPr="00532517" w:rsidRDefault="001B23B7" w:rsidP="00FD71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sk-SK"/>
              </w:rPr>
            </w:pPr>
          </w:p>
          <w:p w14:paraId="581D1EC1" w14:textId="28D2A2DB" w:rsidR="002B4685" w:rsidRPr="002B4685" w:rsidRDefault="00EF4CE8" w:rsidP="002B4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4685" w:rsidRPr="002B46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A0153" w:rsidRPr="00DA0153">
              <w:rPr>
                <w:rFonts w:ascii="Times New Roman" w:hAnsi="Times New Roman" w:cs="Times New Roman"/>
                <w:sz w:val="20"/>
                <w:szCs w:val="20"/>
              </w:rPr>
              <w:t>smernica Európskeho parlamentu a Rady 2009/102/ES zo 16. septembra 2009 v oblasti práva obchodných spoločností o spoločnostiach s ručením obmedzeným s jediným spoločníkom (kodifikované znenie) (Ú. v. EÚ L 258, 1.10.2009) v platnom znení</w:t>
            </w:r>
          </w:p>
          <w:p w14:paraId="7031C833" w14:textId="77777777" w:rsidR="002B4685" w:rsidRPr="002B4685" w:rsidRDefault="002B4685" w:rsidP="002B4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A308F" w14:textId="33BE73F1" w:rsidR="002B4685" w:rsidRPr="002B4685" w:rsidRDefault="00EF4CE8" w:rsidP="002B4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4685" w:rsidRPr="002B46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A0153" w:rsidRPr="00DA0153">
              <w:rPr>
                <w:rFonts w:ascii="Times New Roman" w:hAnsi="Times New Roman" w:cs="Times New Roman"/>
                <w:sz w:val="20"/>
                <w:szCs w:val="20"/>
              </w:rPr>
              <w:t>smernica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 (Ú. v. EÚ L 182, 29.6.2013) v platnom znení</w:t>
            </w:r>
          </w:p>
          <w:p w14:paraId="0D85A44F" w14:textId="77777777" w:rsidR="002B4685" w:rsidRPr="002B4685" w:rsidRDefault="002B4685" w:rsidP="002B4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90EEE" w14:textId="2C72A9DC" w:rsidR="00FC63BC" w:rsidRDefault="00EF4CE8" w:rsidP="002B4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4685" w:rsidRPr="002B46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A0153" w:rsidRPr="00DA0153">
              <w:rPr>
                <w:rFonts w:ascii="Times New Roman" w:hAnsi="Times New Roman" w:cs="Times New Roman"/>
                <w:sz w:val="20"/>
                <w:szCs w:val="20"/>
              </w:rPr>
              <w:t xml:space="preserve">smernica Európskeho parlamentu a Rady (EÚ) 2015/849 z 20. mája 2015 o predchádzaní využívaniu finančného systému na účely prania špinavých peňazí alebo financovania terorizmu, ktorou sa mení nariadenie Európskeho parlamentu a Rady (EÚ) č. 648/2012 a zrušuje smernica Európskeho parlamentu a Rady 2005/60/ES a smernica Komisie 2006/70/ES (Ú. v. EÚ L 141, 5.6.2015) v platnom znení </w:t>
            </w:r>
          </w:p>
          <w:p w14:paraId="53191008" w14:textId="77777777" w:rsidR="00FC63BC" w:rsidRDefault="00FC63BC" w:rsidP="002B4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00C86" w14:textId="45EB376F" w:rsidR="00DA0153" w:rsidRDefault="00EF4CE8" w:rsidP="002B4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B4685" w:rsidRPr="002B46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A0153" w:rsidRPr="00DA0153">
              <w:rPr>
                <w:rFonts w:ascii="Times New Roman" w:hAnsi="Times New Roman" w:cs="Times New Roman"/>
                <w:sz w:val="20"/>
                <w:szCs w:val="20"/>
              </w:rPr>
              <w:t xml:space="preserve">smernica Európskeho parlamentu a Rady (EÚ) 2017/1132 zo 14. júna 2017 týkajúca sa niektorých aspektov práva obchodných spoločností (kodifikované znenie) (Ú. v. EÚ L 169, 30.6.2017) v platnom znení </w:t>
            </w:r>
          </w:p>
          <w:p w14:paraId="435E55E0" w14:textId="01EC81FB" w:rsidR="002B4685" w:rsidRPr="00612E08" w:rsidRDefault="002B4685" w:rsidP="00FD71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C208755" w14:textId="77777777" w:rsidTr="00FD71BF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23E5BD1" w14:textId="77777777" w:rsidR="001B23B7" w:rsidRPr="00612E08" w:rsidRDefault="001B23B7" w:rsidP="00FD71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ABA" w14:textId="79A2795B" w:rsidR="001B23B7" w:rsidRPr="00D93940" w:rsidRDefault="004965F4" w:rsidP="00FD71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marec</w:t>
            </w:r>
            <w:r w:rsidR="00B60FFA" w:rsidRPr="00D9394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2025</w:t>
            </w:r>
          </w:p>
        </w:tc>
      </w:tr>
      <w:tr w:rsidR="00612E08" w:rsidRPr="00612E08" w14:paraId="1BE15650" w14:textId="77777777" w:rsidTr="00FD71BF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6F47F7A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3C9D" w14:textId="1A7754C1" w:rsidR="001B23B7" w:rsidRPr="00D93940" w:rsidRDefault="004965F4" w:rsidP="00FD71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apríl</w:t>
            </w:r>
            <w:r w:rsidR="00B60FFA" w:rsidRPr="00D9394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2025</w:t>
            </w:r>
          </w:p>
        </w:tc>
      </w:tr>
      <w:tr w:rsidR="00612E08" w:rsidRPr="00612E08" w14:paraId="691B5C1A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EB8F788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64A" w14:textId="77777777" w:rsidR="001B23B7" w:rsidRPr="00D93940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09797F8A" w14:textId="77777777" w:rsidTr="00FD71BF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9A94CA0" w14:textId="77777777" w:rsidR="001B23B7" w:rsidRPr="00612E08" w:rsidRDefault="001B23B7" w:rsidP="00FD71BF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87A4" w14:textId="181AB626" w:rsidR="001B23B7" w:rsidRPr="00D93940" w:rsidRDefault="001F2AF5" w:rsidP="00FD71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október</w:t>
            </w:r>
            <w:r w:rsidRPr="00D9394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E80D48" w:rsidRPr="00D9394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</w:t>
            </w:r>
            <w:r w:rsidR="00B60F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</w:p>
        </w:tc>
      </w:tr>
      <w:tr w:rsidR="00612E08" w:rsidRPr="00612E08" w14:paraId="4F11637F" w14:textId="77777777" w:rsidTr="00FD71BF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1E8643" w14:textId="77777777" w:rsidR="001B23B7" w:rsidRPr="00612E08" w:rsidRDefault="001B23B7" w:rsidP="00FD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C82971B" w14:textId="77777777" w:rsidTr="00FD71B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22F0F3" w14:textId="77777777" w:rsidR="001B23B7" w:rsidRPr="00612E08" w:rsidRDefault="001B23B7" w:rsidP="00FD71B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4AD10971" w14:textId="77777777" w:rsidTr="00FD71BF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BD82D" w14:textId="77777777" w:rsidR="001B23B7" w:rsidRPr="0056491C" w:rsidRDefault="0056491C" w:rsidP="0056491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649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Aplikačná prax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 vývoj poukázali </w:t>
            </w:r>
            <w:r w:rsidRPr="005649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potrebu zásadnejšej a komplexnejšej reformy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právnej úpravy vedenia obchodného registra</w:t>
            </w:r>
            <w:r w:rsidRPr="005649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ktorá by reflektovala na požiadavky súčasnej doby, aktuálny stav právnej úpravy v okolitých štátoch EÚ a technický vývoj v tomto segmente.</w:t>
            </w:r>
          </w:p>
        </w:tc>
      </w:tr>
      <w:tr w:rsidR="00612E08" w:rsidRPr="00612E08" w14:paraId="2BFC7867" w14:textId="77777777" w:rsidTr="00FD71B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0641EBF" w14:textId="77777777" w:rsidR="001B23B7" w:rsidRPr="00612E08" w:rsidRDefault="001B23B7" w:rsidP="00FD71B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6577ABDC" w14:textId="77777777" w:rsidTr="00FD71BF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213A" w14:textId="77777777" w:rsidR="00FD71BF" w:rsidRDefault="00FD71BF" w:rsidP="005649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E4B468C" w14:textId="37C47437" w:rsidR="002B4685" w:rsidRDefault="0056491C" w:rsidP="005649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649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návrhu zákona je predovšetkým snaha o vytvorenie komplexného hmotnoprávneho a procesnoprávneho prístupu v úprave vedenia obchodného registra tak, aby sa v jednom právnom predpise sústredila prevažná časť množiny pravidiel, ktoré sú aktuálne parciálne upravené v rôznych právnych predpisoch. </w:t>
            </w:r>
          </w:p>
          <w:p w14:paraId="327835A4" w14:textId="77777777" w:rsidR="002B4685" w:rsidRDefault="002B4685" w:rsidP="005649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FA3DA4B" w14:textId="35530DF5" w:rsidR="001B23B7" w:rsidRDefault="0056491C" w:rsidP="005649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649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ďalej reaguje na potreby aplikačnej praxe a požiadavky elektronizácie procesov verejnej moci. </w:t>
            </w:r>
          </w:p>
          <w:p w14:paraId="18984471" w14:textId="25E7340D" w:rsidR="002B4685" w:rsidRDefault="002B4685" w:rsidP="00877597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1C3BAC83" w14:textId="77777777" w:rsidR="002B4685" w:rsidRDefault="002B4685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B4685">
              <w:rPr>
                <w:sz w:val="20"/>
                <w:szCs w:val="20"/>
              </w:rPr>
              <w:t>ávrh zákona má za cieľ znížiť admi</w:t>
            </w:r>
            <w:r>
              <w:rPr>
                <w:sz w:val="20"/>
                <w:szCs w:val="20"/>
              </w:rPr>
              <w:t>nistratívnu záťaž podnikateľov:</w:t>
            </w:r>
          </w:p>
          <w:p w14:paraId="4EE5C835" w14:textId="06049706" w:rsidR="002B4685" w:rsidRPr="002B4685" w:rsidRDefault="002B4685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B4685">
              <w:rPr>
                <w:sz w:val="20"/>
                <w:szCs w:val="20"/>
              </w:rPr>
              <w:t>zavedením právnej záväznosti údajov zverejnených online –– bez potreby preukazovať údaje v obchodnom styku,</w:t>
            </w:r>
          </w:p>
          <w:p w14:paraId="603E7916" w14:textId="77777777" w:rsidR="002B4685" w:rsidRPr="002B4685" w:rsidRDefault="002B4685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B4685">
              <w:rPr>
                <w:sz w:val="20"/>
                <w:szCs w:val="20"/>
              </w:rPr>
              <w:t xml:space="preserve">- zabezpečením </w:t>
            </w:r>
            <w:proofErr w:type="spellStart"/>
            <w:r w:rsidRPr="002B4685">
              <w:rPr>
                <w:sz w:val="20"/>
                <w:szCs w:val="20"/>
              </w:rPr>
              <w:t>referencovania</w:t>
            </w:r>
            <w:proofErr w:type="spellEnd"/>
            <w:r w:rsidRPr="002B4685">
              <w:rPr>
                <w:sz w:val="20"/>
                <w:szCs w:val="20"/>
              </w:rPr>
              <w:t xml:space="preserve"> údajov širšími možnosťami prepojenia s ostatnými registrami,</w:t>
            </w:r>
          </w:p>
          <w:p w14:paraId="57B8270B" w14:textId="77777777" w:rsidR="002B4685" w:rsidRPr="002B4685" w:rsidRDefault="002B4685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B4685">
              <w:rPr>
                <w:sz w:val="20"/>
                <w:szCs w:val="20"/>
              </w:rPr>
              <w:t>- umožnením rezervácie obchodného mena spoločnosti s cieľom umožnenia budovania podnikateľskej značky a identity,</w:t>
            </w:r>
          </w:p>
          <w:p w14:paraId="4EBEB9F8" w14:textId="77777777" w:rsidR="002B4685" w:rsidRPr="002B4685" w:rsidRDefault="002B4685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B4685">
              <w:rPr>
                <w:sz w:val="20"/>
                <w:szCs w:val="20"/>
              </w:rPr>
              <w:t>- povolením registrácie určeného rozsahu živností bez potreby získania živnostenského oprávnenia,</w:t>
            </w:r>
          </w:p>
          <w:p w14:paraId="05F14B4B" w14:textId="1F8674E7" w:rsidR="002B4685" w:rsidRDefault="002B4685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B4685">
              <w:rPr>
                <w:sz w:val="20"/>
                <w:szCs w:val="20"/>
              </w:rPr>
              <w:lastRenderedPageBreak/>
              <w:t xml:space="preserve">- rozšírením možnosti vykonávať zápisy registrátorom (notárom) na </w:t>
            </w:r>
            <w:r w:rsidR="00E8262C">
              <w:rPr>
                <w:sz w:val="20"/>
                <w:szCs w:val="20"/>
              </w:rPr>
              <w:t>prvozápisy a zmeny všetkých právnych foriem</w:t>
            </w:r>
            <w:r w:rsidRPr="002B4685">
              <w:rPr>
                <w:sz w:val="20"/>
                <w:szCs w:val="20"/>
              </w:rPr>
              <w:t xml:space="preserve"> (zrýchlenie zápisu, rozšírenie počtu registračných miest pre podnikateľov</w:t>
            </w:r>
            <w:r w:rsidR="00E8262C">
              <w:rPr>
                <w:sz w:val="20"/>
                <w:szCs w:val="20"/>
              </w:rPr>
              <w:t xml:space="preserve">, pričom vykonávanie výmazov </w:t>
            </w:r>
            <w:r w:rsidR="001E6A8D">
              <w:rPr>
                <w:sz w:val="20"/>
                <w:szCs w:val="20"/>
              </w:rPr>
              <w:t xml:space="preserve">zapísaných osôb </w:t>
            </w:r>
            <w:r w:rsidR="00E8262C">
              <w:rPr>
                <w:sz w:val="20"/>
                <w:szCs w:val="20"/>
              </w:rPr>
              <w:t>ostáva na registrových súdoch</w:t>
            </w:r>
            <w:r w:rsidRPr="002B4685">
              <w:rPr>
                <w:sz w:val="20"/>
                <w:szCs w:val="20"/>
              </w:rPr>
              <w:t>)</w:t>
            </w:r>
            <w:r w:rsidR="00E8262C">
              <w:rPr>
                <w:sz w:val="20"/>
                <w:szCs w:val="20"/>
              </w:rPr>
              <w:t>.</w:t>
            </w:r>
            <w:r w:rsidRPr="002B4685">
              <w:rPr>
                <w:sz w:val="20"/>
                <w:szCs w:val="20"/>
              </w:rPr>
              <w:t xml:space="preserve"> </w:t>
            </w:r>
          </w:p>
          <w:p w14:paraId="0459871B" w14:textId="77777777" w:rsidR="002B4685" w:rsidRPr="002B4685" w:rsidRDefault="002B4685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14E23AD0" w14:textId="2C117980" w:rsidR="002B4685" w:rsidRDefault="002B4685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B4685">
              <w:rPr>
                <w:sz w:val="20"/>
                <w:szCs w:val="20"/>
              </w:rPr>
              <w:t>Všetky zápisy v súčasnosti obsiahnuté v obchodnom registri ostávajú v platnosti, a to bez potreby ich doplnenia či úpravy.</w:t>
            </w:r>
          </w:p>
          <w:p w14:paraId="356EF399" w14:textId="77777777" w:rsidR="002B4685" w:rsidRPr="002B4685" w:rsidRDefault="002B4685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5F70ABD" w14:textId="77777777" w:rsidR="002B4685" w:rsidRPr="002B4685" w:rsidRDefault="002B4685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B4685">
              <w:rPr>
                <w:sz w:val="20"/>
                <w:szCs w:val="20"/>
              </w:rPr>
              <w:t>Návrh zákona ďalej zavádza:</w:t>
            </w:r>
          </w:p>
          <w:p w14:paraId="347B3083" w14:textId="4AF965A5" w:rsidR="00B60FFA" w:rsidRDefault="002B4685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B4685">
              <w:rPr>
                <w:sz w:val="20"/>
                <w:szCs w:val="20"/>
              </w:rPr>
              <w:t>- preventívnu kontrolu zakladateľských dokumentov obchodných spoločností s cieľom zabezpečiť lepšiu dôveryhodnosť údajov v obchodnom registri</w:t>
            </w:r>
            <w:r w:rsidR="00B60FFA">
              <w:rPr>
                <w:sz w:val="20"/>
                <w:szCs w:val="20"/>
              </w:rPr>
              <w:t>,</w:t>
            </w:r>
          </w:p>
          <w:p w14:paraId="0D557852" w14:textId="459B9066" w:rsidR="002B4685" w:rsidRDefault="00B60FFA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F2AF5">
              <w:rPr>
                <w:sz w:val="20"/>
                <w:szCs w:val="20"/>
              </w:rPr>
              <w:t xml:space="preserve">možnosť zastúpenia pri podaní návrhu na registráciu len advokátom, notárom alebo zamestnancom zapísanej osoby, s cieľom boja proti </w:t>
            </w:r>
            <w:proofErr w:type="spellStart"/>
            <w:r w:rsidR="001F2AF5">
              <w:rPr>
                <w:sz w:val="20"/>
                <w:szCs w:val="20"/>
              </w:rPr>
              <w:t>pokútnictvu</w:t>
            </w:r>
            <w:proofErr w:type="spellEnd"/>
            <w:r w:rsidR="001F2AF5">
              <w:rPr>
                <w:sz w:val="20"/>
                <w:szCs w:val="20"/>
              </w:rPr>
              <w:t xml:space="preserve">. </w:t>
            </w:r>
          </w:p>
          <w:p w14:paraId="1BFA1EAE" w14:textId="5106CF8F" w:rsidR="002B4685" w:rsidRPr="0056491C" w:rsidRDefault="002B4685" w:rsidP="002B4685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612E08" w:rsidRPr="00612E08" w14:paraId="65928643" w14:textId="77777777" w:rsidTr="00FD71B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B090F08" w14:textId="77777777" w:rsidR="001B23B7" w:rsidRPr="00612E08" w:rsidRDefault="001B23B7" w:rsidP="00FD71B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E80D48" w:rsidRPr="00612E08" w14:paraId="4299D954" w14:textId="77777777" w:rsidTr="00FD71BF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5A8CF" w14:textId="77777777" w:rsidR="00E80D48" w:rsidRPr="00B043B4" w:rsidRDefault="00E80D48" w:rsidP="00E80D4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80D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Právnické osoby, fyzické osoby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súdy, notári a ministerstvo </w:t>
            </w:r>
            <w:r w:rsidR="00EF628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spravodlivosti</w:t>
            </w:r>
          </w:p>
        </w:tc>
      </w:tr>
      <w:tr w:rsidR="00E80D48" w:rsidRPr="00612E08" w14:paraId="7E5DA3BB" w14:textId="77777777" w:rsidTr="00FD71B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33333F9" w14:textId="77777777" w:rsidR="00E80D48" w:rsidRPr="00612E08" w:rsidRDefault="00E80D48" w:rsidP="00E80D4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E80D48" w:rsidRPr="00612E08" w14:paraId="2B35C5D9" w14:textId="77777777" w:rsidTr="00FD71BF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F39B0" w14:textId="77777777" w:rsidR="00640B62" w:rsidRDefault="00640B62" w:rsidP="00640B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534FF6A" w14:textId="77777777" w:rsidR="00640B62" w:rsidRPr="00120314" w:rsidRDefault="00640B62" w:rsidP="00640B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Nulový variant: </w:t>
            </w:r>
          </w:p>
          <w:p w14:paraId="15330BFD" w14:textId="0A237D2C" w:rsidR="00E80D48" w:rsidRDefault="00640B62" w:rsidP="005325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203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 predstav</w:t>
            </w:r>
            <w:r w:rsidR="0087759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uje ponechanie súčasného stavu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Naďalej by existovala právna úprava vedenia obchodného registra</w:t>
            </w:r>
            <w:r w:rsidR="005325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ktorá nedostatočne reflektuje súčasné možnosti elekt</w:t>
            </w:r>
            <w:r w:rsidR="00BD6D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</w:t>
            </w:r>
            <w:r w:rsidR="005325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onizácie,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ako aj technické nastav</w:t>
            </w:r>
            <w:r w:rsidR="00E826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  <w:r w:rsidR="005325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systému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ktoré nezodpovedná technickému vývoju v danom segmente.</w:t>
            </w:r>
          </w:p>
          <w:p w14:paraId="26EE2E16" w14:textId="77777777" w:rsidR="00482C38" w:rsidRDefault="00482C38" w:rsidP="005325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35B53E7" w14:textId="77777777" w:rsidR="00482C38" w:rsidRDefault="00482C38" w:rsidP="005325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Alternatívne riešenie: </w:t>
            </w:r>
          </w:p>
          <w:p w14:paraId="0F420116" w14:textId="77777777" w:rsidR="00482C38" w:rsidRDefault="00482C38" w:rsidP="00A819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Novelizácia zákona č. 530/2003 Z. z. </w:t>
            </w:r>
            <w:r w:rsidRPr="00482C3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obchodnom registri a o zmene a doplnení niektorých zákonov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 by za súčasného zavedenia nového informačného systému obchodného registra </w:t>
            </w:r>
            <w:r w:rsidR="00933C1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spôsobila</w:t>
            </w:r>
            <w:r w:rsidR="00A8199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neprehľadnosť a nezrozumiteľnosť právnej úpravy. Uvedené by mohlo privodiť právnu neistotu v podnikateľských vzťahoch a preto </w:t>
            </w:r>
            <w:r w:rsidR="00933C1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sa </w:t>
            </w:r>
            <w:r w:rsidR="00A8199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uvedených </w:t>
            </w:r>
            <w:r w:rsidR="00933C1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dôvodov </w:t>
            </w:r>
            <w:r w:rsidR="00A8199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takéto alternatívne riešenie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nejaví ako vhodn</w:t>
            </w:r>
            <w:r w:rsidR="00A8199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  <w:p w14:paraId="5D373D41" w14:textId="774AE50C" w:rsidR="00FD71BF" w:rsidRPr="00640B62" w:rsidRDefault="00FD71BF" w:rsidP="00A819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0D48" w:rsidRPr="00612E08" w14:paraId="50781414" w14:textId="77777777" w:rsidTr="00FD71B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8F3EA80" w14:textId="77777777" w:rsidR="00E80D48" w:rsidRPr="00612E08" w:rsidRDefault="00E80D48" w:rsidP="00E80D4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E80D48" w:rsidRPr="00612E08" w14:paraId="1A8B1EB2" w14:textId="77777777" w:rsidTr="00FD71BF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A72C77" w14:textId="77777777" w:rsidR="00E80D48" w:rsidRPr="00612E08" w:rsidRDefault="00E80D48" w:rsidP="00E80D4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0D61ABF9" w14:textId="77777777" w:rsidR="00E80D48" w:rsidRPr="00612E08" w:rsidRDefault="00BB73B6" w:rsidP="00E80D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D4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E80D48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70F21A8" w14:textId="77777777" w:rsidR="00E80D48" w:rsidRPr="00612E08" w:rsidRDefault="00BB73B6" w:rsidP="00E80D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D48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E80D48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E80D48" w:rsidRPr="00612E08" w14:paraId="060F1274" w14:textId="77777777" w:rsidTr="00FD71BF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6575" w14:textId="77777777" w:rsidR="00E80D48" w:rsidRDefault="00E80D48" w:rsidP="00E80D4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43B22EB1" w14:textId="77777777" w:rsidR="00640B62" w:rsidRDefault="00640B62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5B61970" w14:textId="77777777" w:rsidR="00640B62" w:rsidRDefault="00640B62" w:rsidP="00E406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Predpokladá sa zrušenie nasledujúcich vykonávacích predpisov: </w:t>
            </w:r>
          </w:p>
          <w:p w14:paraId="55FAAF0F" w14:textId="77777777" w:rsidR="00532517" w:rsidRDefault="00532517" w:rsidP="00E406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1AB655" w14:textId="77777777" w:rsidR="00640B62" w:rsidRDefault="00397BAB" w:rsidP="00E406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97B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Vyhláška Ministerstva   spravodlivosti Slovenskej republiky č. 25/2004 Z. z., ktorou sa ustanovujú vzory tlačív na podávanie návrhov na zápis do obchodného registra a zoznam listín, ktoré je potrebné k návrhu na zápis priložiť</w:t>
            </w:r>
            <w:r w:rsidR="00E406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  <w:p w14:paraId="54D19339" w14:textId="77777777" w:rsidR="00D311A4" w:rsidRDefault="00D311A4" w:rsidP="00E406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11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Vyhláška Ministerstva spravodlivosti Slovenskej republiky č. 319/2007 Z. z. o postupe pri overovaní osobných údajov na účely elektronického konania vo veciach obchodného registra v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znení vyhlášky č. 80/2012 Z. z.</w:t>
            </w:r>
          </w:p>
          <w:p w14:paraId="0709E254" w14:textId="77777777" w:rsidR="00D311A4" w:rsidRDefault="00D311A4" w:rsidP="00E406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11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Vyhláška Ministerstva spravodlivosti Slovenskej republiky č. 246/2008 Z. z. o pravidlách a postupoch pri premene menovitej hodnoty vkladov do imania a menovitej hodnoty základných imaní zo slovenskej meny na eurá</w:t>
            </w:r>
          </w:p>
          <w:p w14:paraId="213C6438" w14:textId="7ECE179E" w:rsidR="00D311A4" w:rsidRDefault="00D311A4" w:rsidP="00E406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11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Vyhláška Ministerstva spravodlivosti Slovenskej republiky č. 24/2020 Z. z., ktorou sa ustanovuje vzor tlačiva na podanie návrhu na zápis, ktorým sa potvrdia zapísané údaje o podniku zahraničnej právnickej osoby, organizačnej zložke podniku zahraničnej právnickej osoby a o organizačnej zložke podniku slovenskej právnickej osoby v obchodnom registri</w:t>
            </w:r>
          </w:p>
          <w:p w14:paraId="24DD788F" w14:textId="77777777" w:rsidR="00D311A4" w:rsidRDefault="00D311A4" w:rsidP="00E406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11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Vyhláška Ministerstva spravodlivosti Slovenskej republiky č. 389/2023 Z. z. o registrácii údajov do obchodného registra registrátorom</w:t>
            </w:r>
          </w:p>
          <w:p w14:paraId="5F66D2F9" w14:textId="77777777" w:rsidR="00D311A4" w:rsidRDefault="00D311A4" w:rsidP="00E406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6B8902C" w14:textId="77777777" w:rsidR="00D311A4" w:rsidRDefault="00D311A4" w:rsidP="00E4065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9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Vo zvyšku sa predpokladá prijatie vykonávacích predpisov upravujúcich </w:t>
            </w:r>
            <w:r w:rsidR="003E01EF" w:rsidRPr="004119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nasledujúce</w:t>
            </w:r>
            <w:r w:rsidRPr="004119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oblasti: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7533DB4A" w14:textId="77777777" w:rsidR="002B4685" w:rsidRPr="002B4685" w:rsidRDefault="002B4685" w:rsidP="002B46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a) zoznam zápisových podkladov prikladaných k  návrhu na registráciu,</w:t>
            </w:r>
          </w:p>
          <w:p w14:paraId="75E2D37A" w14:textId="77777777" w:rsidR="00E80D48" w:rsidRDefault="002B4685" w:rsidP="004119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b) </w:t>
            </w:r>
            <w:r w:rsidR="004119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zoznam údajov, ktoré sa pripájajú k návrhu na registráciu, nevyhnutných na zabezpečenie stotožnenia osoby, ktorá nie j</w:t>
            </w:r>
            <w:r w:rsidR="003138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 občanom Slovenskej republiky,</w:t>
            </w:r>
          </w:p>
          <w:p w14:paraId="44F1A9E2" w14:textId="683FF088" w:rsidR="003138AF" w:rsidRPr="00612E08" w:rsidRDefault="003138AF" w:rsidP="003138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c) rozsah a spôsob podieľania sa Notárskej komory na výdavkoch spojených s prevádzkou informačného systému obchodného registra (</w:t>
            </w:r>
            <w:r w:rsidRPr="003138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čl. VI, bod 3 návrhu zákona o obchodnom registri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).</w:t>
            </w:r>
          </w:p>
        </w:tc>
      </w:tr>
      <w:tr w:rsidR="00E80D48" w:rsidRPr="00612E08" w14:paraId="3E5D4A67" w14:textId="77777777" w:rsidTr="00FD71B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B43AD55" w14:textId="77777777" w:rsidR="00E80D48" w:rsidRPr="00612E08" w:rsidRDefault="00E80D48" w:rsidP="00E80D4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32517">
              <w:rPr>
                <w:rFonts w:ascii="Times New Roman" w:eastAsia="Calibri" w:hAnsi="Times New Roman" w:cs="Times New Roman"/>
                <w:b/>
              </w:rPr>
              <w:t>Transpozícia/implementácia práva EÚ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E80D48" w:rsidRPr="00612E08" w14:paraId="2E160BED" w14:textId="77777777" w:rsidTr="00FD71BF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E80D48" w:rsidRPr="00612E08" w14:paraId="35FA1ECB" w14:textId="77777777">
              <w:trPr>
                <w:trHeight w:val="90"/>
              </w:trPr>
              <w:tc>
                <w:tcPr>
                  <w:tcW w:w="8643" w:type="dxa"/>
                </w:tcPr>
                <w:p w14:paraId="1BFC37EC" w14:textId="77777777" w:rsidR="00E80D48" w:rsidRPr="00612E08" w:rsidRDefault="00E80D48" w:rsidP="00E80D4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E80D48" w:rsidRPr="00612E08" w14:paraId="69F2A44B" w14:textId="77777777">
              <w:trPr>
                <w:trHeight w:val="296"/>
              </w:trPr>
              <w:tc>
                <w:tcPr>
                  <w:tcW w:w="8643" w:type="dxa"/>
                </w:tcPr>
                <w:p w14:paraId="577C2537" w14:textId="77777777" w:rsidR="00E80D48" w:rsidRPr="00612E08" w:rsidRDefault="00E80D48" w:rsidP="00E80D48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6B75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50AC9628" w14:textId="77777777" w:rsidR="00E80D48" w:rsidRPr="00612E08" w:rsidRDefault="00E80D48" w:rsidP="00E80D48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08095AF2" w14:textId="77777777" w:rsidR="00E80D48" w:rsidRPr="00612E08" w:rsidRDefault="00E80D48" w:rsidP="00E80D4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E80D48" w:rsidRPr="00612E08" w14:paraId="0D2054DF" w14:textId="77777777">
              <w:trPr>
                <w:trHeight w:val="296"/>
              </w:trPr>
              <w:tc>
                <w:tcPr>
                  <w:tcW w:w="8643" w:type="dxa"/>
                </w:tcPr>
                <w:p w14:paraId="1C95BBCC" w14:textId="77777777" w:rsidR="00532517" w:rsidRDefault="00532517" w:rsidP="00896B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F3F5AE6" w14:textId="4DDFAD8B" w:rsidR="00D90775" w:rsidRDefault="00D90775" w:rsidP="00896B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AD320D2" w14:textId="77777777" w:rsidR="00D90775" w:rsidRPr="000D033E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D03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Smernica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 </w:t>
                  </w:r>
                </w:p>
                <w:p w14:paraId="609EC3F8" w14:textId="77777777" w:rsidR="00D90775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5D0FD53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Identifikovaný </w:t>
                  </w:r>
                  <w:proofErr w:type="spellStart"/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goldplating</w:t>
                  </w:r>
                  <w:proofErr w:type="spellEnd"/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je už v súčasnosti obsiahnutý v právnej úprave. Tieto ustanovenia sú reflektované rovnakým spôsobom a nejde teda o nové regulácie, vzhľadom na zmenu v časti notifikovaného ustanovenia dochádza k opätovnej notifikácii. </w:t>
                  </w:r>
                </w:p>
                <w:p w14:paraId="7D933922" w14:textId="77777777" w:rsidR="00D90775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403C158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Článok 33 ods. 1</w:t>
                  </w:r>
                </w:p>
                <w:p w14:paraId="6F1D0756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Predkladateľ v pôvodnej transpozícii pristúpil k rozšíreniu rozsahu tohto ustanovenia aj na iné typy spoločností/družstvá, ktoré nie sú v európskej legislatíve upravené, a to z dôvodu, že s cieľom zachovania právnej istoty nie je možné pre odlišné typy spoločnosti vyžadovať v tejto oblasti odlišný prístup. </w:t>
                  </w:r>
                </w:p>
                <w:p w14:paraId="47AF5B30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Lokalizácia v slovenskej právnej úprave: </w:t>
                  </w:r>
                </w:p>
                <w:p w14:paraId="08FC16F1" w14:textId="1800C5C6" w:rsidR="004100F8" w:rsidRPr="004100F8" w:rsidRDefault="00D90775" w:rsidP="004100F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="004100F8" w:rsidRPr="00410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návrh zákona o obchodnom registri - § 99 ods. 3, § 34 písm. h), </w:t>
                  </w:r>
                </w:p>
                <w:p w14:paraId="37C9C37F" w14:textId="4A08CAD5" w:rsidR="00D90775" w:rsidRDefault="004100F8" w:rsidP="004100F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10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410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Obchodný zákonník – § 40 ods. 1 a 2, § 135 ods. 2, § 252 ods. 2.</w:t>
                  </w:r>
                  <w:r w:rsidR="00D90775"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Kategória GP: f) - zachovanie existujúcej úpravy</w:t>
                  </w:r>
                </w:p>
                <w:p w14:paraId="50493F3F" w14:textId="77777777" w:rsidR="000D033E" w:rsidRPr="00FE6543" w:rsidRDefault="000D033E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25DC257" w14:textId="52C69622" w:rsidR="00D90775" w:rsidRPr="000D033E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D033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Smernica Európskeho parlamentu a Rady (EÚ) 2017/1132 zo 14. júna 2017 týkajúca sa niektorých aspektov práva obchodných spoločností </w:t>
                  </w:r>
                </w:p>
                <w:p w14:paraId="277A8A0B" w14:textId="77777777" w:rsidR="000D033E" w:rsidRPr="00FE6543" w:rsidRDefault="000D033E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1F57053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Identifikovaný </w:t>
                  </w:r>
                  <w:proofErr w:type="spellStart"/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goldplating</w:t>
                  </w:r>
                  <w:proofErr w:type="spellEnd"/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je už v súčasnosti obsiahnutý v právnej úprave. Tieto ustanovenia sú reflektované rovnakým spôsobom a nejde teda o nové regulácie, vzhľadom na zmenu v časti notifikovaného ustanovenia dochádza k opätovnej notifikácii. </w:t>
                  </w:r>
                </w:p>
                <w:p w14:paraId="6FE30F7E" w14:textId="77777777" w:rsidR="00D90775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4D651FA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Článok 13j odsek 3</w:t>
                  </w:r>
                </w:p>
                <w:p w14:paraId="5D13D1BD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SR využila ponúkanú dobrovoľnú transpozíciu, a teda ustanovila pre všetky kategórie osôb zapisovaných do obchodného registra výlučne elektronickú komunikáciu s registrovým súdom či registrátorom, rovnako ukladanie dokumentov do zbierky dokumentov výlučne elektronickým postupom. Uvedené opatrenie už je obsiahnuté v aktuálne účinnej právnej úprave. Predkladateľ ho považuje za nevyhnutné, nakoľko znižuje administratívnu záťaž pre podnikateľov.</w:t>
                  </w:r>
                </w:p>
                <w:p w14:paraId="5C622B7B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Lokalizácia v slovenskej právnej úprave: </w:t>
                  </w:r>
                </w:p>
                <w:p w14:paraId="3D2AF622" w14:textId="14097CB9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návrh zákona o obchodnom registri - § 44</w:t>
                  </w:r>
                  <w:r w:rsidR="003C15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§ 45</w:t>
                  </w: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§ 39 ods. 4 </w:t>
                  </w:r>
                </w:p>
                <w:p w14:paraId="34315822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Kategória GP: f) - zachovanie existujúcej úpravy</w:t>
                  </w:r>
                </w:p>
                <w:p w14:paraId="640EEBC3" w14:textId="77777777" w:rsidR="00D90775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B7788C2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Článok 13j odsek 5</w:t>
                  </w:r>
                </w:p>
                <w:p w14:paraId="23C64A0D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Nakoľko ide o rovnaké opatrenie, platí rovnaké vyjadrenie ako v čl. 13j ods. 3.</w:t>
                  </w:r>
                </w:p>
                <w:p w14:paraId="0913AAD2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Lokalizácia v slovenskej právnej úprave: </w:t>
                  </w:r>
                </w:p>
                <w:p w14:paraId="528CE273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 xml:space="preserve">návrh zákona o obchodnom registri - § 39 ods. 4, § 48, </w:t>
                  </w:r>
                </w:p>
                <w:p w14:paraId="01D83D68" w14:textId="558497AE" w:rsidR="00D90775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Kategória GP: f) - zachovanie existujúcej úpravy</w:t>
                  </w:r>
                </w:p>
                <w:p w14:paraId="5ABBC341" w14:textId="77777777" w:rsidR="00BE0EFE" w:rsidRDefault="00BE0EFE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A3B731B" w14:textId="77777777" w:rsidR="00BE0EFE" w:rsidRPr="00BE0EFE" w:rsidRDefault="00BE0EFE" w:rsidP="00BE0EF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Článok 13g odsek 7 prvý </w:t>
                  </w:r>
                  <w:proofErr w:type="spellStart"/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pododsek</w:t>
                  </w:r>
                  <w:proofErr w:type="spellEnd"/>
                </w:p>
                <w:p w14:paraId="15BBB27F" w14:textId="77777777" w:rsidR="00BE0EFE" w:rsidRPr="00BE0EFE" w:rsidRDefault="00BE0EFE" w:rsidP="00BE0EF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 považuje určenie kratšej lehoty za výhodnejšie pre zapísanú osobu a efektívnejšie vo vzťahu k podpore podnikateľské prostredia. Takýto </w:t>
                  </w:r>
                  <w:proofErr w:type="spellStart"/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goldplating</w:t>
                  </w:r>
                  <w:proofErr w:type="spellEnd"/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tak má pozitívny vplyv na podnikateľské prostredie, negatívny vplyv je prísnejšie určená lehota pre zodpovedné orgány.</w:t>
                  </w:r>
                </w:p>
                <w:p w14:paraId="5CBB63E3" w14:textId="77777777" w:rsidR="00BE0EFE" w:rsidRPr="00BE0EFE" w:rsidRDefault="00BE0EFE" w:rsidP="00BE0EF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Lokalizácia v slovenskej právnej úprave: </w:t>
                  </w:r>
                </w:p>
                <w:p w14:paraId="1BF3ECAF" w14:textId="77777777" w:rsidR="00BE0EFE" w:rsidRPr="00BE0EFE" w:rsidRDefault="00BE0EFE" w:rsidP="00BE0EFE">
                  <w:pPr>
                    <w:pStyle w:val="Odsekzoznamu"/>
                    <w:numPr>
                      <w:ilvl w:val="0"/>
                      <w:numId w:val="4"/>
                    </w:num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návrh zákona o obchodnom registri - § 58 ods. 1 </w:t>
                  </w:r>
                </w:p>
                <w:p w14:paraId="77CBBAA8" w14:textId="77777777" w:rsidR="00BE0EFE" w:rsidRPr="00BE0EFE" w:rsidRDefault="00BE0EFE" w:rsidP="00BE0EF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Kategória GP: f) - zachovanie existujúcej úpravy</w:t>
                  </w:r>
                </w:p>
                <w:p w14:paraId="5DC4AB00" w14:textId="77777777" w:rsidR="00BE0EFE" w:rsidRPr="00BE0EFE" w:rsidRDefault="00BE0EFE" w:rsidP="00BE0EF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Článok 15 odsek 1</w:t>
                  </w:r>
                </w:p>
                <w:p w14:paraId="5CE11576" w14:textId="77777777" w:rsidR="00BE0EFE" w:rsidRPr="00BE0EFE" w:rsidRDefault="00BE0EFE" w:rsidP="00BE0EF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 považuje určenie kratšej lehoty za výhodnejšie pre zapísanú osobu a efektívnejšie vo vzťahu k podpore podnikateľské prostredia. Takýto </w:t>
                  </w:r>
                  <w:proofErr w:type="spellStart"/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goldplating</w:t>
                  </w:r>
                  <w:proofErr w:type="spellEnd"/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tak má pozitívny vplyv na podnikateľské prostredie, negatívny vplyv je prísnejšie určená lehota pre zodpovedné orgány.</w:t>
                  </w:r>
                </w:p>
                <w:p w14:paraId="42013060" w14:textId="77777777" w:rsidR="00BE0EFE" w:rsidRPr="00BE0EFE" w:rsidRDefault="00BE0EFE" w:rsidP="00BE0EF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Lokalizácia v slovenskej právnej úprave: </w:t>
                  </w:r>
                </w:p>
                <w:p w14:paraId="42A9AAEA" w14:textId="6A42D85C" w:rsidR="00BE0EFE" w:rsidRPr="00BE0EFE" w:rsidRDefault="00BE0EFE" w:rsidP="00BE0EFE">
                  <w:pPr>
                    <w:pStyle w:val="Odsekzoznamu"/>
                    <w:numPr>
                      <w:ilvl w:val="0"/>
                      <w:numId w:val="4"/>
                    </w:num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návrh zá</w:t>
                  </w:r>
                  <w:r w:rsidR="00410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kona o obchodnom registri - § 100, 112</w:t>
                  </w:r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20EBD43" w14:textId="77777777" w:rsidR="00BE0EFE" w:rsidRPr="00BE0EFE" w:rsidRDefault="00BE0EFE" w:rsidP="00BE0EF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E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Kategória GP: f) - zachovanie existujúcej úpravy</w:t>
                  </w:r>
                </w:p>
                <w:p w14:paraId="5FB87A46" w14:textId="77777777" w:rsidR="00D90775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337B1D0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Článok 18 odsek 1, druhý </w:t>
                  </w:r>
                  <w:proofErr w:type="spellStart"/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pododsek</w:t>
                  </w:r>
                  <w:proofErr w:type="spellEnd"/>
                </w:p>
                <w:p w14:paraId="4AAD55FF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SR nevyužila dobrovoľnú transpozíciu ponúkanú predmetným ustanovením smernice, a teda dokumenty a údaje prostredníctvom systému prepojenia registrov sprístupňuje len v rozsahu osobnej pôsobnosti vymedzenej čl. 18 ods. 1 smernice – príloha II (AS, SRO).Uvedenú skutočnosť, nie je podľa názoru predkladateľa potrebné v národnej právnej úprave výslovne pozitívno-právne ustanoviť, nakoľko žiadatelia môžu žiadať o sprístupnenie len vo vzťahu k tým formám spoločností, kde to funkcionalita systému BRIS umožňuje. </w:t>
                  </w:r>
                </w:p>
                <w:p w14:paraId="76C904E1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Nakoľko údaje o iných formách spoločností (</w:t>
                  </w:r>
                  <w:proofErr w:type="spellStart"/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v.o.s</w:t>
                  </w:r>
                  <w:proofErr w:type="spellEnd"/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., </w:t>
                  </w:r>
                  <w:proofErr w:type="spellStart"/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k.s</w:t>
                  </w:r>
                  <w:proofErr w:type="spellEnd"/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.) sú zverejnené na webovom sídle obchodného registra v celom rozsahu (oproti iným ČŠ, ktoré zverejňujú zadarmo len základné údaje), nevyužitie tejto výnimky nepredstavuje pre podnikateľov administratívnu záťaž a je odôvodnené najmä technickou náročnosťou a pri neexistencii harmonizácie v oblasti osobných spoločností aj právnymi rozdielmi, ktoré by v podmienkach BRIS nebolo možné odlíšiť. </w:t>
                  </w:r>
                </w:p>
                <w:p w14:paraId="18CD2580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Lokalizácia v slovenskej právnej úprave: </w:t>
                  </w:r>
                </w:p>
                <w:p w14:paraId="1124596C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 xml:space="preserve">nakoľko pri tomto </w:t>
                  </w:r>
                  <w:proofErr w:type="spellStart"/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goldplatingu</w:t>
                  </w:r>
                  <w:proofErr w:type="spellEnd"/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nebola využitá možnosť na úpravu, ustanovenie v slovenskom právnom poriadku absentuje.</w:t>
                  </w:r>
                </w:p>
                <w:p w14:paraId="3A87475F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Kategória GP: f) - zachovanie existujúcej úpravy</w:t>
                  </w:r>
                </w:p>
                <w:p w14:paraId="72C9D7C2" w14:textId="77777777" w:rsidR="00D90775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4671BEC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Článok 21 odsek 2, druhý </w:t>
                  </w:r>
                  <w:proofErr w:type="spellStart"/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pododsek</w:t>
                  </w:r>
                  <w:proofErr w:type="spellEnd"/>
                </w:p>
                <w:p w14:paraId="42A6FCAF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Predkladateľ považuje za nevyhnutné, aby dokumenty, ktoré sa zverejňujú v obchodnom registri v inom ako slovenskom jazyku, boli preložené, a to z dôvodu transparentnosti a možnosti overenia ich obsahu.</w:t>
                  </w:r>
                </w:p>
                <w:p w14:paraId="1B389826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Lokalizácia v slovenskej právnej úprave: </w:t>
                  </w:r>
                </w:p>
                <w:p w14:paraId="6531A3B9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 xml:space="preserve">návrh zákona o obchodnom registri - § 40 </w:t>
                  </w:r>
                </w:p>
                <w:p w14:paraId="3C62D9B5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Kategória GP: f) - zachovanie existujúcej úpravy</w:t>
                  </w:r>
                </w:p>
                <w:p w14:paraId="3746C501" w14:textId="77777777" w:rsidR="00D90775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1007F72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Článok 21 odsek 3</w:t>
                  </w:r>
                </w:p>
                <w:p w14:paraId="7B260836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Predkladateľ považuje za vhodné, aby sa dokumenty, ktoré sa zverejňujú v obchodnom registri a boli vypracované aj v inom ako slovenskom jazyku, mohli uložiť do zbierky listín z dôvodu transparentnosti. Uvedené ustanovenie nevyjadruje povinnosť, ale možnosť pre spoločnosť uložiť aj takéto dokumenty. Rovnako predkladateľ považuje za nevyhnutné, aby dokumenty, ktoré sa zverejňujú v obchodnom registri v inom ako slovenskom jazyku, boli preložené, a to z dôvodu transparentnosti a možnosti overenia ich obsahu.</w:t>
                  </w:r>
                </w:p>
                <w:p w14:paraId="7D15EA9D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Lokalizácia v slovenskej právnej úprave: </w:t>
                  </w:r>
                </w:p>
                <w:p w14:paraId="4CD6718F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 xml:space="preserve">návrh zákona o obchodnom registri - § 40 </w:t>
                  </w:r>
                </w:p>
                <w:p w14:paraId="59CF63C6" w14:textId="57905573" w:rsidR="00D90775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Kategória GP: f) - zachovanie existujúcej úpravy</w:t>
                  </w:r>
                </w:p>
                <w:p w14:paraId="572AF7BD" w14:textId="4E67A394" w:rsidR="00906E66" w:rsidRDefault="00906E66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10F61B5" w14:textId="77777777" w:rsidR="00906E66" w:rsidRPr="00906E66" w:rsidRDefault="00906E66" w:rsidP="00906E6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6E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Článok 28a odsek 6</w:t>
                  </w:r>
                </w:p>
                <w:p w14:paraId="78FB4DBD" w14:textId="3BECBF25" w:rsidR="00906E66" w:rsidRDefault="00906E66" w:rsidP="00906E6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6E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Ustanovenie lehoty na registráciu kratšej ako vyžaduje smernica predstavuje </w:t>
                  </w:r>
                  <w:proofErr w:type="spellStart"/>
                  <w:r w:rsidRPr="00906E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goldplating</w:t>
                  </w:r>
                  <w:proofErr w:type="spellEnd"/>
                  <w:r w:rsidRPr="00906E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ktorý však má pozitívny vplyv na podnikateľské prostredie. Predkladateľ pristúpil k takejto úprave z toho dôvodu, že lehota je rovnaká pre všetky obdobné typy registrácií a nie je dôvod na to, aby pre  registráciu pobočky zriadenej zjednodušeným spôsobom bola lehota na registráciu iná.</w:t>
                  </w:r>
                </w:p>
                <w:p w14:paraId="37310CFB" w14:textId="77777777" w:rsidR="00906E66" w:rsidRPr="00FE6543" w:rsidRDefault="00906E66" w:rsidP="00906E6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Lokalizácia v slovenskej právnej úprave: </w:t>
                  </w:r>
                </w:p>
                <w:p w14:paraId="6FCBD258" w14:textId="3B73B4B2" w:rsidR="00906E66" w:rsidRPr="00FE6543" w:rsidRDefault="00906E66" w:rsidP="00906E6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návrh zák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ona o obchodnom registri - § 58 ods. 1</w:t>
                  </w:r>
                </w:p>
                <w:p w14:paraId="79518003" w14:textId="77777777" w:rsidR="00906E66" w:rsidRDefault="00906E66" w:rsidP="00906E6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Kategória GP: f) - zachovanie existujúcej úpravy</w:t>
                  </w:r>
                </w:p>
                <w:p w14:paraId="3B87C55E" w14:textId="77777777" w:rsidR="00906E66" w:rsidRPr="00FE6543" w:rsidRDefault="00906E66" w:rsidP="00906E6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4338132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6EFFB9C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Článok 28b odsek 3</w:t>
                  </w:r>
                </w:p>
                <w:p w14:paraId="7F945C18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SR využila ponúkanú dobrovoľnú transpozíciu, a teda ustanovila pre všetky kategórie subjektov zapisovaných do obchodného registra, teda aj pobočiek z krajín EU (EHP), elektronické „podávanie“ všetkých dokumentov a údajov (ktorými je potrebné v terminológii národnej právnej úpravy rozumieť návrh na registráciu v obchodnom registri a dokumenty, ktoré tvoria jeho prílohy).</w:t>
                  </w:r>
                </w:p>
                <w:p w14:paraId="799E0F68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Lokalizácia v slovenskej právnej úprave: </w:t>
                  </w:r>
                </w:p>
                <w:p w14:paraId="3FC21160" w14:textId="6EA95AAD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návrh zákona o obchodnom registri - § 44</w:t>
                  </w:r>
                  <w:r w:rsidR="004100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§ 45</w:t>
                  </w:r>
                </w:p>
                <w:p w14:paraId="13216ED0" w14:textId="77777777" w:rsidR="00D90775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Kategória GP: f) - zachovanie existujúcej úpravy</w:t>
                  </w:r>
                </w:p>
                <w:p w14:paraId="04A4DA5D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359C91F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Článok 30 odsek 2, písmená a) až d)</w:t>
                  </w:r>
                </w:p>
                <w:p w14:paraId="668591F6" w14:textId="4076C676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Predkladateľ v pôvodnej transpozícii v zákone č. 530/2003 Z. z. pristúpil k zverejňovaniu tohto dokumentu </w:t>
                  </w:r>
                  <w:r w:rsidR="007841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podľa</w:t>
                  </w: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smernice (EÚ) 2017/1132 z dôvodu právnej istoty, pričom neexistuje dôvod, pre ktorý by tieto dokumenty (ak sa zverejňujú pri obchodných spoločnostiach) nemali byť zverejnené aj pri pobočkách.</w:t>
                  </w:r>
                </w:p>
                <w:p w14:paraId="2D3D7331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Lokalizácia v slovenskej právnej úprave: </w:t>
                  </w:r>
                </w:p>
                <w:p w14:paraId="2978FD10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návrh zákona o obchodnom registri - § 35 písm. b), c), g), f)</w:t>
                  </w:r>
                </w:p>
                <w:p w14:paraId="2191159F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Kategória GP: f) - zachovanie existujúcej úpravy</w:t>
                  </w:r>
                </w:p>
                <w:p w14:paraId="55F74130" w14:textId="77777777" w:rsidR="00D90775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98CB2C5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Článok 42 odsek 2</w:t>
                  </w:r>
                </w:p>
                <w:p w14:paraId="75B2EB5B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 nevyužila výnimku a uplatňuje ustanovenia aj na pobočky zriadené zahraničnými poisťovňami. Predkladateľ považuje uvedené za nevyhnutné vo vzťahu k transparentnosti pre tretie osoby.</w:t>
                  </w:r>
                </w:p>
                <w:p w14:paraId="6BFC004F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DA4D973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Vzhľadom na charakter regulácie nie je možné dopady kvantifikovať. </w:t>
                  </w:r>
                </w:p>
                <w:p w14:paraId="7836E944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Lokalizácia v slovenskej právnej úprave: </w:t>
                  </w:r>
                </w:p>
                <w:p w14:paraId="6D9FC365" w14:textId="77777777" w:rsidR="00D90775" w:rsidRPr="00FE6543" w:rsidRDefault="00D90775" w:rsidP="00D907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nakoľko SK nevyužila výnimku a ustanovenia sú aplikovateľné aj na pobočky zriadené poisťovňami, ustanovenie v slovenskom právnom poriadku absentuje.</w:t>
                  </w:r>
                </w:p>
                <w:p w14:paraId="19119008" w14:textId="3EFB1695" w:rsidR="00D90775" w:rsidRPr="00DA5DE1" w:rsidRDefault="00D90775" w:rsidP="00896B7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6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Kategória GP: f) - zachovanie existujúcej úpravy</w:t>
                  </w:r>
                </w:p>
                <w:p w14:paraId="3544027D" w14:textId="625035A7" w:rsidR="00E80D48" w:rsidRPr="00612E08" w:rsidRDefault="00E80D48" w:rsidP="00D90775">
                  <w:pPr>
                    <w:spacing w:after="0"/>
                    <w:jc w:val="both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14:paraId="2C64B239" w14:textId="77777777" w:rsidR="00E80D48" w:rsidRPr="00612E08" w:rsidRDefault="00E80D48" w:rsidP="00E80D4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E80D48" w:rsidRPr="00612E08" w14:paraId="50B6DA9F" w14:textId="77777777" w:rsidTr="00FD71BF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4470F" w14:textId="77777777" w:rsidR="00E80D48" w:rsidRPr="00612E08" w:rsidRDefault="00E80D48" w:rsidP="00E80D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0D48" w:rsidRPr="00612E08" w14:paraId="6FB31114" w14:textId="77777777" w:rsidTr="00FD71BF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1EDED3E" w14:textId="77777777" w:rsidR="00E80D48" w:rsidRPr="00612E08" w:rsidRDefault="00E80D48" w:rsidP="00E80D4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E80D48" w:rsidRPr="00612E08" w14:paraId="0574230C" w14:textId="77777777" w:rsidTr="00FD71BF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316E4" w14:textId="77777777" w:rsidR="00457A10" w:rsidRPr="00457A10" w:rsidRDefault="00457A10" w:rsidP="00457A1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T</w:t>
            </w:r>
            <w:r w:rsidRPr="00457A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ermín na preskúmanie účinnosti a účelnosti predkladaného materiálu: </w:t>
            </w:r>
            <w:r w:rsidRPr="00D939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2028</w:t>
            </w:r>
          </w:p>
          <w:p w14:paraId="62B1EE96" w14:textId="77777777" w:rsidR="00457A10" w:rsidRDefault="00457A10" w:rsidP="00457A1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14:paraId="5F1ACE73" w14:textId="77777777" w:rsidR="00457A10" w:rsidRPr="00457A10" w:rsidRDefault="00457A10" w:rsidP="00457A1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457A1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Kritériá: </w:t>
            </w:r>
          </w:p>
          <w:p w14:paraId="226F0971" w14:textId="77777777" w:rsidR="00457A10" w:rsidRPr="00457A10" w:rsidRDefault="00457A10" w:rsidP="00457A1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457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Zníženie </w:t>
            </w:r>
            <w:r w:rsidRPr="00457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administratívnych nákladov – porovnanie administratívnych nákladov reálnych a odhadovaných</w:t>
            </w:r>
          </w:p>
          <w:p w14:paraId="18C9EA9A" w14:textId="27A2B66D" w:rsidR="0064594A" w:rsidRDefault="00457A10" w:rsidP="00457A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57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- Miera využívania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registrátorov</w:t>
            </w:r>
            <w:r w:rsidR="002B4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- notárov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pri zápise do obchodného </w:t>
            </w:r>
            <w:r w:rsidR="002B4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registra</w:t>
            </w:r>
          </w:p>
          <w:p w14:paraId="1539D26A" w14:textId="77777777" w:rsidR="00381812" w:rsidRDefault="0064594A" w:rsidP="00457A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- Miera využívania nových foriem konaní </w:t>
            </w:r>
            <w:r w:rsidR="00E90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 súvislosti s Obchodným registrom</w:t>
            </w:r>
          </w:p>
          <w:p w14:paraId="6649F663" w14:textId="32B264D9" w:rsidR="00381812" w:rsidRDefault="00381812" w:rsidP="00457A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 Miera využívania žiadostí o rezerváciu obchodného mena</w:t>
            </w:r>
          </w:p>
          <w:p w14:paraId="00D3971A" w14:textId="7F9AE760" w:rsidR="00951033" w:rsidRDefault="00951033" w:rsidP="00457A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14:paraId="74AB3CFE" w14:textId="1E906D47" w:rsidR="00951033" w:rsidRDefault="00951033" w:rsidP="009510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</w:t>
            </w:r>
            <w:r w:rsidRPr="0095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inimálne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jeden</w:t>
            </w:r>
            <w:r w:rsidRPr="0095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rok</w:t>
            </w:r>
            <w:r w:rsidR="00FD7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po</w:t>
            </w:r>
            <w:r w:rsidRPr="0095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nadobudnutí </w:t>
            </w:r>
            <w:r w:rsidRPr="0095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účinnosti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návrhu </w:t>
            </w:r>
            <w:r w:rsidRPr="0095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sa vyhodnotí účelnosť a vplyvy novej právnej úpravy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 a to aj v súčinnosti s Notárskou komorou Slovenskej republiky</w:t>
            </w:r>
            <w:r w:rsidRPr="00951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podľa dostupných štatistík na účely prehodnotenia úpravy dvojkoľajnosti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– registrácie registrovým súdom aj notárom. </w:t>
            </w:r>
          </w:p>
          <w:p w14:paraId="3E7E118D" w14:textId="2DAC6AE6" w:rsidR="00E80D48" w:rsidRPr="00612E08" w:rsidRDefault="00E80D48" w:rsidP="00E80D4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E80D48" w:rsidRPr="00612E08" w14:paraId="5B25521B" w14:textId="77777777" w:rsidTr="00FD71BF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712826" w14:textId="77777777" w:rsidR="00E80D48" w:rsidRPr="00612E08" w:rsidRDefault="00E80D48" w:rsidP="00E80D4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71E1AC3" w14:textId="77777777" w:rsidR="00E80D48" w:rsidRPr="00612E08" w:rsidRDefault="00E80D48" w:rsidP="00E80D4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8F58654" w14:textId="77777777" w:rsidR="00E80D48" w:rsidRPr="00612E08" w:rsidRDefault="00E80D48" w:rsidP="00E80D48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1E2F160A" w14:textId="77777777" w:rsidR="00E80D48" w:rsidRPr="00612E08" w:rsidRDefault="00E80D48" w:rsidP="00E80D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0F6D4917" w14:textId="77777777" w:rsidR="00E80D48" w:rsidRPr="00612E08" w:rsidRDefault="00E80D48" w:rsidP="00E80D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6E99A775" w14:textId="77777777" w:rsidR="00E80D48" w:rsidRPr="00612E08" w:rsidRDefault="00E80D48" w:rsidP="00E80D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7BA24E0" w14:textId="77777777" w:rsidR="00E80D48" w:rsidRPr="00612E08" w:rsidRDefault="00E80D48" w:rsidP="00E80D4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E80D48" w:rsidRPr="002B4685" w14:paraId="40A507E1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41CBC082" w14:textId="77777777" w:rsidR="00E80D48" w:rsidRPr="002B4685" w:rsidRDefault="00E80D48" w:rsidP="00E80D4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B4685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E80D48" w:rsidRPr="002B4685" w14:paraId="04FAAFFB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62C159D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445D777" w14:textId="64D6BA2E" w:rsidR="00E80D48" w:rsidRPr="002B4685" w:rsidRDefault="00877597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667C93E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6A047A3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DE8F249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CA3AB97" w14:textId="77777777" w:rsidR="00E80D48" w:rsidRPr="002B4685" w:rsidRDefault="00954128" w:rsidP="00E80D4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FAAE3A" w14:textId="77777777" w:rsidR="00E80D48" w:rsidRPr="002B4685" w:rsidRDefault="00E80D48" w:rsidP="00E80D48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2B4685" w14:paraId="52593C6B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03DD98C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7FCF8D86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8753A53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44B6AAE" w14:textId="0C8846DF" w:rsidR="00E80D48" w:rsidRPr="002B4685" w:rsidRDefault="00E67900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485798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E555FDF" w14:textId="1ADC171C" w:rsidR="00E80D48" w:rsidRPr="002B4685" w:rsidRDefault="00AE34A3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4BDF61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C55F55" w14:textId="3F817CE5" w:rsidR="00E80D48" w:rsidRPr="002B4685" w:rsidRDefault="00E67900" w:rsidP="00E80D4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E72A94" w14:textId="77777777" w:rsidR="00E80D48" w:rsidRPr="002B4685" w:rsidRDefault="00E80D48" w:rsidP="00E80D48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80D48" w:rsidRPr="002B4685" w14:paraId="2A51DA7D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46FA7BE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A82F9D2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B69FF0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222B24C" w14:textId="77777777" w:rsidR="00E80D48" w:rsidRPr="002B4685" w:rsidRDefault="0095412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1EEDF8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59C0D32" w14:textId="77777777" w:rsidR="00E80D48" w:rsidRPr="002B4685" w:rsidRDefault="00E80D48" w:rsidP="00E80D4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B329A8" w14:textId="77777777" w:rsidR="00E80D48" w:rsidRPr="002B4685" w:rsidRDefault="00E80D48" w:rsidP="00E80D48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2B4685" w14:paraId="34673AAD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137B9B0" w14:textId="77777777" w:rsidR="00E80D48" w:rsidRPr="002B4685" w:rsidRDefault="00E80D48" w:rsidP="00E80D48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71DB6B54" w14:textId="77777777" w:rsidR="00E80D48" w:rsidRPr="002B4685" w:rsidRDefault="00E80D48" w:rsidP="00E80D48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9B15FEB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96B26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50742A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51D58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C36148" w14:textId="77777777" w:rsidR="00E80D48" w:rsidRPr="002B4685" w:rsidRDefault="00E80D48" w:rsidP="00E80D4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D65A" w14:textId="77777777" w:rsidR="00E80D48" w:rsidRPr="002B4685" w:rsidRDefault="00E80D48" w:rsidP="00E80D48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80D48" w:rsidRPr="002B4685" w14:paraId="1854B37F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742BB9D" w14:textId="77777777" w:rsidR="00E80D48" w:rsidRPr="002B4685" w:rsidRDefault="00E80D48" w:rsidP="00E80D48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245BC9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221A2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1281B" w14:textId="77777777" w:rsidR="00E80D48" w:rsidRPr="002B4685" w:rsidRDefault="00E80D48" w:rsidP="00E80D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C6F00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9B08A7" w14:textId="77777777" w:rsidR="00E80D48" w:rsidRPr="002B4685" w:rsidRDefault="00954128" w:rsidP="00E80D4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7A43D" w14:textId="77777777" w:rsidR="00E80D48" w:rsidRPr="002B4685" w:rsidRDefault="00E80D48" w:rsidP="00E80D48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80D48" w:rsidRPr="002B4685" w14:paraId="78BF2FE6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476C204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AFDD3BE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0F404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D8E2F0B" w14:textId="77777777" w:rsidR="00E80D48" w:rsidRPr="002B4685" w:rsidRDefault="0095412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FA0EC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BD551B" w14:textId="77777777" w:rsidR="00E80D48" w:rsidRPr="002B4685" w:rsidRDefault="00E80D48" w:rsidP="00E80D4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69857" w14:textId="77777777" w:rsidR="00E80D48" w:rsidRPr="002B4685" w:rsidRDefault="00E80D48" w:rsidP="00E80D48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2B4685" w14:paraId="5DBDC02C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99D72C7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8492F9D" w14:textId="3F28C5BE" w:rsidR="00E80D48" w:rsidRPr="002B4685" w:rsidRDefault="00313ED0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43C0D" w14:textId="77777777" w:rsidR="00E80D48" w:rsidRPr="002B4685" w:rsidRDefault="00E80D48" w:rsidP="00E80D48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F70AA64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45BF47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EC7F7DD" w14:textId="36CAFD26" w:rsidR="00E80D48" w:rsidRPr="002B4685" w:rsidRDefault="00313ED0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7C906E" w14:textId="77777777" w:rsidR="00E80D48" w:rsidRPr="002B4685" w:rsidRDefault="00E80D48" w:rsidP="00E80D48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2B4685" w14:paraId="16A11EF0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3824DB2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48EB8D37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F9551DF" w14:textId="08EF1F2D" w:rsidR="00E80D48" w:rsidRPr="002B4685" w:rsidRDefault="002B4685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729826" w14:textId="77777777" w:rsidR="00E80D48" w:rsidRPr="002B4685" w:rsidRDefault="00E80D48" w:rsidP="00E80D48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D43D63A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7E429D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CCE6F2D" w14:textId="3473ABAD" w:rsidR="00E80D48" w:rsidRPr="002B4685" w:rsidRDefault="002B4685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8C1227" w14:textId="77777777" w:rsidR="00E80D48" w:rsidRPr="002B4685" w:rsidRDefault="00E80D48" w:rsidP="00E80D48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2B4685" w14:paraId="24EDE932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2C9C94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507FA6DE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C3168F7" w14:textId="10382D20" w:rsidR="00E80D48" w:rsidRPr="002B4685" w:rsidRDefault="00313ED0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4AF2A" w14:textId="77777777" w:rsidR="00E80D48" w:rsidRPr="002B4685" w:rsidRDefault="00E80D48" w:rsidP="00E80D48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09328" w14:textId="77777777" w:rsidR="00E80D48" w:rsidRPr="002B4685" w:rsidRDefault="00E80D48" w:rsidP="00E80D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A4884" w14:textId="77777777" w:rsidR="00E80D48" w:rsidRPr="002B4685" w:rsidRDefault="00E80D48" w:rsidP="00E80D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ECA169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8E81F" w14:textId="77777777" w:rsidR="00E80D48" w:rsidRPr="002B4685" w:rsidRDefault="00E80D48" w:rsidP="00E80D48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80D48" w:rsidRPr="002B4685" w14:paraId="18941F50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617E746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10468A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EFB5F" w14:textId="77777777" w:rsidR="00E80D48" w:rsidRPr="002B4685" w:rsidRDefault="00E80D48" w:rsidP="00E80D48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9AE19E5" w14:textId="77777777" w:rsidR="00E80D48" w:rsidRPr="002B4685" w:rsidRDefault="00AD2C71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42A61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17A9574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46CF0" w14:textId="77777777" w:rsidR="00E80D48" w:rsidRPr="002B4685" w:rsidRDefault="00E80D48" w:rsidP="00E80D48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2B4685" w14:paraId="6721C45E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81F7AA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606DFB1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06637" w14:textId="77777777" w:rsidR="00E80D48" w:rsidRPr="002B4685" w:rsidRDefault="00E80D48" w:rsidP="00E80D48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01E0872" w14:textId="77777777" w:rsidR="00E80D48" w:rsidRPr="002B4685" w:rsidRDefault="00F26A26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6EDA7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48239F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B394B" w14:textId="77777777" w:rsidR="00E80D48" w:rsidRPr="002B4685" w:rsidRDefault="00E80D48" w:rsidP="00E80D48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2B4685" w14:paraId="68CEC673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57726FD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71F6D69" w14:textId="77777777" w:rsidR="00E80D48" w:rsidRPr="002B4685" w:rsidRDefault="00E80D48" w:rsidP="00E80D48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BB52325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21FA7" w14:textId="77777777" w:rsidR="00E80D48" w:rsidRPr="002B4685" w:rsidRDefault="00E80D48" w:rsidP="00E80D48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52202" w14:textId="77777777" w:rsidR="00E80D48" w:rsidRPr="002B4685" w:rsidRDefault="00E80D48" w:rsidP="00E80D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6867C" w14:textId="77777777" w:rsidR="00E80D48" w:rsidRPr="002B4685" w:rsidRDefault="00E80D48" w:rsidP="00E80D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22222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43916" w14:textId="77777777" w:rsidR="00E80D48" w:rsidRPr="002B4685" w:rsidRDefault="00E80D48" w:rsidP="00E80D48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80D48" w:rsidRPr="002B4685" w14:paraId="5D1EF35F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FA0123A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AE81CDB" w14:textId="1F5062D7" w:rsidR="00E80D48" w:rsidRPr="002B4685" w:rsidRDefault="00381812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7B29B" w14:textId="77777777" w:rsidR="00E80D48" w:rsidRPr="002B4685" w:rsidRDefault="00E80D48" w:rsidP="00E80D48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D7BD53A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FE1A5" w14:textId="77777777" w:rsidR="00E80D48" w:rsidRPr="002B4685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0704D09" w14:textId="77777777" w:rsidR="00E80D48" w:rsidRPr="002B4685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820CC" w14:textId="77777777" w:rsidR="00E80D48" w:rsidRPr="002B4685" w:rsidRDefault="00E80D48" w:rsidP="00E80D48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2B4685" w14:paraId="116CF282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76B655F" w14:textId="77777777" w:rsidR="000F2BE9" w:rsidRPr="002B4685" w:rsidRDefault="000F2BE9" w:rsidP="00FD7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2B46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2B46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1CA988" w14:textId="77777777" w:rsidR="000F2BE9" w:rsidRPr="002B4685" w:rsidRDefault="000F2BE9" w:rsidP="00FD71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A08CD6" w14:textId="77777777" w:rsidR="000F2BE9" w:rsidRPr="002B4685" w:rsidRDefault="000F2BE9" w:rsidP="00FD71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47E40D" w14:textId="77777777" w:rsidR="000F2BE9" w:rsidRPr="002B4685" w:rsidRDefault="000F2BE9" w:rsidP="00FD71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04BFBB" w14:textId="77777777" w:rsidR="000F2BE9" w:rsidRPr="002B4685" w:rsidRDefault="000F2BE9" w:rsidP="00FD7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3C5030" w14:textId="77777777" w:rsidR="000F2BE9" w:rsidRPr="002B4685" w:rsidRDefault="000F2BE9" w:rsidP="00FD71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DD009A" w14:textId="77777777" w:rsidR="000F2BE9" w:rsidRPr="002B4685" w:rsidRDefault="000F2BE9" w:rsidP="00FD71B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2B4685" w14:paraId="5389D53E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BA0218C" w14:textId="77777777" w:rsidR="000F2BE9" w:rsidRPr="002B4685" w:rsidRDefault="000F2BE9" w:rsidP="00FD71BF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6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933B3CD" w14:textId="77777777" w:rsidR="000F2BE9" w:rsidRPr="002B4685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F85A54C" w14:textId="77777777" w:rsidR="000F2BE9" w:rsidRPr="002B4685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5234F0B" w14:textId="77777777" w:rsidR="000F2BE9" w:rsidRPr="002B4685" w:rsidRDefault="006353F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9C2B57" w14:textId="77777777" w:rsidR="000F2BE9" w:rsidRPr="002B4685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0379A58" w14:textId="77777777" w:rsidR="000F2BE9" w:rsidRPr="002B4685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2917FB" w14:textId="77777777" w:rsidR="000F2BE9" w:rsidRPr="002B4685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2B4685" w14:paraId="169D8382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C69C4A" w14:textId="77777777" w:rsidR="000F2BE9" w:rsidRPr="002B4685" w:rsidRDefault="000F2BE9" w:rsidP="00FD71BF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46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366AAE3" w14:textId="77777777" w:rsidR="000F2BE9" w:rsidRPr="002B4685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B67E70" w14:textId="77777777" w:rsidR="000F2BE9" w:rsidRPr="002B4685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81D5C77" w14:textId="77777777" w:rsidR="000F2BE9" w:rsidRPr="002B4685" w:rsidRDefault="006353F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710989" w14:textId="77777777" w:rsidR="000F2BE9" w:rsidRPr="002B4685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087B179" w14:textId="77777777" w:rsidR="000F2BE9" w:rsidRPr="002B4685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4D97" w14:textId="77777777" w:rsidR="000F2BE9" w:rsidRPr="002B4685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5C221EB6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3CACA0D" w14:textId="77777777" w:rsidR="00A340BB" w:rsidRPr="002B4685" w:rsidRDefault="00A340BB" w:rsidP="00FD71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5B61491" w14:textId="77777777" w:rsidR="00A340BB" w:rsidRPr="002B4685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FA8DD" w14:textId="77777777" w:rsidR="00A340BB" w:rsidRPr="002B4685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3DE3E0" w14:textId="77777777" w:rsidR="00A340BB" w:rsidRPr="002B4685" w:rsidRDefault="00F26A26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BEE0D" w14:textId="77777777" w:rsidR="00A340BB" w:rsidRPr="002B4685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C85538" w14:textId="77777777" w:rsidR="00A340BB" w:rsidRPr="002B4685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2B468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1FC9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4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4010AE7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04FA6806" w14:textId="77777777" w:rsidTr="00FD71B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70C1124" w14:textId="77777777" w:rsidR="001B23B7" w:rsidRPr="00612E08" w:rsidRDefault="001B23B7" w:rsidP="00FD71B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616B3DBA" w14:textId="77777777" w:rsidTr="00FD71B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5756EC5" w14:textId="77777777" w:rsidR="0098472E" w:rsidRPr="00612E08" w:rsidRDefault="0098472E" w:rsidP="00906BA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7BCC119" w14:textId="7C73209F" w:rsidR="004634B9" w:rsidRDefault="004634B9" w:rsidP="00906B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14:paraId="67B7765C" w14:textId="6C8CF120" w:rsidR="004634B9" w:rsidRDefault="004634B9" w:rsidP="00906B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634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Negatívny vplyv na výdavkovej strane rozpočtu je rozpočtovo zabezpečený z prostriedkov POO v kapitole MS SR. Negatívny vplyv z titulu výpadku príjmov v kapitole VPS je uvedený ako odhad a jeho plnenie bude závisieť od skutočnosti, koľko % podnikateľov uprednostní služby notárov na úkor služieb súdov.</w:t>
            </w:r>
          </w:p>
          <w:p w14:paraId="39E05BF1" w14:textId="77777777" w:rsidR="002B4685" w:rsidRDefault="002B4685" w:rsidP="00906B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14:paraId="63196CAE" w14:textId="2F4B11ED" w:rsidR="001B23B7" w:rsidRPr="00612E08" w:rsidRDefault="00381812" w:rsidP="00D9394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B4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Identifikované vplyvy </w:t>
            </w:r>
            <w:r w:rsidR="00906BA3" w:rsidRPr="002B4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materiálu </w:t>
            </w:r>
            <w:r w:rsidRPr="002B4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sú detailne o</w:t>
            </w:r>
            <w:r w:rsidR="00906BA3" w:rsidRPr="002B4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písané v jednotlivých analýzach, ktoré tvoria prílohu materiálu.</w:t>
            </w:r>
            <w:r w:rsidRPr="002B4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D979C8" w:rsidRPr="002B4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br/>
            </w:r>
          </w:p>
        </w:tc>
      </w:tr>
      <w:tr w:rsidR="00612E08" w:rsidRPr="00612E08" w14:paraId="35E38AE8" w14:textId="77777777" w:rsidTr="00FD71B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A2C05B3" w14:textId="77777777" w:rsidR="001B23B7" w:rsidRPr="00612E08" w:rsidRDefault="001B23B7" w:rsidP="00FD71B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3D0BB502" w14:textId="77777777" w:rsidTr="00FD71BF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4A8D1" w14:textId="6F1B593E" w:rsidR="00E80D48" w:rsidRPr="003870A0" w:rsidRDefault="00BE081F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Regína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Lapšanská</w:t>
            </w:r>
            <w:proofErr w:type="spellEnd"/>
          </w:p>
          <w:p w14:paraId="4BDD3F27" w14:textId="25AF739E" w:rsidR="00E80D48" w:rsidRPr="003870A0" w:rsidRDefault="00E80D48" w:rsidP="00E80D48">
            <w:pP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 w:rsidRPr="0038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Sekcia legislatívy</w:t>
            </w:r>
            <w:r w:rsidR="004965F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, Odbor legislatívy</w:t>
            </w:r>
            <w:r w:rsidRPr="0038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 xml:space="preserve"> občianskeho a obchodného práva</w:t>
            </w:r>
          </w:p>
          <w:p w14:paraId="01CCA44C" w14:textId="5D8A259E" w:rsidR="00E80D48" w:rsidRDefault="00E80D48" w:rsidP="00E80D48">
            <w:pP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 w:rsidRPr="0038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Ministerstvo spravodlivosti Slovenskej republiky</w:t>
            </w:r>
          </w:p>
          <w:p w14:paraId="17D205BA" w14:textId="55B1856C" w:rsidR="00E4192B" w:rsidRPr="003870A0" w:rsidRDefault="00E4192B" w:rsidP="00E80D48">
            <w:pP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Telefónne číslo: +421 2 888 91 334</w:t>
            </w:r>
          </w:p>
          <w:p w14:paraId="60126724" w14:textId="7A1C66DC" w:rsidR="001B23B7" w:rsidRPr="00612E08" w:rsidRDefault="00E80D48" w:rsidP="004119B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8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 xml:space="preserve">Mail: </w:t>
            </w:r>
            <w:hyperlink r:id="rId9" w:history="1">
              <w:r w:rsidR="00B60FFA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regina.lapsanska</w:t>
              </w:r>
              <w:r w:rsidRPr="003870A0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@justice.sk</w:t>
              </w:r>
            </w:hyperlink>
          </w:p>
        </w:tc>
      </w:tr>
      <w:tr w:rsidR="00612E08" w:rsidRPr="00612E08" w14:paraId="7E79AD33" w14:textId="77777777" w:rsidTr="00FD71B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52BDAE8" w14:textId="77777777" w:rsidR="001B23B7" w:rsidRPr="00612E08" w:rsidRDefault="001B23B7" w:rsidP="00FD71BF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3814172A" w14:textId="77777777" w:rsidTr="00FD71BF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8334" w14:textId="77777777" w:rsidR="001B23B7" w:rsidRPr="00612E08" w:rsidRDefault="0065456D" w:rsidP="0065456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545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Informačné systémy Ministerstva spravodlivosti Slovenskej republiky</w:t>
            </w:r>
          </w:p>
        </w:tc>
      </w:tr>
      <w:tr w:rsidR="00612E08" w:rsidRPr="00612E08" w14:paraId="72E49B60" w14:textId="77777777" w:rsidTr="00FD71B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5C985B7" w14:textId="3BDA0340" w:rsidR="001B23B7" w:rsidRPr="00612E08" w:rsidRDefault="001B23B7" w:rsidP="00FD71BF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A933DA">
              <w:rPr>
                <w:rFonts w:ascii="Times New Roman" w:eastAsia="Calibri" w:hAnsi="Times New Roman" w:cs="Times New Roman"/>
                <w:b/>
              </w:rPr>
              <w:t>037/2025</w:t>
            </w:r>
          </w:p>
          <w:p w14:paraId="4F1BA70E" w14:textId="77777777" w:rsidR="001B23B7" w:rsidRPr="00612E08" w:rsidRDefault="001B23B7" w:rsidP="00FD71BF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4242013C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9A32B" w14:textId="77777777" w:rsidR="001B23B7" w:rsidRPr="00A933DA" w:rsidRDefault="001B23B7" w:rsidP="00FD71BF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A933DA" w14:paraId="057D529A" w14:textId="77777777" w:rsidTr="00FD71BF">
              <w:trPr>
                <w:trHeight w:val="396"/>
              </w:trPr>
              <w:tc>
                <w:tcPr>
                  <w:tcW w:w="2552" w:type="dxa"/>
                </w:tcPr>
                <w:p w14:paraId="236574AD" w14:textId="77777777" w:rsidR="001B23B7" w:rsidRPr="00A933DA" w:rsidRDefault="00BB73B6" w:rsidP="00FD71BF">
                  <w:pPr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A933DA">
                        <w:rPr>
                          <w:rFonts w:ascii="Segoe UI Symbol" w:eastAsia="MS Gothic" w:hAnsi="Segoe UI Symbol" w:cs="Segoe UI Symbol"/>
                          <w:b/>
                          <w:lang w:eastAsia="sk-SK"/>
                        </w:rPr>
                        <w:t>☐</w:t>
                      </w:r>
                    </w:sdtContent>
                  </w:sdt>
                  <w:r w:rsidR="0023360B" w:rsidRPr="00A933DA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  </w:t>
                  </w:r>
                  <w:r w:rsidR="001B23B7" w:rsidRPr="00A933DA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639D257" w14:textId="77777777" w:rsidR="001B23B7" w:rsidRPr="00A933DA" w:rsidRDefault="00BB73B6" w:rsidP="00FD71BF">
                  <w:pPr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A933DA">
                        <w:rPr>
                          <w:rFonts w:ascii="Segoe UI Symbol" w:eastAsia="MS Gothic" w:hAnsi="Segoe UI Symbol" w:cs="Segoe UI Symbol"/>
                          <w:b/>
                          <w:lang w:eastAsia="sk-SK"/>
                        </w:rPr>
                        <w:t>☐</w:t>
                      </w:r>
                    </w:sdtContent>
                  </w:sdt>
                  <w:r w:rsidR="0023360B" w:rsidRPr="00A933DA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  </w:t>
                  </w:r>
                  <w:r w:rsidR="001B23B7" w:rsidRPr="00A933DA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7346FDA3" w14:textId="399FAD21" w:rsidR="001B23B7" w:rsidRPr="00A933DA" w:rsidRDefault="00BB73B6" w:rsidP="00FD71BF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33DA" w:rsidRPr="00A933DA">
                        <w:rPr>
                          <w:rFonts w:ascii="Segoe UI Symbol" w:eastAsia="MS Gothic" w:hAnsi="Segoe UI Symbol" w:cs="Segoe UI Symbol"/>
                          <w:b/>
                          <w:lang w:eastAsia="sk-SK"/>
                        </w:rPr>
                        <w:t>☒</w:t>
                      </w:r>
                    </w:sdtContent>
                  </w:sdt>
                  <w:r w:rsidR="0023360B" w:rsidRPr="00A933DA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  </w:t>
                  </w:r>
                  <w:r w:rsidR="001B23B7" w:rsidRPr="00A933DA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Nesúhlasné</w:t>
                  </w:r>
                </w:p>
              </w:tc>
            </w:tr>
          </w:tbl>
          <w:p w14:paraId="33D67F24" w14:textId="3297D536" w:rsidR="001B23B7" w:rsidRPr="00A933DA" w:rsidRDefault="001B23B7" w:rsidP="00FD71BF">
            <w:pPr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933DA">
              <w:rPr>
                <w:rFonts w:ascii="Times New Roman" w:eastAsia="Times New Roman" w:hAnsi="Times New Roman" w:cs="Times New Roman"/>
                <w:b/>
                <w:lang w:eastAsia="sk-SK"/>
              </w:rPr>
              <w:t>Uveďte pripomienky zo stanoviska Komisie z časti II. spolu s Vaším vyhodnotením:</w:t>
            </w:r>
          </w:p>
          <w:p w14:paraId="05DB4F3D" w14:textId="43ED62D4" w:rsidR="00A933DA" w:rsidRPr="00A933DA" w:rsidRDefault="00A933DA" w:rsidP="00FD71BF">
            <w:pPr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  <w:p w14:paraId="4A0F5269" w14:textId="77777777" w:rsidR="00A933DA" w:rsidRPr="00A933DA" w:rsidRDefault="00A933DA" w:rsidP="00A933DA">
            <w:pPr>
              <w:pStyle w:val="norm00e1lny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A933DA">
              <w:rPr>
                <w:b/>
                <w:bCs/>
                <w:sz w:val="22"/>
                <w:szCs w:val="22"/>
                <w:lang w:eastAsia="ar-SA"/>
              </w:rPr>
              <w:t>K doložke vybraných vplyvov</w:t>
            </w:r>
          </w:p>
          <w:p w14:paraId="48D96468" w14:textId="77777777" w:rsidR="00A933DA" w:rsidRPr="00A933DA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A933DA">
              <w:rPr>
                <w:bCs/>
                <w:sz w:val="22"/>
                <w:szCs w:val="22"/>
                <w:lang w:eastAsia="ar-SA"/>
              </w:rPr>
              <w:lastRenderedPageBreak/>
              <w:t>Komisia odporúča predkladateľovi materiálu doplniť do časti 11. Kontakt na spracovateľa aj chýbajúci telefonický kontakt.</w:t>
            </w:r>
          </w:p>
          <w:p w14:paraId="56EDBC0D" w14:textId="6EA7B345" w:rsidR="00A933DA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A933DA">
              <w:rPr>
                <w:bCs/>
                <w:sz w:val="22"/>
                <w:szCs w:val="22"/>
                <w:u w:val="single"/>
                <w:lang w:eastAsia="ar-SA"/>
              </w:rPr>
              <w:t>Odôvodnenie:</w:t>
            </w:r>
            <w:r w:rsidRPr="00A933DA">
              <w:rPr>
                <w:bCs/>
                <w:sz w:val="22"/>
                <w:szCs w:val="22"/>
                <w:lang w:eastAsia="ar-SA"/>
              </w:rPr>
              <w:t xml:space="preserve"> Ide o potrebný údaj v zmysle Jednotnej metodiky na posudzovanie vybraných vplyvov pre prípadnú  lepšiu komunikáciu predkladateľa a pripomienkujúce útvary.</w:t>
            </w:r>
          </w:p>
          <w:p w14:paraId="32954EC2" w14:textId="77777777" w:rsidR="00A933DA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28BCCD11" w14:textId="76770677" w:rsidR="00A933DA" w:rsidRPr="00A933DA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/>
                <w:bCs/>
                <w:sz w:val="22"/>
                <w:szCs w:val="22"/>
                <w:u w:val="single"/>
                <w:lang w:eastAsia="ar-SA"/>
              </w:rPr>
              <w:t xml:space="preserve">Vyhodnotenie: </w:t>
            </w:r>
            <w:r w:rsidRPr="00216F8B">
              <w:rPr>
                <w:bCs/>
                <w:sz w:val="22"/>
                <w:szCs w:val="22"/>
                <w:lang w:eastAsia="ar-SA"/>
              </w:rPr>
              <w:t>Pripomienka bola akceptovaná, časť 11 bola doplnená.</w:t>
            </w:r>
            <w:r>
              <w:rPr>
                <w:bCs/>
                <w:sz w:val="22"/>
                <w:szCs w:val="22"/>
                <w:lang w:eastAsia="ar-SA"/>
              </w:rPr>
              <w:t xml:space="preserve"> </w:t>
            </w:r>
          </w:p>
          <w:p w14:paraId="7954297E" w14:textId="77777777" w:rsidR="00A933DA" w:rsidRPr="00A933DA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2CC8C0C2" w14:textId="77777777" w:rsidR="00A933DA" w:rsidRPr="00A933DA" w:rsidRDefault="00A933DA" w:rsidP="00A933DA">
            <w:pPr>
              <w:pStyle w:val="norm00e1lny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A933DA">
              <w:rPr>
                <w:b/>
                <w:bCs/>
                <w:sz w:val="22"/>
                <w:szCs w:val="22"/>
                <w:lang w:eastAsia="ar-SA"/>
              </w:rPr>
              <w:t>K vplyvom na podnikateľské prostredie</w:t>
            </w:r>
          </w:p>
          <w:p w14:paraId="2C97A13A" w14:textId="77777777" w:rsidR="00A933DA" w:rsidRPr="00A933DA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A933DA">
              <w:rPr>
                <w:bCs/>
                <w:sz w:val="22"/>
                <w:szCs w:val="22"/>
                <w:u w:val="single"/>
                <w:lang w:eastAsia="ar-SA"/>
              </w:rPr>
              <w:t xml:space="preserve">K uplatňovaniu princípu ochrany pred neopodstatneným </w:t>
            </w:r>
            <w:proofErr w:type="spellStart"/>
            <w:r w:rsidRPr="00A933DA">
              <w:rPr>
                <w:bCs/>
                <w:sz w:val="22"/>
                <w:szCs w:val="22"/>
                <w:u w:val="single"/>
                <w:lang w:eastAsia="ar-SA"/>
              </w:rPr>
              <w:t>goldplatingom</w:t>
            </w:r>
            <w:proofErr w:type="spellEnd"/>
            <w:r w:rsidRPr="00A933DA">
              <w:rPr>
                <w:bCs/>
                <w:sz w:val="22"/>
                <w:szCs w:val="22"/>
                <w:u w:val="single"/>
                <w:lang w:eastAsia="ar-SA"/>
              </w:rPr>
              <w:t xml:space="preserve"> </w:t>
            </w:r>
          </w:p>
          <w:p w14:paraId="5011043D" w14:textId="77777777" w:rsidR="00A933DA" w:rsidRPr="00A933DA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A933DA">
              <w:rPr>
                <w:bCs/>
                <w:sz w:val="22"/>
                <w:szCs w:val="22"/>
                <w:lang w:eastAsia="ar-SA"/>
              </w:rPr>
              <w:t xml:space="preserve">Komisia žiada predkladateľa o dopracovanie Analýzy vplyvov na podnikateľské prostredie a vyplnenie časti 3.1.4, kde je potrebné opísať </w:t>
            </w:r>
            <w:proofErr w:type="spellStart"/>
            <w:r w:rsidRPr="00A933DA">
              <w:rPr>
                <w:bCs/>
                <w:sz w:val="22"/>
                <w:szCs w:val="22"/>
                <w:lang w:eastAsia="ar-SA"/>
              </w:rPr>
              <w:t>goldplating</w:t>
            </w:r>
            <w:proofErr w:type="spellEnd"/>
            <w:r w:rsidRPr="00A933DA">
              <w:rPr>
                <w:bCs/>
                <w:sz w:val="22"/>
                <w:szCs w:val="22"/>
                <w:lang w:eastAsia="ar-SA"/>
              </w:rPr>
              <w:t xml:space="preserve"> s vplyvom na podnikateľské prostredie identifikovaný v bode 7 Doložky vybraných vplyvov (opis </w:t>
            </w:r>
            <w:proofErr w:type="spellStart"/>
            <w:r w:rsidRPr="00A933DA">
              <w:rPr>
                <w:bCs/>
                <w:sz w:val="22"/>
                <w:szCs w:val="22"/>
                <w:lang w:eastAsia="ar-SA"/>
              </w:rPr>
              <w:t>goldplatingu</w:t>
            </w:r>
            <w:proofErr w:type="spellEnd"/>
            <w:r w:rsidRPr="00A933DA">
              <w:rPr>
                <w:bCs/>
                <w:sz w:val="22"/>
                <w:szCs w:val="22"/>
                <w:lang w:eastAsia="ar-SA"/>
              </w:rPr>
              <w:t xml:space="preserve"> zahŕňa: odôvodnenie zavedenia </w:t>
            </w:r>
            <w:proofErr w:type="spellStart"/>
            <w:r w:rsidRPr="00A933DA">
              <w:rPr>
                <w:bCs/>
                <w:sz w:val="22"/>
                <w:szCs w:val="22"/>
                <w:lang w:eastAsia="ar-SA"/>
              </w:rPr>
              <w:t>goldplatingu</w:t>
            </w:r>
            <w:proofErr w:type="spellEnd"/>
            <w:r w:rsidRPr="00A933DA">
              <w:rPr>
                <w:bCs/>
                <w:sz w:val="22"/>
                <w:szCs w:val="22"/>
                <w:lang w:eastAsia="ar-SA"/>
              </w:rPr>
              <w:t xml:space="preserve">, resp. prečo je nutné ponechanie </w:t>
            </w:r>
            <w:proofErr w:type="spellStart"/>
            <w:r w:rsidRPr="00A933DA">
              <w:rPr>
                <w:bCs/>
                <w:sz w:val="22"/>
                <w:szCs w:val="22"/>
                <w:lang w:eastAsia="ar-SA"/>
              </w:rPr>
              <w:t>goldplatingu</w:t>
            </w:r>
            <w:proofErr w:type="spellEnd"/>
            <w:r w:rsidRPr="00A933DA">
              <w:rPr>
                <w:bCs/>
                <w:sz w:val="22"/>
                <w:szCs w:val="22"/>
                <w:lang w:eastAsia="ar-SA"/>
              </w:rPr>
              <w:t xml:space="preserve">, ktorej smernice sa týka, o aký druh </w:t>
            </w:r>
            <w:proofErr w:type="spellStart"/>
            <w:r w:rsidRPr="00A933DA">
              <w:rPr>
                <w:bCs/>
                <w:sz w:val="22"/>
                <w:szCs w:val="22"/>
                <w:lang w:eastAsia="ar-SA"/>
              </w:rPr>
              <w:t>goldplatingu</w:t>
            </w:r>
            <w:proofErr w:type="spellEnd"/>
            <w:r w:rsidRPr="00A933DA">
              <w:rPr>
                <w:bCs/>
                <w:sz w:val="22"/>
                <w:szCs w:val="22"/>
                <w:lang w:eastAsia="ar-SA"/>
              </w:rPr>
              <w:t xml:space="preserve"> sa jedná). Tiež v prípade, že sú dostupné údaje, identifikovaný </w:t>
            </w:r>
            <w:proofErr w:type="spellStart"/>
            <w:r w:rsidRPr="00A933DA">
              <w:rPr>
                <w:bCs/>
                <w:sz w:val="22"/>
                <w:szCs w:val="22"/>
                <w:lang w:eastAsia="ar-SA"/>
              </w:rPr>
              <w:t>goldplating</w:t>
            </w:r>
            <w:proofErr w:type="spellEnd"/>
            <w:r w:rsidRPr="00A933DA">
              <w:rPr>
                <w:bCs/>
                <w:sz w:val="22"/>
                <w:szCs w:val="22"/>
                <w:lang w:eastAsia="ar-SA"/>
              </w:rPr>
              <w:t xml:space="preserve"> kvantifikovať v Kalkulačke nákladov. Zároveň, vzhľadom na konštatovanie predkladateľa, že ide o ustanovenia, ktoré už v súčasnom právnom poriadku sú reflektované rovnakým spôsobom, Komisia žiada v Analýze vplyvov na podnikateľské prostredie, ako aj v Tabuľke zhody, označiť, že ide o </w:t>
            </w:r>
            <w:proofErr w:type="spellStart"/>
            <w:r w:rsidRPr="00A933DA">
              <w:rPr>
                <w:bCs/>
                <w:sz w:val="22"/>
                <w:szCs w:val="22"/>
                <w:lang w:eastAsia="ar-SA"/>
              </w:rPr>
              <w:t>goldplating</w:t>
            </w:r>
            <w:proofErr w:type="spellEnd"/>
            <w:r w:rsidRPr="00A933DA">
              <w:rPr>
                <w:bCs/>
                <w:sz w:val="22"/>
                <w:szCs w:val="22"/>
                <w:lang w:eastAsia="ar-SA"/>
              </w:rPr>
              <w:t xml:space="preserve"> typu f).</w:t>
            </w:r>
          </w:p>
          <w:p w14:paraId="37DC6DA7" w14:textId="045FF2B7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A933DA">
              <w:rPr>
                <w:bCs/>
                <w:sz w:val="22"/>
                <w:szCs w:val="22"/>
                <w:u w:val="single"/>
                <w:lang w:eastAsia="ar-SA"/>
              </w:rPr>
              <w:t>Odôvodnenie:</w:t>
            </w:r>
            <w:r w:rsidRPr="00A933DA">
              <w:rPr>
                <w:bCs/>
                <w:sz w:val="22"/>
                <w:szCs w:val="22"/>
                <w:lang w:eastAsia="ar-SA"/>
              </w:rPr>
              <w:t xml:space="preserve"> Predkladateľ v Doložke vybraných vplyvov v bode 7. a v Tabuľke zhody uviedol, že predkladaný </w:t>
            </w:r>
            <w:r w:rsidRPr="00216F8B">
              <w:rPr>
                <w:bCs/>
                <w:sz w:val="22"/>
                <w:szCs w:val="22"/>
                <w:lang w:eastAsia="ar-SA"/>
              </w:rPr>
              <w:t xml:space="preserve">materiál obsahuje </w:t>
            </w:r>
            <w:proofErr w:type="spellStart"/>
            <w:r w:rsidRPr="00216F8B">
              <w:rPr>
                <w:bCs/>
                <w:sz w:val="22"/>
                <w:szCs w:val="22"/>
                <w:lang w:eastAsia="ar-SA"/>
              </w:rPr>
              <w:t>goldplating</w:t>
            </w:r>
            <w:proofErr w:type="spellEnd"/>
            <w:r w:rsidRPr="00216F8B">
              <w:rPr>
                <w:bCs/>
                <w:sz w:val="22"/>
                <w:szCs w:val="22"/>
                <w:lang w:eastAsia="ar-SA"/>
              </w:rPr>
              <w:t xml:space="preserve"> s vplyvom na podnikateľské prostredie. V časti 3.1.4 Analýzy vplyvov na podnikateľské prostredie sa informácie uvádzajú v prípade, ak sa predkladaným návrhom regulácie vykonáva transpozícia smernice EÚ a bol identifikovaný </w:t>
            </w:r>
            <w:proofErr w:type="spellStart"/>
            <w:r w:rsidRPr="00216F8B">
              <w:rPr>
                <w:bCs/>
                <w:sz w:val="22"/>
                <w:szCs w:val="22"/>
                <w:lang w:eastAsia="ar-SA"/>
              </w:rPr>
              <w:t>goldplating</w:t>
            </w:r>
            <w:proofErr w:type="spellEnd"/>
            <w:r w:rsidRPr="00216F8B">
              <w:rPr>
                <w:bCs/>
                <w:sz w:val="22"/>
                <w:szCs w:val="22"/>
                <w:lang w:eastAsia="ar-SA"/>
              </w:rPr>
              <w:t xml:space="preserve"> podľa tabuľky zhody. V prípade </w:t>
            </w:r>
            <w:proofErr w:type="spellStart"/>
            <w:r w:rsidRPr="00216F8B">
              <w:rPr>
                <w:bCs/>
                <w:sz w:val="22"/>
                <w:szCs w:val="22"/>
                <w:lang w:eastAsia="ar-SA"/>
              </w:rPr>
              <w:t>goldplatingu</w:t>
            </w:r>
            <w:proofErr w:type="spellEnd"/>
            <w:r w:rsidRPr="00216F8B">
              <w:rPr>
                <w:bCs/>
                <w:sz w:val="22"/>
                <w:szCs w:val="22"/>
                <w:lang w:eastAsia="ar-SA"/>
              </w:rPr>
              <w:t xml:space="preserve"> typu f) ide o zachovanie existujúcej právnej úpravy.</w:t>
            </w:r>
          </w:p>
          <w:p w14:paraId="6FEF042F" w14:textId="3E9AACFE" w:rsidR="00DA5DE1" w:rsidRPr="00216F8B" w:rsidRDefault="00DA5DE1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4EEB528E" w14:textId="448BF7A8" w:rsidR="00DA5DE1" w:rsidRPr="00216F8B" w:rsidRDefault="00DA5DE1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/>
                <w:bCs/>
                <w:sz w:val="22"/>
                <w:szCs w:val="22"/>
                <w:u w:val="single"/>
                <w:lang w:eastAsia="ar-SA"/>
              </w:rPr>
              <w:t>Vyhodnotenie:</w:t>
            </w:r>
            <w:r w:rsidR="00F47FC1" w:rsidRPr="00216F8B">
              <w:rPr>
                <w:b/>
                <w:bCs/>
                <w:sz w:val="22"/>
                <w:szCs w:val="22"/>
                <w:u w:val="single"/>
                <w:lang w:eastAsia="ar-SA"/>
              </w:rPr>
              <w:t xml:space="preserve"> </w:t>
            </w:r>
            <w:r w:rsidR="00BF639F" w:rsidRPr="00216F8B">
              <w:rPr>
                <w:bCs/>
                <w:sz w:val="22"/>
                <w:szCs w:val="22"/>
                <w:lang w:eastAsia="ar-SA"/>
              </w:rPr>
              <w:t>P</w:t>
            </w:r>
            <w:r w:rsidR="00F47FC1" w:rsidRPr="00216F8B">
              <w:rPr>
                <w:bCs/>
                <w:sz w:val="22"/>
                <w:szCs w:val="22"/>
                <w:lang w:eastAsia="ar-SA"/>
              </w:rPr>
              <w:t>ripomienka bola akceptovaná.</w:t>
            </w:r>
            <w:r w:rsidR="00F47FC1" w:rsidRPr="00216F8B">
              <w:rPr>
                <w:b/>
                <w:bCs/>
                <w:sz w:val="22"/>
                <w:szCs w:val="22"/>
                <w:u w:val="single"/>
                <w:lang w:eastAsia="ar-SA"/>
              </w:rPr>
              <w:t xml:space="preserve"> </w:t>
            </w:r>
          </w:p>
          <w:p w14:paraId="1E67832D" w14:textId="77777777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04201138" w14:textId="77777777" w:rsidR="00A933DA" w:rsidRPr="00A933DA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Cs/>
                <w:sz w:val="22"/>
                <w:szCs w:val="22"/>
                <w:lang w:eastAsia="ar-SA"/>
              </w:rPr>
              <w:t>V Doložke vybraných vplyvov</w:t>
            </w:r>
            <w:r w:rsidRPr="00A933DA">
              <w:rPr>
                <w:bCs/>
                <w:sz w:val="22"/>
                <w:szCs w:val="22"/>
                <w:lang w:eastAsia="ar-SA"/>
              </w:rPr>
              <w:t xml:space="preserve"> Komisia žiada predkladateľa o prepracovanie bodu 7. Transpozícia/implementácia práva EÚ. V tomto bode sa uvádza, či daný materiál obsahuje </w:t>
            </w:r>
            <w:proofErr w:type="spellStart"/>
            <w:r w:rsidRPr="00A933DA">
              <w:rPr>
                <w:bCs/>
                <w:sz w:val="22"/>
                <w:szCs w:val="22"/>
                <w:lang w:eastAsia="ar-SA"/>
              </w:rPr>
              <w:t>goldplating</w:t>
            </w:r>
            <w:proofErr w:type="spellEnd"/>
            <w:r w:rsidRPr="00A933DA">
              <w:rPr>
                <w:bCs/>
                <w:sz w:val="22"/>
                <w:szCs w:val="22"/>
                <w:lang w:eastAsia="ar-SA"/>
              </w:rPr>
              <w:t xml:space="preserve"> a uvádzajú sa oblasti vplyvu. Bližší popis </w:t>
            </w:r>
            <w:proofErr w:type="spellStart"/>
            <w:r w:rsidRPr="00A933DA">
              <w:rPr>
                <w:bCs/>
                <w:sz w:val="22"/>
                <w:szCs w:val="22"/>
                <w:lang w:eastAsia="ar-SA"/>
              </w:rPr>
              <w:t>goldplatingu</w:t>
            </w:r>
            <w:proofErr w:type="spellEnd"/>
            <w:r w:rsidRPr="00A933DA">
              <w:rPr>
                <w:bCs/>
                <w:sz w:val="22"/>
                <w:szCs w:val="22"/>
                <w:lang w:eastAsia="ar-SA"/>
              </w:rPr>
              <w:t xml:space="preserve"> je potrebné uviesť v príslušnej Tabuľke zhody a v prípade </w:t>
            </w:r>
            <w:proofErr w:type="spellStart"/>
            <w:r w:rsidRPr="00A933DA">
              <w:rPr>
                <w:bCs/>
                <w:sz w:val="22"/>
                <w:szCs w:val="22"/>
                <w:lang w:eastAsia="ar-SA"/>
              </w:rPr>
              <w:t>goldplatingu</w:t>
            </w:r>
            <w:proofErr w:type="spellEnd"/>
            <w:r w:rsidRPr="00A933DA">
              <w:rPr>
                <w:bCs/>
                <w:sz w:val="22"/>
                <w:szCs w:val="22"/>
                <w:lang w:eastAsia="ar-SA"/>
              </w:rPr>
              <w:t xml:space="preserve"> s vplyvom na podnikateľské prostredie v Analýze vplyvov na podnikateľské prostredie. V tejto súvislosti Komisia žiada tiež v bode 7 doložky poslednú vetu upraviť nasledovne: „Ide však o ustanovenia, ktoré už v právnom poriadku sú reflektované rovnakým spôsobom a nejde teda o nové regulácie.“ </w:t>
            </w:r>
          </w:p>
          <w:p w14:paraId="5D4149D7" w14:textId="5CAD71D4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A933DA">
              <w:rPr>
                <w:bCs/>
                <w:sz w:val="22"/>
                <w:szCs w:val="22"/>
                <w:u w:val="single"/>
                <w:lang w:eastAsia="ar-SA"/>
              </w:rPr>
              <w:t>Odôvodnenie:</w:t>
            </w:r>
            <w:r w:rsidRPr="00A933DA">
              <w:rPr>
                <w:bCs/>
                <w:sz w:val="22"/>
                <w:szCs w:val="22"/>
                <w:lang w:eastAsia="ar-SA"/>
              </w:rPr>
              <w:t xml:space="preserve"> Predkladateľ v Doložke vplyvov v bode 7. uvádza bližší popis identifikovaných </w:t>
            </w:r>
            <w:proofErr w:type="spellStart"/>
            <w:r w:rsidRPr="00216F8B">
              <w:rPr>
                <w:bCs/>
                <w:sz w:val="22"/>
                <w:szCs w:val="22"/>
                <w:lang w:eastAsia="ar-SA"/>
              </w:rPr>
              <w:t>goldplatingov</w:t>
            </w:r>
            <w:proofErr w:type="spellEnd"/>
            <w:r w:rsidRPr="00216F8B">
              <w:rPr>
                <w:b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16F8B">
              <w:rPr>
                <w:bCs/>
                <w:sz w:val="22"/>
                <w:szCs w:val="22"/>
                <w:lang w:eastAsia="ar-SA"/>
              </w:rPr>
              <w:t>Goldplating</w:t>
            </w:r>
            <w:proofErr w:type="spellEnd"/>
            <w:r w:rsidRPr="00216F8B">
              <w:rPr>
                <w:bCs/>
                <w:sz w:val="22"/>
                <w:szCs w:val="22"/>
                <w:lang w:eastAsia="ar-SA"/>
              </w:rPr>
              <w:t xml:space="preserve"> s vplyvom na podnikateľské prostredie má byť popísaný v Analýze vplyvov na podnikateľské prostredie. V tejto súvislosti je potrebné upraviť text v bode 7 doložky.</w:t>
            </w:r>
          </w:p>
          <w:p w14:paraId="04F4C9E8" w14:textId="1B38F581" w:rsidR="00DA5DE1" w:rsidRPr="00216F8B" w:rsidRDefault="00DA5DE1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732F2788" w14:textId="6EEC636E" w:rsidR="00DA5DE1" w:rsidRPr="00216F8B" w:rsidRDefault="00DA5DE1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/>
                <w:bCs/>
                <w:sz w:val="22"/>
                <w:szCs w:val="22"/>
                <w:u w:val="single"/>
                <w:lang w:eastAsia="ar-SA"/>
              </w:rPr>
              <w:t xml:space="preserve">Vyhodnotenie: </w:t>
            </w:r>
            <w:r w:rsidRPr="00216F8B">
              <w:rPr>
                <w:bCs/>
                <w:sz w:val="22"/>
                <w:szCs w:val="22"/>
                <w:lang w:eastAsia="ar-SA"/>
              </w:rPr>
              <w:t>Pripomienka bola akceptovaná, znenie bodu 7 bolo upravené.</w:t>
            </w:r>
          </w:p>
          <w:p w14:paraId="2CBA954C" w14:textId="77777777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0CFE566F" w14:textId="77777777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Cs/>
                <w:sz w:val="22"/>
                <w:szCs w:val="22"/>
                <w:lang w:eastAsia="ar-SA"/>
              </w:rPr>
              <w:t xml:space="preserve">V Tabuľke zhody Komisia odporúča predkladateľovi, aby zosúladil text v tabuľke zhody 15_TZ_2017 1132 s vlastným materiálom. Zároveň, vzhľadom ku skutočnosti, že identifikovaný </w:t>
            </w:r>
            <w:proofErr w:type="spellStart"/>
            <w:r w:rsidRPr="00216F8B">
              <w:rPr>
                <w:bCs/>
                <w:sz w:val="22"/>
                <w:szCs w:val="22"/>
                <w:lang w:eastAsia="ar-SA"/>
              </w:rPr>
              <w:t>goldplating</w:t>
            </w:r>
            <w:proofErr w:type="spellEnd"/>
            <w:r w:rsidRPr="00216F8B">
              <w:rPr>
                <w:bCs/>
                <w:sz w:val="22"/>
                <w:szCs w:val="22"/>
                <w:lang w:eastAsia="ar-SA"/>
              </w:rPr>
              <w:t xml:space="preserve"> odkazuje na ustanovenia, ktoré už sú reflektované v súčasnej právnej úprave, je potrebné v stĺpci 9 tabuľky zhody pri všetkých GP – A vyznačiť, že sa jedná o </w:t>
            </w:r>
            <w:proofErr w:type="spellStart"/>
            <w:r w:rsidRPr="00216F8B">
              <w:rPr>
                <w:bCs/>
                <w:sz w:val="22"/>
                <w:szCs w:val="22"/>
                <w:lang w:eastAsia="ar-SA"/>
              </w:rPr>
              <w:t>goldplating</w:t>
            </w:r>
            <w:proofErr w:type="spellEnd"/>
            <w:r w:rsidRPr="00216F8B">
              <w:rPr>
                <w:bCs/>
                <w:sz w:val="22"/>
                <w:szCs w:val="22"/>
                <w:lang w:eastAsia="ar-SA"/>
              </w:rPr>
              <w:t xml:space="preserve"> typu f) zachovanie existujúcej úpravy.</w:t>
            </w:r>
          </w:p>
          <w:p w14:paraId="1446A14A" w14:textId="46D153AA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Cs/>
                <w:sz w:val="22"/>
                <w:szCs w:val="22"/>
                <w:u w:val="single"/>
                <w:lang w:eastAsia="ar-SA"/>
              </w:rPr>
              <w:t>Odôvodnenie:</w:t>
            </w:r>
            <w:r w:rsidRPr="00216F8B">
              <w:rPr>
                <w:bCs/>
                <w:sz w:val="22"/>
                <w:szCs w:val="22"/>
                <w:lang w:eastAsia="ar-SA"/>
              </w:rPr>
              <w:t xml:space="preserve"> V stĺpci č. 6 pri niektorých ustanoveniach nekorešponduje text s vlastným materiálom. Čísla paragrafov sú v niektorých prípadoch posunuté a nesprávne označené.</w:t>
            </w:r>
          </w:p>
          <w:p w14:paraId="67838948" w14:textId="232EE192" w:rsidR="00DA5DE1" w:rsidRPr="00216F8B" w:rsidRDefault="00DA5DE1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589057CF" w14:textId="381EA26F" w:rsidR="00DA5DE1" w:rsidRPr="00216F8B" w:rsidRDefault="00DA5DE1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/>
                <w:bCs/>
                <w:sz w:val="22"/>
                <w:szCs w:val="22"/>
                <w:u w:val="single"/>
                <w:lang w:eastAsia="ar-SA"/>
              </w:rPr>
              <w:t xml:space="preserve">Vyhodnotenie: </w:t>
            </w:r>
            <w:r w:rsidRPr="00216F8B">
              <w:rPr>
                <w:bCs/>
                <w:sz w:val="22"/>
                <w:szCs w:val="22"/>
                <w:lang w:eastAsia="ar-SA"/>
              </w:rPr>
              <w:t xml:space="preserve">Pripomienka bola akceptovaná, znenie tabuľky zhody k smernici (EÚ) 2017/1132 bolo aktualizované a označenie </w:t>
            </w:r>
            <w:proofErr w:type="spellStart"/>
            <w:r w:rsidRPr="00216F8B">
              <w:rPr>
                <w:bCs/>
                <w:sz w:val="22"/>
                <w:szCs w:val="22"/>
                <w:lang w:eastAsia="ar-SA"/>
              </w:rPr>
              <w:t>goldplatingu</w:t>
            </w:r>
            <w:proofErr w:type="spellEnd"/>
            <w:r w:rsidRPr="00216F8B">
              <w:rPr>
                <w:bCs/>
                <w:sz w:val="22"/>
                <w:szCs w:val="22"/>
                <w:lang w:eastAsia="ar-SA"/>
              </w:rPr>
              <w:t xml:space="preserve"> bolo, aj v súlade s ostatnými pripomienkami, upravené. </w:t>
            </w:r>
          </w:p>
          <w:p w14:paraId="74A659DD" w14:textId="77777777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2CD26627" w14:textId="77777777" w:rsidR="00A933DA" w:rsidRPr="00216F8B" w:rsidRDefault="00A933DA" w:rsidP="00A933DA">
            <w:pPr>
              <w:pStyle w:val="norm00e1lny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16F8B">
              <w:rPr>
                <w:b/>
                <w:bCs/>
                <w:sz w:val="22"/>
                <w:szCs w:val="22"/>
                <w:lang w:eastAsia="ar-SA"/>
              </w:rPr>
              <w:t>K vplyvom na rozpočet verejnej správy</w:t>
            </w:r>
          </w:p>
          <w:p w14:paraId="1EA5AB2E" w14:textId="77777777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Cs/>
                <w:sz w:val="22"/>
                <w:szCs w:val="22"/>
                <w:lang w:eastAsia="ar-SA"/>
              </w:rPr>
              <w:t>V doložke vybraných vplyvov predkladateľ označil pozitívne aj negatívne vplyvy materiálu na rozpočet verejnej správy, ktoré nie sú rozpočtovo</w:t>
            </w:r>
            <w:r w:rsidRPr="00A933DA">
              <w:rPr>
                <w:bCs/>
                <w:sz w:val="22"/>
                <w:szCs w:val="22"/>
                <w:lang w:eastAsia="ar-SA"/>
              </w:rPr>
              <w:t xml:space="preserve"> zabezpečené. Podľa analýzy vplyvov na rozpočet verejnej správy má predkladaný materiál negatívny vplyv na príjmy v roku 2026 v sume - 471 513 eur, v roku 2027 v sume - 848 723 eur a v roku 2028 v sume - 1 131 630 eur. Zároveň sa v Analýze vplyvov na rozpočet verejnej správy v bode 2.2.4. uvádza, že „Návrh nového zákona o obchodnom registri bude </w:t>
            </w:r>
            <w:r w:rsidRPr="00A933DA">
              <w:rPr>
                <w:bCs/>
                <w:sz w:val="22"/>
                <w:szCs w:val="22"/>
                <w:lang w:eastAsia="ar-SA"/>
              </w:rPr>
              <w:lastRenderedPageBreak/>
              <w:t xml:space="preserve">mať negatívny aj pozitívny dopad na rozpočet v oblasti súdnych a správnych poplatkov (VPS - Všeobecná pokladničná správa). Tento dopad nie je možné reálne vypočítať, preto je uvádzaný iba v časti formou odhadu.“ Pozitívny vplyv na rozpočet sa predpokladá v súvislosti so zavedením nových súdnych poplatkov (poplatok 50 eur za podanie kvalifikovaného podnetu na všeobecné zosúladenie - takéto zosúladenie môže zrealizovať automaticky aj súd, čím sa počet podnetov zníži, ďalej poplatok 50 eur za zápis rezervácie obchodného mena do obchodného registra a 3 eurá za každú stranu vydaného osvedčenia z obchodného registra) a negatívny vplyv vyplýva primárne z potreby obstarania nového informačného systému obchodného registra, ktorý je plánovaný ako investícia z POO a aktuálne je v </w:t>
            </w:r>
            <w:r w:rsidRPr="00216F8B">
              <w:rPr>
                <w:bCs/>
                <w:sz w:val="22"/>
                <w:szCs w:val="22"/>
                <w:lang w:eastAsia="ar-SA"/>
              </w:rPr>
              <w:t xml:space="preserve">procese verejného obstarávania a z rozšírenia činností notárov ako registrátorov v obchodnom registri. </w:t>
            </w:r>
          </w:p>
          <w:p w14:paraId="54A4C25A" w14:textId="77777777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4FC0CAD7" w14:textId="77777777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Cs/>
                <w:sz w:val="22"/>
                <w:szCs w:val="22"/>
                <w:lang w:eastAsia="ar-SA"/>
              </w:rPr>
              <w:t>V Analýze vplyvov na rozpočet verejnej správy Komisia žiada zapracovať a uviesť celkový kvalifikovaný odhad vplyvu materiálu na príjmy kapitoly VPS (rozšírenie činnosti notárov a taktiež zavedenie nových súdnych poplatkov) a celkové výdavky, Komisia žiada uviesť negatívny vplyv materiálu v súvislosti s obstaraním nového informačného systému obchodného registra z POO vo všetkých relevantných tabuľkách analýzy.</w:t>
            </w:r>
          </w:p>
          <w:p w14:paraId="32327345" w14:textId="77777777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Cs/>
                <w:sz w:val="22"/>
                <w:szCs w:val="22"/>
                <w:lang w:eastAsia="ar-SA"/>
              </w:rPr>
              <w:t>V bode 2.1.1. Komisia žiada vypustiť znenie vety „Negatívny vplyv na rozpočet navrhujeme riešiť úpravou limitov záväzných ukazovateľov rozpočtu kapitoly Všeobecná pokladničná správa na rok 2026 a ďalšie“ vzhľadom na fakt, že kapitola VPS nemá určený záväzný ukazovateľ príjmov.</w:t>
            </w:r>
          </w:p>
          <w:p w14:paraId="547CFDC0" w14:textId="77777777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5A1F86DD" w14:textId="7C161B7E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Cs/>
                <w:sz w:val="22"/>
                <w:szCs w:val="22"/>
                <w:lang w:eastAsia="ar-SA"/>
              </w:rPr>
              <w:t>Na základe uvedených skutočností Komisia žiada, aby všetky negatívne vplyvy na rozpočet verejnej správy boli zabezpečené v rámci schválených limitov dotknutých subjektov rozpočtu verejnej správy, bez dodatočných požiadaviek na rozpočet. V danej súvislosti je potrebné primerane upraviť doložku vybraných vplyvov a analýzu vplyvov tak, aby z nich nevyplýval rozpočtovo nekrytý vplyv.</w:t>
            </w:r>
          </w:p>
          <w:p w14:paraId="7729BBEA" w14:textId="479FA71B" w:rsidR="00DA5DE1" w:rsidRPr="00216F8B" w:rsidRDefault="00DA5DE1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52DA8363" w14:textId="37C1BCF5" w:rsidR="00DA5DE1" w:rsidRPr="00216F8B" w:rsidRDefault="00AE34A3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/>
                <w:bCs/>
                <w:sz w:val="22"/>
                <w:szCs w:val="22"/>
                <w:u w:val="single"/>
                <w:lang w:eastAsia="ar-SA"/>
              </w:rPr>
              <w:t xml:space="preserve">Vyhodnotenie: </w:t>
            </w:r>
            <w:r w:rsidRPr="00216F8B">
              <w:rPr>
                <w:bCs/>
                <w:sz w:val="22"/>
                <w:szCs w:val="22"/>
                <w:lang w:eastAsia="ar-SA"/>
              </w:rPr>
              <w:t>Pripomienka bola akceptovaná, doložka vybraných vplyvov aj analýza vplyvov na rozpočet verejnej správy boli v zmysle pripomienky upravené.</w:t>
            </w:r>
          </w:p>
          <w:p w14:paraId="279730D1" w14:textId="77777777" w:rsidR="00AE34A3" w:rsidRPr="00216F8B" w:rsidRDefault="00AE34A3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53C3C2F2" w14:textId="77777777" w:rsidR="00A933DA" w:rsidRPr="00216F8B" w:rsidRDefault="00A933DA" w:rsidP="00A933DA">
            <w:pPr>
              <w:pStyle w:val="norm00e1lny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16F8B">
              <w:rPr>
                <w:b/>
                <w:bCs/>
                <w:sz w:val="22"/>
                <w:szCs w:val="22"/>
                <w:lang w:eastAsia="ar-SA"/>
              </w:rPr>
              <w:t>K vplyvom na informatizáciu spoločnosti</w:t>
            </w:r>
          </w:p>
          <w:p w14:paraId="181AA9E3" w14:textId="7719E9B5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Cs/>
                <w:sz w:val="22"/>
                <w:szCs w:val="22"/>
                <w:lang w:eastAsia="ar-SA"/>
              </w:rPr>
              <w:t xml:space="preserve">Komisia odporúča zosúladiť názvy, pretože v bode 6.1. je pri koncovej elektronickej službe isvs_5836 uvedený nesprávny názov, nakoľko táto služba je v </w:t>
            </w:r>
            <w:proofErr w:type="spellStart"/>
            <w:r w:rsidRPr="00216F8B">
              <w:rPr>
                <w:bCs/>
                <w:sz w:val="22"/>
                <w:szCs w:val="22"/>
                <w:lang w:eastAsia="ar-SA"/>
              </w:rPr>
              <w:t>MetaIS</w:t>
            </w:r>
            <w:proofErr w:type="spellEnd"/>
            <w:r w:rsidRPr="00216F8B">
              <w:rPr>
                <w:bCs/>
                <w:sz w:val="22"/>
                <w:szCs w:val="22"/>
                <w:lang w:eastAsia="ar-SA"/>
              </w:rPr>
              <w:t xml:space="preserve"> zaregistrovaná pod názvom IS Centrálna platforma dátovej integrácie (IS CPDI). </w:t>
            </w:r>
          </w:p>
          <w:p w14:paraId="3827B24D" w14:textId="60A218FD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0071BBF9" w14:textId="081783E6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  <w:r w:rsidRPr="00216F8B">
              <w:rPr>
                <w:b/>
                <w:bCs/>
                <w:sz w:val="22"/>
                <w:szCs w:val="22"/>
                <w:u w:val="single"/>
                <w:lang w:eastAsia="ar-SA"/>
              </w:rPr>
              <w:t xml:space="preserve">Vyhodnotenie: </w:t>
            </w:r>
            <w:r w:rsidRPr="00216F8B">
              <w:rPr>
                <w:bCs/>
                <w:sz w:val="22"/>
                <w:szCs w:val="22"/>
                <w:lang w:eastAsia="ar-SA"/>
              </w:rPr>
              <w:t xml:space="preserve">Pripomienka bola akceptovaná, označenie služby bolo v analýze vplyvov na informatizáciu upravené.  </w:t>
            </w:r>
          </w:p>
          <w:p w14:paraId="51F4397D" w14:textId="77777777" w:rsidR="00A933DA" w:rsidRPr="00216F8B" w:rsidRDefault="00A933DA" w:rsidP="00A933DA">
            <w:pPr>
              <w:pStyle w:val="norm00e1lny"/>
              <w:jc w:val="both"/>
              <w:rPr>
                <w:bCs/>
                <w:sz w:val="22"/>
                <w:szCs w:val="22"/>
                <w:lang w:eastAsia="ar-SA"/>
              </w:rPr>
            </w:pPr>
          </w:p>
          <w:p w14:paraId="214E49F4" w14:textId="77777777" w:rsidR="00A933DA" w:rsidRPr="00216F8B" w:rsidRDefault="00A933DA" w:rsidP="00A933DA">
            <w:pPr>
              <w:pStyle w:val="norm00e1lny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16F8B">
              <w:rPr>
                <w:b/>
                <w:bCs/>
                <w:sz w:val="22"/>
                <w:szCs w:val="22"/>
                <w:lang w:eastAsia="ar-SA"/>
              </w:rPr>
              <w:t xml:space="preserve">Ku </w:t>
            </w:r>
            <w:proofErr w:type="spellStart"/>
            <w:r w:rsidRPr="00216F8B">
              <w:rPr>
                <w:b/>
                <w:bCs/>
                <w:sz w:val="22"/>
                <w:szCs w:val="22"/>
                <w:lang w:eastAsia="ar-SA"/>
              </w:rPr>
              <w:t>goldplatingu</w:t>
            </w:r>
            <w:proofErr w:type="spellEnd"/>
            <w:r w:rsidRPr="00216F8B">
              <w:rPr>
                <w:b/>
                <w:bCs/>
                <w:sz w:val="22"/>
                <w:szCs w:val="22"/>
                <w:lang w:eastAsia="ar-SA"/>
              </w:rPr>
              <w:t xml:space="preserve"> (všeobecne)</w:t>
            </w:r>
          </w:p>
          <w:p w14:paraId="5377CB70" w14:textId="296D2851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Vo vzťahu k smernici (EÚ) 2017/1132 v platnom znení pri transponovaní </w:t>
            </w:r>
            <w:r w:rsidRPr="00216F8B">
              <w:rPr>
                <w:rFonts w:ascii="Times New Roman" w:hAnsi="Times New Roman" w:cs="Times New Roman"/>
                <w:bCs/>
                <w:u w:val="single"/>
              </w:rPr>
              <w:t>čl. 15 ods. 1</w:t>
            </w:r>
            <w:r w:rsidRPr="00216F8B">
              <w:rPr>
                <w:rFonts w:ascii="Times New Roman" w:hAnsi="Times New Roman" w:cs="Times New Roman"/>
                <w:bCs/>
              </w:rPr>
              <w:t xml:space="preserve"> smernice (EÚ) 2017/1132 v platnom znení sa Komisia domnieva, že dochádza ku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, kedy smernica (EÚ) 2017/1132 v platnom znení  stanovuje lehotu 21 dní, pričom slovenská právna úprava stanovuje lehotu „bez zbytočného odkladu“. Komisia žiada preto náležite vyplniť stĺpce 9 a 10 tabuľky zhody, pod tabuľkou zhody uviesť „Vyjadrenie k opodstatnenosti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a jeho odôvodnenie“ a uvedené reflektovať v  doložke vybraných vplyvov.</w:t>
            </w:r>
          </w:p>
          <w:p w14:paraId="5BB06A37" w14:textId="09F1F540" w:rsidR="00A4599C" w:rsidRPr="00216F8B" w:rsidRDefault="00A4599C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CE0F243" w14:textId="77777777" w:rsidR="00A4599C" w:rsidRPr="00216F8B" w:rsidRDefault="00A4599C" w:rsidP="00A4599C">
            <w:pPr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nebola akceptovaná.</w:t>
            </w:r>
          </w:p>
          <w:p w14:paraId="2CBAB408" w14:textId="77777777" w:rsidR="00A4599C" w:rsidRPr="00216F8B" w:rsidRDefault="00A4599C" w:rsidP="00A459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Odôvodnenie: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 xml:space="preserve">Predkladateľ v danom prípade nevníma existenciu </w:t>
            </w:r>
            <w:proofErr w:type="spellStart"/>
            <w:r w:rsidRPr="00216F8B">
              <w:rPr>
                <w:rFonts w:ascii="Times New Roman" w:hAnsi="Times New Roman" w:cs="Times New Roman"/>
                <w:bCs/>
                <w:lang w:eastAsia="ar-SA"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  <w:lang w:eastAsia="ar-SA"/>
              </w:rPr>
              <w:t xml:space="preserve">. Smernica stanovuje, že zmeny v dokumentoch sa majú v lehote do 21 dní zverejniť na štátom určenej platforme (Obchodný vestník). Akákoľvek lehota od „okamžite“ do lehoty „21 dní od doručenia dokumentov registrovému orgánu“ je podľa názoru predkladateľa v súlade s požiadavkami smernice a nezakladá </w:t>
            </w:r>
            <w:proofErr w:type="spellStart"/>
            <w:r w:rsidRPr="00216F8B">
              <w:rPr>
                <w:rFonts w:ascii="Times New Roman" w:hAnsi="Times New Roman" w:cs="Times New Roman"/>
                <w:bCs/>
                <w:lang w:eastAsia="ar-SA"/>
              </w:rPr>
              <w:t>goldplating</w:t>
            </w:r>
            <w:proofErr w:type="spellEnd"/>
            <w:r w:rsidRPr="00216F8B">
              <w:rPr>
                <w:rFonts w:ascii="Times New Roman" w:hAnsi="Times New Roman" w:cs="Times New Roman"/>
                <w:bCs/>
                <w:lang w:eastAsia="ar-SA"/>
              </w:rPr>
              <w:t xml:space="preserve">. Naviac, táto povinnosť je určená registrovému orgánu, v podmienkach Slovenskej republiky sa toto zverejnenie uskutoční automaticky – po predložení dokumentov sa automaticky zverejnia v Obchodnom vestníku, ustanovenie nemá žiadny vplyv na podnikateľské prostredie. </w:t>
            </w:r>
          </w:p>
          <w:p w14:paraId="225A3C71" w14:textId="041439CD" w:rsidR="00A4599C" w:rsidRPr="00216F8B" w:rsidRDefault="00A4599C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C456E0A" w14:textId="689C25EE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Pri transponovaní čl. </w:t>
            </w:r>
            <w:r w:rsidRPr="00216F8B">
              <w:rPr>
                <w:rFonts w:ascii="Times New Roman" w:hAnsi="Times New Roman" w:cs="Times New Roman"/>
                <w:bCs/>
                <w:u w:val="single"/>
              </w:rPr>
              <w:t>16 ods. 5</w:t>
            </w:r>
            <w:r w:rsidRPr="00216F8B">
              <w:rPr>
                <w:rFonts w:ascii="Times New Roman" w:hAnsi="Times New Roman" w:cs="Times New Roman"/>
                <w:bCs/>
              </w:rPr>
              <w:t xml:space="preserve"> smernice (EÚ) 2017/1132 v platnom znení sa Komisia domnieva, že dochádza ku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, kedy smernica (EÚ) 2017/1132 v platnom znení  stanovuje lehotu 16 dní, pričom slovenská právna úprava stanovuje lehotu 15 dní. Komisia žiada preto náležite vyplniť stĺpce </w:t>
            </w:r>
            <w:r w:rsidRPr="00216F8B">
              <w:rPr>
                <w:rFonts w:ascii="Times New Roman" w:hAnsi="Times New Roman" w:cs="Times New Roman"/>
                <w:bCs/>
              </w:rPr>
              <w:lastRenderedPageBreak/>
              <w:t xml:space="preserve">9 a 10 tabuľky zhody, pod tabuľkou zhody uviesť „Vyjadrenie k opodstatnenosti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a jeho odôvodnenie“ a uvedené reflektovať v  doložke vybraných vplyvov.</w:t>
            </w:r>
          </w:p>
          <w:p w14:paraId="4967FF57" w14:textId="1C0EEB3E" w:rsidR="00A4599C" w:rsidRPr="00216F8B" w:rsidRDefault="00A4599C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EB5A50E" w14:textId="77777777" w:rsidR="00A4599C" w:rsidRPr="00216F8B" w:rsidRDefault="00A4599C" w:rsidP="00A4599C">
            <w:pPr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nebola akceptovaná.</w:t>
            </w:r>
          </w:p>
          <w:p w14:paraId="5989D430" w14:textId="26C23CDD" w:rsidR="00A4599C" w:rsidRPr="00216F8B" w:rsidRDefault="00A4599C" w:rsidP="00A459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Odôvodnenie: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K</w:t>
            </w:r>
            <w:r w:rsidR="00695601" w:rsidRPr="00216F8B">
              <w:rPr>
                <w:rFonts w:ascii="Times New Roman" w:hAnsi="Times New Roman" w:cs="Times New Roman"/>
                <w:bCs/>
                <w:lang w:eastAsia="ar-SA"/>
              </w:rPr>
              <w:t xml:space="preserve">u </w:t>
            </w:r>
            <w:proofErr w:type="spellStart"/>
            <w:r w:rsidR="00695601" w:rsidRPr="00216F8B">
              <w:rPr>
                <w:rFonts w:ascii="Times New Roman" w:hAnsi="Times New Roman" w:cs="Times New Roman"/>
                <w:bCs/>
                <w:lang w:eastAsia="ar-SA"/>
              </w:rPr>
              <w:t>gold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  <w:lang w:eastAsia="ar-SA"/>
              </w:rPr>
              <w:t xml:space="preserve"> nedochádza. Vo vyjadrení smernice a vyjadrení návrhu zákona ide o inak vyjadrené počítanie času,</w:t>
            </w:r>
            <w:r w:rsidR="00695601" w:rsidRPr="00216F8B">
              <w:rPr>
                <w:rFonts w:ascii="Times New Roman" w:hAnsi="Times New Roman" w:cs="Times New Roman"/>
                <w:bCs/>
                <w:lang w:eastAsia="ar-SA"/>
              </w:rPr>
              <w:t xml:space="preserve"> ktoré sa však účinkami zhoduje. Ak v zmysle smernice ide o úkony vykonané pred 16.tym dňom odo dňa zverejnenia, ide o rovnaké obdobie ako predkladateľ v návrhu zákona vyjadruje slovami „v lehote 15 dní odo dňa zverejnenia.“. </w:t>
            </w:r>
          </w:p>
          <w:p w14:paraId="03637488" w14:textId="77777777" w:rsidR="00A4599C" w:rsidRPr="00216F8B" w:rsidRDefault="00A4599C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744A6A1" w14:textId="2E1A312C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Pri preukazovaní transpozície </w:t>
            </w:r>
            <w:r w:rsidRPr="00216F8B">
              <w:rPr>
                <w:rFonts w:ascii="Times New Roman" w:hAnsi="Times New Roman" w:cs="Times New Roman"/>
                <w:bCs/>
                <w:u w:val="single"/>
              </w:rPr>
              <w:t>čl. 21 ods. 2</w:t>
            </w:r>
            <w:r w:rsidRPr="00216F8B">
              <w:rPr>
                <w:rFonts w:ascii="Times New Roman" w:hAnsi="Times New Roman" w:cs="Times New Roman"/>
                <w:bCs/>
              </w:rPr>
              <w:t xml:space="preserve"> smernice (EÚ) 2017/1132 v platnom znení - druhý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pododsek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je potrebné vyplniť stĺpec 9, prípadne 10 tabuľky zhody a  to podľa prílohy č. 3 k Legislatívnym pravidlám vlády SR. Túto pripomienku Komisia primerane uplatňuje aj k preukazovaniu transpozície čl. 21 ods. 3 smernice (EÚ) 2017/1132 v platnom znení.</w:t>
            </w:r>
          </w:p>
          <w:p w14:paraId="3DDD3F6C" w14:textId="4833B10E" w:rsidR="005D27DE" w:rsidRPr="00216F8B" w:rsidRDefault="005D27DE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21C337E" w14:textId="407E7884" w:rsidR="005D27DE" w:rsidRPr="00216F8B" w:rsidRDefault="005D27DE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2FB947E1" w14:textId="77777777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20750F6" w14:textId="3F6D3E61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Pri transponovaní </w:t>
            </w:r>
            <w:r w:rsidRPr="00216F8B">
              <w:rPr>
                <w:rFonts w:ascii="Times New Roman" w:hAnsi="Times New Roman" w:cs="Times New Roman"/>
                <w:bCs/>
                <w:u w:val="single"/>
              </w:rPr>
              <w:t xml:space="preserve">čl. 28a ods. 4 </w:t>
            </w:r>
            <w:r w:rsidRPr="00216F8B">
              <w:rPr>
                <w:rFonts w:ascii="Times New Roman" w:hAnsi="Times New Roman" w:cs="Times New Roman"/>
                <w:bCs/>
              </w:rPr>
              <w:t xml:space="preserve">smernice (EÚ) 2017/1132 v platnom znení je v 9. stĺpci tabuľky zhody identifikovaný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. Komisia sa domnieva, že v tomto prípade nejde o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>, nakoľko slovenská právna úprava transponuje len minimálne požiadavky smernice (EÚ) 2017/1132 v platnom znení. Je preto potrebné v 9. stĺpci uviesť poznámku GP-N a 10. stĺpec ponechať bez vyplnenia.</w:t>
            </w:r>
          </w:p>
          <w:p w14:paraId="5CFEEA46" w14:textId="76C13D02" w:rsidR="007C6347" w:rsidRPr="00216F8B" w:rsidRDefault="007C6347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034D2FA" w14:textId="77777777" w:rsidR="007C6347" w:rsidRPr="00216F8B" w:rsidRDefault="007C6347" w:rsidP="007C634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1DE3B4C4" w14:textId="2834C743" w:rsidR="00A4599C" w:rsidRPr="00216F8B" w:rsidRDefault="00A4599C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DB9DF7C" w14:textId="77777777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EBF6418" w14:textId="2A88CF3A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Pri transponovaní čl. 28a ods. 6 smernice (EÚ) 2017/1132 v platnom znení sa Komisia domnieva, že dochádza ku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, kedy smernica (EÚ) 2017/1132 v platnom znení  stanovuje lehotu  pre online zápis pobočky do registra 10 pracovných dní, pričom slovenská právna úprava stanovuje lehotu dvoch pracovných dní. Komisia žiada preto náležite vyplniť stĺpce 9 a 10 tabuľky zhody, pod tabuľkou zhody uviesť „Vyjadrenie k opodstatnenosti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a jeho odôvodnenie“ a uvedené reflektovať v  doložke vybraných vplyvov.</w:t>
            </w:r>
          </w:p>
          <w:p w14:paraId="5D82B06C" w14:textId="4FDC72ED" w:rsidR="009D31BF" w:rsidRPr="00216F8B" w:rsidRDefault="009D31BF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731D4D3" w14:textId="59BDC741" w:rsidR="009D31BF" w:rsidRPr="00216F8B" w:rsidRDefault="009D31BF" w:rsidP="00A933DA">
            <w:pPr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0F6FFAF0" w14:textId="77777777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5FA735F" w14:textId="56C2583B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Pri transponovaní čl. 28b ods. 3 smernice (EÚ) 2017/1132 v platnom znení je v 9. stĺpci tabuľky zhody identifikovaný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. Komisia upozorňuje, že v prípade identifikácie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je potrebné v 9. stĺpci tabuľky zhody uviesť aj v skrátenom slovnom označení kategóriu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, ku ktorému dochádza a  to podľa prílohy č. 3 k Legislatívnym pravidlám vlády SR. V 10. stĺpci tabuľky zhody je potom potrebné uviesť oblasť, na ktorú má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vplyv podľa Jednotnej metodiky na posudzovanie vybraných vplyvov alebo inú oblasť, na ktorú má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vplyv, pričom ako prvá oblasť sa vždy uvedie oblasť s vplyvom na podnikateľské prostredie, ak je takýto vplyv identifikovaný. Zároveň pod tabuľkou zhody Komisia žiada uviesť „Vyjadrenie k opodstatnenosti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a jeho odôvodnenie“ a uvedené reflektovať v  doložke vybraných vplyvov.</w:t>
            </w:r>
          </w:p>
          <w:p w14:paraId="78BFA17A" w14:textId="12E6A1FE" w:rsidR="00CC6679" w:rsidRPr="00216F8B" w:rsidRDefault="00CC6679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BF6FB2F" w14:textId="77777777" w:rsidR="00CC6679" w:rsidRPr="00216F8B" w:rsidRDefault="00CC6679" w:rsidP="00CC6679">
            <w:pPr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0428E778" w14:textId="77777777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044A5E9" w14:textId="60CDED72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Komisia sa domnieva, že v prípade transpozície čl. 30 ods. 2 písm. a) až d) smernice (EÚ) 2017/1132 v platnom znení  do slovenského právneho poriadku ide o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, nakoľko predkladateľ transponuje do návrhu zákona o obchodnom registri ustanovenia smernice, ktorých transpozícia je pre členské štáty dobrovoľná. Komisia má za to, že v deviatom stĺpci tabuľky zhody je potrebné uvádzať slová „GP – A, b) navýšenie požiadaviek“ a v desiatom stĺpci je potrebné identifikovať oblasť, na ktorú má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vplyv. V závere tabuľky zhody je potrebné Vyjadrenie k opodstatnenosti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a jeho odôvodnenie rozšíriť aj o dotknutý čl. 30 ods. 2 smernice (EÚ) 2017/1132 v platnom znení. Túto pripomienku Komisia primerane vzťahuje aj na siedmy bod doložky vybraných vplyvov. </w:t>
            </w:r>
          </w:p>
          <w:p w14:paraId="571B1B6F" w14:textId="1BB30F4D" w:rsidR="00CC6679" w:rsidRPr="00216F8B" w:rsidRDefault="00CC6679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EF4201C" w14:textId="77777777" w:rsidR="00CC6679" w:rsidRPr="00216F8B" w:rsidRDefault="00CC6679" w:rsidP="00CC6679">
            <w:pPr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549DA1C7" w14:textId="77777777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E5429BB" w14:textId="2BABF356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Pri preukazovaní transpozície druhého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pododseku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čl. 30a smernice (EÚ) 2017/1132 v platnom znení do slovenského právneho poriadku je potrebné v deviatom stĺpci tabuľky zhody uvádzať skratku „GP – N“. </w:t>
            </w:r>
          </w:p>
          <w:p w14:paraId="7EA2E20B" w14:textId="4EB13C05" w:rsidR="005D27DE" w:rsidRPr="00216F8B" w:rsidRDefault="005D27DE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B2241EE" w14:textId="77777777" w:rsidR="005D27DE" w:rsidRPr="00216F8B" w:rsidRDefault="005D27DE" w:rsidP="005D27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3DD1CDFD" w14:textId="77777777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4D841B2" w14:textId="5A4AA2E4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Pri preukazovaní transpozície čl. 31 smernice (EÚ) 2017/1132 v platnom znení do slovenského právneho poriadku je potrebné v deviatom stĺpci tabuľky zhody uvádzať skratku „GP – N“. </w:t>
            </w:r>
          </w:p>
          <w:p w14:paraId="7C57ECE6" w14:textId="6FC774DB" w:rsidR="005D27DE" w:rsidRPr="00216F8B" w:rsidRDefault="005D27DE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BC419F9" w14:textId="77777777" w:rsidR="005D27DE" w:rsidRPr="00216F8B" w:rsidRDefault="005D27DE" w:rsidP="005D27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675D1AE2" w14:textId="77777777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9DD4C68" w14:textId="572ADF62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Komisia sa domnieva, že v prípade transpozície čl. 32 smernice (EÚ) 2017/1132 v platnom znení do slovenského právneho poriadku ide o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, nakoľko predkladateľ transponuje do návrhu zákona o obchodnom registri ustanovenie smernice, ktorého transpozícia je pre členské štáty dobrovoľná. Komisia má za to, že v deviatom stĺpci tabuľky zhody je potrebné uvádzať slová „GP – A, b) navýšenie požiadaviek“ a v desiatom stĺpci je potrebné identifikovať oblasť, na ktorú má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vplyv. V závere tabuľky zhody je potrebné Vyjadrenie k opodstatnenosti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a jeho odôvodnenie rozšíriť aj o dotknutý čl. 32 smernice (EÚ) 2017/1132 v platnom znení. Túto pripomienku Komisia primerane vzťahuje aj na siedmy bod doložky vybraných vplyvov. </w:t>
            </w:r>
          </w:p>
          <w:p w14:paraId="22C8A9BD" w14:textId="71136D24" w:rsidR="006E54DB" w:rsidRPr="00216F8B" w:rsidRDefault="006E54DB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14EE4CF" w14:textId="29A688F6" w:rsidR="006E54DB" w:rsidRPr="00216F8B" w:rsidRDefault="006E54DB" w:rsidP="00A933DA">
            <w:pPr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nebola akceptovaná.</w:t>
            </w:r>
          </w:p>
          <w:p w14:paraId="5C2076EE" w14:textId="2DC4837A" w:rsidR="006E54DB" w:rsidRPr="00216F8B" w:rsidRDefault="006E54DB" w:rsidP="006E54DB">
            <w:pPr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Odôvodnenie: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Nejde o </w:t>
            </w:r>
            <w:proofErr w:type="spellStart"/>
            <w:r w:rsidRPr="00216F8B">
              <w:rPr>
                <w:rFonts w:ascii="Times New Roman" w:hAnsi="Times New Roman" w:cs="Times New Roman"/>
                <w:bCs/>
                <w:lang w:eastAsia="ar-SA"/>
              </w:rPr>
              <w:t>goldplating</w:t>
            </w:r>
            <w:proofErr w:type="spellEnd"/>
            <w:r w:rsidRPr="00216F8B">
              <w:rPr>
                <w:rFonts w:ascii="Times New Roman" w:hAnsi="Times New Roman" w:cs="Times New Roman"/>
                <w:bCs/>
                <w:lang w:eastAsia="ar-SA"/>
              </w:rPr>
              <w:t>. Ustanovenie, ktoré bolo označené ako transpozičné nevyžaduje povinné predkladanie dokumentov v inom ako slovenskom jazyku – dobrovoľné uloženie tak nie je potrebné. V danom zmysle bola upravená tabuľka zhody – nakoľko pôvodne uvedené ustanovenie nie je transpozíciou čl. 32 a správne označenie má byť – dobrovoľná transpozícia nebola vykonaná.</w:t>
            </w:r>
          </w:p>
          <w:p w14:paraId="39C918BC" w14:textId="77777777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2C6ADF3" w14:textId="50D0D985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Pri preukazovaní transpozície čl. 33 smernice (EÚ) 2017/1132 v platnom znení do slovenského právneho poriadku je potrebné v deviatom stĺpci tabuľky zhody uvádzať skratku „GP – N“. </w:t>
            </w:r>
          </w:p>
          <w:p w14:paraId="77359728" w14:textId="37A45F7B" w:rsidR="005D27DE" w:rsidRPr="00216F8B" w:rsidRDefault="005D27DE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16CDA4B" w14:textId="77777777" w:rsidR="005D27DE" w:rsidRPr="00216F8B" w:rsidRDefault="005D27DE" w:rsidP="005D27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37EFD437" w14:textId="77777777" w:rsidR="005D27DE" w:rsidRPr="00216F8B" w:rsidRDefault="005D27DE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B0C3252" w14:textId="5740ADED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Pri preukazovaní transpozície čl. 49 ods. 3 smernice (EÚ) 2017/1132 v platnom znení do slovenského právneho poriadku je potrebné v deviatom stĺpci tabuľky zhody uvádzať skratku „GP – N“. </w:t>
            </w:r>
          </w:p>
          <w:p w14:paraId="675D3BBB" w14:textId="06F0B79F" w:rsidR="005D27DE" w:rsidRPr="00216F8B" w:rsidRDefault="005D27DE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637AAA9" w14:textId="77777777" w:rsidR="005D27DE" w:rsidRPr="00216F8B" w:rsidRDefault="005D27DE" w:rsidP="005D27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2DF3551F" w14:textId="77777777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B155E3A" w14:textId="667BCAE0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Pri preukazovaní transpozície čl. 86o ods. 2 smernice (EÚ) 2017/1132 v platnom znení do slovenského právneho poriadku je potrebné v deviatom stĺpci tabuľky zhody uvádzať skratku „GP – N“. </w:t>
            </w:r>
          </w:p>
          <w:p w14:paraId="3622D7EE" w14:textId="4BA4324A" w:rsidR="005D27DE" w:rsidRPr="00216F8B" w:rsidRDefault="005D27DE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F7A5EE9" w14:textId="77777777" w:rsidR="005D27DE" w:rsidRPr="00216F8B" w:rsidRDefault="005D27DE" w:rsidP="005D27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2DCCBA5A" w14:textId="77777777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215DC19" w14:textId="77777777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Pri preukazovaní transpozície čl. 86p ods. 3 druhého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pododseku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smernice (EÚ) 2017/1132 v platnom znení do slovenského právneho poriadku je potrebné v deviatom stĺpci tabuľky zhody uvádzať skratku „GP – N“. </w:t>
            </w:r>
          </w:p>
          <w:p w14:paraId="3BA976E9" w14:textId="5B20BED2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D6CA0B0" w14:textId="77777777" w:rsidR="005D27DE" w:rsidRPr="00216F8B" w:rsidRDefault="005D27DE" w:rsidP="005D27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124560AC" w14:textId="77777777" w:rsidR="005D27DE" w:rsidRPr="00216F8B" w:rsidRDefault="005D27DE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F439B96" w14:textId="23E2C36E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t xml:space="preserve">Pri preukazovaní transpozície čl. 160n ods. 1 druhého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pododseku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smernice (EÚ) 2017/1132 v platnom znení do slovenského právneho poriadku je potrebné v deviatom stĺpci tabuľky zhody uvádzať skratku „GP – N“. </w:t>
            </w:r>
          </w:p>
          <w:p w14:paraId="699EC201" w14:textId="77777777" w:rsidR="005D27DE" w:rsidRPr="00216F8B" w:rsidRDefault="005D27DE" w:rsidP="005D27DE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</w:pPr>
          </w:p>
          <w:p w14:paraId="7CDAD2D1" w14:textId="43533180" w:rsidR="005D27DE" w:rsidRPr="00216F8B" w:rsidRDefault="005D27DE" w:rsidP="005D27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4D7007DC" w14:textId="77777777" w:rsidR="005D27DE" w:rsidRPr="00216F8B" w:rsidRDefault="005D27DE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FB4CC9F" w14:textId="77777777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4F54A8B" w14:textId="6FC9DBFA" w:rsidR="00A933DA" w:rsidRPr="00216F8B" w:rsidRDefault="00A933DA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F8B">
              <w:rPr>
                <w:rFonts w:ascii="Times New Roman" w:hAnsi="Times New Roman" w:cs="Times New Roman"/>
                <w:bCs/>
              </w:rPr>
              <w:lastRenderedPageBreak/>
              <w:t xml:space="preserve">Vo vzťahu k smernici 2013/34/EÚ v platnom znení pri transponovaní čl. 33 ods. 1 a Prílohy č. I a Prílohy č. II sa Komisia domnieva, že dochádza ku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, kedy smernica 2013/34/EÚ v platnom znení ustanovuje povinnosti pre členov správnych, riadiacich a dozorných orgánov podniku. Čl. 1 smernice uvádza, že  koordinačné opatrenia stanovené smernicou sa vzťahujú na podniky uvedené v Prílohe I a Prílohe II, ktoré pre Slovenskú republiku uvádzajú akciovú spoločnosť, spoločnosť s ručením obmedzeným, verejnú obchodnú spoločnosť a komanditnú spoločnosť. Transpozičné opatrenie v § 40 ods. 1 však vo výpočte spoločností uvádza aj družstvo a štátny podnik. Komisia žiada preto náležite vyplniť stĺpce (9) a (10) tabuľky zhody, pod tabuľkou zhody uviesť „Vyjadrenie k opodstatnenosti </w:t>
            </w:r>
            <w:proofErr w:type="spellStart"/>
            <w:r w:rsidRPr="00216F8B">
              <w:rPr>
                <w:rFonts w:ascii="Times New Roman" w:hAnsi="Times New Roman" w:cs="Times New Roman"/>
                <w:bCs/>
              </w:rPr>
              <w:t>goldplatingu</w:t>
            </w:r>
            <w:proofErr w:type="spellEnd"/>
            <w:r w:rsidRPr="00216F8B">
              <w:rPr>
                <w:rFonts w:ascii="Times New Roman" w:hAnsi="Times New Roman" w:cs="Times New Roman"/>
                <w:bCs/>
              </w:rPr>
              <w:t xml:space="preserve"> a jeho odôvodnenie“ a uvedené reflektovať v  doložke vybraných vplyvov.</w:t>
            </w:r>
          </w:p>
          <w:p w14:paraId="2E08EAFA" w14:textId="01E0BC0D" w:rsidR="006E54DB" w:rsidRPr="00216F8B" w:rsidRDefault="006E54DB" w:rsidP="00A933D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351FF54" w14:textId="229871D0" w:rsidR="006E54DB" w:rsidRPr="00216F8B" w:rsidRDefault="006E54DB" w:rsidP="006E54DB">
            <w:pPr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16F8B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Vyhodnotenie: </w:t>
            </w:r>
            <w:r w:rsidRPr="00216F8B">
              <w:rPr>
                <w:rFonts w:ascii="Times New Roman" w:hAnsi="Times New Roman" w:cs="Times New Roman"/>
                <w:bCs/>
                <w:lang w:eastAsia="ar-SA"/>
              </w:rPr>
              <w:t>Pripomienka bola akceptovaná.</w:t>
            </w:r>
          </w:p>
          <w:p w14:paraId="4D530AE9" w14:textId="5C6088DC" w:rsidR="00216F8B" w:rsidRPr="00216F8B" w:rsidRDefault="00216F8B" w:rsidP="006E54DB">
            <w:pPr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  <w:p w14:paraId="7CCD25B6" w14:textId="77777777" w:rsidR="00216F8B" w:rsidRPr="00216F8B" w:rsidRDefault="00216F8B" w:rsidP="00216F8B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216F8B">
              <w:rPr>
                <w:rStyle w:val="norm00e1lnychar1"/>
                <w:b/>
                <w:bCs/>
                <w:sz w:val="22"/>
                <w:szCs w:val="22"/>
              </w:rPr>
              <w:t>IV. Poznámka:</w:t>
            </w:r>
            <w:r w:rsidRPr="00216F8B">
              <w:rPr>
                <w:rStyle w:val="norm00e1lnychar1"/>
                <w:sz w:val="22"/>
                <w:szCs w:val="22"/>
              </w:rPr>
              <w:t xml:space="preserve"> Predkladateľ zapracuje pripomienky a odporúčania na úpravu uvedené v bode II a uvedie stanovisko Komisie do doložky vybraných vplyvov spolu s vyhodnotením pripomienok.</w:t>
            </w:r>
          </w:p>
          <w:p w14:paraId="652CAC14" w14:textId="77777777" w:rsidR="00216F8B" w:rsidRPr="00216F8B" w:rsidRDefault="00216F8B" w:rsidP="00216F8B">
            <w:pPr>
              <w:pStyle w:val="norm00e1lny"/>
              <w:rPr>
                <w:sz w:val="22"/>
                <w:szCs w:val="22"/>
              </w:rPr>
            </w:pPr>
            <w:r w:rsidRPr="00216F8B">
              <w:rPr>
                <w:sz w:val="22"/>
                <w:szCs w:val="22"/>
              </w:rPr>
              <w:t> </w:t>
            </w:r>
          </w:p>
          <w:p w14:paraId="46D84D76" w14:textId="7A18650D" w:rsidR="001B23B7" w:rsidRPr="00216F8B" w:rsidRDefault="00216F8B" w:rsidP="00216F8B">
            <w:pPr>
              <w:pStyle w:val="z00e1kladn00fd0020text"/>
              <w:spacing w:after="0" w:line="240" w:lineRule="atLeast"/>
              <w:jc w:val="both"/>
              <w:rPr>
                <w:sz w:val="22"/>
                <w:szCs w:val="22"/>
              </w:rPr>
            </w:pPr>
            <w:r w:rsidRPr="00216F8B">
              <w:rPr>
                <w:rStyle w:val="z00e1kladn00fd0020textchar1"/>
                <w:sz w:val="22"/>
                <w:szCs w:val="22"/>
              </w:rPr>
              <w:t>Nesúhlasné stanovisko Komisie neznamená zastavenie ďalšieho schvaľovacieho procesu. Stanovisko Komisie slúži ako podklad pre informované rozhodovanie vlády Slovenskej republiky a ďalších subjektov v rámci schvaľovacieho procesu. Predkladateľ má možnosť dopracovať materiál podľa pripomienok a zaslať ho na opätovné schválenie Komisie, ktorá môže následne zmeniť svoje stanovisko.</w:t>
            </w:r>
          </w:p>
          <w:p w14:paraId="73208959" w14:textId="77777777" w:rsidR="001B23B7" w:rsidRPr="00A933DA" w:rsidRDefault="001B23B7" w:rsidP="00FD71BF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612E08" w:rsidRPr="00612E08" w14:paraId="2FBC20D2" w14:textId="77777777" w:rsidTr="00FD71BF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793635D5" w14:textId="77777777" w:rsidR="001B23B7" w:rsidRPr="00612E08" w:rsidRDefault="001B23B7" w:rsidP="00FD71BF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718CF662" w14:textId="77777777" w:rsidTr="00FD71BF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5F43D641" w14:textId="77777777" w:rsidR="001B23B7" w:rsidRPr="00612E08" w:rsidRDefault="001B23B7" w:rsidP="00FD71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081F4D60" w14:textId="77777777" w:rsidTr="00FD71BF">
              <w:trPr>
                <w:trHeight w:val="396"/>
              </w:trPr>
              <w:tc>
                <w:tcPr>
                  <w:tcW w:w="2552" w:type="dxa"/>
                </w:tcPr>
                <w:p w14:paraId="487F5DC5" w14:textId="77777777" w:rsidR="001B23B7" w:rsidRPr="00612E08" w:rsidRDefault="00BB73B6" w:rsidP="00FD71B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593D2675" w14:textId="77777777" w:rsidR="001B23B7" w:rsidRPr="00612E08" w:rsidRDefault="00BB73B6" w:rsidP="00FD71BF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19F932D1" w14:textId="77777777" w:rsidR="001B23B7" w:rsidRPr="00612E08" w:rsidRDefault="00BB73B6" w:rsidP="00FD71BF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3E8205C" w14:textId="77777777" w:rsidR="001B23B7" w:rsidRPr="00612E08" w:rsidRDefault="001B23B7" w:rsidP="00FD71B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B2E4402" w14:textId="77777777" w:rsidR="001B23B7" w:rsidRPr="00612E08" w:rsidRDefault="001B23B7" w:rsidP="00FD71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8F3F1B7" w14:textId="77777777" w:rsidR="001B23B7" w:rsidRPr="00612E08" w:rsidRDefault="001B23B7" w:rsidP="00FD71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47D505F0" w14:textId="77777777" w:rsidR="00FD71BF" w:rsidRPr="00612E08" w:rsidRDefault="00FD71BF"/>
    <w:sectPr w:rsidR="00FD71BF" w:rsidRPr="00612E08" w:rsidSect="001E356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0F0E5" w14:textId="77777777" w:rsidR="00BB73B6" w:rsidRDefault="00BB73B6" w:rsidP="001B23B7">
      <w:pPr>
        <w:spacing w:after="0" w:line="240" w:lineRule="auto"/>
      </w:pPr>
      <w:r>
        <w:separator/>
      </w:r>
    </w:p>
  </w:endnote>
  <w:endnote w:type="continuationSeparator" w:id="0">
    <w:p w14:paraId="2A90F48B" w14:textId="77777777" w:rsidR="00BB73B6" w:rsidRDefault="00BB73B6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5D6B4C" w14:textId="7AD073EA" w:rsidR="00FD71BF" w:rsidRPr="006045CB" w:rsidRDefault="00FD71BF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70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8EA4B6D" w14:textId="77777777" w:rsidR="00FD71BF" w:rsidRDefault="00FD71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91B25" w14:textId="77777777" w:rsidR="00BB73B6" w:rsidRDefault="00BB73B6" w:rsidP="001B23B7">
      <w:pPr>
        <w:spacing w:after="0" w:line="240" w:lineRule="auto"/>
      </w:pPr>
      <w:r>
        <w:separator/>
      </w:r>
    </w:p>
  </w:footnote>
  <w:footnote w:type="continuationSeparator" w:id="0">
    <w:p w14:paraId="13E60CE0" w14:textId="77777777" w:rsidR="00BB73B6" w:rsidRDefault="00BB73B6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9ABE8" w14:textId="77777777" w:rsidR="00FD71BF" w:rsidRDefault="00FD71BF">
    <w:pPr>
      <w:pStyle w:val="Hlavika"/>
    </w:pPr>
  </w:p>
  <w:p w14:paraId="75A4DF49" w14:textId="77777777" w:rsidR="00FD71BF" w:rsidRDefault="00FD71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2F9"/>
    <w:multiLevelType w:val="hybridMultilevel"/>
    <w:tmpl w:val="30047F94"/>
    <w:lvl w:ilvl="0" w:tplc="10A29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938"/>
    <w:multiLevelType w:val="hybridMultilevel"/>
    <w:tmpl w:val="E0142290"/>
    <w:lvl w:ilvl="0" w:tplc="276CB7C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D25C8"/>
    <w:multiLevelType w:val="hybridMultilevel"/>
    <w:tmpl w:val="DACEBA8A"/>
    <w:lvl w:ilvl="0" w:tplc="90020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4755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0436"/>
    <w:rsid w:val="000013C3"/>
    <w:rsid w:val="00043706"/>
    <w:rsid w:val="00097069"/>
    <w:rsid w:val="000A6282"/>
    <w:rsid w:val="000B1A01"/>
    <w:rsid w:val="000D033E"/>
    <w:rsid w:val="000D348F"/>
    <w:rsid w:val="000E6A22"/>
    <w:rsid w:val="000F07A3"/>
    <w:rsid w:val="000F2BE9"/>
    <w:rsid w:val="00113AE4"/>
    <w:rsid w:val="0013126C"/>
    <w:rsid w:val="00150953"/>
    <w:rsid w:val="00156064"/>
    <w:rsid w:val="00175D2E"/>
    <w:rsid w:val="00187182"/>
    <w:rsid w:val="001B23B7"/>
    <w:rsid w:val="001D488C"/>
    <w:rsid w:val="001E0DF9"/>
    <w:rsid w:val="001E3562"/>
    <w:rsid w:val="001E6A8D"/>
    <w:rsid w:val="001F1FE4"/>
    <w:rsid w:val="001F2AF5"/>
    <w:rsid w:val="00203EE3"/>
    <w:rsid w:val="00216F8B"/>
    <w:rsid w:val="002243BB"/>
    <w:rsid w:val="0023360B"/>
    <w:rsid w:val="00237BB1"/>
    <w:rsid w:val="00243652"/>
    <w:rsid w:val="00251AF2"/>
    <w:rsid w:val="00282C9F"/>
    <w:rsid w:val="00290A43"/>
    <w:rsid w:val="002B0B80"/>
    <w:rsid w:val="002B44F2"/>
    <w:rsid w:val="002B4685"/>
    <w:rsid w:val="002C333C"/>
    <w:rsid w:val="002C67C1"/>
    <w:rsid w:val="002F6ADB"/>
    <w:rsid w:val="00304286"/>
    <w:rsid w:val="003138AF"/>
    <w:rsid w:val="00313ED0"/>
    <w:rsid w:val="003145AE"/>
    <w:rsid w:val="003553ED"/>
    <w:rsid w:val="00381812"/>
    <w:rsid w:val="0039302E"/>
    <w:rsid w:val="00397BAB"/>
    <w:rsid w:val="003A057B"/>
    <w:rsid w:val="003A381E"/>
    <w:rsid w:val="003A6F06"/>
    <w:rsid w:val="003C15EE"/>
    <w:rsid w:val="003E01EF"/>
    <w:rsid w:val="004100F8"/>
    <w:rsid w:val="00411898"/>
    <w:rsid w:val="004119BC"/>
    <w:rsid w:val="00457609"/>
    <w:rsid w:val="00457A10"/>
    <w:rsid w:val="004634B9"/>
    <w:rsid w:val="00482C38"/>
    <w:rsid w:val="00485326"/>
    <w:rsid w:val="0049476D"/>
    <w:rsid w:val="004965F4"/>
    <w:rsid w:val="004A4383"/>
    <w:rsid w:val="004C6831"/>
    <w:rsid w:val="004D0F3A"/>
    <w:rsid w:val="004D133B"/>
    <w:rsid w:val="00532517"/>
    <w:rsid w:val="0056491C"/>
    <w:rsid w:val="00591EC6"/>
    <w:rsid w:val="00591ED3"/>
    <w:rsid w:val="005B33B0"/>
    <w:rsid w:val="005B4CCF"/>
    <w:rsid w:val="005B5864"/>
    <w:rsid w:val="005D27DE"/>
    <w:rsid w:val="005D372A"/>
    <w:rsid w:val="005F25CB"/>
    <w:rsid w:val="00612E08"/>
    <w:rsid w:val="006206F1"/>
    <w:rsid w:val="006353F9"/>
    <w:rsid w:val="00640B62"/>
    <w:rsid w:val="0064594A"/>
    <w:rsid w:val="006529FE"/>
    <w:rsid w:val="00653D59"/>
    <w:rsid w:val="0065456D"/>
    <w:rsid w:val="006706D5"/>
    <w:rsid w:val="00671B49"/>
    <w:rsid w:val="00695601"/>
    <w:rsid w:val="006B6886"/>
    <w:rsid w:val="006D77FB"/>
    <w:rsid w:val="006E54DB"/>
    <w:rsid w:val="006F678E"/>
    <w:rsid w:val="006F6B62"/>
    <w:rsid w:val="007045A9"/>
    <w:rsid w:val="00720322"/>
    <w:rsid w:val="0073196E"/>
    <w:rsid w:val="0075197E"/>
    <w:rsid w:val="00761208"/>
    <w:rsid w:val="00771B7D"/>
    <w:rsid w:val="007756BE"/>
    <w:rsid w:val="007841C0"/>
    <w:rsid w:val="007A10E0"/>
    <w:rsid w:val="007B40C1"/>
    <w:rsid w:val="007C5312"/>
    <w:rsid w:val="007C6347"/>
    <w:rsid w:val="007D5B80"/>
    <w:rsid w:val="007D6F2C"/>
    <w:rsid w:val="007F587A"/>
    <w:rsid w:val="0080042A"/>
    <w:rsid w:val="00800891"/>
    <w:rsid w:val="0081526F"/>
    <w:rsid w:val="00852990"/>
    <w:rsid w:val="00865E81"/>
    <w:rsid w:val="00877597"/>
    <w:rsid w:val="008801B5"/>
    <w:rsid w:val="00881E07"/>
    <w:rsid w:val="008967AB"/>
    <w:rsid w:val="00896B75"/>
    <w:rsid w:val="008B222D"/>
    <w:rsid w:val="008C79B7"/>
    <w:rsid w:val="008D7DA5"/>
    <w:rsid w:val="008E0F8F"/>
    <w:rsid w:val="00906BA3"/>
    <w:rsid w:val="00906E66"/>
    <w:rsid w:val="0093108B"/>
    <w:rsid w:val="00932C34"/>
    <w:rsid w:val="00933C1A"/>
    <w:rsid w:val="009431E3"/>
    <w:rsid w:val="009475F5"/>
    <w:rsid w:val="00951033"/>
    <w:rsid w:val="00954128"/>
    <w:rsid w:val="00956FEC"/>
    <w:rsid w:val="00965A59"/>
    <w:rsid w:val="009717F5"/>
    <w:rsid w:val="00980E15"/>
    <w:rsid w:val="0098472E"/>
    <w:rsid w:val="00995432"/>
    <w:rsid w:val="009C424C"/>
    <w:rsid w:val="009D31BF"/>
    <w:rsid w:val="009E09F7"/>
    <w:rsid w:val="009E7E9B"/>
    <w:rsid w:val="009F4832"/>
    <w:rsid w:val="00A340BB"/>
    <w:rsid w:val="00A4599C"/>
    <w:rsid w:val="00A60413"/>
    <w:rsid w:val="00A710BA"/>
    <w:rsid w:val="00A7788F"/>
    <w:rsid w:val="00A81994"/>
    <w:rsid w:val="00A87E7C"/>
    <w:rsid w:val="00A90408"/>
    <w:rsid w:val="00A933DA"/>
    <w:rsid w:val="00AA7DED"/>
    <w:rsid w:val="00AC30D6"/>
    <w:rsid w:val="00AD2C71"/>
    <w:rsid w:val="00AE1BE7"/>
    <w:rsid w:val="00AE34A3"/>
    <w:rsid w:val="00AF70E6"/>
    <w:rsid w:val="00B00B6E"/>
    <w:rsid w:val="00B04ED5"/>
    <w:rsid w:val="00B266E3"/>
    <w:rsid w:val="00B324B7"/>
    <w:rsid w:val="00B32A85"/>
    <w:rsid w:val="00B547F5"/>
    <w:rsid w:val="00B60FFA"/>
    <w:rsid w:val="00B84F87"/>
    <w:rsid w:val="00B96230"/>
    <w:rsid w:val="00BA2BF4"/>
    <w:rsid w:val="00BB73B6"/>
    <w:rsid w:val="00BD613B"/>
    <w:rsid w:val="00BD6DEE"/>
    <w:rsid w:val="00BE081F"/>
    <w:rsid w:val="00BE0EFE"/>
    <w:rsid w:val="00BF639F"/>
    <w:rsid w:val="00C22A57"/>
    <w:rsid w:val="00C82DE1"/>
    <w:rsid w:val="00C86714"/>
    <w:rsid w:val="00C94E4E"/>
    <w:rsid w:val="00CB08AE"/>
    <w:rsid w:val="00CC6679"/>
    <w:rsid w:val="00CD6E04"/>
    <w:rsid w:val="00CE6AAE"/>
    <w:rsid w:val="00CF1A25"/>
    <w:rsid w:val="00CF4D2F"/>
    <w:rsid w:val="00D16953"/>
    <w:rsid w:val="00D2313B"/>
    <w:rsid w:val="00D311A4"/>
    <w:rsid w:val="00D50F1E"/>
    <w:rsid w:val="00D90775"/>
    <w:rsid w:val="00D93940"/>
    <w:rsid w:val="00D979C8"/>
    <w:rsid w:val="00DA0153"/>
    <w:rsid w:val="00DA38D0"/>
    <w:rsid w:val="00DA5DE1"/>
    <w:rsid w:val="00DF357C"/>
    <w:rsid w:val="00E4065B"/>
    <w:rsid w:val="00E413BF"/>
    <w:rsid w:val="00E4192B"/>
    <w:rsid w:val="00E440B4"/>
    <w:rsid w:val="00E67900"/>
    <w:rsid w:val="00E72E43"/>
    <w:rsid w:val="00E80D48"/>
    <w:rsid w:val="00E8262C"/>
    <w:rsid w:val="00E90D03"/>
    <w:rsid w:val="00EC37C4"/>
    <w:rsid w:val="00ED165A"/>
    <w:rsid w:val="00ED1AC0"/>
    <w:rsid w:val="00ED630B"/>
    <w:rsid w:val="00EF4CE8"/>
    <w:rsid w:val="00EF6287"/>
    <w:rsid w:val="00F12133"/>
    <w:rsid w:val="00F17143"/>
    <w:rsid w:val="00F20A56"/>
    <w:rsid w:val="00F21A10"/>
    <w:rsid w:val="00F26A26"/>
    <w:rsid w:val="00F423D4"/>
    <w:rsid w:val="00F47FC1"/>
    <w:rsid w:val="00F50A84"/>
    <w:rsid w:val="00F87681"/>
    <w:rsid w:val="00FA02DB"/>
    <w:rsid w:val="00FC63BC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543E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80D48"/>
    <w:rPr>
      <w:color w:val="0563C1" w:themeColor="hyperlink"/>
      <w:u w:val="single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56491C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6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rsid w:val="0056491C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qFormat/>
    <w:locked/>
    <w:rsid w:val="00532517"/>
  </w:style>
  <w:style w:type="character" w:styleId="Odkaznakomentr">
    <w:name w:val="annotation reference"/>
    <w:basedOn w:val="Predvolenpsmoodseku"/>
    <w:uiPriority w:val="99"/>
    <w:semiHidden/>
    <w:unhideWhenUsed/>
    <w:rsid w:val="008008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089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089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08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0891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457A10"/>
  </w:style>
  <w:style w:type="paragraph" w:customStyle="1" w:styleId="norm00e1lny">
    <w:name w:val="norm_00e1lny"/>
    <w:basedOn w:val="Normlny"/>
    <w:rsid w:val="00A933DA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orm00e1lnychar1">
    <w:name w:val="norm_00e1lny__char1"/>
    <w:rsid w:val="00216F8B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character" w:customStyle="1" w:styleId="z00e1kladn00fd0020textchar1">
    <w:name w:val="z_00e1kladn_00fd_0020text__char1"/>
    <w:rsid w:val="00216F8B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z00e1kladn00fd0020text">
    <w:name w:val="z_00e1kladn_00fd_0020text"/>
    <w:basedOn w:val="Normlny"/>
    <w:rsid w:val="00216F8B"/>
    <w:pPr>
      <w:spacing w:after="12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eronika.kerekesova@just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8527C87-4043-4729-8C75-253E6CBB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5179</Words>
  <Characters>29524</Characters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2025-11-05T07:08:00Z</cp:lastPrinted>
  <dcterms:created xsi:type="dcterms:W3CDTF">2025-10-20T10:47:00Z</dcterms:created>
  <dcterms:modified xsi:type="dcterms:W3CDTF">2025-11-05T07:08:00Z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