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 d ô v o d n e n i e</w:t>
      </w:r>
    </w:p>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Zneužívanie náboženstva na presadzovanie politických cieľov je príčinou mnohých lokálnych a regionálnych konfliktov spojených so závažnými porušeniami ľudských práv. Tieto porušenia ľudských práv sa dotýkajú miliónov žien a mužov, detí a menšín po celom svete. Napriek tomu zostáva medzinárodný právny rámec v otázke zneužívania náboženstva na politické ciele stále nedostatočný bez jednotného nástroja na predchádzanie a zamedzenie takéhoto zneužívania.</w:t>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Náboženstvá sa svojim prepojením na prežívanie najhlbšieho zmyslu ľudskej existencie dotýkajú individuálneho prežívania ako aj zdieľaných spoločenských hodnôt, ktoré majú univerzálny význam. Skúsenosti z dávnej aj blízkej minulosti však ukazujú, že práve preto majú zločinné režimy blízko k zneužívaniu najhlbšieho ľudského prežívania vlastnej existencie a zmyslu života na podnecovanie síl, ktoré destabilizujú sociálnu súdržnosť, stabilitu a vnútornú silu spoločnosti a to aj v medzinárodnom meradle.</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Slovenská republika a jej územie bolo dejiskom nábožensky motivovaných politických konfliktov. Vznik 1. ČSR a parlamentná demokracia priniesli do nášho priestoru vďaka osobnosti Milana Rastislav Štefánika a jeho pokračovateľov na praktickej úrovni tému slobody, ľudskej dôstojnosti a rovnosti všetkých ľudí. Náboženská neutralita štátu, ku ktorej sa hlási aj základný zákon štátu, Ústava Slovenskej republiky, keď v čl. 1 deklaruje, že sa neviaže na žiadne náboženstvo či ideológiu, znamená okrem iného aj to, že ak sú zákony štátu motivované a prisôspobované náboženským normám, je to v rozpore s týmto ústavným príncípom prameniacim z našich historických skúseností. Zároveň  nám kladie ako suverénnemu subjektu medzinárodného práva aj povinnosť túto hodnotu podporovať aj v širšom ako len domácom kontexte. </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after="240" w:before="240" w:lineRule="auto"/>
        <w:jc w:val="both"/>
        <w:rPr>
          <w:rFonts w:ascii="Times New Roman" w:cs="Times New Roman" w:eastAsia="Times New Roman" w:hAnsi="Times New Roman"/>
          <w:sz w:val="40"/>
          <w:szCs w:val="40"/>
          <w:vertAlign w:val="superscript"/>
        </w:rPr>
      </w:pPr>
      <w:r w:rsidDel="00000000" w:rsidR="00000000" w:rsidRPr="00000000">
        <w:rPr>
          <w:rFonts w:ascii="Times New Roman" w:cs="Times New Roman" w:eastAsia="Times New Roman" w:hAnsi="Times New Roman"/>
          <w:sz w:val="24"/>
          <w:szCs w:val="24"/>
          <w:rtl w:val="0"/>
        </w:rPr>
        <w:t xml:space="preserve">Ako uvádza Scott Blakemore význam náboženstva v medzinárodných vzťahoch rastie. Súvisí to s obavami národných a etnických spoločenstiev, že nimi dlhodobo udržiavané hodnoty sú ohrozené ekonomickou globalizáciou a neistotami vyplývajúcimi z rýchlych technologických zmien.</w:t>
      </w:r>
      <w:r w:rsidDel="00000000" w:rsidR="00000000" w:rsidRPr="00000000">
        <w:rPr>
          <w:rFonts w:ascii="Times New Roman" w:cs="Times New Roman" w:eastAsia="Times New Roman" w:hAnsi="Times New Roman"/>
          <w:sz w:val="40"/>
          <w:szCs w:val="40"/>
          <w:vertAlign w:val="superscript"/>
          <w:rtl w:val="0"/>
        </w:rPr>
        <w:t xml:space="preserve">[1]</w:t>
      </w:r>
    </w:p>
    <w:p w:rsidR="00000000" w:rsidDel="00000000" w:rsidP="00000000" w:rsidRDefault="00000000" w:rsidRPr="00000000" w14:paraId="0000000A">
      <w:pPr>
        <w:spacing w:after="240" w:before="240" w:lineRule="auto"/>
        <w:jc w:val="both"/>
        <w:rPr>
          <w:rFonts w:ascii="Times New Roman" w:cs="Times New Roman" w:eastAsia="Times New Roman" w:hAnsi="Times New Roman"/>
          <w:sz w:val="40"/>
          <w:szCs w:val="40"/>
          <w:vertAlign w:val="superscript"/>
        </w:rPr>
      </w:pPr>
      <w:r w:rsidDel="00000000" w:rsidR="00000000" w:rsidRPr="00000000">
        <w:rPr>
          <w:rFonts w:ascii="Times New Roman" w:cs="Times New Roman" w:eastAsia="Times New Roman" w:hAnsi="Times New Roman"/>
          <w:sz w:val="24"/>
          <w:szCs w:val="24"/>
          <w:rtl w:val="0"/>
        </w:rPr>
        <w:t xml:space="preserve">Táto predstava o vplyve náboženstva sa objavuje aj v iných štúdiách z oblasti medzinárodných vzťahov. Známa Huntingtonova téza o „zrážke civilizácií“ naznačuje, že náboženstvá, ktoré ovplyvňujú kultúru a civilizáciu, budú v medzinárodnom systéme čoraz väčším motivátorom, čo môže viesť až k násilným konfliktom.</w:t>
      </w:r>
      <w:r w:rsidDel="00000000" w:rsidR="00000000" w:rsidRPr="00000000">
        <w:rPr>
          <w:rFonts w:ascii="Times New Roman" w:cs="Times New Roman" w:eastAsia="Times New Roman" w:hAnsi="Times New Roman"/>
          <w:sz w:val="40"/>
          <w:szCs w:val="40"/>
          <w:vertAlign w:val="superscript"/>
          <w:rtl w:val="0"/>
        </w:rPr>
        <w:t xml:space="preserve">[2]</w:t>
      </w:r>
    </w:p>
    <w:p w:rsidR="00000000" w:rsidDel="00000000" w:rsidP="00000000" w:rsidRDefault="00000000" w:rsidRPr="00000000" w14:paraId="0000000B">
      <w:pPr>
        <w:spacing w:after="240" w:before="240" w:lineRule="auto"/>
        <w:jc w:val="both"/>
        <w:rPr>
          <w:rFonts w:ascii="Times New Roman" w:cs="Times New Roman" w:eastAsia="Times New Roman" w:hAnsi="Times New Roman"/>
          <w:sz w:val="40"/>
          <w:szCs w:val="40"/>
          <w:vertAlign w:val="superscript"/>
        </w:rPr>
      </w:pPr>
      <w:r w:rsidDel="00000000" w:rsidR="00000000" w:rsidRPr="00000000">
        <w:rPr>
          <w:rFonts w:ascii="Times New Roman" w:cs="Times New Roman" w:eastAsia="Times New Roman" w:hAnsi="Times New Roman"/>
          <w:sz w:val="24"/>
          <w:szCs w:val="24"/>
          <w:rtl w:val="0"/>
        </w:rPr>
        <w:t xml:space="preserve">Vzostup náboženstva je považovaný za kritickú otázku medzinárodných vzťahov, pokiaľ ide o jeho vplyv na globálnu bezpečnosť. Potvrdzujú to empirické štúdie, ktoré konštatujú, že počet ľudí vyznávajúcich náboženstvo demograficky rastie, najmä v rozvojových krajinách.</w:t>
      </w:r>
      <w:r w:rsidDel="00000000" w:rsidR="00000000" w:rsidRPr="00000000">
        <w:rPr>
          <w:rFonts w:ascii="Times New Roman" w:cs="Times New Roman" w:eastAsia="Times New Roman" w:hAnsi="Times New Roman"/>
          <w:sz w:val="40"/>
          <w:szCs w:val="40"/>
          <w:vertAlign w:val="superscript"/>
          <w:rtl w:val="0"/>
        </w:rPr>
        <w:t xml:space="preserve">[3]</w:t>
      </w:r>
    </w:p>
    <w:p w:rsidR="00000000" w:rsidDel="00000000" w:rsidP="00000000" w:rsidRDefault="00000000" w:rsidRPr="00000000" w14:paraId="0000000C">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Kathryn Echele vo výskumnej práci venovanej porovnaniu politického zneužívania náboženstva v konfliktoch v bývalej Juhoslávii a v Sýrii preukázala, že politici využívajú náboženstvo ako prostriedok na posilnenie svojej politickej moci a legitimity.</w:t>
      </w:r>
      <w:r w:rsidDel="00000000" w:rsidR="00000000" w:rsidRPr="00000000">
        <w:rPr>
          <w:rFonts w:ascii="Times New Roman" w:cs="Times New Roman" w:eastAsia="Times New Roman" w:hAnsi="Times New Roman"/>
          <w:sz w:val="40"/>
          <w:szCs w:val="40"/>
          <w:vertAlign w:val="superscript"/>
          <w:rtl w:val="0"/>
        </w:rPr>
        <w:t xml:space="preserve">[4]</w:t>
      </w:r>
      <w:r w:rsidDel="00000000" w:rsidR="00000000" w:rsidRPr="00000000">
        <w:rPr>
          <w:rFonts w:ascii="Times New Roman" w:cs="Times New Roman" w:eastAsia="Times New Roman" w:hAnsi="Times New Roman"/>
          <w:sz w:val="24"/>
          <w:szCs w:val="24"/>
          <w:rtl w:val="0"/>
        </w:rPr>
        <w:t xml:space="preserve"> Vzhľadom na silné historické prepojenie náboženstva s etnickou a sociálnou identitou po celom svete, ale najmä v balkánskych štátoch a Sýrii, politickí lídri úspešne využili náboženstvo na zmobilizovanie svojich podporovateľov a zároveň na rozdelenie a oslabenie opozície. Tým si získavali podporu pre svoje politické programy a posilnili vlastný status lídra.</w:t>
      </w:r>
    </w:p>
    <w:p w:rsidR="00000000" w:rsidDel="00000000" w:rsidP="00000000" w:rsidRDefault="00000000" w:rsidRPr="00000000" w14:paraId="0000000D">
      <w:pPr>
        <w:spacing w:after="240" w:before="240" w:lineRule="auto"/>
        <w:jc w:val="both"/>
        <w:rPr>
          <w:rFonts w:ascii="Times New Roman" w:cs="Times New Roman" w:eastAsia="Times New Roman" w:hAnsi="Times New Roman"/>
          <w:sz w:val="40"/>
          <w:szCs w:val="40"/>
          <w:vertAlign w:val="superscript"/>
        </w:rPr>
      </w:pPr>
      <w:r w:rsidDel="00000000" w:rsidR="00000000" w:rsidRPr="00000000">
        <w:rPr>
          <w:rFonts w:ascii="Times New Roman" w:cs="Times New Roman" w:eastAsia="Times New Roman" w:hAnsi="Times New Roman"/>
          <w:sz w:val="24"/>
          <w:szCs w:val="24"/>
          <w:rtl w:val="0"/>
        </w:rPr>
        <w:t xml:space="preserve">Politickí lídri v konfliktoch v bývalej Juhoslávii a v Sýrii aktívne využívali náboženskú symboliku a náboženské dogmy a prispeli tým k výraznému zhoršeniu ničivých dôsledkov oboch konfliktov. Ako uvádza Echele, ak by nebolo náboženskej manipulácie, vojny v bývalej Juhoslávii aj občianska vojna v Sýrii mohli mať výrazne miernejšie dopady na obyvateľstvo. Slobodan Milošević aj Bashar Al-Assad dokázali rozdrobiť spoločnosť práve s využitím náboženskej symboliky a tým upevnili svoju moc. Milošević využil hlboko zakorenené spojenie etnických Srbov s kresťanským pravoslávím a maskoval tak srbský ultranacionalizmus. Tým, že považoval ne-Srbov za menejcenných a normalizoval tieto predsudky prostredníctvom médií, prebudil v spoločnosti dávne krivdy a náboženské spory. Rovnako Assad vytvoril vlastnú interpretáciu islamu, vyznávanú ako sekularizmus, aby rozdelil mnohé etnicko-náboženské skupiny pôvodného obyvateľstva Sýrie. Tieto skupiny boli natoľko oslabené, že už nedokázali udržať spoločné úsilie o zvrhnutie jeho režimu. V oboch prípadoch sa susedia obrátili proti susedom, čo viedlo k najhorším nábožensky inšpirovaným konfliktom v moderných dejinách.</w:t>
      </w:r>
      <w:r w:rsidDel="00000000" w:rsidR="00000000" w:rsidRPr="00000000">
        <w:rPr>
          <w:rFonts w:ascii="Times New Roman" w:cs="Times New Roman" w:eastAsia="Times New Roman" w:hAnsi="Times New Roman"/>
          <w:sz w:val="40"/>
          <w:szCs w:val="40"/>
          <w:vertAlign w:val="superscript"/>
          <w:rtl w:val="0"/>
        </w:rPr>
        <w:t xml:space="preserve">[5]</w:t>
      </w:r>
    </w:p>
    <w:p w:rsidR="00000000" w:rsidDel="00000000" w:rsidP="00000000" w:rsidRDefault="00000000" w:rsidRPr="00000000" w14:paraId="0000000E">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Vzťah medzi náboženstvom a politikou a úloha náboženstva v konfliktoch prináša nové obavy a otázky týkajúce sa budúcnosti vojen a riešenia konfliktov. Od konca druhej svetovej vojny, a najmä v posledných tridsiatich rokoch, sme vstúpili do novej éry konfliktov a násilia. Vojny sa čoraz častejšie vedú vnútri štátov a nie medzi štátmi. Dominantné príčiny konfliktov, ako sú kolaps právneho štátu a zlyhávanie demokratických inštitúcií sú stále častejšie sprevádzané zneužívaním náboženských symbolov a náboženskej rétoriky.</w:t>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Tieto a ďalšie dôvody viedli skupinu ľudí v roku 2019, aby iniciovali prípravu medzinárodného dohovoru, ktorý znemožní zneužívanie náboženstva na politické ciele. Takýto dohovor si kladie za cieľ chrániť nielen zraniteľné komunity, ale aj posilniť ľudskú dôstojnosť, podporiť rovnosť a odstrániť základné príčiny náboženských konfliktov.</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Predkladané uznesenie NR SR vyjadruje podporu procesu, ktorý reprezentuje medzinárodná iniciatíva Ban Political Use of Religion (BPUR). Hlási sa k základným tézam, na ktorých stojí návrh medzinárodného dohovoru zakazujúceho zneužívanie náboženstva na politické ciele. Zároveň príležitosťou uvedomiť si, aké krehké je spolužitie ľudí rôznych svetonázorov a presvedčenia. Moderné dejiny slovenskej spoločnosti ukazujú ako sa nábožensky motivované politické hnutia môžu stať nástrojom šírenia etnickej a náboženskej nenávisti s tragickými dôsledkami. V neposlednom uznesenie rade otvára diskusiu o zneužívaní náboženstva na upevňovanie politickej moci, čo preukázateľne viedlo a môže aj v budúcnosti viesť k prehĺbeniu násilia a krvavých dôsledkov konfliktov.</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4">
      <w:pPr>
        <w:rPr>
          <w:color w:val="0000ff"/>
          <w:sz w:val="20"/>
          <w:szCs w:val="20"/>
          <w:u w:val="single"/>
        </w:rPr>
      </w:pPr>
      <w:r w:rsidDel="00000000" w:rsidR="00000000" w:rsidRPr="00000000">
        <w:rPr>
          <w:color w:val="0000ff"/>
          <w:sz w:val="34"/>
          <w:szCs w:val="34"/>
          <w:vertAlign w:val="superscript"/>
          <w:rtl w:val="0"/>
        </w:rPr>
        <w:t xml:space="preserve">[1]</w:t>
      </w:r>
      <w:r w:rsidDel="00000000" w:rsidR="00000000" w:rsidRPr="00000000">
        <w:rPr>
          <w:sz w:val="20"/>
          <w:szCs w:val="20"/>
          <w:rtl w:val="0"/>
        </w:rPr>
        <w:t xml:space="preserve"> Scott Blakemore, Reconceptualising faith-based diplomacy to expand the diplomat’s toolkit</w:t>
      </w:r>
      <w:hyperlink r:id="rId6">
        <w:r w:rsidDel="00000000" w:rsidR="00000000" w:rsidRPr="00000000">
          <w:rPr>
            <w:sz w:val="20"/>
            <w:szCs w:val="20"/>
            <w:rtl w:val="0"/>
          </w:rPr>
          <w:t xml:space="preserve"> </w:t>
        </w:r>
      </w:hyperlink>
      <w:hyperlink r:id="rId7">
        <w:r w:rsidDel="00000000" w:rsidR="00000000" w:rsidRPr="00000000">
          <w:rPr>
            <w:color w:val="0000ff"/>
            <w:sz w:val="20"/>
            <w:szCs w:val="20"/>
            <w:u w:val="single"/>
            <w:rtl w:val="0"/>
          </w:rPr>
          <w:t xml:space="preserve">https://research.bond.edu.au/files/36068137/Scott_Blakemore_Thesis.pdf</w:t>
        </w:r>
      </w:hyperlink>
      <w:r w:rsidDel="00000000" w:rsidR="00000000" w:rsidRPr="00000000">
        <w:rPr>
          <w:rtl w:val="0"/>
        </w:rPr>
      </w:r>
    </w:p>
    <w:p w:rsidR="00000000" w:rsidDel="00000000" w:rsidP="00000000" w:rsidRDefault="00000000" w:rsidRPr="00000000" w14:paraId="00000015">
      <w:pPr>
        <w:rPr>
          <w:sz w:val="20"/>
          <w:szCs w:val="20"/>
        </w:rPr>
      </w:pPr>
      <w:r w:rsidDel="00000000" w:rsidR="00000000" w:rsidRPr="00000000">
        <w:rPr>
          <w:color w:val="0000ff"/>
          <w:sz w:val="34"/>
          <w:szCs w:val="34"/>
          <w:vertAlign w:val="superscript"/>
          <w:rtl w:val="0"/>
        </w:rPr>
        <w:t xml:space="preserve">[2]</w:t>
      </w:r>
      <w:r w:rsidDel="00000000" w:rsidR="00000000" w:rsidRPr="00000000">
        <w:rPr>
          <w:sz w:val="20"/>
          <w:szCs w:val="20"/>
          <w:rtl w:val="0"/>
        </w:rPr>
        <w:t xml:space="preserve"> Samuel P. Huntington, The Clash of Civilizations and the Remaking of World Order (London: Free Pr., 2002).</w:t>
      </w:r>
    </w:p>
    <w:p w:rsidR="00000000" w:rsidDel="00000000" w:rsidP="00000000" w:rsidRDefault="00000000" w:rsidRPr="00000000" w14:paraId="00000016">
      <w:pPr>
        <w:rPr>
          <w:sz w:val="20"/>
          <w:szCs w:val="20"/>
        </w:rPr>
      </w:pPr>
      <w:r w:rsidDel="00000000" w:rsidR="00000000" w:rsidRPr="00000000">
        <w:rPr>
          <w:color w:val="0000ff"/>
          <w:sz w:val="34"/>
          <w:szCs w:val="34"/>
          <w:vertAlign w:val="superscript"/>
          <w:rtl w:val="0"/>
        </w:rPr>
        <w:t xml:space="preserve">[3]</w:t>
      </w:r>
      <w:r w:rsidDel="00000000" w:rsidR="00000000" w:rsidRPr="00000000">
        <w:rPr>
          <w:sz w:val="20"/>
          <w:szCs w:val="20"/>
          <w:rtl w:val="0"/>
        </w:rPr>
        <w:t xml:space="preserve"> Loskota and Flory, "Why Religion Still Matters in the World." 11; Pew Research Center, "The Future of World Religions: Population Growth Projections, 2010-2050."; and, Pew Research Center, "Restrictions on Religion among the 25 Most Populous Countries, 2007-2015," (2015).</w:t>
      </w:r>
    </w:p>
    <w:p w:rsidR="00000000" w:rsidDel="00000000" w:rsidP="00000000" w:rsidRDefault="00000000" w:rsidRPr="00000000" w14:paraId="00000017">
      <w:pPr>
        <w:rPr>
          <w:color w:val="0000ff"/>
          <w:sz w:val="20"/>
          <w:szCs w:val="20"/>
          <w:u w:val="single"/>
        </w:rPr>
      </w:pPr>
      <w:r w:rsidDel="00000000" w:rsidR="00000000" w:rsidRPr="00000000">
        <w:rPr>
          <w:color w:val="0000ff"/>
          <w:sz w:val="34"/>
          <w:szCs w:val="34"/>
          <w:vertAlign w:val="superscript"/>
          <w:rtl w:val="0"/>
        </w:rPr>
        <w:t xml:space="preserve">[4]</w:t>
      </w:r>
      <w:r w:rsidDel="00000000" w:rsidR="00000000" w:rsidRPr="00000000">
        <w:rPr>
          <w:sz w:val="20"/>
          <w:szCs w:val="20"/>
          <w:rtl w:val="0"/>
        </w:rPr>
        <w:t xml:space="preserve"> Kathryn Echele, Weaponization of Religion: The Manipulation of Religion in the Pursuit of Political Power in Yugoslavia and Syria,</w:t>
      </w:r>
      <w:hyperlink r:id="rId8">
        <w:r w:rsidDel="00000000" w:rsidR="00000000" w:rsidRPr="00000000">
          <w:rPr>
            <w:sz w:val="20"/>
            <w:szCs w:val="20"/>
            <w:rtl w:val="0"/>
          </w:rPr>
          <w:t xml:space="preserve"> </w:t>
        </w:r>
      </w:hyperlink>
      <w:hyperlink r:id="rId9">
        <w:r w:rsidDel="00000000" w:rsidR="00000000" w:rsidRPr="00000000">
          <w:rPr>
            <w:color w:val="0000ff"/>
            <w:sz w:val="20"/>
            <w:szCs w:val="20"/>
            <w:u w:val="single"/>
            <w:rtl w:val="0"/>
          </w:rPr>
          <w:t xml:space="preserve">https://research.library.fordham.edu/international_senior/111/</w:t>
        </w:r>
      </w:hyperlink>
      <w:r w:rsidDel="00000000" w:rsidR="00000000" w:rsidRPr="00000000">
        <w:rPr>
          <w:rtl w:val="0"/>
        </w:rPr>
      </w:r>
    </w:p>
    <w:p w:rsidR="00000000" w:rsidDel="00000000" w:rsidP="00000000" w:rsidRDefault="00000000" w:rsidRPr="00000000" w14:paraId="00000018">
      <w:pPr>
        <w:rPr>
          <w:sz w:val="20"/>
          <w:szCs w:val="20"/>
        </w:rPr>
      </w:pPr>
      <w:r w:rsidDel="00000000" w:rsidR="00000000" w:rsidRPr="00000000">
        <w:rPr>
          <w:sz w:val="20"/>
          <w:szCs w:val="20"/>
          <w:rtl w:val="0"/>
        </w:rPr>
        <w:t xml:space="preserve"> </w:t>
      </w:r>
    </w:p>
    <w:p w:rsidR="00000000" w:rsidDel="00000000" w:rsidP="00000000" w:rsidRDefault="00000000" w:rsidRPr="00000000" w14:paraId="00000019">
      <w:pPr>
        <w:rPr>
          <w:sz w:val="20"/>
          <w:szCs w:val="20"/>
        </w:rPr>
      </w:pPr>
      <w:r w:rsidDel="00000000" w:rsidR="00000000" w:rsidRPr="00000000">
        <w:rPr>
          <w:color w:val="0000ff"/>
          <w:sz w:val="34"/>
          <w:szCs w:val="34"/>
          <w:vertAlign w:val="superscript"/>
          <w:rtl w:val="0"/>
        </w:rPr>
        <w:t xml:space="preserve">[5]</w:t>
      </w:r>
      <w:r w:rsidDel="00000000" w:rsidR="00000000" w:rsidRPr="00000000">
        <w:rPr>
          <w:sz w:val="20"/>
          <w:szCs w:val="20"/>
          <w:rtl w:val="0"/>
        </w:rPr>
        <w:t xml:space="preserve"> Echele, str. 32.</w:t>
      </w:r>
    </w:p>
    <w:p w:rsidR="00000000" w:rsidDel="00000000" w:rsidP="00000000" w:rsidRDefault="00000000" w:rsidRPr="00000000" w14:paraId="0000001A">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research.library.fordham.edu/international_senior/111/" TargetMode="External"/><Relationship Id="rId5" Type="http://schemas.openxmlformats.org/officeDocument/2006/relationships/styles" Target="styles.xml"/><Relationship Id="rId6" Type="http://schemas.openxmlformats.org/officeDocument/2006/relationships/hyperlink" Target="https://research.bond.edu.au/files/36068137/Scott_Blakemore_Thesis.pdf" TargetMode="External"/><Relationship Id="rId7" Type="http://schemas.openxmlformats.org/officeDocument/2006/relationships/hyperlink" Target="https://research.bond.edu.au/files/36068137/Scott_Blakemore_Thesis.pdf" TargetMode="External"/><Relationship Id="rId8" Type="http://schemas.openxmlformats.org/officeDocument/2006/relationships/hyperlink" Target="https://research.library.fordham.edu/international_senior/1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