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(Návrh)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ripjog13ro1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ZÁKON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.... 2025,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ktorým sa mení a dopĺňa zákon N</w:t>
      </w:r>
      <w:r w:rsidDel="00000000" w:rsidR="00000000" w:rsidRPr="00000000">
        <w:rPr>
          <w:b w:val="1"/>
          <w:rtl w:val="0"/>
        </w:rPr>
        <w:t xml:space="preserve">árodnej rady Slovenskej republiky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č. 46/1993 Z. z. o Slovenskej informačnej službe v znení neskorších predpisov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374" w:right="0" w:hanging="37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374" w:right="0" w:hanging="37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line="276" w:lineRule="auto"/>
        <w:jc w:val="center"/>
        <w:rPr>
          <w:color w:val="000000"/>
          <w:u w:val="none"/>
        </w:rPr>
      </w:pPr>
      <w:r w:rsidDel="00000000" w:rsidR="00000000" w:rsidRPr="00000000">
        <w:rPr>
          <w:color w:val="000000"/>
          <w:u w:val="none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line="276" w:lineRule="auto"/>
        <w:jc w:val="both"/>
        <w:rPr>
          <w:b w:val="1"/>
          <w:color w:val="000000"/>
          <w:u w:val="none"/>
        </w:rPr>
      </w:pPr>
      <w:r w:rsidDel="00000000" w:rsidR="00000000" w:rsidRPr="00000000">
        <w:rPr>
          <w:b w:val="1"/>
          <w:color w:val="000000"/>
          <w:u w:val="none"/>
          <w:rtl w:val="0"/>
        </w:rPr>
        <w:t xml:space="preserve">    </w:t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line="276" w:lineRule="auto"/>
        <w:jc w:val="center"/>
        <w:rPr>
          <w:b w:val="1"/>
          <w:color w:val="000000"/>
          <w:u w:val="none"/>
        </w:rPr>
      </w:pPr>
      <w:r w:rsidDel="00000000" w:rsidR="00000000" w:rsidRPr="00000000">
        <w:rPr>
          <w:b w:val="1"/>
          <w:color w:val="000000"/>
          <w:u w:val="none"/>
          <w:rtl w:val="0"/>
        </w:rPr>
        <w:t xml:space="preserve">Čl. I </w:t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color w:val="231f20"/>
          <w:u w:val="none"/>
        </w:rPr>
      </w:pPr>
      <w:r w:rsidDel="00000000" w:rsidR="00000000" w:rsidRPr="00000000">
        <w:rPr>
          <w:color w:val="000000"/>
          <w:u w:val="none"/>
          <w:rtl w:val="0"/>
        </w:rPr>
        <w:t xml:space="preserve">Zákon N</w:t>
      </w:r>
      <w:r w:rsidDel="00000000" w:rsidR="00000000" w:rsidRPr="00000000">
        <w:rPr>
          <w:rtl w:val="0"/>
        </w:rPr>
        <w:t xml:space="preserve">árodnej rady Slovenskej republiky</w:t>
      </w:r>
      <w:r w:rsidDel="00000000" w:rsidR="00000000" w:rsidRPr="00000000">
        <w:rPr>
          <w:color w:val="000000"/>
          <w:u w:val="none"/>
          <w:rtl w:val="0"/>
        </w:rPr>
        <w:t xml:space="preserve"> č. 46/1993 Z. z. o Slovenskej informačnej službe v znení</w:t>
      </w:r>
      <w:r w:rsidDel="00000000" w:rsidR="00000000" w:rsidRPr="00000000">
        <w:rPr>
          <w:color w:val="231f20"/>
          <w:u w:val="none"/>
          <w:rtl w:val="0"/>
        </w:rPr>
        <w:t xml:space="preserve"> zákona Národnej rady Slovenskej republiky č. 72/1995 Z. z., zákona č. 73/1998 Z. z., zákona č. 256/1999 Z. z., zákona č. 328/2002 Z. z., zákona č. 166/2003 Z. z., zákona č. 178/2004 Z. z., zákona č. 165/2008 Z. z., zákona č. 491/2008 Z. z., zákona č. 151/2010 Z. z, zákona č. 192/2011 Z. z.,</w:t>
      </w:r>
      <w:r w:rsidDel="00000000" w:rsidR="00000000" w:rsidRPr="00000000">
        <w:rPr>
          <w:color w:val="000000"/>
          <w:u w:val="none"/>
          <w:rtl w:val="0"/>
        </w:rPr>
        <w:t xml:space="preserve"> zákona č. 58/2014 Z. z., zákona č. 444/2015 Z. z., zákona č. 161/2024 Z. z. a</w:t>
      </w:r>
      <w:r w:rsidDel="00000000" w:rsidR="00000000" w:rsidRPr="00000000">
        <w:rPr>
          <w:color w:val="231f20"/>
          <w:u w:val="none"/>
          <w:rtl w:val="0"/>
        </w:rPr>
        <w:t xml:space="preserve"> </w:t>
      </w:r>
      <w:r w:rsidDel="00000000" w:rsidR="00000000" w:rsidRPr="00000000">
        <w:rPr>
          <w:color w:val="000000"/>
          <w:u w:val="none"/>
          <w:rtl w:val="0"/>
        </w:rPr>
        <w:t xml:space="preserve">zákona č. 166/2024 Z. z.</w:t>
      </w:r>
      <w:r w:rsidDel="00000000" w:rsidR="00000000" w:rsidRPr="00000000">
        <w:rPr>
          <w:color w:val="231f20"/>
          <w:u w:val="none"/>
          <w:rtl w:val="0"/>
        </w:rPr>
        <w:t xml:space="preserve"> </w:t>
      </w:r>
      <w:r w:rsidDel="00000000" w:rsidR="00000000" w:rsidRPr="00000000">
        <w:rPr>
          <w:color w:val="000000"/>
          <w:u w:val="none"/>
          <w:rtl w:val="0"/>
        </w:rPr>
        <w:t xml:space="preserve">sa mení a dopĺňa takto: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 odsek 2 znie: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„(2) Riaditeľa informačnej služby (ďalej len „riaditeľ“) vymenúva a odvoláva prezident Slovenskej republiky na návrh vlády Slovenskej republiky,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 </w:t>
      </w:r>
      <w:r w:rsidDel="00000000" w:rsidR="00000000" w:rsidRPr="00000000">
        <w:rPr>
          <w:rtl w:val="0"/>
        </w:rPr>
        <w:t xml:space="preserve">§ 5 ods. 7 neustanovuje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na tieto účely si vopred vyžiada stanovisko kontrolného orgánu podľa § 5 ods. 1. Prezident Slovenskej republiky vymenúva riaditeľa po verejnom vypočutí kandidáta navrhnutého vládou Slovenskej republiky vo výbore Národnej rady Slovenskej republiky pre obranu a bezpečnosť. Vláda Slovenskej republiky pri podávaní návrhu na vymenovanie riaditeľa prihliada najmä na odborné, morálne a osobnostné predpoklady navrhovanej osoby; rovnako postupuje aj prezident Slovenskej republik</w:t>
      </w:r>
      <w:r w:rsidDel="00000000" w:rsidR="00000000" w:rsidRPr="00000000">
        <w:rPr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 vymenúvaní navrhnutej osoby. Vo veciach služobného pomeru riaditeľa podľa osobitného predpisu</w:t>
      </w:r>
      <w:r w:rsidDel="00000000" w:rsidR="00000000" w:rsidRPr="00000000">
        <w:rPr>
          <w:vertAlign w:val="superscript"/>
          <w:rtl w:val="0"/>
        </w:rPr>
        <w:t xml:space="preserve">1ba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rozhoduje prezident.“.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4 ods. 1 sa na konci pripája táto veta: „Informačná služba zverejní na svojom webovom sídle správu o plnení úloh, a to do 15 dní odo dňa jej prerokovania v Národnej rade Slovenskej republiky; zverejnením správy nesmie dôjsť k ohrozeniu plnenia konkrétnej úlohy informačnej služby podľa tohto zákona </w:t>
      </w:r>
      <w:r w:rsidDel="00000000" w:rsidR="00000000" w:rsidRPr="00000000">
        <w:rPr>
          <w:rtl w:val="0"/>
        </w:rPr>
        <w:t xml:space="preserve">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 odhaleniu zdrojov a prostriedkov informačnej služby, totožnosti jej príslušníkov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osôb konajúcich v prospech informačnej služby.“.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5 ods. 1 sa na konci pripája táto veta: „Kontrola činnosti informačnej služby sa vykonáva s cieľom overenia zákonnosti, hospodárnosti, účinnosti, účelnosti a efektívnosti činnosti informačnej služby s týmto zákonom a osobitnými predpismi.“.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5 ods. 3 sa písmeno c) dopĺňa bodmi 5 a 6, ktoré znejú: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before="0" w:line="276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„5. vykonávanie primeraných bezpečnostných opatrení,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before="0" w:line="276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6. podmienky vytvárania a prevádzkovania informačných systémov,“.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.661417322834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5 sa za odsek 3 vklad</w:t>
      </w:r>
      <w:r w:rsidDel="00000000" w:rsidR="00000000" w:rsidRPr="00000000">
        <w:rPr>
          <w:rtl w:val="0"/>
        </w:rPr>
        <w:t xml:space="preserve">ajú nové odseky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 až 6, ktor</w:t>
      </w:r>
      <w:r w:rsidDel="00000000" w:rsidR="00000000" w:rsidRPr="00000000">
        <w:rPr>
          <w:rtl w:val="0"/>
        </w:rPr>
        <w:t xml:space="preserve">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zn</w:t>
      </w:r>
      <w:r w:rsidDel="00000000" w:rsidR="00000000" w:rsidRPr="00000000">
        <w:rPr>
          <w:rtl w:val="0"/>
        </w:rPr>
        <w:t xml:space="preserve">ejú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„(4) Riaditeľ predkladá kontrolnému orgánu najmenej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 ročne podrobné informácie 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93" w:right="0" w:hanging="283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spolupráci informačnej služby podľa § 1 ods. 3 a § 16,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93" w:right="0" w:hanging="283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vykonaných primeraných bezpečnostných opatreniach podľa § 2 ods. 3,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93" w:right="0" w:hanging="283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úlohách uložených informačnej službe podľa § 3 ods. 3,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93" w:right="0" w:hanging="283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podaných žiadostiach o vydanie príkazu podľa § 16a ods. 3,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93" w:right="0" w:hanging="283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spracúvaní osobných údajov podľa osobitného predpisu,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1bb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90" w:right="0" w:hanging="28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vybavovaní sťažností fyzických osôb a právnických osôb podľa osobitného predpisu.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1bc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(5) Kontrolný orgán môže požadovať od   riaditeľa vysvetlenie, ak vznikne dôvodné </w:t>
        <w:tab/>
        <w:tab/>
        <w:t xml:space="preserve">podozrenie z nezákonného obmedzovania základných práv a slobôd činnosťou informačnej služby.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(6) Riaditeľ </w:t>
      </w:r>
      <w:r w:rsidDel="00000000" w:rsidR="00000000" w:rsidRPr="00000000">
        <w:rPr>
          <w:rtl w:val="0"/>
        </w:rPr>
        <w:t xml:space="preserve">je povinný poskytnúť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kontrolnému orgánu súčinnosť v rozsahu a spôsobom, ktorý umožňuje dosiahnutie cieľov kontroly podľa odseku 1.“.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284" w:hanging="284"/>
        <w:jc w:val="both"/>
        <w:rPr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709" w:firstLine="0"/>
        <w:jc w:val="both"/>
        <w:rPr>
          <w:color w:val="000000"/>
          <w:u w:val="none"/>
        </w:rPr>
      </w:pPr>
      <w:r w:rsidDel="00000000" w:rsidR="00000000" w:rsidRPr="00000000">
        <w:rPr>
          <w:color w:val="000000"/>
          <w:u w:val="none"/>
          <w:rtl w:val="0"/>
        </w:rPr>
        <w:t xml:space="preserve">Poznámky pod čiarou k odkazom 1bb a 1bc znejú: </w:t>
      </w:r>
    </w:p>
    <w:p w:rsidR="00000000" w:rsidDel="00000000" w:rsidP="00000000" w:rsidRDefault="00000000" w:rsidRPr="00000000" w14:paraId="0000002B">
      <w:pPr>
        <w:shd w:fill="ffffff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709" w:firstLine="0"/>
        <w:jc w:val="both"/>
        <w:rPr>
          <w:color w:val="000000"/>
          <w:u w:val="none"/>
        </w:rPr>
      </w:pPr>
      <w:r w:rsidDel="00000000" w:rsidR="00000000" w:rsidRPr="00000000">
        <w:rPr>
          <w:color w:val="000000"/>
          <w:u w:val="none"/>
          <w:rtl w:val="0"/>
        </w:rPr>
        <w:t xml:space="preserve">„</w:t>
      </w:r>
      <w:r w:rsidDel="00000000" w:rsidR="00000000" w:rsidRPr="00000000">
        <w:rPr>
          <w:color w:val="000000"/>
          <w:u w:val="none"/>
          <w:vertAlign w:val="superscript"/>
          <w:rtl w:val="0"/>
        </w:rPr>
        <w:t xml:space="preserve">1bb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color w:val="000000"/>
          <w:u w:val="none"/>
          <w:rtl w:val="0"/>
        </w:rPr>
        <w:t xml:space="preserve"> Zákon č. 18/2018 Z. z. o ochrane osobných údajov a o zmene a doplnení niektorých zákonov v znení neskorších predpisov.</w:t>
      </w:r>
    </w:p>
    <w:p w:rsidR="00000000" w:rsidDel="00000000" w:rsidP="00000000" w:rsidRDefault="00000000" w:rsidRPr="00000000" w14:paraId="0000002C">
      <w:pPr>
        <w:shd w:fill="ffffff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709" w:firstLine="0"/>
        <w:jc w:val="both"/>
        <w:rPr>
          <w:color w:val="000000"/>
          <w:u w:val="none"/>
        </w:rPr>
      </w:pPr>
      <w:r w:rsidDel="00000000" w:rsidR="00000000" w:rsidRPr="00000000">
        <w:rPr>
          <w:color w:val="000000"/>
          <w:u w:val="none"/>
          <w:vertAlign w:val="superscript"/>
          <w:rtl w:val="0"/>
        </w:rPr>
        <w:t xml:space="preserve">1bc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color w:val="000000"/>
          <w:u w:val="none"/>
          <w:rtl w:val="0"/>
        </w:rPr>
        <w:t xml:space="preserve"> Zákon č. 9/2010 Z. z. o sťažnostiach v znení neskorších predpisov.“.</w:t>
      </w:r>
    </w:p>
    <w:p w:rsidR="00000000" w:rsidDel="00000000" w:rsidP="00000000" w:rsidRDefault="00000000" w:rsidRPr="00000000" w14:paraId="0000002D">
      <w:pPr>
        <w:shd w:fill="ffffff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left="992" w:hanging="283.9999999999999"/>
        <w:jc w:val="both"/>
        <w:rPr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Doterajšie odseky 4 a 5 sa označujú ako odseky 7 a 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before="20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.6614173228347" w:right="0" w:hanging="360"/>
        <w:jc w:val="both"/>
      </w:pPr>
      <w:r w:rsidDel="00000000" w:rsidR="00000000" w:rsidRPr="00000000">
        <w:rPr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5 odsek 7 znie: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„(7) Porušenie tohto zákona, ktoré kontrolný orgán zistí pri výkone svojej právomoci, je povinný oznámiť prezidentovi S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ovenskej republiky, Národnej rade Slovenskej republiky, vláde Slovenskej republiky a generálnemu prokurátorovi Slovenskej republiky; rovnako môže postupovať ktorýkoľvek člen kontrolného orgánu. V oznámení podľa prvej vety môže kontrolný </w:t>
      </w:r>
      <w:r w:rsidDel="00000000" w:rsidR="00000000" w:rsidRPr="00000000">
        <w:rPr>
          <w:rtl w:val="0"/>
        </w:rPr>
        <w:t xml:space="preserve">orgán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alebo jeho člen podľa povahy veci navrhnúť prezidentovi návrh na odvolanie riaditeľa alebo návrh na začatie disciplinárneho konania podľa osobitného predpisu.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1ba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.6614173228347" w:right="0" w:hanging="360"/>
        <w:jc w:val="both"/>
      </w:pPr>
      <w:r w:rsidDel="00000000" w:rsidR="00000000" w:rsidRPr="00000000">
        <w:rPr>
          <w:rtl w:val="0"/>
        </w:rPr>
        <w:t xml:space="preserve">§ 6 sa dop</w:t>
      </w:r>
      <w:r w:rsidDel="00000000" w:rsidR="00000000" w:rsidRPr="00000000">
        <w:rPr>
          <w:rtl w:val="0"/>
        </w:rPr>
        <w:t xml:space="preserve">ĺňa odsekom</w:t>
      </w:r>
      <w:r w:rsidDel="00000000" w:rsidR="00000000" w:rsidRPr="00000000">
        <w:rPr>
          <w:rtl w:val="0"/>
        </w:rPr>
        <w:t xml:space="preserve"> 5, ktorý znie: </w:t>
      </w:r>
    </w:p>
    <w:p w:rsidR="00000000" w:rsidDel="00000000" w:rsidP="00000000" w:rsidRDefault="00000000" w:rsidRPr="00000000" w14:paraId="0000003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20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„(5) Kontrolný orgán na účel zaujatia stanoviska podľa </w:t>
      </w:r>
      <w:r w:rsidDel="00000000" w:rsidR="00000000" w:rsidRPr="00000000">
        <w:rPr>
          <w:rtl w:val="0"/>
        </w:rPr>
        <w:t xml:space="preserve">§ 3</w:t>
      </w:r>
      <w:r w:rsidDel="00000000" w:rsidR="00000000" w:rsidRPr="00000000">
        <w:rPr>
          <w:rtl w:val="0"/>
        </w:rPr>
        <w:t xml:space="preserve"> ods. 2 pozve riaditeľa alebo osobu navrhnutú na vymenovanie do funkcie riaditeľa na svoje zasadnutie.“.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20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§ 24 sa vkladá § 24a, ktorý znie: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24a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zvolenia komisie na kontrolu používania informačno-technických prostriedkov podľa osobitného predpisu</w:t>
      </w:r>
      <w:r w:rsidDel="00000000" w:rsidR="00000000" w:rsidRPr="00000000">
        <w:rPr>
          <w:vertAlign w:val="superscript"/>
          <w:rtl w:val="0"/>
        </w:rPr>
        <w:t xml:space="preserve">6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vykonáva kontrolu používania informačno-technických prostriedkov informačnou službou kontrolný orgán.“.</w:t>
      </w:r>
    </w:p>
    <w:p w:rsidR="00000000" w:rsidDel="00000000" w:rsidP="00000000" w:rsidRDefault="00000000" w:rsidRPr="00000000" w14:paraId="0000003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firstLine="708"/>
        <w:rPr>
          <w:color w:val="000000"/>
          <w:u w:val="none"/>
        </w:rPr>
      </w:pPr>
      <w:r w:rsidDel="00000000" w:rsidR="00000000" w:rsidRPr="00000000">
        <w:rPr>
          <w:color w:val="000000"/>
          <w:u w:val="none"/>
          <w:rtl w:val="0"/>
        </w:rPr>
        <w:t xml:space="preserve">Poznámka pod čiarou k odkazu 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u w:val="none"/>
          <w:rtl w:val="0"/>
        </w:rPr>
        <w:t xml:space="preserve"> znie: </w:t>
      </w:r>
    </w:p>
    <w:p w:rsidR="00000000" w:rsidDel="00000000" w:rsidP="00000000" w:rsidRDefault="00000000" w:rsidRPr="00000000" w14:paraId="0000003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76" w:lineRule="auto"/>
        <w:ind w:firstLine="708"/>
        <w:rPr>
          <w:color w:val="000000"/>
          <w:u w:val="none"/>
        </w:rPr>
      </w:pPr>
      <w:r w:rsidDel="00000000" w:rsidR="00000000" w:rsidRPr="00000000">
        <w:rPr>
          <w:color w:val="000000"/>
          <w:u w:val="none"/>
          <w:rtl w:val="0"/>
        </w:rPr>
        <w:t xml:space="preserve">„</w:t>
      </w:r>
      <w:r w:rsidDel="00000000" w:rsidR="00000000" w:rsidRPr="00000000">
        <w:rPr>
          <w:vertAlign w:val="superscript"/>
          <w:rtl w:val="0"/>
        </w:rPr>
        <w:t xml:space="preserve">6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color w:val="000000"/>
          <w:u w:val="none"/>
          <w:rtl w:val="0"/>
        </w:rPr>
        <w:t xml:space="preserve"> § 8a zákona č. 166/2003 Z. z.“.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line="276" w:lineRule="auto"/>
        <w:jc w:val="center"/>
        <w:rPr>
          <w:b w:val="1"/>
          <w:color w:val="ff0000"/>
          <w:u w:val="none"/>
        </w:rPr>
      </w:pPr>
      <w:r w:rsidDel="00000000" w:rsidR="00000000" w:rsidRPr="00000000">
        <w:rPr>
          <w:b w:val="1"/>
          <w:color w:val="000000"/>
          <w:u w:val="none"/>
          <w:rtl w:val="0"/>
        </w:rPr>
        <w:t xml:space="preserve">Čl. 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line="276" w:lineRule="auto"/>
        <w:ind w:firstLine="561"/>
        <w:jc w:val="both"/>
        <w:rPr>
          <w:color w:val="000000"/>
          <w:u w:val="non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000000"/>
          <w:u w:val="none"/>
          <w:rtl w:val="0"/>
        </w:rPr>
        <w:t xml:space="preserve">Tento zákon nadobúda účinnosť 1. </w:t>
      </w:r>
      <w:r w:rsidDel="00000000" w:rsidR="00000000" w:rsidRPr="00000000">
        <w:rPr>
          <w:rtl w:val="0"/>
        </w:rPr>
        <w:t xml:space="preserve">marca</w:t>
      </w:r>
      <w:r w:rsidDel="00000000" w:rsidR="00000000" w:rsidRPr="00000000">
        <w:rPr>
          <w:color w:val="000000"/>
          <w:u w:val="none"/>
          <w:rtl w:val="0"/>
        </w:rPr>
        <w:t xml:space="preserve"> 2026.</w:t>
      </w:r>
    </w:p>
    <w:p w:rsidR="00000000" w:rsidDel="00000000" w:rsidP="00000000" w:rsidRDefault="00000000" w:rsidRPr="00000000" w14:paraId="0000003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line="276" w:lineRule="auto"/>
        <w:ind w:firstLine="561"/>
        <w:jc w:val="both"/>
        <w:rPr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line="276" w:lineRule="auto"/>
        <w:ind w:firstLine="561"/>
        <w:jc w:val="both"/>
        <w:rPr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line="276" w:lineRule="auto"/>
        <w:ind w:firstLine="561"/>
        <w:jc w:val="both"/>
        <w:rPr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line="276" w:lineRule="auto"/>
        <w:ind w:firstLine="748"/>
        <w:jc w:val="both"/>
        <w:rPr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line="276" w:lineRule="auto"/>
        <w:ind w:firstLine="748"/>
        <w:jc w:val="both"/>
        <w:rPr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line="276" w:lineRule="auto"/>
        <w:jc w:val="center"/>
        <w:rPr>
          <w:b w:val="1"/>
          <w:smallCaps w:val="1"/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line="276" w:lineRule="auto"/>
        <w:jc w:val="center"/>
        <w:rPr>
          <w:b w:val="1"/>
          <w:smallCaps w:val="1"/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line="276" w:lineRule="auto"/>
        <w:jc w:val="center"/>
        <w:rPr>
          <w:b w:val="1"/>
          <w:smallCaps w:val="1"/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200" w:line="276" w:lineRule="auto"/>
        <w:rPr>
          <w:b w:val="1"/>
          <w:smallCaps w:val="1"/>
          <w:color w:val="000000"/>
          <w:u w:val="no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28" w:hanging="347.9999999999998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36" w:hanging="276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44" w:hanging="324.00000000000045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552" w:hanging="312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260" w:hanging="24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968" w:hanging="288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676" w:hanging="276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384" w:hanging="204"/>
      </w:pPr>
      <w:rPr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993" w:hanging="284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713" w:hanging="284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433" w:hanging="224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153" w:hanging="283.99999999999955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873" w:hanging="283.99999999999955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593" w:hanging="224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313" w:hanging="284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6033" w:hanging="284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753" w:hanging="224"/>
      </w:pPr>
      <w:rPr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8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28" w:hanging="347.9999999999998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36" w:hanging="276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44" w:hanging="324.00000000000045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552" w:hanging="312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260" w:hanging="24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968" w:hanging="288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676" w:hanging="276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384" w:hanging="204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Hypertextovprepojenie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edvolen" w:customStyle="1">
    <w:name w:val="Predvolené"/>
    <w:pPr>
      <w:spacing w:before="160" w:line="288" w:lineRule="auto"/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numbering" w:styleId="Importovantl2" w:customStyle="1">
    <w:name w:val="Importovaný štýl 2"/>
    <w:pPr>
      <w:numPr>
        <w:numId w:val="1"/>
      </w:numPr>
    </w:pPr>
  </w:style>
  <w:style w:type="numbering" w:styleId="Importovantl3" w:customStyle="1">
    <w:name w:val="Importovaný štýl 3"/>
    <w:pPr>
      <w:numPr>
        <w:numId w:val="3"/>
      </w:numPr>
    </w:pPr>
  </w:style>
  <w:style w:type="numbering" w:styleId="Importovantl4" w:customStyle="1">
    <w:name w:val="Importovaný štýl 4"/>
    <w:pPr>
      <w:numPr>
        <w:numId w:val="6"/>
      </w:numPr>
    </w:pPr>
  </w:style>
  <w:style w:type="numbering" w:styleId="Importovantl5" w:customStyle="1">
    <w:name w:val="Importovaný štýl 5"/>
    <w:pPr>
      <w:numPr>
        <w:numId w:val="8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oBz9pGtL3g5Pdmf8fh2WG69pw==">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2025-10-28T14:43:00Z</dcterms:created>
  <dc:creator>Šimon Mendel</dc:creator>
</cp:coreProperties>
</file>