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7D43A" w14:textId="77777777" w:rsidR="001A7060" w:rsidRDefault="001A7060" w:rsidP="001A706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 ô v o d o v á    s p r á v a</w:t>
      </w:r>
    </w:p>
    <w:p w14:paraId="08A58FAA" w14:textId="77777777" w:rsidR="001A7060" w:rsidRDefault="001A7060" w:rsidP="001A7060">
      <w:pPr>
        <w:spacing w:after="0"/>
        <w:rPr>
          <w:rFonts w:ascii="Times New Roman" w:eastAsia="Times New Roman" w:hAnsi="Times New Roman" w:cs="Times New Roman"/>
          <w:b/>
          <w:sz w:val="24"/>
          <w:szCs w:val="24"/>
        </w:rPr>
      </w:pPr>
    </w:p>
    <w:p w14:paraId="52851106" w14:textId="77777777" w:rsidR="001A7060" w:rsidRDefault="001A7060" w:rsidP="001A7060">
      <w:pPr>
        <w:numPr>
          <w:ilvl w:val="0"/>
          <w:numId w:val="1"/>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Všeobecná časť</w:t>
      </w:r>
    </w:p>
    <w:p w14:paraId="55EAE9B9" w14:textId="77777777" w:rsidR="001A7060" w:rsidRDefault="001A7060" w:rsidP="001A7060">
      <w:pPr>
        <w:spacing w:after="0"/>
        <w:rPr>
          <w:rFonts w:ascii="Times New Roman" w:eastAsia="Times New Roman" w:hAnsi="Times New Roman" w:cs="Times New Roman"/>
          <w:b/>
          <w:sz w:val="24"/>
          <w:szCs w:val="24"/>
        </w:rPr>
      </w:pPr>
    </w:p>
    <w:p w14:paraId="3015302E" w14:textId="77777777" w:rsidR="001A7060" w:rsidRDefault="001A7060" w:rsidP="001A706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Návrh zákona, ktorým sa mení a dopĺňa zákon č. 575/2001 Z. z. o organizácii činnosti vlády a organizácii ústrednej štátnej správy v znení neskorších predpisov predkladajú na rokovanie Národnej rady Slovenskej republiky poslanci Národnej rady Slovenskej republiky Marián Viskupič, Jana </w:t>
      </w:r>
      <w:proofErr w:type="spellStart"/>
      <w:r>
        <w:rPr>
          <w:rFonts w:ascii="Times New Roman" w:eastAsia="Times New Roman" w:hAnsi="Times New Roman" w:cs="Times New Roman"/>
          <w:sz w:val="24"/>
          <w:szCs w:val="24"/>
        </w:rPr>
        <w:t>Bittó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Cigániková</w:t>
      </w:r>
      <w:proofErr w:type="spellEnd"/>
      <w:r>
        <w:rPr>
          <w:rFonts w:ascii="Times New Roman" w:eastAsia="Times New Roman" w:hAnsi="Times New Roman" w:cs="Times New Roman"/>
          <w:sz w:val="24"/>
          <w:szCs w:val="24"/>
        </w:rPr>
        <w:t xml:space="preserve">, Martina </w:t>
      </w:r>
      <w:proofErr w:type="spellStart"/>
      <w:r>
        <w:rPr>
          <w:rFonts w:ascii="Times New Roman" w:eastAsia="Times New Roman" w:hAnsi="Times New Roman" w:cs="Times New Roman"/>
          <w:sz w:val="24"/>
          <w:szCs w:val="24"/>
        </w:rPr>
        <w:t>Bajo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Holečková</w:t>
      </w:r>
      <w:proofErr w:type="spellEnd"/>
      <w:r>
        <w:rPr>
          <w:rFonts w:ascii="Times New Roman" w:eastAsia="Times New Roman" w:hAnsi="Times New Roman" w:cs="Times New Roman"/>
          <w:sz w:val="24"/>
          <w:szCs w:val="24"/>
        </w:rPr>
        <w:t xml:space="preserve">, Karol </w:t>
      </w:r>
      <w:proofErr w:type="spellStart"/>
      <w:r>
        <w:rPr>
          <w:rFonts w:ascii="Times New Roman" w:eastAsia="Times New Roman" w:hAnsi="Times New Roman" w:cs="Times New Roman"/>
          <w:sz w:val="24"/>
          <w:szCs w:val="24"/>
        </w:rPr>
        <w:t>Galek</w:t>
      </w:r>
      <w:proofErr w:type="spellEnd"/>
      <w:r>
        <w:rPr>
          <w:rFonts w:ascii="Times New Roman" w:eastAsia="Times New Roman" w:hAnsi="Times New Roman" w:cs="Times New Roman"/>
          <w:sz w:val="24"/>
          <w:szCs w:val="24"/>
        </w:rPr>
        <w:t xml:space="preserve">, Vladimír </w:t>
      </w:r>
      <w:proofErr w:type="spellStart"/>
      <w:r>
        <w:rPr>
          <w:rFonts w:ascii="Times New Roman" w:eastAsia="Times New Roman" w:hAnsi="Times New Roman" w:cs="Times New Roman"/>
          <w:sz w:val="24"/>
          <w:szCs w:val="24"/>
        </w:rPr>
        <w:t>Ledecký</w:t>
      </w:r>
      <w:proofErr w:type="spellEnd"/>
      <w:r>
        <w:rPr>
          <w:rFonts w:ascii="Times New Roman" w:eastAsia="Times New Roman" w:hAnsi="Times New Roman" w:cs="Times New Roman"/>
          <w:sz w:val="24"/>
          <w:szCs w:val="24"/>
        </w:rPr>
        <w:t xml:space="preserve"> a Ondrej Dostál.</w:t>
      </w:r>
    </w:p>
    <w:p w14:paraId="37E6239C" w14:textId="77777777" w:rsidR="001A7060" w:rsidRDefault="001A7060" w:rsidP="001A706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14:paraId="12F0FBC7" w14:textId="77777777" w:rsidR="001A7060" w:rsidRDefault="001A7060" w:rsidP="001A706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Cieľom predloženého návrhu zákona je znížiť počet štátnych tajomníkov najviac na dvoch na jedno ministerstvo, a tým prispieť k efektívnejšiemu a úspornejšiemu fungovaniu štátnej správy. V súčasnosti pôsobí v Slovenskej republike až 36 štátnych tajomníkov, čo predstavuje výrazný nárast oproti predchádzajúcim volebným obdobiam. Tento stav vyvoláva otázky o efektívnosti a nevyhnutnosti takého rozsahu politicky obsadzovaných pozícií.</w:t>
      </w:r>
    </w:p>
    <w:p w14:paraId="41F7CE8B" w14:textId="77777777" w:rsidR="001A7060" w:rsidRDefault="001A7060" w:rsidP="001A706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BB8EC0" w14:textId="77777777" w:rsidR="001A7060" w:rsidRDefault="001A7060" w:rsidP="001A706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Funkcia štátneho tajomníka má slúžiť ako podpora ministra pri riadení rezortu, avšak v praxi sa ukazuje, že ich počet často presahuje reálne potreby jednotlivých ministerstiev. Každý štátny tajomník je zároveň spojený s nemalými výdavkami zo štátneho rozpočtu – nielen na samotný plat, ale aj na zabezpečenie chodu kancelárie vrátane personálneho obsadenia a technického vybavenia.</w:t>
      </w:r>
    </w:p>
    <w:p w14:paraId="686036F0" w14:textId="77777777" w:rsidR="001A7060" w:rsidRDefault="001A7060" w:rsidP="001A7060">
      <w:pPr>
        <w:spacing w:after="0"/>
        <w:ind w:firstLine="708"/>
        <w:jc w:val="both"/>
        <w:rPr>
          <w:rFonts w:ascii="Times New Roman" w:eastAsia="Times New Roman" w:hAnsi="Times New Roman" w:cs="Times New Roman"/>
          <w:sz w:val="24"/>
          <w:szCs w:val="24"/>
        </w:rPr>
      </w:pPr>
    </w:p>
    <w:p w14:paraId="4E287133" w14:textId="77777777" w:rsidR="001A7060" w:rsidRDefault="001A7060" w:rsidP="001A7060">
      <w:pPr>
        <w:pBdr>
          <w:top w:val="nil"/>
          <w:left w:val="nil"/>
          <w:bottom w:val="nil"/>
          <w:right w:val="nil"/>
          <w:between w:val="nil"/>
        </w:pBdr>
        <w:shd w:val="clear" w:color="auto" w:fill="FFFFFF"/>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Berúc do úvahy dnešný počet 36 štátnych tajomníkov, predkladaný návrh zákona tento stav znižuje o 5 štátnych tajomníkov, tzn. na počet zodpovedajúci minulému volebnému obdobiu. Konzervatívny odhad finančného dopadu tejto zmeny predstavuje pozitívny vplyv na verejné financie vo výške približne 1,5 milióna eur ročne. Tento výpočet zahŕňa:</w:t>
      </w:r>
    </w:p>
    <w:p w14:paraId="008B8D78" w14:textId="77777777" w:rsidR="001A7060" w:rsidRDefault="001A7060" w:rsidP="001A7060">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priemerné ročné mzdové náklady na 5 štátnych tajomníkov: cca 440 000 eur,</w:t>
      </w:r>
    </w:p>
    <w:p w14:paraId="04BEE334" w14:textId="77777777" w:rsidR="001A7060" w:rsidRDefault="001A7060" w:rsidP="001A7060">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náklady na chod kancelárií (asistent, riaditeľ kancelárie, dvaja poradcovia, vodič, ročná amortizácia služobného vozidla): spolu cca 933 000 eur,</w:t>
      </w:r>
    </w:p>
    <w:p w14:paraId="2A1EF49F" w14:textId="77777777" w:rsidR="001A7060" w:rsidRDefault="001A7060" w:rsidP="001A7060">
      <w:pPr>
        <w:numPr>
          <w:ilvl w:val="0"/>
          <w:numId w:val="2"/>
        </w:numPr>
        <w:pBdr>
          <w:top w:val="nil"/>
          <w:left w:val="nil"/>
          <w:bottom w:val="nil"/>
          <w:right w:val="nil"/>
          <w:between w:val="nil"/>
        </w:pBdr>
        <w:shd w:val="clear" w:color="auto" w:fill="FFFFFF"/>
        <w:spacing w:line="240" w:lineRule="auto"/>
      </w:pPr>
      <w:r>
        <w:rPr>
          <w:rFonts w:ascii="Times New Roman" w:eastAsia="Times New Roman" w:hAnsi="Times New Roman" w:cs="Times New Roman"/>
          <w:sz w:val="24"/>
          <w:szCs w:val="24"/>
        </w:rPr>
        <w:t>ďalšie prevádzkové náklady a cestovné výdavky: doplnené odhadom do celkovej sumy 1,5 milióna eur.</w:t>
      </w:r>
    </w:p>
    <w:p w14:paraId="009B359D" w14:textId="77777777" w:rsidR="001A7060" w:rsidRDefault="001A7060" w:rsidP="001A7060">
      <w:pPr>
        <w:pBdr>
          <w:top w:val="nil"/>
          <w:left w:val="nil"/>
          <w:bottom w:val="nil"/>
          <w:right w:val="nil"/>
          <w:between w:val="nil"/>
        </w:pBdr>
        <w:shd w:val="clear" w:color="auto" w:fill="FFFFFF"/>
        <w:spacing w:line="240" w:lineRule="auto"/>
        <w:ind w:firstLine="5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úprava predstavuje krok smerom k zodpovednejšiemu nakladaniu s verejnými prostriedkami. V čase konsolidácie, keď je potrebné pristupovať k verejným financiám s maximálnou efektivitou, je nevyhnutné začať šetriť aj na úrovni politických nominácií. Zníženie počtu štátnych tajomníkov zároveň vysiela signál, že štátna správa má byť štíhla, funkčná a primerane obsadená.</w:t>
      </w:r>
    </w:p>
    <w:p w14:paraId="5D6484EA" w14:textId="77777777" w:rsidR="001A7060" w:rsidRDefault="001A7060" w:rsidP="001A7060">
      <w:pPr>
        <w:pBdr>
          <w:top w:val="nil"/>
          <w:left w:val="nil"/>
          <w:bottom w:val="nil"/>
          <w:right w:val="nil"/>
          <w:between w:val="nil"/>
        </w:pBdr>
        <w:shd w:val="clear" w:color="auto" w:fill="FFFFFF"/>
        <w:spacing w:line="240" w:lineRule="auto"/>
        <w:ind w:firstLine="5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Predkladaný návrh zákona je v súlade s Ústavou Slovenskej republiky, ústavnými zákonmi, zákonmi a ostatnými všeobecne záväznými právnymi predpismi, medzinárodnými zmluvami a inými medzinárodnými dokumentmi, ktorými je Slovenská republika viazaná, ako aj s právom Európskej únie.</w:t>
      </w:r>
    </w:p>
    <w:p w14:paraId="744BE208" w14:textId="77777777" w:rsidR="001A7060" w:rsidRDefault="001A7060" w:rsidP="001A7060">
      <w:pPr>
        <w:pBdr>
          <w:top w:val="nil"/>
          <w:left w:val="nil"/>
          <w:bottom w:val="nil"/>
          <w:right w:val="nil"/>
          <w:between w:val="nil"/>
        </w:pBdr>
        <w:shd w:val="clear" w:color="auto" w:fill="FFFFFF"/>
        <w:spacing w:line="240" w:lineRule="auto"/>
        <w:ind w:firstLine="58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Návrh zákona má pozitívny vplyv na rozpočet verejnej správy, keďže predpokladaná úspora predstavuje približne 1,5 milióna eur ročne. Návrh zákona nemá vplyv na životné prostredie, na informatizáciu spoločnosti, na služby verejnej správy pre občana, na podnikateľské prostredie, nemá sociálne vplyvy ani vplyvy na manželstvo, rodičovstvo a rodinu.</w:t>
      </w:r>
    </w:p>
    <w:p w14:paraId="1E2B3283" w14:textId="77777777" w:rsidR="001A7060" w:rsidRDefault="001A7060" w:rsidP="001A7060">
      <w:pPr>
        <w:spacing w:after="0"/>
        <w:ind w:left="720"/>
        <w:rPr>
          <w:rFonts w:ascii="Times New Roman" w:eastAsia="Times New Roman" w:hAnsi="Times New Roman" w:cs="Times New Roman"/>
          <w:b/>
          <w:sz w:val="24"/>
          <w:szCs w:val="24"/>
        </w:rPr>
      </w:pPr>
    </w:p>
    <w:p w14:paraId="7A3D8AC0" w14:textId="77777777" w:rsidR="001A7060" w:rsidRDefault="001A7060" w:rsidP="001A7060">
      <w:pPr>
        <w:spacing w:after="0"/>
        <w:ind w:left="720"/>
        <w:rPr>
          <w:rFonts w:ascii="Times New Roman" w:eastAsia="Times New Roman" w:hAnsi="Times New Roman" w:cs="Times New Roman"/>
          <w:b/>
          <w:sz w:val="24"/>
          <w:szCs w:val="24"/>
        </w:rPr>
      </w:pPr>
    </w:p>
    <w:p w14:paraId="2600ECAD" w14:textId="77777777" w:rsidR="001A7060" w:rsidRDefault="001A7060" w:rsidP="001A7060">
      <w:pPr>
        <w:numPr>
          <w:ilvl w:val="0"/>
          <w:numId w:val="1"/>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Osobitná časť</w:t>
      </w:r>
    </w:p>
    <w:p w14:paraId="0C846551" w14:textId="77777777" w:rsidR="001A7060" w:rsidRDefault="001A7060" w:rsidP="001A7060">
      <w:pPr>
        <w:spacing w:after="0"/>
        <w:rPr>
          <w:rFonts w:ascii="Times New Roman" w:eastAsia="Times New Roman" w:hAnsi="Times New Roman" w:cs="Times New Roman"/>
          <w:sz w:val="24"/>
          <w:szCs w:val="24"/>
        </w:rPr>
      </w:pPr>
    </w:p>
    <w:p w14:paraId="4E2F9E4E" w14:textId="77777777" w:rsidR="001A7060" w:rsidRDefault="001A7060" w:rsidP="001A7060">
      <w:pPr>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K čl. I</w:t>
      </w:r>
    </w:p>
    <w:p w14:paraId="13D8F3ED" w14:textId="77777777" w:rsidR="001A7060" w:rsidRDefault="001A7060" w:rsidP="001A7060">
      <w:pPr>
        <w:spacing w:after="0"/>
        <w:rPr>
          <w:rFonts w:ascii="Times New Roman" w:eastAsia="Times New Roman" w:hAnsi="Times New Roman" w:cs="Times New Roman"/>
          <w:b/>
          <w:sz w:val="24"/>
          <w:szCs w:val="24"/>
        </w:rPr>
      </w:pPr>
    </w:p>
    <w:p w14:paraId="0512798F" w14:textId="77777777" w:rsidR="001A7060" w:rsidRDefault="001A7060" w:rsidP="001A706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K bodu 1</w:t>
      </w:r>
    </w:p>
    <w:p w14:paraId="30CE07BE" w14:textId="77777777" w:rsidR="001A7060" w:rsidRDefault="001A7060" w:rsidP="001A7060">
      <w:pPr>
        <w:spacing w:after="0"/>
        <w:rPr>
          <w:rFonts w:ascii="Times New Roman" w:eastAsia="Times New Roman" w:hAnsi="Times New Roman" w:cs="Times New Roman"/>
          <w:b/>
          <w:sz w:val="24"/>
          <w:szCs w:val="24"/>
        </w:rPr>
      </w:pPr>
    </w:p>
    <w:p w14:paraId="6B0BBE9D" w14:textId="77777777" w:rsidR="001A7060" w:rsidRDefault="001A7060" w:rsidP="001A706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Navrhuje sa vypustenie štvrtej vety v § 4 ods. 2, teda možnosti, aby štátneho tajomníka mohol mať</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podpredseda vlády Slovenskej republiky pre Plán obnovy a znalostnú ekonomiku. Cieľom je odstrániť osobitné postavenie tejto funkcie, keďže ide o dočasnú a špecifickú pozíciu, ktorá už nebude mať opodstatnenie v ďalšom období. Zároveň sa tým zjednocuje právna úprava a posilňuje princíp, že štátni tajomníci pôsobia výlučne na ministerstvách.</w:t>
      </w:r>
    </w:p>
    <w:p w14:paraId="3C9C8EE3" w14:textId="77777777" w:rsidR="001A7060" w:rsidRDefault="001A7060" w:rsidP="001A7060">
      <w:pPr>
        <w:spacing w:after="0"/>
        <w:jc w:val="both"/>
        <w:rPr>
          <w:rFonts w:ascii="Times New Roman" w:eastAsia="Times New Roman" w:hAnsi="Times New Roman" w:cs="Times New Roman"/>
          <w:sz w:val="24"/>
          <w:szCs w:val="24"/>
        </w:rPr>
      </w:pPr>
    </w:p>
    <w:p w14:paraId="5D226C0F" w14:textId="77777777" w:rsidR="001A7060" w:rsidRDefault="001A7060" w:rsidP="001A7060">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K bodu 2</w:t>
      </w:r>
    </w:p>
    <w:p w14:paraId="0C98743D" w14:textId="77777777" w:rsidR="001A7060" w:rsidRDefault="001A7060" w:rsidP="001A7060">
      <w:pPr>
        <w:spacing w:after="0"/>
        <w:rPr>
          <w:rFonts w:ascii="Times New Roman" w:eastAsia="Times New Roman" w:hAnsi="Times New Roman" w:cs="Times New Roman"/>
          <w:b/>
          <w:sz w:val="24"/>
          <w:szCs w:val="24"/>
        </w:rPr>
      </w:pPr>
    </w:p>
    <w:p w14:paraId="4FAFF424" w14:textId="77777777" w:rsidR="001A7060" w:rsidRDefault="001A7060" w:rsidP="001A706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V § 4 sa navrhuje nové znenie odseku 3, podľa ktorého vláda vymenúva a odvoláva štátneho tajomníka výlučne na návrh príslušného ministra. Základným pravidlom je, že na jednom ministerstve pôsobí jeden štátny tajomník; výnimku predstavujú najmä viacodvetvové ministerstvá, kde vláda môže určiť dvoch štátnych tajomníkov. Tým sa sleduje cieľ znížiť počet politických nominácií, zefektívniť riadenie rezortov a dosiahnuť úsporu verejných financií. Ak má ministerstvo dvoch štátnych tajomníkov, minister zároveň určí, v ktorých otázkach a v akom poradí ho štátni tajomníci zastupujú, čím sa zabezpečí jasné rozdelenie kompetencií.</w:t>
      </w:r>
    </w:p>
    <w:p w14:paraId="2C35FAD2" w14:textId="77777777" w:rsidR="001A7060" w:rsidRDefault="001A7060" w:rsidP="001A7060">
      <w:pPr>
        <w:spacing w:after="0"/>
        <w:rPr>
          <w:rFonts w:ascii="Times New Roman" w:eastAsia="Times New Roman" w:hAnsi="Times New Roman" w:cs="Times New Roman"/>
          <w:b/>
          <w:sz w:val="24"/>
          <w:szCs w:val="24"/>
        </w:rPr>
      </w:pPr>
    </w:p>
    <w:p w14:paraId="2DE419CA" w14:textId="77777777" w:rsidR="001A7060" w:rsidRDefault="001A7060" w:rsidP="001A7060">
      <w:pPr>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K bodu 3</w:t>
      </w:r>
    </w:p>
    <w:p w14:paraId="22BE2982" w14:textId="77777777" w:rsidR="001A7060" w:rsidRDefault="001A7060" w:rsidP="001A7060">
      <w:pPr>
        <w:spacing w:after="0"/>
        <w:ind w:firstLine="708"/>
        <w:rPr>
          <w:rFonts w:ascii="Times New Roman" w:eastAsia="Times New Roman" w:hAnsi="Times New Roman" w:cs="Times New Roman"/>
          <w:b/>
          <w:sz w:val="24"/>
          <w:szCs w:val="24"/>
        </w:rPr>
      </w:pPr>
    </w:p>
    <w:p w14:paraId="744B32DF" w14:textId="77777777" w:rsidR="001A7060" w:rsidRDefault="001A7060" w:rsidP="001A706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40 ods. 2 sa v súvislosti so štátnymi tajomníkmi vypúšťa zmienka o podpredsedovi vlády Slovenskej republiky pre Plán obnovy a znalostnú ekonomiku, čím sa zosúlaďuje právna úprava s navrhovaným vypustením osobitného postavenia tejto funkcie v § 4. Platové náležitosti štátneho tajomníka tak bude určovať výlučne príslušný minister.</w:t>
      </w:r>
    </w:p>
    <w:p w14:paraId="03EB7C44" w14:textId="77777777" w:rsidR="001A7060" w:rsidRDefault="001A7060" w:rsidP="001A7060">
      <w:pPr>
        <w:spacing w:after="0"/>
        <w:ind w:firstLine="708"/>
        <w:rPr>
          <w:rFonts w:ascii="Times New Roman" w:eastAsia="Times New Roman" w:hAnsi="Times New Roman" w:cs="Times New Roman"/>
          <w:sz w:val="24"/>
          <w:szCs w:val="24"/>
        </w:rPr>
      </w:pPr>
    </w:p>
    <w:p w14:paraId="7C0AFBDD" w14:textId="77777777" w:rsidR="001A7060" w:rsidRDefault="001A7060" w:rsidP="001A7060">
      <w:pPr>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K bodu 4</w:t>
      </w:r>
    </w:p>
    <w:p w14:paraId="4C6D5235" w14:textId="77777777" w:rsidR="001A7060" w:rsidRDefault="001A7060" w:rsidP="001A7060">
      <w:pPr>
        <w:spacing w:after="0"/>
        <w:ind w:firstLine="708"/>
        <w:rPr>
          <w:rFonts w:ascii="Times New Roman" w:eastAsia="Times New Roman" w:hAnsi="Times New Roman" w:cs="Times New Roman"/>
          <w:b/>
          <w:sz w:val="24"/>
          <w:szCs w:val="24"/>
        </w:rPr>
      </w:pPr>
    </w:p>
    <w:p w14:paraId="18F79E16" w14:textId="77777777" w:rsidR="001A7060" w:rsidRDefault="001A7060" w:rsidP="001A706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40az sa vložením slov „do 28. februára 2026“ zakotvuje ohraničenie funkčného obdobia štátneho tajomníka podpredsedu vlády pre Plán obnovy a znalostnú ekonomiku. Ide o ustanovenie svojou povahou podobné prechodnému ustanoveniu, avšak systematicky zaradené mimo štandardných prechodných ustanovení. Vložený text explicitne ukončuje pôsobenie uvedeného štátneho tajomníka k 28. februáru 2026. 28. február a 1. marec v roku 2026 pripadajú na sobotu a nedeľu. Posledným dňom funkčného obdobia štátneho tajomníka podpredsedu vlády pre Plán obnovy a znalostnú ekonomiku tak bude 28. február 2026, kedy nadobudne účinnosť táto novela zákona a následne v nedeľu 1. marca 2026 táto funkcia zanikne.</w:t>
      </w:r>
    </w:p>
    <w:p w14:paraId="6E787BDE" w14:textId="77777777" w:rsidR="001A7060" w:rsidRDefault="001A7060" w:rsidP="001A7060">
      <w:pPr>
        <w:spacing w:after="0"/>
        <w:rPr>
          <w:rFonts w:ascii="Times New Roman" w:eastAsia="Times New Roman" w:hAnsi="Times New Roman" w:cs="Times New Roman"/>
          <w:sz w:val="24"/>
          <w:szCs w:val="24"/>
        </w:rPr>
      </w:pPr>
    </w:p>
    <w:p w14:paraId="1F34F799" w14:textId="77777777" w:rsidR="001A7060" w:rsidRDefault="001A7060" w:rsidP="001A7060">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K bodu 5</w:t>
      </w:r>
    </w:p>
    <w:p w14:paraId="4E0B7D7A" w14:textId="77777777" w:rsidR="001A7060" w:rsidRDefault="001A7060" w:rsidP="001A7060">
      <w:pPr>
        <w:spacing w:after="0"/>
        <w:ind w:firstLine="708"/>
        <w:rPr>
          <w:rFonts w:ascii="Times New Roman" w:eastAsia="Times New Roman" w:hAnsi="Times New Roman" w:cs="Times New Roman"/>
          <w:sz w:val="24"/>
          <w:szCs w:val="24"/>
        </w:rPr>
      </w:pPr>
    </w:p>
    <w:p w14:paraId="29D98372" w14:textId="77777777" w:rsidR="001A7060" w:rsidRDefault="001A7060" w:rsidP="001A706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Navrhuje sa doplnenie nového prechodného ustanovenia, podľa ktorého ak k 28. februáru 2026 budú pôsobiť na niektorom ministerstve štátni tajomníci v rozpore s novým znením § 4 ods. 3, ich funkcia zanikne 1. marca 2026. Cieľom je zabezpečiť právnu istotu </w:t>
      </w:r>
      <w:r>
        <w:rPr>
          <w:rFonts w:ascii="Times New Roman" w:eastAsia="Times New Roman" w:hAnsi="Times New Roman" w:cs="Times New Roman"/>
          <w:sz w:val="24"/>
          <w:szCs w:val="24"/>
        </w:rPr>
        <w:lastRenderedPageBreak/>
        <w:t>v otázke, či zaniká funkcia len niektorým štátnym tajomníkom a ktorým, alebo či zanikne funkcia všetkým. Cieľom je tiež ustanoviť jasný okamih, kedy sa nová úprava uplatní v praxi, a zároveň predísť nejasnostiam pri prechode na nový režim. Ak teda ku dňu účinnosti zákona budú na niektorých ministerstvách traja štátni tajomníci, v nasledujúci deň, 1. marca, zanikne funkcia všetkým trom. 28. február a 1. marec v roku 2026 pripadajú na sobotu a nedeľu. Posledným dňom ich funkčného obdobia bude 28. február 2026, kedy nadobudne účinnosť táto novela zákona, a následne v nedeľu 1. marca 2026 táto funkcia zanikne.</w:t>
      </w:r>
    </w:p>
    <w:p w14:paraId="189462E4" w14:textId="77777777" w:rsidR="001A7060" w:rsidRDefault="001A7060" w:rsidP="001A7060">
      <w:pPr>
        <w:spacing w:after="0"/>
        <w:rPr>
          <w:rFonts w:ascii="Times New Roman" w:eastAsia="Times New Roman" w:hAnsi="Times New Roman" w:cs="Times New Roman"/>
          <w:b/>
          <w:sz w:val="24"/>
          <w:szCs w:val="24"/>
        </w:rPr>
      </w:pPr>
    </w:p>
    <w:p w14:paraId="0FA27A55" w14:textId="77777777" w:rsidR="001A7060" w:rsidRDefault="001A7060" w:rsidP="001A7060">
      <w:pPr>
        <w:spacing w:after="0"/>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 čl. II</w:t>
      </w:r>
    </w:p>
    <w:p w14:paraId="673BB684" w14:textId="77777777" w:rsidR="001A7060" w:rsidRDefault="001A7060" w:rsidP="001A7060">
      <w:pPr>
        <w:spacing w:after="0"/>
        <w:jc w:val="both"/>
        <w:rPr>
          <w:rFonts w:ascii="Times New Roman" w:eastAsia="Times New Roman" w:hAnsi="Times New Roman" w:cs="Times New Roman"/>
          <w:b/>
          <w:sz w:val="24"/>
          <w:szCs w:val="24"/>
        </w:rPr>
      </w:pPr>
    </w:p>
    <w:p w14:paraId="78D5C329" w14:textId="77777777" w:rsidR="001A7060" w:rsidRDefault="001A7060" w:rsidP="001A7060">
      <w:pPr>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Navrhuje sa, aby zákon nadobudol účinnosť 28. februára 2026. </w:t>
      </w:r>
    </w:p>
    <w:p w14:paraId="3BACFA99" w14:textId="77777777" w:rsidR="001A7060" w:rsidRDefault="001A7060" w:rsidP="001A7060">
      <w:pPr>
        <w:spacing w:after="0"/>
        <w:rPr>
          <w:rFonts w:ascii="Times New Roman" w:eastAsia="Times New Roman" w:hAnsi="Times New Roman" w:cs="Times New Roman"/>
          <w:sz w:val="24"/>
          <w:szCs w:val="24"/>
        </w:rPr>
      </w:pPr>
    </w:p>
    <w:p w14:paraId="0000002F" w14:textId="77777777" w:rsidR="00FA00E3" w:rsidRPr="001A7060" w:rsidRDefault="00FA00E3" w:rsidP="001A7060"/>
    <w:sectPr w:rsidR="00FA00E3" w:rsidRPr="001A7060">
      <w:footerReference w:type="default" r:id="rId8"/>
      <w:pgSz w:w="11906" w:h="16838"/>
      <w:pgMar w:top="1418" w:right="1418" w:bottom="1418"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382DE" w14:textId="77777777" w:rsidR="00401731" w:rsidRDefault="00401731">
      <w:pPr>
        <w:spacing w:after="0" w:line="240" w:lineRule="auto"/>
      </w:pPr>
      <w:r>
        <w:separator/>
      </w:r>
    </w:p>
  </w:endnote>
  <w:endnote w:type="continuationSeparator" w:id="0">
    <w:p w14:paraId="1F774B25" w14:textId="77777777" w:rsidR="00401731" w:rsidRDefault="0040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292382-48AD-4782-A4B3-2C8EEA7487C4}"/>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CC4A7FB0-408F-47BB-A5CB-157F58DC12C1}"/>
    <w:embedBold r:id="rId3" w:fontKey="{58AF0FD1-83F5-4445-95B2-62F8225AA674}"/>
  </w:font>
  <w:font w:name="Georgia">
    <w:panose1 w:val="02040502050405020303"/>
    <w:charset w:val="EE"/>
    <w:family w:val="roman"/>
    <w:pitch w:val="variable"/>
    <w:sig w:usb0="00000287" w:usb1="00000000" w:usb2="00000000" w:usb3="00000000" w:csb0="0000009F" w:csb1="00000000"/>
    <w:embedRegular r:id="rId4" w:fontKey="{91F1C362-FAA0-49E5-949C-E7566272A31C}"/>
    <w:embedItalic r:id="rId5" w:fontKey="{FF54AAE4-34FA-460A-A80B-424D930CC9C1}"/>
  </w:font>
  <w:font w:name="Calibri Light">
    <w:panose1 w:val="020F0302020204030204"/>
    <w:charset w:val="EE"/>
    <w:family w:val="swiss"/>
    <w:pitch w:val="variable"/>
    <w:sig w:usb0="E4002EFF" w:usb1="C200247B" w:usb2="00000009" w:usb3="00000000" w:csb0="000001FF" w:csb1="00000000"/>
    <w:embedRegular r:id="rId6" w:fontKey="{A304EA10-6641-4A83-BBD4-1C1A428743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28AEF71C" w:rsidR="00FA00E3" w:rsidRDefault="00000000">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420E1D">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00000031" w14:textId="77777777" w:rsidR="00FA00E3" w:rsidRDefault="00FA00E3">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C311B" w14:textId="77777777" w:rsidR="00401731" w:rsidRDefault="00401731">
      <w:pPr>
        <w:spacing w:after="0" w:line="240" w:lineRule="auto"/>
      </w:pPr>
      <w:r>
        <w:separator/>
      </w:r>
    </w:p>
  </w:footnote>
  <w:footnote w:type="continuationSeparator" w:id="0">
    <w:p w14:paraId="0CA2A28F" w14:textId="77777777" w:rsidR="00401731" w:rsidRDefault="0040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35BED"/>
    <w:multiLevelType w:val="multilevel"/>
    <w:tmpl w:val="A3F68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FB9108B"/>
    <w:multiLevelType w:val="multilevel"/>
    <w:tmpl w:val="A300B7AE"/>
    <w:lvl w:ilvl="0">
      <w:start w:val="1"/>
      <w:numFmt w:val="upperLetter"/>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num w:numId="1" w16cid:durableId="1392118414">
    <w:abstractNumId w:val="1"/>
  </w:num>
  <w:num w:numId="2" w16cid:durableId="1654336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E3"/>
    <w:rsid w:val="0005141B"/>
    <w:rsid w:val="00096569"/>
    <w:rsid w:val="0013523A"/>
    <w:rsid w:val="001A7060"/>
    <w:rsid w:val="001E01B4"/>
    <w:rsid w:val="00240E6A"/>
    <w:rsid w:val="00283BA0"/>
    <w:rsid w:val="00401731"/>
    <w:rsid w:val="00420E1D"/>
    <w:rsid w:val="004955BD"/>
    <w:rsid w:val="004C49F1"/>
    <w:rsid w:val="004E64FC"/>
    <w:rsid w:val="005F59DE"/>
    <w:rsid w:val="00717954"/>
    <w:rsid w:val="00737747"/>
    <w:rsid w:val="007C7BC8"/>
    <w:rsid w:val="00886949"/>
    <w:rsid w:val="008B1098"/>
    <w:rsid w:val="00A949B2"/>
    <w:rsid w:val="00AC5ECE"/>
    <w:rsid w:val="00B13F0D"/>
    <w:rsid w:val="00B70AC4"/>
    <w:rsid w:val="00CB71C9"/>
    <w:rsid w:val="00D40910"/>
    <w:rsid w:val="00D846E1"/>
    <w:rsid w:val="00E35D57"/>
    <w:rsid w:val="00E5331A"/>
    <w:rsid w:val="00EF7A2A"/>
    <w:rsid w:val="00F31E06"/>
    <w:rsid w:val="00F45C41"/>
    <w:rsid w:val="00F62900"/>
    <w:rsid w:val="00F84512"/>
    <w:rsid w:val="00FA00E3"/>
    <w:rsid w:val="00FC72A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E973BC"/>
  <w15:docId w15:val="{DAC79388-CAE8-48BB-9CB0-4C6A8547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Pta">
    <w:name w:val="footer"/>
    <w:link w:val="PtaChar"/>
    <w:uiPriority w:val="99"/>
    <w:unhideWhenUsed/>
    <w:qFormat/>
    <w:pPr>
      <w:tabs>
        <w:tab w:val="center" w:pos="4536"/>
        <w:tab w:val="right" w:pos="9072"/>
      </w:tabs>
      <w:spacing w:after="0" w:line="240" w:lineRule="auto"/>
    </w:pPr>
  </w:style>
  <w:style w:type="character" w:styleId="Vrazn">
    <w:name w:val="Strong"/>
    <w:basedOn w:val="Predvolenpsmoodseku"/>
    <w:uiPriority w:val="22"/>
    <w:qFormat/>
    <w:rPr>
      <w:b/>
      <w:bCs/>
    </w:rPr>
  </w:style>
  <w:style w:type="paragraph" w:styleId="Odsekzoznamu">
    <w:name w:val="List Paragraph"/>
    <w:link w:val="OdsekzoznamuChar"/>
    <w:uiPriority w:val="34"/>
    <w:qFormat/>
    <w:pPr>
      <w:ind w:left="720"/>
      <w:contextualSpacing/>
    </w:pPr>
  </w:style>
  <w:style w:type="character" w:customStyle="1" w:styleId="PtaChar">
    <w:name w:val="Päta Char"/>
    <w:basedOn w:val="Predvolenpsmoodseku"/>
    <w:link w:val="Pta"/>
    <w:uiPriority w:val="99"/>
    <w:qFormat/>
    <w:rPr>
      <w:rFonts w:eastAsia="Times New Roman" w:cs="Times New Roman"/>
    </w:rPr>
  </w:style>
  <w:style w:type="character" w:customStyle="1" w:styleId="OdsekzoznamuChar">
    <w:name w:val="Odsek zoznamu Char"/>
    <w:link w:val="Odsekzoznamu"/>
    <w:uiPriority w:val="34"/>
    <w:qFormat/>
    <w:locked/>
    <w:rPr>
      <w:rFonts w:eastAsia="Times New Roman" w:cs="Times New Roman"/>
    </w:rPr>
  </w:style>
  <w:style w:type="character" w:customStyle="1" w:styleId="awspan">
    <w:name w:val="awspan"/>
    <w:basedOn w:val="Predvolenpsmoodseku"/>
    <w:qFormat/>
  </w:style>
  <w:style w:type="paragraph" w:customStyle="1" w:styleId="title-doc-oj-reference">
    <w:name w:val="title-doc-oj-reference"/>
    <w:qFormat/>
    <w:pPr>
      <w:spacing w:before="100" w:beforeAutospacing="1" w:after="100" w:afterAutospacing="1" w:line="240" w:lineRule="auto"/>
    </w:pPr>
    <w:rPr>
      <w:rFonts w:ascii="Times New Roman" w:hAnsi="Times New Roman"/>
      <w:sz w:val="24"/>
      <w:szCs w:val="24"/>
    </w:rPr>
  </w:style>
  <w:style w:type="paragraph" w:styleId="Normlnywebov">
    <w:name w:val="Normal (Web)"/>
    <w:uiPriority w:val="99"/>
    <w:unhideWhenUsed/>
    <w:rsid w:val="00FC33C5"/>
    <w:pPr>
      <w:spacing w:before="100" w:beforeAutospacing="1" w:after="100" w:afterAutospacing="1" w:line="240" w:lineRule="auto"/>
    </w:pPr>
    <w:rPr>
      <w:rFonts w:ascii="Times New Roman" w:hAnsi="Times New Roman"/>
      <w:sz w:val="24"/>
      <w:szCs w:val="24"/>
    </w:rPr>
  </w:style>
  <w:style w:type="character" w:styleId="Hypertextovprepojenie">
    <w:name w:val="Hyperlink"/>
    <w:basedOn w:val="Predvolenpsmoodseku"/>
    <w:uiPriority w:val="99"/>
    <w:unhideWhenUsed/>
    <w:rsid w:val="00EC081D"/>
    <w:rPr>
      <w:color w:val="0563C1" w:themeColor="hyperlink"/>
      <w:u w:val="single"/>
    </w:rPr>
  </w:style>
  <w:style w:type="character" w:styleId="Nevyrieenzmienka">
    <w:name w:val="Unresolved Mention"/>
    <w:basedOn w:val="Predvolenpsmoodseku"/>
    <w:uiPriority w:val="99"/>
    <w:semiHidden/>
    <w:unhideWhenUsed/>
    <w:rsid w:val="00EC081D"/>
    <w:rPr>
      <w:color w:val="605E5C"/>
      <w:shd w:val="clear" w:color="auto" w:fill="E1DFDD"/>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rPbyiA7SupUm5eSZrn/kTGlQnw==">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882</Words>
  <Characters>5154</Characters>
  <Application>Microsoft Office Word</Application>
  <DocSecurity>0</DocSecurity>
  <Lines>105</Lines>
  <Paragraphs>30</Paragraphs>
  <ScaleCrop>false</ScaleCrop>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Kolíková, Mária</dc:creator>
  <cp:lastModifiedBy>Andrej Pitonak</cp:lastModifiedBy>
  <cp:revision>30</cp:revision>
  <dcterms:created xsi:type="dcterms:W3CDTF">2025-10-24T09:47:00Z</dcterms:created>
  <dcterms:modified xsi:type="dcterms:W3CDTF">2025-10-24T11:44:00Z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857206B142DD4C1C8CA3D6F3A346C51F_12</vt:lpwstr>
  </property>
  <property fmtid="{D5CDD505-2E9C-101B-9397-08002B2CF9AE}" pid="4" name="GrammarlyDocumentId">
    <vt:lpwstr>7ffdb53c-0dbd-446a-9f40-0db16499f45b</vt:lpwstr>
  </property>
</Properties>
</file>