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Bdr>
          <w:top w:space="0" w:sz="0" w:val="nil"/>
          <w:left w:space="0" w:sz="0" w:val="nil"/>
          <w:bottom w:color="00000a" w:space="0" w:sz="12" w:val="single"/>
          <w:right w:space="0" w:sz="0" w:val="nil"/>
        </w:pBdr>
        <w:rPr>
          <w:rFonts w:ascii="Book Antiqua" w:cs="Book Antiqua" w:eastAsia="Book Antiqua" w:hAnsi="Book Antiqua"/>
          <w:sz w:val="22"/>
          <w:szCs w:val="22"/>
        </w:rPr>
      </w:pPr>
      <w:r w:rsidDel="00000000" w:rsidR="00000000" w:rsidRPr="00000000">
        <w:rPr>
          <w:rFonts w:ascii="Book Antiqua" w:cs="Book Antiqua" w:eastAsia="Book Antiqua" w:hAnsi="Book Antiqua"/>
          <w:sz w:val="22"/>
          <w:szCs w:val="22"/>
          <w:rtl w:val="0"/>
        </w:rPr>
        <w:t xml:space="preserve">N Á R O D N Á   R A D A   S L O V E N S K E J   R E P U B L I K Y</w:t>
      </w:r>
    </w:p>
    <w:p w:rsidR="00000000" w:rsidDel="00000000" w:rsidP="00000000" w:rsidRDefault="00000000" w:rsidRPr="00000000" w14:paraId="00000002">
      <w:pPr>
        <w:pStyle w:val="Subtitle"/>
        <w:rPr>
          <w:rFonts w:ascii="Book Antiqua" w:cs="Book Antiqua" w:eastAsia="Book Antiqua" w:hAnsi="Book Antiqu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rPr>
          <w:rFonts w:ascii="Book Antiqua" w:cs="Book Antiqua" w:eastAsia="Book Antiqua" w:hAnsi="Book Antiqua"/>
          <w:sz w:val="22"/>
          <w:szCs w:val="22"/>
        </w:rPr>
      </w:pPr>
      <w:r w:rsidDel="00000000" w:rsidR="00000000" w:rsidRPr="00000000">
        <w:rPr>
          <w:rFonts w:ascii="Book Antiqua" w:cs="Book Antiqua" w:eastAsia="Book Antiqua" w:hAnsi="Book Antiqua"/>
          <w:sz w:val="22"/>
          <w:szCs w:val="22"/>
          <w:rtl w:val="0"/>
        </w:rPr>
        <w:t xml:space="preserve">IX. volebné obdobie</w:t>
      </w:r>
    </w:p>
    <w:p w:rsidR="00000000" w:rsidDel="00000000" w:rsidP="00000000" w:rsidRDefault="00000000" w:rsidRPr="00000000" w14:paraId="00000004">
      <w:pPr>
        <w:pStyle w:val="Subtitle"/>
        <w:jc w:val="left"/>
        <w:rPr>
          <w:rFonts w:ascii="Book Antiqua" w:cs="Book Antiqua" w:eastAsia="Book Antiqua" w:hAnsi="Book Antiqua"/>
          <w:sz w:val="22"/>
          <w:szCs w:val="22"/>
        </w:rPr>
      </w:pPr>
      <w:r w:rsidDel="00000000" w:rsidR="00000000" w:rsidRPr="00000000">
        <w:rPr>
          <w:rFonts w:ascii="Book Antiqua" w:cs="Book Antiqua" w:eastAsia="Book Antiqua" w:hAnsi="Book Antiqua"/>
          <w:sz w:val="22"/>
          <w:szCs w:val="22"/>
          <w:rtl w:val="0"/>
        </w:rPr>
        <w:tab/>
        <w:tab/>
        <w:tab/>
      </w:r>
    </w:p>
    <w:p w:rsidR="00000000" w:rsidDel="00000000" w:rsidP="00000000" w:rsidRDefault="00000000" w:rsidRPr="00000000" w14:paraId="00000005">
      <w:pPr>
        <w:pStyle w:val="Subtitle"/>
        <w:jc w:val="left"/>
        <w:rPr>
          <w:rFonts w:ascii="Book Antiqua" w:cs="Book Antiqua" w:eastAsia="Book Antiqua" w:hAnsi="Book Antiqu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Subtitle"/>
        <w:jc w:val="left"/>
        <w:rPr>
          <w:rFonts w:ascii="Book Antiqua" w:cs="Book Antiqua" w:eastAsia="Book Antiqua" w:hAnsi="Book Antiqu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Subtitle"/>
        <w:rPr>
          <w:rFonts w:ascii="Book Antiqua" w:cs="Book Antiqua" w:eastAsia="Book Antiqua" w:hAnsi="Book Antiqua"/>
          <w:b w:val="1"/>
          <w:sz w:val="22"/>
          <w:szCs w:val="2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2"/>
          <w:szCs w:val="22"/>
          <w:rtl w:val="0"/>
        </w:rPr>
        <w:t xml:space="preserve">N á v r h</w:t>
      </w:r>
    </w:p>
    <w:p w:rsidR="00000000" w:rsidDel="00000000" w:rsidP="00000000" w:rsidRDefault="00000000" w:rsidRPr="00000000" w14:paraId="00000008">
      <w:pPr>
        <w:pStyle w:val="Subtitle"/>
        <w:rPr>
          <w:rFonts w:ascii="Book Antiqua" w:cs="Book Antiqua" w:eastAsia="Book Antiqua" w:hAnsi="Book Antiqu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Subtitle"/>
        <w:spacing w:after="120" w:before="120" w:lineRule="auto"/>
        <w:rPr>
          <w:rFonts w:ascii="Book Antiqua" w:cs="Book Antiqua" w:eastAsia="Book Antiqua" w:hAnsi="Book Antiqua"/>
          <w:sz w:val="22"/>
          <w:szCs w:val="22"/>
        </w:rPr>
      </w:pPr>
      <w:r w:rsidDel="00000000" w:rsidR="00000000" w:rsidRPr="00000000">
        <w:rPr>
          <w:rFonts w:ascii="Book Antiqua" w:cs="Book Antiqua" w:eastAsia="Book Antiqua" w:hAnsi="Book Antiqua"/>
          <w:sz w:val="22"/>
          <w:szCs w:val="22"/>
          <w:rtl w:val="0"/>
        </w:rPr>
        <w:t xml:space="preserve">poslancov Národnej rady Slovenskej republiky </w:t>
      </w:r>
    </w:p>
    <w:p w:rsidR="00000000" w:rsidDel="00000000" w:rsidP="00000000" w:rsidRDefault="00000000" w:rsidRPr="00000000" w14:paraId="0000000A">
      <w:pPr>
        <w:pStyle w:val="Subtitle"/>
        <w:spacing w:after="120" w:before="120" w:lineRule="auto"/>
        <w:rPr>
          <w:rFonts w:ascii="Book Antiqua" w:cs="Book Antiqua" w:eastAsia="Book Antiqua" w:hAnsi="Book Antiqua"/>
          <w:sz w:val="22"/>
          <w:szCs w:val="22"/>
        </w:rPr>
      </w:pPr>
      <w:r w:rsidDel="00000000" w:rsidR="00000000" w:rsidRPr="00000000">
        <w:rPr>
          <w:rFonts w:ascii="Book Antiqua" w:cs="Book Antiqua" w:eastAsia="Book Antiqua" w:hAnsi="Book Antiqua"/>
          <w:sz w:val="22"/>
          <w:szCs w:val="22"/>
          <w:rtl w:val="0"/>
        </w:rPr>
        <w:t xml:space="preserve">Rastislava KRÁTKEHO, Igora JANCKULÍKA a Richarda VAŠEČKU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 a  p r i j a t i 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5"/>
        </w:tabs>
        <w:spacing w:after="0" w:before="120" w:line="276" w:lineRule="auto"/>
        <w:ind w:left="0" w:right="0" w:firstLine="0"/>
        <w:jc w:val="center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it4hep266g8y" w:id="0"/>
      <w:bookmarkEnd w:id="0"/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uznesenia Národnej rady Slovenskej republiky k zvýšeniu bezpečnosti a prevádzkových štandardov na železniciach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24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5"/>
        </w:tabs>
        <w:spacing w:after="0" w:before="120" w:line="276" w:lineRule="auto"/>
        <w:ind w:left="0" w:right="0" w:firstLine="0"/>
        <w:jc w:val="center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6.0" w:type="dxa"/>
        <w:jc w:val="left"/>
        <w:tblInd w:w="54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4245"/>
        <w:gridCol w:w="427"/>
        <w:gridCol w:w="4394"/>
        <w:tblGridChange w:id="0">
          <w:tblGrid>
            <w:gridCol w:w="4245"/>
            <w:gridCol w:w="427"/>
            <w:gridCol w:w="4394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 r e d k l a d á 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Návrh na uznesenie</w:t>
            </w: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Rastislav KRÁTKY v.r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Igor JANCKULÍK v.r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Richard VAŠEČKA v.r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20" w:line="276" w:lineRule="auto"/>
              <w:ind w:left="122" w:right="0" w:hanging="92"/>
              <w:jc w:val="both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Návrh uznesenia Národnej rady Slovenskej republiky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20" w:line="276" w:lineRule="auto"/>
              <w:ind w:left="122" w:right="0" w:hanging="92"/>
              <w:jc w:val="both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Odôvodnenie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20" w:line="276" w:lineRule="auto"/>
              <w:ind w:left="0" w:right="0" w:firstLine="0"/>
              <w:jc w:val="both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20" w:line="276" w:lineRule="auto"/>
              <w:ind w:left="0" w:right="0" w:firstLine="0"/>
              <w:jc w:val="both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120" w:line="360" w:lineRule="auto"/>
              <w:ind w:left="0" w:right="0" w:firstLine="0"/>
              <w:jc w:val="both"/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 Antiqua" w:cs="Book Antiqua" w:eastAsia="Book Antiqua" w:hAnsi="Book Antiqu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432" w:right="0" w:hanging="432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324" w:right="0" w:hanging="324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216" w:right="0" w:hanging="216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108" w:right="0" w:hanging="108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Bratislava október 2025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0" w:sz="12" w:val="single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9x8dalcz9cl8" w:id="1"/>
      <w:bookmarkEnd w:id="1"/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NÁRODNÁ RADA SLOVENSKEJ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IX.  volebné obdobie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Návrh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UZNESENIE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NÁRODNEJ RADY SLOVENSKEJ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 </w:t>
      </w:r>
      <w:r w:rsidDel="00000000" w:rsidR="00000000" w:rsidRPr="00000000">
        <w:rPr>
          <w:rFonts w:ascii="Book Antiqua" w:cs="Book Antiqua" w:eastAsia="Book Antiqua" w:hAnsi="Book Antiqua"/>
          <w:sz w:val="22"/>
          <w:szCs w:val="22"/>
          <w:rtl w:val="0"/>
        </w:rPr>
        <w:t xml:space="preserve">…</w:t>
      </w: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2025,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left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5"/>
        </w:tabs>
        <w:spacing w:after="0" w:before="120" w:line="276" w:lineRule="auto"/>
        <w:ind w:left="0" w:right="0" w:firstLine="0"/>
        <w:jc w:val="center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 zvýšeniu bezpečnosti a prevádzkových štandardov na železniciach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5"/>
        </w:tabs>
        <w:spacing w:after="0" w:before="120" w:line="276" w:lineRule="auto"/>
        <w:ind w:left="0" w:right="0" w:firstLine="0"/>
        <w:jc w:val="center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5"/>
        </w:tabs>
        <w:spacing w:after="0" w:before="12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Národná rada Slovenskej republiky: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122" w:right="0" w:hanging="122"/>
        <w:jc w:val="both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So zreteľom na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0" w:before="12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koncept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Vízia nula” v doprave a jeho cieľ dosiahnuť stav, kde nehody so smrteľným následkom alebo vážnym zranením budú úplne eliminované, pričom sa uznáva, že ľudské chyby sa nikdy úplne nevylúčia.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0" w:before="12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122" w:right="0" w:hanging="122"/>
        <w:jc w:val="both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Pripomína,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0" w:before="12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že Strategický plán rozvoja dopravy Slovenskej republiky do roku 2030 stanovuje ako strategický cieľ zvýšenie bezpečnosti (Safety) a bezpečnostnej ochrany (Security) dopravy, zabezpečenie trvalo udržateľnej a bezpečnej mobility prostredníctvom modernizácie a rozvoja infraštruktúry, zavádzania nových technológií a postupov s využitím preventívnych a kontrolných mechanizmov.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0" w:before="12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0" w:before="12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</w:t>
      </w: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Oceňuje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5"/>
        </w:tabs>
        <w:spacing w:after="0" w:before="12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iniciatívu Okrúhleho stola železničných dopravcov a snahu o konštruktívny dialóg s ministerstvom dopravy SR, pri riešení problémov železničnej dopravy a infraštruktúry, ktorý sa konal v uplynulých rokoch.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5"/>
        </w:tabs>
        <w:spacing w:after="0" w:before="12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122" w:right="0" w:hanging="122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Vyzýva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0" w:before="12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vládu Slovenskej republiky a relevantné orgány, aby pri plánovaní, modernizácii a prevádzke železničnej infraštruktúry uprednostňovali opatrenia minimalizujúce dopad ľudských chýb a maximalizujúce bezpečnosť pasažierov a personálu.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0" w:before="12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0" w:before="12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122" w:right="0" w:hanging="122"/>
        <w:jc w:val="both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Zaväzuje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0" w:before="12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vládu Slovenskej republiky vypracovať realistický akčný plán konkrétnych opatrení pre zvýšenie bezpečnosti a plynulosti železničnej dopravy, ktorý bude zároveň posúdený Útvarom hodnoty za peniaze s cieľom navýšiť kapitálové a prevádzkové výdavky v rozpočte na rok 2026 a nasledujúce roky pre Železnice Slovenskej </w:t>
      </w:r>
      <w:r w:rsidDel="00000000" w:rsidR="00000000" w:rsidRPr="00000000">
        <w:rPr>
          <w:rFonts w:ascii="Book Antiqua" w:cs="Book Antiqua" w:eastAsia="Book Antiqua" w:hAnsi="Book Antiqua"/>
          <w:sz w:val="22"/>
          <w:szCs w:val="22"/>
          <w:rtl w:val="0"/>
        </w:rPr>
        <w:t xml:space="preserve">r</w:t>
      </w: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epubliky.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0" w:before="12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122" w:right="0" w:hanging="122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Ukladá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0" w:before="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11111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111111"/>
          <w:sz w:val="22"/>
          <w:szCs w:val="22"/>
          <w:u w:val="none"/>
          <w:shd w:fill="auto" w:val="clear"/>
          <w:vertAlign w:val="baseline"/>
          <w:rtl w:val="0"/>
        </w:rPr>
        <w:t xml:space="preserve">ministrovi dopravy a výstavby Slovenskej </w:t>
      </w:r>
      <w:r w:rsidDel="00000000" w:rsidR="00000000" w:rsidRPr="00000000">
        <w:rPr>
          <w:rFonts w:ascii="Book Antiqua" w:cs="Book Antiqua" w:eastAsia="Book Antiqua" w:hAnsi="Book Antiqua"/>
          <w:color w:val="111111"/>
          <w:sz w:val="22"/>
          <w:szCs w:val="22"/>
          <w:rtl w:val="0"/>
        </w:rPr>
        <w:t xml:space="preserve">r</w:t>
      </w: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111111"/>
          <w:sz w:val="22"/>
          <w:szCs w:val="22"/>
          <w:u w:val="none"/>
          <w:shd w:fill="auto" w:val="clear"/>
          <w:vertAlign w:val="baseline"/>
          <w:rtl w:val="0"/>
        </w:rPr>
        <w:t xml:space="preserve">epubliky, aby do 15. februára 2026 predložil Výboru Národnej rady SR pre hospodárske </w:t>
      </w: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záležitosti realistický akčný plán konkrétnych opatrení pre zvýšenie bezpečnosti a plynulosti železničnej dopravy, ako aj správu o plnení Priorít v harmonograme investícií do bezpečnosti železničnej infraštruktúr</w:t>
      </w: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111111"/>
          <w:sz w:val="22"/>
          <w:szCs w:val="22"/>
          <w:u w:val="none"/>
          <w:shd w:fill="auto" w:val="clear"/>
          <w:vertAlign w:val="baseline"/>
          <w:rtl w:val="0"/>
        </w:rPr>
        <w:t xml:space="preserve">y, vrátane plánovaných termínov a rozpočtových prostriedkov, s horizontom prioritných investícií minimálne troch nasledujúcich kalendárnych rokov a s ďalším výhľadom do roku 2030.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0" w:before="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11111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2" w:right="0" w:hanging="122"/>
        <w:jc w:val="both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11111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111111"/>
          <w:sz w:val="22"/>
          <w:szCs w:val="22"/>
          <w:u w:val="none"/>
          <w:shd w:fill="auto" w:val="clear"/>
          <w:vertAlign w:val="baseline"/>
          <w:rtl w:val="0"/>
        </w:rPr>
        <w:t xml:space="preserve"> Odporúča,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220" w:before="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aby vláda Slovenskej republiky zvážila možnosť využiť finančné nástroje v štruktúre Slovak Investment Holding (SIH) a jeho dcérskych spoločností, vrátane National Development Fund III. (NDF III), potrebné prostriedky na modernizáciu a bezpečnostné zlepšenie slovenských železníc, vrátane zavedenia bezpečnostných systémov a obnovy vozového parku.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220" w:before="0" w:line="276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5"/>
        </w:tabs>
        <w:spacing w:after="0" w:before="120" w:line="276" w:lineRule="auto"/>
        <w:ind w:left="0" w:right="0" w:firstLine="0"/>
        <w:jc w:val="center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DÔVODOVÁ SPRÁVA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5"/>
        </w:tabs>
        <w:spacing w:after="0" w:before="120" w:line="276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240" w:before="0" w:line="240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Vlakové nešťastie na trati pri Jablonove nad Turňou z 13. októbra 2025 poukázalo na pretrvávajúci kritický stav zabezpečenia železničnej dopravy na Slovensku a dlhodobé podfinancovanie budovania zabezpečovacích vlakových a traťových systémov. Len približne 250 km zo 3 600 km železničnej siete je vybavených moderným európskym zabezpečovacím systémom ETCS (European Train Control System), čo predstavuje približne 7 % tratí. Tento systém je funkčný iba na malom množstve tratí, pričom na nich je povolený zmiešaný prevoz vlakov, ktoré systém ETCS nemajú.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240" w:before="0" w:line="240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Celkovo len 11 % tratí je diaľkovo riadených, pričom väčšina úsekov sa spolieha výlučne na ľudský faktor – rušňovodiča a jeho reakciu na návestidlá. V prípade, že rušňovodič prehliadne návesť „Stoj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neexistuje žiadny automatický systém, ktorý by zabránil zrážke. Pre porovnanie, v Českej republike je od 1. januára 2025 prevádzka vlakov na najvýznamnejších tratiach bez zapnutého zabezpečovacieho systému zakázaná a súčasne sa rozširuje ETCS Level 2 s rádiovým dohľadom, ktorý presne monitoruje polohu každého vlaku a znemožňuje ich stretnutie na trati.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240" w:before="0" w:line="240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Slovensko nemá záväzný plán modernizácie železničnej infraštruktúry ani predvídateľné financovanie, pričom bezpečnostné aspekty dopravy sú rovnako dôležité ako sociálna politika pre vybrané skupiny obyvateľstva. Vzhľadom na dlhodobé nedostatky a znížené financovanie kapitálových výdavkov v návrhu rozpočtu na rok 2026 je potrebné navýšiť kapitálové výdavky vlády na modernizáciu železníc a zavedenie bezpečnostných systémov, ako sú ETCS, GSM-R alebo iné, na všetkých frekventovaných a hlavných tratiach, a tiež na úsekoch so zvýšeným rizikom nehodovosti.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240" w:before="0" w:line="240" w:lineRule="auto"/>
        <w:ind w:left="0" w:right="0" w:firstLine="0"/>
        <w:jc w:val="both"/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Uznesenie reaguje na súčasný stav bezpečnosti železničnej dopravy a potrebu jeho výrazného zlepšenia v súlade s konceptom „Vízia nula“ a strategickými cieľmi Slovenskej republiky do roku 2030. Cieľom je minimalizovať počet nehôd so smrteľným alebo vážnym následkom a predísť tragédiám spôsobeným zlyhaním ľudského faktora. Národná rada oceňuje snahu Okrúhleho stola železničných dopravcov o konštruktívny dialóg s ministerstvom dopravy z roku 2022 a vyzýva vládu a relevantné orgány, aby pri plánovaní, modernizácii a prevádzke železničnej infraštruktúry uprednostňovali opatrenia minimalizujúce riziko ľudských chýb a zvyšujúce bezpečnosť cestujúcich a personálu.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566"/>
        </w:tabs>
        <w:spacing w:after="24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Národná rada odporúča vláde zvážiť využitie finančných nástrojov Slovak Investment Holding a National Development Fund III na modernizáciu a bezpečnostné zlepšenie železničnej dopravy vrátane zavedenia bezpečnostných systémov a obnovy vozového parku. Navrhované opatrenia sú kľúčové pre zvýšenie bezpečnosti cestujúcich a personálu, predchádzanie tragédiám a stanovenie jasného rámca modernizácie železníc do roku 2030.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417" w:top="1417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Carlito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22" w:hanging="92"/>
      </w:pPr>
      <w:rPr>
        <w:rFonts w:ascii="Book Antiqua" w:cs="Book Antiqua" w:eastAsia="Book Antiqua" w:hAnsi="Book Antiqua"/>
        <w:b w:val="0"/>
        <w:i w:val="0"/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720" w:hanging="564"/>
      </w:pPr>
      <w:rPr>
        <w:rFonts w:ascii="Book Antiqua" w:cs="Book Antiqua" w:eastAsia="Book Antiqua" w:hAnsi="Book Antiqua"/>
        <w:b w:val="0"/>
        <w:i w:val="0"/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440" w:hanging="494"/>
      </w:pPr>
      <w:rPr>
        <w:rFonts w:ascii="Book Antiqua" w:cs="Book Antiqua" w:eastAsia="Book Antiqua" w:hAnsi="Book Antiqua"/>
        <w:b w:val="0"/>
        <w:i w:val="0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160" w:hanging="540"/>
      </w:pPr>
      <w:rPr>
        <w:rFonts w:ascii="Book Antiqua" w:cs="Book Antiqua" w:eastAsia="Book Antiqua" w:hAnsi="Book Antiqua"/>
        <w:b w:val="0"/>
        <w:i w:val="0"/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2880" w:hanging="528"/>
      </w:pPr>
      <w:rPr>
        <w:rFonts w:ascii="Book Antiqua" w:cs="Book Antiqua" w:eastAsia="Book Antiqua" w:hAnsi="Book Antiqua"/>
        <w:b w:val="0"/>
        <w:i w:val="0"/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600" w:hanging="458"/>
      </w:pPr>
      <w:rPr>
        <w:rFonts w:ascii="Book Antiqua" w:cs="Book Antiqua" w:eastAsia="Book Antiqua" w:hAnsi="Book Antiqua"/>
        <w:b w:val="0"/>
        <w:i w:val="0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320" w:hanging="504"/>
      </w:pPr>
      <w:rPr>
        <w:rFonts w:ascii="Book Antiqua" w:cs="Book Antiqua" w:eastAsia="Book Antiqua" w:hAnsi="Book Antiqua"/>
        <w:b w:val="0"/>
        <w:i w:val="0"/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040" w:hanging="492"/>
      </w:pPr>
      <w:rPr>
        <w:rFonts w:ascii="Book Antiqua" w:cs="Book Antiqua" w:eastAsia="Book Antiqua" w:hAnsi="Book Antiqua"/>
        <w:b w:val="0"/>
        <w:i w:val="0"/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5760" w:hanging="422"/>
      </w:pPr>
      <w:rPr>
        <w:rFonts w:ascii="Book Antiqua" w:cs="Book Antiqua" w:eastAsia="Book Antiqua" w:hAnsi="Book Antiqua"/>
        <w:b w:val="0"/>
        <w:i w:val="0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upperLetter"/>
      <w:lvlText w:val="%1)"/>
      <w:lvlJc w:val="left"/>
      <w:pPr>
        <w:ind w:left="122" w:hanging="122"/>
      </w:pPr>
      <w:rPr>
        <w:rFonts w:ascii="Book Antiqua" w:cs="Book Antiqua" w:eastAsia="Book Antiqua" w:hAnsi="Book Antiqua"/>
        <w:b w:val="1"/>
        <w:i w:val="0"/>
        <w:smallCaps w:val="0"/>
        <w:strike w:val="0"/>
        <w:sz w:val="24"/>
        <w:szCs w:val="24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732" w:hanging="387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1452" w:hanging="638.0000000000001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172" w:hanging="684.0000000000002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2892" w:hanging="672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3612" w:hanging="602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332" w:hanging="648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052" w:hanging="636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5772" w:hanging="566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upperLetter"/>
      <w:lvlText w:val="%1)"/>
      <w:lvlJc w:val="left"/>
      <w:pPr>
        <w:ind w:left="122" w:hanging="122"/>
      </w:pPr>
      <w:rPr>
        <w:rFonts w:ascii="Book Antiqua" w:cs="Book Antiqua" w:eastAsia="Book Antiqua" w:hAnsi="Book Antiqua"/>
        <w:b w:val="1"/>
        <w:i w:val="0"/>
        <w:smallCaps w:val="0"/>
        <w:strike w:val="0"/>
        <w:sz w:val="24"/>
        <w:szCs w:val="24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52" w:hanging="372.0000000000002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72" w:hanging="304.0000000000002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92" w:hanging="372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12" w:hanging="372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32" w:hanging="304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52" w:hanging="372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72" w:hanging="372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92" w:hanging="303.9999999999991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</w:abstractNum>
  <w:abstractNum w:abstractNumId="4">
    <w:lvl w:ilvl="0">
      <w:start w:val="4"/>
      <w:numFmt w:val="upperLetter"/>
      <w:lvlText w:val="%1)"/>
      <w:lvlJc w:val="left"/>
      <w:pPr>
        <w:ind w:left="122" w:hanging="122"/>
      </w:pPr>
      <w:rPr>
        <w:rFonts w:ascii="Book Antiqua" w:cs="Book Antiqua" w:eastAsia="Book Antiqua" w:hAnsi="Book Antiqua"/>
        <w:b w:val="1"/>
        <w:i w:val="0"/>
        <w:smallCaps w:val="0"/>
        <w:strike w:val="0"/>
        <w:sz w:val="24"/>
        <w:szCs w:val="24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52" w:hanging="372.0000000000002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72" w:hanging="304.0000000000002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92" w:hanging="372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12" w:hanging="372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32" w:hanging="304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52" w:hanging="372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72" w:hanging="372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92" w:hanging="303.9999999999991"/>
      </w:pPr>
      <w:rPr>
        <w:rFonts w:ascii="Book Antiqua" w:cs="Book Antiqua" w:eastAsia="Book Antiqua" w:hAnsi="Book Antiqua"/>
        <w:b w:val="1"/>
        <w:i w:val="0"/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Carlito" w:cs="Carlito" w:eastAsia="Carlito" w:hAnsi="Carlito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Telo A">
    <w:name w:val="Telo A"/>
    <w:next w:val="Telo A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160" w:before="0" w:line="259" w:lineRule="auto"/>
      <w:ind w:left="0" w:right="0" w:firstLine="0"/>
      <w:jc w:val="left"/>
      <w:outlineLvl w:val="9"/>
    </w:pPr>
    <w:rPr>
      <w:rFonts w:ascii="Calibri" w:cs="Calibri" w:eastAsia="Calibri" w:hAnsi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Predvolené A">
    <w:name w:val="Predvolené A"/>
    <w:next w:val="Predvolené A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160" w:line="288" w:lineRule="auto"/>
      <w:ind w:left="0" w:right="0" w:firstLine="0"/>
      <w:jc w:val="left"/>
      <w:outlineLvl w:val="9"/>
    </w:pPr>
    <w:rPr>
      <w:rFonts w:ascii="Helvetica Neue" w:cs="Helvetica Neue" w:eastAsia="Helvetica Neue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160" w:before="0" w:line="259" w:lineRule="auto"/>
      <w:ind w:left="720" w:right="0" w:firstLine="0"/>
      <w:jc w:val="left"/>
      <w:outlineLvl w:val="9"/>
    </w:pPr>
    <w:rPr>
      <w:rFonts w:ascii="Calibri" w:cs="Arial Unicode MS" w:eastAsia="Arial Unicode MS" w:hAnsi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both"/>
      <w:outlineLvl w:val="9"/>
    </w:pPr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14:textFill>
        <w14:solidFill>
          <w14:srgbClr w14:val="000000"/>
        </w14:solidFill>
      </w14:textFill>
    </w:rPr>
  </w:style>
  <w:style w:type="numbering" w:styleId="Importovaný štýl 2">
    <w:name w:val="Importovaný štýl 2"/>
    <w:pPr>
      <w:numPr>
        <w:numId w:val="2"/>
      </w:numPr>
    </w:p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11" Type="http://schemas.openxmlformats.org/officeDocument/2006/relationships/font" Target="fonts/Carlito-italic.ttf"/><Relationship Id="rId10" Type="http://schemas.openxmlformats.org/officeDocument/2006/relationships/font" Target="fonts/Carlito-bold.ttf"/><Relationship Id="rId12" Type="http://schemas.openxmlformats.org/officeDocument/2006/relationships/font" Target="fonts/Carlito-boldItalic.ttf"/><Relationship Id="rId9" Type="http://schemas.openxmlformats.org/officeDocument/2006/relationships/font" Target="fonts/Carlito-regular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SgXiJyBEtrLmVh0sY3zx7A4LAA==">CgMxLjAyDmguaXQ0aGVwMjY2Zzh5Mg5oLjl4OGRhbGN6OWNsODgAciExM1IzVlBoWGpjT0otQ0dibG4zQ0c2dVNmWXdySEEzZG0=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