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NÁRODNÁ RADA SLOVENSKEJ REPUBLIKY</w:t>
      </w:r>
    </w:p>
    <w:p w:rsidR="00000000" w:rsidDel="00000000" w:rsidP="00000000" w:rsidRDefault="00000000" w:rsidRPr="00000000" w14:paraId="0000000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IX. VOLEBNÉ OBDOBIE</w:t>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Návrh</w:t>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UZNESENIE</w:t>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NÁRODNEJ RADY SLOVENSKEJ REPUBLIKY</w:t>
      </w:r>
    </w:p>
    <w:p w:rsidR="00000000" w:rsidDel="00000000" w:rsidP="00000000" w:rsidRDefault="00000000" w:rsidRPr="00000000" w14:paraId="0000000A">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 … 2025</w:t>
      </w:r>
    </w:p>
    <w:p w:rsidR="00000000" w:rsidDel="00000000" w:rsidP="00000000" w:rsidRDefault="00000000" w:rsidRPr="00000000" w14:paraId="0000000C">
      <w:pPr>
        <w:spacing w:line="240" w:lineRule="auto"/>
        <w:jc w:val="center"/>
        <w:rPr>
          <w:rFonts w:ascii="Times" w:cs="Times" w:eastAsia="Times" w:hAnsi="Times"/>
          <w:sz w:val="27"/>
          <w:szCs w:val="27"/>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w:cs="Times" w:eastAsia="Times" w:hAnsi="Times"/>
          <w:b w:val="1"/>
          <w:sz w:val="31"/>
          <w:szCs w:val="31"/>
        </w:rPr>
      </w:pPr>
      <w:r w:rsidDel="00000000" w:rsidR="00000000" w:rsidRPr="00000000">
        <w:rPr>
          <w:rFonts w:ascii="Times New Roman" w:cs="Times New Roman" w:eastAsia="Times New Roman" w:hAnsi="Times New Roman"/>
          <w:b w:val="1"/>
          <w:sz w:val="28"/>
          <w:szCs w:val="28"/>
          <w:rtl w:val="0"/>
        </w:rPr>
        <w:t xml:space="preserve">k Špecializovanému trestnému súdu</w:t>
      </w:r>
      <w:r w:rsidDel="00000000" w:rsidR="00000000" w:rsidRPr="00000000">
        <w:rPr>
          <w:rtl w:val="0"/>
        </w:rPr>
      </w:r>
    </w:p>
    <w:p w:rsidR="00000000" w:rsidDel="00000000" w:rsidP="00000000" w:rsidRDefault="00000000" w:rsidRPr="00000000" w14:paraId="0000000F">
      <w:pPr>
        <w:spacing w:line="240" w:lineRule="auto"/>
        <w:rPr>
          <w:rFonts w:ascii="Times" w:cs="Times" w:eastAsia="Times" w:hAnsi="Times"/>
          <w:sz w:val="27"/>
          <w:szCs w:val="27"/>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before="240" w:line="276" w:lineRule="auto"/>
        <w:jc w:val="both"/>
        <w:rPr>
          <w:rFonts w:ascii="Times New Roman" w:cs="Times New Roman" w:eastAsia="Times New Roman" w:hAnsi="Times New Roman"/>
          <w:color w:val="1e1e1f"/>
          <w:sz w:val="24"/>
          <w:szCs w:val="24"/>
          <w:highlight w:val="white"/>
        </w:rPr>
      </w:pPr>
      <w:r w:rsidDel="00000000" w:rsidR="00000000" w:rsidRPr="00000000">
        <w:rPr>
          <w:rFonts w:ascii="Times New Roman" w:cs="Times New Roman" w:eastAsia="Times New Roman" w:hAnsi="Times New Roman"/>
          <w:color w:val="1e1e1f"/>
          <w:sz w:val="24"/>
          <w:szCs w:val="24"/>
          <w:highlight w:val="white"/>
          <w:rtl w:val="0"/>
        </w:rPr>
        <w:t xml:space="preserve">Keďže v poslednom období sledujeme nebývalý nárast verbálnych útokov na sudcov a sudkyne, mnohokrát s cieľom ich diskreditácie, vylúčenia z rozhodovania či s cieľom pomsty za rozhodnutie alebo v snahe o ovplyvňovanie rozhodovania;</w:t>
      </w:r>
    </w:p>
    <w:p w:rsidR="00000000" w:rsidDel="00000000" w:rsidP="00000000" w:rsidRDefault="00000000" w:rsidRPr="00000000" w14:paraId="00000013">
      <w:pPr>
        <w:spacing w:before="240" w:line="276" w:lineRule="auto"/>
        <w:jc w:val="both"/>
        <w:rPr>
          <w:rFonts w:ascii="Times New Roman" w:cs="Times New Roman" w:eastAsia="Times New Roman" w:hAnsi="Times New Roman"/>
          <w:color w:val="1e1e1f"/>
          <w:sz w:val="24"/>
          <w:szCs w:val="24"/>
          <w:highlight w:val="white"/>
        </w:rPr>
      </w:pPr>
      <w:r w:rsidDel="00000000" w:rsidR="00000000" w:rsidRPr="00000000">
        <w:rPr>
          <w:rFonts w:ascii="Times New Roman" w:cs="Times New Roman" w:eastAsia="Times New Roman" w:hAnsi="Times New Roman"/>
          <w:color w:val="1e1e1f"/>
          <w:sz w:val="24"/>
          <w:szCs w:val="24"/>
          <w:highlight w:val="white"/>
          <w:rtl w:val="0"/>
        </w:rPr>
        <w:t xml:space="preserve">Keďže nezávislé súdnictvo je jedným z pilierov právneho štátu; </w:t>
      </w:r>
    </w:p>
    <w:p w:rsidR="00000000" w:rsidDel="00000000" w:rsidP="00000000" w:rsidRDefault="00000000" w:rsidRPr="00000000" w14:paraId="00000014">
      <w:pPr>
        <w:spacing w:before="240" w:line="276" w:lineRule="auto"/>
        <w:jc w:val="both"/>
        <w:rPr>
          <w:rFonts w:ascii="Times New Roman" w:cs="Times New Roman" w:eastAsia="Times New Roman" w:hAnsi="Times New Roman"/>
          <w:color w:val="1e1e1f"/>
          <w:sz w:val="24"/>
          <w:szCs w:val="24"/>
          <w:highlight w:val="white"/>
        </w:rPr>
      </w:pPr>
      <w:r w:rsidDel="00000000" w:rsidR="00000000" w:rsidRPr="00000000">
        <w:rPr>
          <w:rFonts w:ascii="Times New Roman" w:cs="Times New Roman" w:eastAsia="Times New Roman" w:hAnsi="Times New Roman"/>
          <w:color w:val="1e1e1f"/>
          <w:sz w:val="24"/>
          <w:szCs w:val="24"/>
          <w:highlight w:val="white"/>
          <w:rtl w:val="0"/>
        </w:rPr>
        <w:t xml:space="preserve">Keďže základom demokracie je trojdelenie moci medzi zákonodarnú, výkonnú a súdnu; a</w:t>
      </w:r>
      <w:r w:rsidDel="00000000" w:rsidR="00000000" w:rsidRPr="00000000">
        <w:rPr>
          <w:rtl w:val="0"/>
        </w:rPr>
      </w:r>
    </w:p>
    <w:p w:rsidR="00000000" w:rsidDel="00000000" w:rsidP="00000000" w:rsidRDefault="00000000" w:rsidRPr="00000000" w14:paraId="00000015">
      <w:pPr>
        <w:spacing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Keďže Špecializovaný trestný súd je dôležitou súčasťou justičného systému, ktorý súdi najzávažnejšie prípady korupcie a organizovaného zločinu,</w:t>
      </w:r>
      <w:r w:rsidDel="00000000" w:rsidR="00000000" w:rsidRPr="00000000">
        <w:rPr>
          <w:rtl w:val="0"/>
        </w:rPr>
      </w:r>
    </w:p>
    <w:p w:rsidR="00000000" w:rsidDel="00000000" w:rsidP="00000000" w:rsidRDefault="00000000" w:rsidRPr="00000000" w14:paraId="00000016">
      <w:pPr>
        <w:spacing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w:t>
      </w:r>
    </w:p>
    <w:p w:rsidR="00000000" w:rsidDel="00000000" w:rsidP="00000000" w:rsidRDefault="00000000" w:rsidRPr="00000000" w14:paraId="00000017">
      <w:pPr>
        <w:spacing w:before="24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ostro odsudzuje </w:t>
      </w:r>
    </w:p>
    <w:p w:rsidR="00000000" w:rsidDel="00000000" w:rsidP="00000000" w:rsidRDefault="00000000" w:rsidRPr="00000000" w14:paraId="00000019">
      <w:pPr>
        <w:spacing w:before="24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sz w:val="24"/>
          <w:szCs w:val="24"/>
          <w:rtl w:val="0"/>
        </w:rPr>
        <w:t xml:space="preserve">ýroky vládnych predstaviteľov o možnom zrušení Špecializovaného trestného súdu, </w:t>
      </w:r>
      <w:r w:rsidDel="00000000" w:rsidR="00000000" w:rsidRPr="00000000">
        <w:rPr>
          <w:rtl w:val="0"/>
        </w:rPr>
      </w:r>
    </w:p>
    <w:p w:rsidR="00000000" w:rsidDel="00000000" w:rsidP="00000000" w:rsidRDefault="00000000" w:rsidRPr="00000000" w14:paraId="0000001A">
      <w:pPr>
        <w:numPr>
          <w:ilvl w:val="0"/>
          <w:numId w:val="1"/>
        </w:numPr>
        <w:spacing w:before="24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vyjadruje hlboké znepokojenie</w:t>
      </w:r>
    </w:p>
    <w:p w:rsidR="00000000" w:rsidDel="00000000" w:rsidP="00000000" w:rsidRDefault="00000000" w:rsidRPr="00000000" w14:paraId="0000001B">
      <w:pPr>
        <w:spacing w:before="240" w:line="276"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ad snahou vyvíjať nátlak na rozhodovanie Špecializovaného trestného súdu cez útoky na jeho sudcov, sudkyne, či vyhrážky zrušením, </w:t>
      </w:r>
      <w:r w:rsidDel="00000000" w:rsidR="00000000" w:rsidRPr="00000000">
        <w:rPr>
          <w:rtl w:val="0"/>
        </w:rPr>
      </w:r>
    </w:p>
    <w:p w:rsidR="00000000" w:rsidDel="00000000" w:rsidP="00000000" w:rsidRDefault="00000000" w:rsidRPr="00000000" w14:paraId="0000001C">
      <w:pPr>
        <w:numPr>
          <w:ilvl w:val="0"/>
          <w:numId w:val="1"/>
        </w:numPr>
        <w:spacing w:before="24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vyzýva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všetkých vládnych predstaviteľov aby rešpektovali trojdelenie moci, nezasahovali do výkonu súdnej moci a vystríhali sa akéhokoľvek konania, ktoré vzbudzuje dojem, že chcú ovplyvňovať rozhodovanie súdov vo veciach, ktoré sa ich týkajú. </w:t>
      </w:r>
    </w:p>
    <w:p w:rsidR="00000000" w:rsidDel="00000000" w:rsidP="00000000" w:rsidRDefault="00000000" w:rsidRPr="00000000" w14:paraId="0000001F">
      <w:pPr>
        <w:ind w:left="708.661417322834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DÔVODOVÁ SPRÁVA</w:t>
      </w:r>
      <w:r w:rsidDel="00000000" w:rsidR="00000000" w:rsidRPr="00000000">
        <w:rPr>
          <w:rtl w:val="0"/>
        </w:rPr>
      </w:r>
    </w:p>
    <w:p w:rsidR="00000000" w:rsidDel="00000000" w:rsidP="00000000" w:rsidRDefault="00000000" w:rsidRPr="00000000" w14:paraId="00000020">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Špecializovaný trestný súd (ďalej len “ŠTS”) vznikol ako špecializovaný súd pre najzávažnejšie formy kriminality - korupciu, organizovaný zločin a terorizmus. Za svoju existenciu prejednal množstvo takýchto prípadov. Jeho dôvodnosť a opodstatnenosť jeho existencie potvrdili aj rôzne inštitúcie ako  Európska únia, Rada Európy či GRECO. Napríklad GRECO v tretej hodnotiacej správe o Slovensku v r. 2008 zdôraznilo, že "existencia reťazca špecializovaných inštitúcií a odborníkov v polícii, prokuratúre a súdnictve [myslí sa tým Úrad boja proti korupcii v polícii, Úrad špeciálnej prokuratúry a Špecializovaný trestný súd] výrazne znížila "úniky informácií" v rôznych štádiách trestného konania" a v Ad hoc správe o Slovenskej republike (čl. 34) zo 6. júna 2025 kritizuje oslabovanie protikorupčného rámca na Slovensku .</w:t>
      </w:r>
    </w:p>
    <w:p w:rsidR="00000000" w:rsidDel="00000000" w:rsidP="00000000" w:rsidRDefault="00000000" w:rsidRPr="00000000" w14:paraId="00000022">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poslednom období sledujeme úvahy vládnych predstaviteľov o jeho možnom zrušení. Takéto úvahy a vyhlásenia podľa nás predstavujú neprijateľné zásahy do nezávislosti súdnej moci a môžu byť chápané ako pokus o ovplyvňovanie rozhodovania ŠTS v kauzách, na ktorých majú dotknutí vládni predstavitelia osobitný záujem.</w:t>
      </w:r>
    </w:p>
    <w:p w:rsidR="00000000" w:rsidDel="00000000" w:rsidP="00000000" w:rsidRDefault="00000000" w:rsidRPr="00000000" w14:paraId="00000024">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Ako prvý túto myšlienku otvoril podpredseda vlády a minister obrany Robert Kaliňák, pripomíname však, že ide o osobu, ktorá je v inherentnom viacnásobnom konflikte záujmov. Advokátska kancelária, ktorú spoluvlastní, zastupuje obvineného extrémistu Daniela Bombica, pričom Robert Kaliňák v postavení podpredsedu vlády má potenciálny dosah na budúcnosť ŠTS. Preto je vo veľmi vážnom konflikte záujmov, kedže je osobou, ktorá z pozície spoluvlastníka advokátskej kancelárie má záujem na úspechu tejto kancelárie vo veciach, v ktorých prevzala právne zastúpenie. V pozícii podpredsedu vlády zas môže svojimi vyhláseniami vytvárať tlak na rozhodovaciu činnosť ŠTS, ktorý ak nerozhodne tak, ako si to predstavuje, môže čeliť snahe o zrušenie. </w:t>
      </w:r>
    </w:p>
    <w:p w:rsidR="00000000" w:rsidDel="00000000" w:rsidP="00000000" w:rsidRDefault="00000000" w:rsidRPr="00000000" w14:paraId="00000026">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pozícii ministra obrany zas Robert Kaliňák dostáva utajované informácie aj o extrémizme, ktoré môže potenciálne využiť na prospech obhajoby klienta svojej advokátskej kancelárie, čo znovu vytvára konflikt záujmov. </w:t>
      </w:r>
    </w:p>
    <w:p w:rsidR="00000000" w:rsidDel="00000000" w:rsidP="00000000" w:rsidRDefault="00000000" w:rsidRPr="00000000" w14:paraId="00000028">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Rozhodovanie ŠTS sa priamo týka aj obžalovaného podpredsedu Národnej rady Slovenskej republiky Tibora Gašpara, ktorý čaká na pojednávanie vo svojej veci. Aj on je osoba, ktorá môže mať záujem na rozhodovaní ŠTS vo svoj prospech a zároveň je osobou, ktorá priamo môže ovplyvniť to, či ŠTS bude ďalej existovať.</w:t>
      </w:r>
    </w:p>
    <w:p w:rsidR="00000000" w:rsidDel="00000000" w:rsidP="00000000" w:rsidRDefault="00000000" w:rsidRPr="00000000" w14:paraId="0000002A">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 tak v situácii, ktorá priamo ohrozuje základné trojdelenie moci, nezávislosť súdnictva a v situácii, kedy sa verejnosti môže oprávnene javiť, že súčasná vládna koalícia zvažuje zrušenie tohto súdu len preto, aby vyhovela úzkym záujmom svojich najvyššie postavených predstaviteľov. To vážnym spôsobom narúša dôveru občanov a obyvateľov v spôsob výkonu verejnej a súdnej moci a právny štát. </w:t>
      </w:r>
    </w:p>
    <w:p w:rsidR="00000000" w:rsidDel="00000000" w:rsidP="00000000" w:rsidRDefault="00000000" w:rsidRPr="00000000" w14:paraId="0000002C">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Preto sa v tejto situácii Národná rada ako kolektív musí aktívne postaviť na ochranu právneho štátu a deklarovať podporu nezávislosti ŠTS. </w:t>
      </w:r>
    </w:p>
    <w:p w:rsidR="00000000" w:rsidDel="00000000" w:rsidP="00000000" w:rsidRDefault="00000000" w:rsidRPr="00000000" w14:paraId="0000002E">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708.6614173228347" w:firstLine="0"/>
        <w:jc w:val="cente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