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EC5E3" w14:textId="77777777" w:rsidR="00B35ACF" w:rsidRPr="00442548" w:rsidRDefault="00B35ACF" w:rsidP="00D80EBC">
      <w:pPr>
        <w:pStyle w:val="Nzov"/>
        <w:pBdr>
          <w:bottom w:val="single" w:sz="12" w:space="1" w:color="00000A"/>
        </w:pBdr>
        <w:jc w:val="center"/>
        <w:rPr>
          <w:rFonts w:ascii="Book Antiqua" w:hAnsi="Book Antiqua"/>
          <w:color w:val="000000" w:themeColor="text1"/>
          <w:sz w:val="22"/>
          <w:szCs w:val="22"/>
        </w:rPr>
      </w:pPr>
      <w:r w:rsidRPr="00442548">
        <w:rPr>
          <w:rFonts w:ascii="Book Antiqua" w:hAnsi="Book Antiqua"/>
          <w:color w:val="000000" w:themeColor="text1"/>
          <w:sz w:val="22"/>
          <w:szCs w:val="22"/>
        </w:rPr>
        <w:t>N Á R O D N Á   R A D A   S L O V E N S K E J   R E P U B L I K Y</w:t>
      </w:r>
    </w:p>
    <w:p w14:paraId="52AA6E07" w14:textId="77777777" w:rsidR="00B35ACF" w:rsidRPr="00442548" w:rsidRDefault="00B35ACF" w:rsidP="00D80EBC">
      <w:pPr>
        <w:pStyle w:val="Podtitul"/>
        <w:rPr>
          <w:rFonts w:ascii="Book Antiqua" w:hAnsi="Book Antiqua"/>
          <w:color w:val="000000" w:themeColor="text1"/>
          <w:sz w:val="22"/>
          <w:szCs w:val="22"/>
        </w:rPr>
      </w:pPr>
    </w:p>
    <w:p w14:paraId="6F4BF734" w14:textId="77777777" w:rsidR="00B35ACF" w:rsidRPr="00442548" w:rsidRDefault="00B35ACF" w:rsidP="00D80EBC">
      <w:pPr>
        <w:pStyle w:val="Podtitul"/>
        <w:jc w:val="center"/>
        <w:rPr>
          <w:rFonts w:ascii="Book Antiqua" w:hAnsi="Book Antiqua"/>
          <w:color w:val="000000" w:themeColor="text1"/>
          <w:sz w:val="22"/>
          <w:szCs w:val="22"/>
        </w:rPr>
      </w:pPr>
      <w:r w:rsidRPr="00442548">
        <w:rPr>
          <w:rFonts w:ascii="Book Antiqua" w:hAnsi="Book Antiqua"/>
          <w:color w:val="000000" w:themeColor="text1"/>
          <w:sz w:val="22"/>
          <w:szCs w:val="22"/>
        </w:rPr>
        <w:t>IX. volebné obdobie</w:t>
      </w:r>
    </w:p>
    <w:p w14:paraId="50577EF9" w14:textId="107ED18F" w:rsidR="00B35ACF" w:rsidRPr="00442548" w:rsidRDefault="00B35ACF" w:rsidP="00D80EBC">
      <w:pPr>
        <w:pStyle w:val="Podtitul"/>
        <w:jc w:val="center"/>
        <w:rPr>
          <w:rFonts w:ascii="Book Antiqua" w:hAnsi="Book Antiqua"/>
          <w:color w:val="000000" w:themeColor="text1"/>
          <w:sz w:val="22"/>
          <w:szCs w:val="22"/>
        </w:rPr>
      </w:pPr>
    </w:p>
    <w:p w14:paraId="47AF04AD" w14:textId="77777777" w:rsidR="00B35ACF" w:rsidRPr="00442548" w:rsidRDefault="00B35ACF" w:rsidP="00D80EBC">
      <w:pPr>
        <w:pStyle w:val="Podtitul"/>
        <w:jc w:val="center"/>
        <w:rPr>
          <w:rFonts w:ascii="Book Antiqua" w:hAnsi="Book Antiqua"/>
          <w:color w:val="000000" w:themeColor="text1"/>
          <w:sz w:val="22"/>
          <w:szCs w:val="22"/>
        </w:rPr>
      </w:pPr>
    </w:p>
    <w:p w14:paraId="2053421B" w14:textId="77777777" w:rsidR="00B35ACF" w:rsidRPr="00442548" w:rsidRDefault="00B35ACF" w:rsidP="00D80EBC">
      <w:pPr>
        <w:pStyle w:val="Podtitul"/>
        <w:jc w:val="center"/>
        <w:rPr>
          <w:rFonts w:ascii="Book Antiqua" w:hAnsi="Book Antiqua"/>
          <w:color w:val="000000" w:themeColor="text1"/>
          <w:sz w:val="22"/>
          <w:szCs w:val="22"/>
        </w:rPr>
      </w:pPr>
    </w:p>
    <w:p w14:paraId="351BD6CF" w14:textId="77777777" w:rsidR="00B35ACF" w:rsidRPr="00442548" w:rsidRDefault="00B35ACF" w:rsidP="00D80EBC">
      <w:pPr>
        <w:pStyle w:val="Podtitul"/>
        <w:jc w:val="center"/>
        <w:rPr>
          <w:rFonts w:ascii="Book Antiqua" w:hAnsi="Book Antiqua"/>
          <w:color w:val="000000" w:themeColor="text1"/>
          <w:sz w:val="22"/>
          <w:szCs w:val="22"/>
        </w:rPr>
      </w:pPr>
      <w:r w:rsidRPr="00442548">
        <w:rPr>
          <w:rFonts w:ascii="Book Antiqua" w:hAnsi="Book Antiqua"/>
          <w:b/>
          <w:bCs/>
          <w:color w:val="000000" w:themeColor="text1"/>
          <w:sz w:val="22"/>
          <w:szCs w:val="22"/>
        </w:rPr>
        <w:t>N á v r h</w:t>
      </w:r>
    </w:p>
    <w:p w14:paraId="080C843E" w14:textId="77777777" w:rsidR="00B35ACF" w:rsidRPr="00442548" w:rsidRDefault="00B35ACF" w:rsidP="00D80EBC">
      <w:pPr>
        <w:pStyle w:val="Podtitul"/>
        <w:jc w:val="center"/>
        <w:rPr>
          <w:rFonts w:ascii="Book Antiqua" w:hAnsi="Book Antiqua"/>
          <w:b/>
          <w:color w:val="000000" w:themeColor="text1"/>
          <w:sz w:val="22"/>
          <w:szCs w:val="22"/>
        </w:rPr>
      </w:pPr>
    </w:p>
    <w:p w14:paraId="6339E51C" w14:textId="6C3A1A56" w:rsidR="00B35ACF" w:rsidRPr="00442548" w:rsidRDefault="00B35ACF" w:rsidP="00D80EBC">
      <w:pPr>
        <w:pStyle w:val="Podtitul"/>
        <w:spacing w:before="120" w:after="120"/>
        <w:jc w:val="center"/>
        <w:rPr>
          <w:rFonts w:ascii="Book Antiqua" w:hAnsi="Book Antiqua"/>
          <w:color w:val="000000" w:themeColor="text1"/>
          <w:sz w:val="22"/>
          <w:szCs w:val="22"/>
        </w:rPr>
      </w:pPr>
      <w:r w:rsidRPr="00442548">
        <w:rPr>
          <w:rFonts w:ascii="Book Antiqua" w:hAnsi="Book Antiqua"/>
          <w:color w:val="000000" w:themeColor="text1"/>
          <w:sz w:val="22"/>
          <w:szCs w:val="22"/>
        </w:rPr>
        <w:t>skupiny poslancov Národnej rady Slovenskej republiky</w:t>
      </w:r>
    </w:p>
    <w:p w14:paraId="3F1751EB" w14:textId="77777777" w:rsidR="00B35ACF" w:rsidRPr="00442548" w:rsidRDefault="00B35ACF" w:rsidP="00D80EBC">
      <w:pPr>
        <w:pStyle w:val="Podtitul"/>
        <w:spacing w:before="120" w:after="120"/>
        <w:rPr>
          <w:rFonts w:ascii="Book Antiqua" w:hAnsi="Book Antiqua"/>
          <w:color w:val="000000" w:themeColor="text1"/>
          <w:sz w:val="22"/>
          <w:szCs w:val="22"/>
        </w:rPr>
      </w:pPr>
    </w:p>
    <w:p w14:paraId="7CAE69AD" w14:textId="77777777" w:rsidR="00B35ACF" w:rsidRPr="00442548" w:rsidRDefault="00B35ACF" w:rsidP="00D80EBC">
      <w:pPr>
        <w:rPr>
          <w:rFonts w:ascii="Book Antiqua" w:hAnsi="Book Antiqua"/>
          <w:color w:val="000000" w:themeColor="text1"/>
          <w:sz w:val="22"/>
          <w:szCs w:val="22"/>
        </w:rPr>
      </w:pPr>
    </w:p>
    <w:p w14:paraId="4A1912B9" w14:textId="77777777" w:rsidR="00B35ACF" w:rsidRPr="00442548" w:rsidRDefault="00B35ACF" w:rsidP="00D80EBC">
      <w:pPr>
        <w:jc w:val="center"/>
        <w:rPr>
          <w:rFonts w:ascii="Book Antiqua" w:hAnsi="Book Antiqua"/>
          <w:color w:val="000000" w:themeColor="text1"/>
          <w:sz w:val="22"/>
          <w:szCs w:val="22"/>
        </w:rPr>
      </w:pPr>
      <w:r w:rsidRPr="00442548">
        <w:rPr>
          <w:rFonts w:ascii="Book Antiqua" w:hAnsi="Book Antiqua"/>
          <w:bCs/>
          <w:color w:val="000000" w:themeColor="text1"/>
          <w:sz w:val="22"/>
          <w:szCs w:val="22"/>
        </w:rPr>
        <w:t>n a  p r i j a t i e</w:t>
      </w:r>
    </w:p>
    <w:p w14:paraId="3EF02D3B" w14:textId="77777777" w:rsidR="00B35ACF" w:rsidRPr="00442548" w:rsidRDefault="00B35ACF" w:rsidP="00D80EBC">
      <w:pPr>
        <w:jc w:val="center"/>
        <w:rPr>
          <w:rFonts w:ascii="Book Antiqua" w:hAnsi="Book Antiqua"/>
          <w:bCs/>
          <w:color w:val="000000" w:themeColor="text1"/>
          <w:sz w:val="22"/>
          <w:szCs w:val="22"/>
        </w:rPr>
      </w:pPr>
    </w:p>
    <w:p w14:paraId="70D6D8A1" w14:textId="5180411A" w:rsidR="00B35ACF" w:rsidRPr="0070443A" w:rsidRDefault="00B35ACF" w:rsidP="0070443A">
      <w:pPr>
        <w:pBdr>
          <w:bottom w:val="single" w:sz="6" w:space="1" w:color="auto"/>
        </w:pBdr>
        <w:tabs>
          <w:tab w:val="left" w:pos="1095"/>
        </w:tabs>
        <w:spacing w:before="120" w:after="160" w:line="276" w:lineRule="auto"/>
        <w:jc w:val="center"/>
        <w:rPr>
          <w:rFonts w:ascii="Book Antiqua" w:hAnsi="Book Antiqua"/>
          <w:color w:val="000000" w:themeColor="text1"/>
          <w:sz w:val="22"/>
          <w:szCs w:val="22"/>
        </w:rPr>
      </w:pPr>
      <w:bookmarkStart w:id="0" w:name="_Hlk127200235"/>
      <w:r w:rsidRPr="00442548">
        <w:rPr>
          <w:rFonts w:ascii="Book Antiqua" w:hAnsi="Book Antiqua"/>
          <w:b/>
          <w:bCs/>
          <w:color w:val="000000" w:themeColor="text1"/>
          <w:sz w:val="22"/>
          <w:szCs w:val="22"/>
        </w:rPr>
        <w:t xml:space="preserve">uznesenia Národnej rady Slovenskej republiky </w:t>
      </w:r>
      <w:bookmarkStart w:id="1" w:name="_Hlk180487535"/>
      <w:bookmarkStart w:id="2" w:name="_Hlk208164380"/>
      <w:bookmarkStart w:id="3" w:name="_Hlk210730735"/>
      <w:bookmarkEnd w:id="0"/>
      <w:r w:rsidR="00551231" w:rsidRPr="00442548">
        <w:rPr>
          <w:rStyle w:val="s10"/>
          <w:rFonts w:ascii="Book Antiqua" w:hAnsi="Book Antiqua"/>
          <w:b/>
          <w:bCs/>
          <w:color w:val="000000" w:themeColor="text1"/>
          <w:sz w:val="22"/>
          <w:szCs w:val="22"/>
        </w:rPr>
        <w:t>k</w:t>
      </w:r>
      <w:r w:rsidR="00FC115C">
        <w:rPr>
          <w:rStyle w:val="s10"/>
          <w:rFonts w:ascii="Book Antiqua" w:hAnsi="Book Antiqua"/>
          <w:b/>
          <w:bCs/>
          <w:color w:val="000000" w:themeColor="text1"/>
          <w:sz w:val="22"/>
          <w:szCs w:val="22"/>
        </w:rPr>
        <w:t> </w:t>
      </w:r>
      <w:bookmarkStart w:id="4" w:name="_Hlk211336499"/>
      <w:bookmarkEnd w:id="1"/>
      <w:bookmarkEnd w:id="2"/>
      <w:bookmarkEnd w:id="3"/>
      <w:r w:rsidR="00FC115C">
        <w:rPr>
          <w:rStyle w:val="s10"/>
          <w:rFonts w:ascii="Book Antiqua" w:hAnsi="Book Antiqua"/>
          <w:b/>
          <w:bCs/>
          <w:color w:val="000000" w:themeColor="text1"/>
          <w:sz w:val="22"/>
          <w:szCs w:val="22"/>
        </w:rPr>
        <w:t>prejedeným 7,4 miliardám eur z troch konsolidácií</w:t>
      </w:r>
      <w:bookmarkEnd w:id="4"/>
    </w:p>
    <w:p w14:paraId="7D419132" w14:textId="77777777" w:rsidR="00B35ACF" w:rsidRPr="00442548" w:rsidRDefault="00B35ACF" w:rsidP="00B35ACF">
      <w:pPr>
        <w:tabs>
          <w:tab w:val="left" w:pos="-1980"/>
        </w:tabs>
        <w:jc w:val="both"/>
        <w:rPr>
          <w:rFonts w:ascii="Book Antiqua" w:hAnsi="Book Antiqua"/>
          <w:sz w:val="22"/>
          <w:szCs w:val="22"/>
          <w:u w:val="single"/>
        </w:rPr>
      </w:pPr>
    </w:p>
    <w:tbl>
      <w:tblPr>
        <w:tblpPr w:leftFromText="141" w:rightFromText="141" w:vertAnchor="text" w:tblpXSpec="center" w:tblpY="1"/>
        <w:tblW w:w="9073" w:type="dxa"/>
        <w:jc w:val="center"/>
        <w:tblLook w:val="0420" w:firstRow="1" w:lastRow="0" w:firstColumn="0" w:lastColumn="0" w:noHBand="0" w:noVBand="1"/>
      </w:tblPr>
      <w:tblGrid>
        <w:gridCol w:w="4250"/>
        <w:gridCol w:w="427"/>
        <w:gridCol w:w="4396"/>
      </w:tblGrid>
      <w:tr w:rsidR="00B35ACF" w:rsidRPr="00442548" w14:paraId="28AFC766" w14:textId="77777777" w:rsidTr="006F55D9">
        <w:trPr>
          <w:trHeight w:val="267"/>
          <w:jc w:val="center"/>
        </w:trPr>
        <w:tc>
          <w:tcPr>
            <w:tcW w:w="4250" w:type="dxa"/>
            <w:tcBorders>
              <w:top w:val="nil"/>
              <w:left w:val="nil"/>
              <w:bottom w:val="nil"/>
              <w:right w:val="nil"/>
            </w:tcBorders>
          </w:tcPr>
          <w:p w14:paraId="576C1CFB" w14:textId="77777777" w:rsidR="00B35ACF" w:rsidRPr="00442548" w:rsidRDefault="00B35ACF" w:rsidP="006F55D9">
            <w:pPr>
              <w:spacing w:line="360" w:lineRule="auto"/>
              <w:rPr>
                <w:rFonts w:ascii="Book Antiqua" w:eastAsia="Times New Roman" w:hAnsi="Book Antiqua" w:cs="Times New Roman"/>
                <w:sz w:val="22"/>
                <w:szCs w:val="22"/>
                <w:lang w:eastAsia="sk-SK"/>
              </w:rPr>
            </w:pPr>
            <w:r w:rsidRPr="00442548">
              <w:rPr>
                <w:rFonts w:ascii="Book Antiqua" w:eastAsia="Times New Roman" w:hAnsi="Book Antiqua" w:cs="Times New Roman"/>
                <w:sz w:val="22"/>
                <w:szCs w:val="22"/>
                <w:u w:val="single"/>
                <w:lang w:eastAsia="sk-SK"/>
              </w:rPr>
              <w:t xml:space="preserve">P r e d k l a d a j ú </w:t>
            </w:r>
            <w:r w:rsidRPr="00442548">
              <w:rPr>
                <w:rFonts w:ascii="Book Antiqua" w:eastAsia="Times New Roman" w:hAnsi="Book Antiqua" w:cs="Times New Roman"/>
                <w:sz w:val="22"/>
                <w:szCs w:val="22"/>
                <w:lang w:eastAsia="sk-SK"/>
              </w:rPr>
              <w:t>:</w:t>
            </w:r>
          </w:p>
        </w:tc>
        <w:tc>
          <w:tcPr>
            <w:tcW w:w="427" w:type="dxa"/>
            <w:tcBorders>
              <w:top w:val="nil"/>
              <w:left w:val="nil"/>
              <w:bottom w:val="nil"/>
              <w:right w:val="nil"/>
            </w:tcBorders>
          </w:tcPr>
          <w:p w14:paraId="69A09FB9" w14:textId="77777777" w:rsidR="00B35ACF" w:rsidRPr="00442548" w:rsidRDefault="00B35ACF" w:rsidP="006F55D9">
            <w:pPr>
              <w:spacing w:line="360" w:lineRule="auto"/>
              <w:rPr>
                <w:rFonts w:ascii="Book Antiqua" w:eastAsia="Times New Roman" w:hAnsi="Book Antiqua" w:cs="Times New Roman"/>
                <w:sz w:val="22"/>
                <w:szCs w:val="22"/>
                <w:lang w:eastAsia="sk-SK"/>
              </w:rPr>
            </w:pPr>
          </w:p>
        </w:tc>
        <w:tc>
          <w:tcPr>
            <w:tcW w:w="4396" w:type="dxa"/>
            <w:tcBorders>
              <w:top w:val="nil"/>
              <w:left w:val="nil"/>
              <w:bottom w:val="nil"/>
              <w:right w:val="nil"/>
            </w:tcBorders>
          </w:tcPr>
          <w:p w14:paraId="521C748B" w14:textId="77777777" w:rsidR="00B35ACF" w:rsidRPr="00442548" w:rsidRDefault="00B35ACF" w:rsidP="006F55D9">
            <w:pPr>
              <w:spacing w:line="360" w:lineRule="auto"/>
              <w:rPr>
                <w:rFonts w:ascii="Book Antiqua" w:eastAsia="Times New Roman" w:hAnsi="Book Antiqua" w:cs="Times New Roman"/>
                <w:sz w:val="22"/>
                <w:szCs w:val="22"/>
                <w:lang w:eastAsia="sk-SK"/>
              </w:rPr>
            </w:pPr>
            <w:r w:rsidRPr="00442548">
              <w:rPr>
                <w:rFonts w:ascii="Book Antiqua" w:eastAsia="Times New Roman" w:hAnsi="Book Antiqua" w:cs="Times New Roman"/>
                <w:sz w:val="22"/>
                <w:szCs w:val="22"/>
                <w:u w:val="single"/>
                <w:lang w:eastAsia="sk-SK"/>
              </w:rPr>
              <w:t>Návrh na uznesenie</w:t>
            </w:r>
            <w:r w:rsidRPr="00442548">
              <w:rPr>
                <w:rFonts w:ascii="Book Antiqua" w:eastAsia="Times New Roman" w:hAnsi="Book Antiqua" w:cs="Times New Roman"/>
                <w:sz w:val="22"/>
                <w:szCs w:val="22"/>
                <w:lang w:eastAsia="sk-SK"/>
              </w:rPr>
              <w:t>:</w:t>
            </w:r>
          </w:p>
        </w:tc>
      </w:tr>
      <w:tr w:rsidR="00B35ACF" w:rsidRPr="00442548" w14:paraId="60F3810D" w14:textId="77777777" w:rsidTr="006F55D9">
        <w:trPr>
          <w:trHeight w:val="3271"/>
          <w:jc w:val="center"/>
        </w:trPr>
        <w:tc>
          <w:tcPr>
            <w:tcW w:w="4250" w:type="dxa"/>
            <w:tcBorders>
              <w:top w:val="nil"/>
              <w:left w:val="nil"/>
              <w:bottom w:val="nil"/>
              <w:right w:val="nil"/>
            </w:tcBorders>
          </w:tcPr>
          <w:p w14:paraId="3A961779" w14:textId="67278EB1" w:rsidR="00442548" w:rsidRPr="00442548" w:rsidRDefault="006126EA" w:rsidP="00442548">
            <w:pPr>
              <w:spacing w:after="120" w:line="480" w:lineRule="auto"/>
              <w:rPr>
                <w:rFonts w:ascii="Book Antiqua" w:eastAsia="Times New Roman" w:hAnsi="Book Antiqua" w:cs="Times New Roman"/>
                <w:sz w:val="22"/>
                <w:szCs w:val="22"/>
                <w:lang w:eastAsia="sk-SK"/>
              </w:rPr>
            </w:pPr>
            <w:r w:rsidRPr="00442548">
              <w:rPr>
                <w:rFonts w:ascii="Book Antiqua" w:eastAsia="Times New Roman" w:hAnsi="Book Antiqua" w:cs="Times New Roman"/>
                <w:sz w:val="22"/>
                <w:szCs w:val="22"/>
                <w:lang w:eastAsia="sk-SK"/>
              </w:rPr>
              <w:t>Július J</w:t>
            </w:r>
            <w:r w:rsidR="00442548" w:rsidRPr="00442548">
              <w:rPr>
                <w:rFonts w:ascii="Book Antiqua" w:eastAsia="Times New Roman" w:hAnsi="Book Antiqua" w:cs="Times New Roman"/>
                <w:sz w:val="22"/>
                <w:szCs w:val="22"/>
                <w:lang w:eastAsia="sk-SK"/>
              </w:rPr>
              <w:t>akab</w:t>
            </w:r>
            <w:r w:rsidR="00375311">
              <w:rPr>
                <w:rFonts w:ascii="Book Antiqua" w:eastAsia="Times New Roman" w:hAnsi="Book Antiqua" w:cs="Times New Roman"/>
                <w:sz w:val="22"/>
                <w:szCs w:val="22"/>
                <w:lang w:eastAsia="sk-SK"/>
              </w:rPr>
              <w:t xml:space="preserve"> v. r.</w:t>
            </w:r>
          </w:p>
          <w:p w14:paraId="6AA097DD" w14:textId="1D03A2DF" w:rsidR="00442548" w:rsidRPr="00442548" w:rsidRDefault="00442548" w:rsidP="00442548">
            <w:pPr>
              <w:spacing w:after="120" w:line="480" w:lineRule="auto"/>
              <w:rPr>
                <w:rFonts w:ascii="Book Antiqua" w:eastAsia="Times New Roman" w:hAnsi="Book Antiqua" w:cs="Times New Roman"/>
                <w:sz w:val="22"/>
                <w:szCs w:val="22"/>
                <w:lang w:eastAsia="sk-SK"/>
              </w:rPr>
            </w:pPr>
            <w:r w:rsidRPr="00442548">
              <w:rPr>
                <w:rFonts w:ascii="Book Antiqua" w:eastAsia="Times New Roman" w:hAnsi="Book Antiqua" w:cs="Times New Roman"/>
                <w:sz w:val="22"/>
                <w:szCs w:val="22"/>
                <w:lang w:eastAsia="sk-SK"/>
              </w:rPr>
              <w:t>Igor Dušenka</w:t>
            </w:r>
            <w:r w:rsidR="00375311">
              <w:rPr>
                <w:rFonts w:ascii="Book Antiqua" w:eastAsia="Times New Roman" w:hAnsi="Book Antiqua" w:cs="Times New Roman"/>
                <w:sz w:val="22"/>
                <w:szCs w:val="22"/>
                <w:lang w:eastAsia="sk-SK"/>
              </w:rPr>
              <w:t xml:space="preserve"> v. r.</w:t>
            </w:r>
          </w:p>
          <w:p w14:paraId="7A8151CB" w14:textId="0110207E" w:rsidR="00B35ACF" w:rsidRPr="00442548" w:rsidRDefault="00B35ACF" w:rsidP="00442548">
            <w:pPr>
              <w:spacing w:after="120" w:line="480" w:lineRule="auto"/>
              <w:rPr>
                <w:rFonts w:ascii="Book Antiqua" w:eastAsia="Times New Roman" w:hAnsi="Book Antiqua" w:cs="Times New Roman"/>
                <w:sz w:val="22"/>
                <w:szCs w:val="22"/>
                <w:lang w:eastAsia="sk-SK"/>
              </w:rPr>
            </w:pPr>
            <w:r w:rsidRPr="00442548">
              <w:rPr>
                <w:rFonts w:ascii="Book Antiqua" w:eastAsia="Times New Roman" w:hAnsi="Book Antiqua" w:cs="Times New Roman"/>
                <w:sz w:val="22"/>
                <w:szCs w:val="22"/>
                <w:lang w:eastAsia="sk-SK"/>
              </w:rPr>
              <w:t xml:space="preserve">Gábor </w:t>
            </w:r>
            <w:r w:rsidR="00442548" w:rsidRPr="00442548">
              <w:rPr>
                <w:rFonts w:ascii="Book Antiqua" w:eastAsia="Times New Roman" w:hAnsi="Book Antiqua" w:cs="Times New Roman"/>
                <w:sz w:val="22"/>
                <w:szCs w:val="22"/>
                <w:lang w:eastAsia="sk-SK"/>
              </w:rPr>
              <w:t>Grendel</w:t>
            </w:r>
            <w:r w:rsidR="00375311">
              <w:rPr>
                <w:rFonts w:ascii="Book Antiqua" w:eastAsia="Times New Roman" w:hAnsi="Book Antiqua" w:cs="Times New Roman"/>
                <w:sz w:val="22"/>
                <w:szCs w:val="22"/>
                <w:lang w:eastAsia="sk-SK"/>
              </w:rPr>
              <w:t xml:space="preserve"> v. r.</w:t>
            </w:r>
          </w:p>
          <w:p w14:paraId="4E2BCC5C" w14:textId="689CFE75" w:rsidR="00B35ACF" w:rsidRPr="00442548" w:rsidRDefault="00B35ACF" w:rsidP="00442548">
            <w:pPr>
              <w:spacing w:after="120" w:line="480" w:lineRule="auto"/>
              <w:rPr>
                <w:rFonts w:ascii="Book Antiqua" w:eastAsia="Times New Roman" w:hAnsi="Book Antiqua" w:cs="Times New Roman"/>
                <w:sz w:val="22"/>
                <w:szCs w:val="22"/>
                <w:lang w:eastAsia="sk-SK"/>
              </w:rPr>
            </w:pPr>
            <w:r w:rsidRPr="00442548">
              <w:rPr>
                <w:rFonts w:ascii="Book Antiqua" w:eastAsia="Times New Roman" w:hAnsi="Book Antiqua" w:cs="Times New Roman"/>
                <w:sz w:val="22"/>
                <w:szCs w:val="22"/>
                <w:lang w:eastAsia="sk-SK"/>
              </w:rPr>
              <w:t>Michal Š</w:t>
            </w:r>
            <w:r w:rsidR="00442548" w:rsidRPr="00442548">
              <w:rPr>
                <w:rFonts w:ascii="Book Antiqua" w:eastAsia="Times New Roman" w:hAnsi="Book Antiqua" w:cs="Times New Roman"/>
                <w:sz w:val="22"/>
                <w:szCs w:val="22"/>
                <w:lang w:eastAsia="sk-SK"/>
              </w:rPr>
              <w:t>ipoš</w:t>
            </w:r>
            <w:r w:rsidR="00375311">
              <w:rPr>
                <w:rFonts w:ascii="Book Antiqua" w:eastAsia="Times New Roman" w:hAnsi="Book Antiqua" w:cs="Times New Roman"/>
                <w:sz w:val="22"/>
                <w:szCs w:val="22"/>
                <w:lang w:eastAsia="sk-SK"/>
              </w:rPr>
              <w:t xml:space="preserve"> v. r.</w:t>
            </w:r>
          </w:p>
          <w:p w14:paraId="200937C3" w14:textId="1D993ECF" w:rsidR="00B35ACF" w:rsidRPr="00442548" w:rsidRDefault="00B35ACF" w:rsidP="00442548">
            <w:pPr>
              <w:spacing w:after="120" w:line="480" w:lineRule="auto"/>
              <w:rPr>
                <w:rFonts w:ascii="Book Antiqua" w:eastAsia="Times New Roman" w:hAnsi="Book Antiqua" w:cs="Times New Roman"/>
                <w:sz w:val="22"/>
                <w:szCs w:val="22"/>
                <w:lang w:eastAsia="sk-SK"/>
              </w:rPr>
            </w:pPr>
            <w:r w:rsidRPr="00442548">
              <w:rPr>
                <w:rFonts w:ascii="Book Antiqua" w:eastAsia="Times New Roman" w:hAnsi="Book Antiqua" w:cs="Times New Roman"/>
                <w:sz w:val="22"/>
                <w:szCs w:val="22"/>
                <w:lang w:eastAsia="sk-SK"/>
              </w:rPr>
              <w:t>Roman M</w:t>
            </w:r>
            <w:r w:rsidR="00442548" w:rsidRPr="00442548">
              <w:rPr>
                <w:rFonts w:ascii="Book Antiqua" w:eastAsia="Times New Roman" w:hAnsi="Book Antiqua" w:cs="Times New Roman"/>
                <w:sz w:val="22"/>
                <w:szCs w:val="22"/>
                <w:lang w:eastAsia="sk-SK"/>
              </w:rPr>
              <w:t>ikulec</w:t>
            </w:r>
            <w:r w:rsidR="00375311">
              <w:rPr>
                <w:rFonts w:ascii="Book Antiqua" w:eastAsia="Times New Roman" w:hAnsi="Book Antiqua" w:cs="Times New Roman"/>
                <w:sz w:val="22"/>
                <w:szCs w:val="22"/>
                <w:lang w:eastAsia="sk-SK"/>
              </w:rPr>
              <w:t xml:space="preserve"> v. r.</w:t>
            </w:r>
          </w:p>
          <w:p w14:paraId="639A51D4" w14:textId="77777777" w:rsidR="00B35ACF" w:rsidRDefault="00B35ACF" w:rsidP="00442548">
            <w:pPr>
              <w:spacing w:after="120" w:line="480" w:lineRule="auto"/>
              <w:rPr>
                <w:rFonts w:ascii="Book Antiqua" w:eastAsia="Times New Roman" w:hAnsi="Book Antiqua" w:cs="Times New Roman"/>
                <w:sz w:val="22"/>
                <w:szCs w:val="22"/>
                <w:lang w:eastAsia="sk-SK"/>
              </w:rPr>
            </w:pPr>
          </w:p>
          <w:p w14:paraId="2BAAF846" w14:textId="77777777" w:rsidR="00375311" w:rsidRDefault="00375311" w:rsidP="00442548">
            <w:pPr>
              <w:spacing w:after="120" w:line="480" w:lineRule="auto"/>
              <w:rPr>
                <w:rFonts w:ascii="Book Antiqua" w:eastAsia="Times New Roman" w:hAnsi="Book Antiqua" w:cs="Times New Roman"/>
                <w:sz w:val="22"/>
                <w:szCs w:val="22"/>
                <w:lang w:eastAsia="sk-SK"/>
              </w:rPr>
            </w:pPr>
          </w:p>
          <w:p w14:paraId="722FAE7D" w14:textId="77777777" w:rsidR="00375311" w:rsidRDefault="00375311" w:rsidP="00442548">
            <w:pPr>
              <w:spacing w:after="120" w:line="480" w:lineRule="auto"/>
              <w:rPr>
                <w:rFonts w:ascii="Book Antiqua" w:eastAsia="Times New Roman" w:hAnsi="Book Antiqua" w:cs="Times New Roman"/>
                <w:sz w:val="22"/>
                <w:szCs w:val="22"/>
                <w:lang w:eastAsia="sk-SK"/>
              </w:rPr>
            </w:pPr>
          </w:p>
          <w:p w14:paraId="55D1E28C" w14:textId="77777777" w:rsidR="00375311" w:rsidRDefault="00375311" w:rsidP="00442548">
            <w:pPr>
              <w:spacing w:after="120" w:line="480" w:lineRule="auto"/>
              <w:rPr>
                <w:rFonts w:ascii="Book Antiqua" w:eastAsia="Times New Roman" w:hAnsi="Book Antiqua" w:cs="Times New Roman"/>
                <w:sz w:val="22"/>
                <w:szCs w:val="22"/>
                <w:lang w:eastAsia="sk-SK"/>
              </w:rPr>
            </w:pPr>
          </w:p>
          <w:p w14:paraId="6F3ABE72" w14:textId="77777777" w:rsidR="00375311" w:rsidRDefault="00375311" w:rsidP="00442548">
            <w:pPr>
              <w:spacing w:after="120" w:line="480" w:lineRule="auto"/>
              <w:rPr>
                <w:rFonts w:ascii="Book Antiqua" w:eastAsia="Times New Roman" w:hAnsi="Book Antiqua" w:cs="Times New Roman"/>
                <w:sz w:val="22"/>
                <w:szCs w:val="22"/>
                <w:lang w:eastAsia="sk-SK"/>
              </w:rPr>
            </w:pPr>
          </w:p>
          <w:p w14:paraId="0C7C5C6A" w14:textId="6FECEC86" w:rsidR="00375311" w:rsidRPr="00442548" w:rsidRDefault="00375311" w:rsidP="00442548">
            <w:pPr>
              <w:spacing w:after="120" w:line="480" w:lineRule="auto"/>
              <w:rPr>
                <w:rFonts w:ascii="Book Antiqua" w:eastAsia="Times New Roman" w:hAnsi="Book Antiqua" w:cs="Times New Roman"/>
                <w:sz w:val="22"/>
                <w:szCs w:val="22"/>
                <w:lang w:eastAsia="sk-SK"/>
              </w:rPr>
            </w:pPr>
            <w:bookmarkStart w:id="5" w:name="_GoBack"/>
            <w:bookmarkEnd w:id="5"/>
          </w:p>
        </w:tc>
        <w:tc>
          <w:tcPr>
            <w:tcW w:w="427" w:type="dxa"/>
            <w:tcBorders>
              <w:top w:val="nil"/>
              <w:left w:val="nil"/>
              <w:bottom w:val="nil"/>
              <w:right w:val="nil"/>
            </w:tcBorders>
          </w:tcPr>
          <w:p w14:paraId="19F21086" w14:textId="77777777" w:rsidR="00B35ACF" w:rsidRPr="00442548" w:rsidRDefault="00B35ACF" w:rsidP="006F55D9">
            <w:pPr>
              <w:spacing w:line="360" w:lineRule="auto"/>
              <w:rPr>
                <w:rFonts w:ascii="Book Antiqua" w:eastAsia="Times New Roman" w:hAnsi="Book Antiqua" w:cs="Times New Roman"/>
                <w:sz w:val="22"/>
                <w:szCs w:val="22"/>
                <w:lang w:eastAsia="sk-SK"/>
              </w:rPr>
            </w:pPr>
          </w:p>
        </w:tc>
        <w:tc>
          <w:tcPr>
            <w:tcW w:w="4396" w:type="dxa"/>
            <w:tcBorders>
              <w:top w:val="nil"/>
              <w:left w:val="nil"/>
              <w:bottom w:val="nil"/>
              <w:right w:val="nil"/>
            </w:tcBorders>
          </w:tcPr>
          <w:p w14:paraId="76709920" w14:textId="77777777" w:rsidR="00B35ACF" w:rsidRPr="00442548" w:rsidRDefault="00B35ACF" w:rsidP="00B35ACF">
            <w:pPr>
              <w:pStyle w:val="Odsekzoznamu"/>
              <w:numPr>
                <w:ilvl w:val="0"/>
                <w:numId w:val="1"/>
              </w:numPr>
              <w:spacing w:before="120" w:after="160" w:line="276" w:lineRule="auto"/>
              <w:ind w:left="0" w:firstLine="30"/>
              <w:jc w:val="both"/>
              <w:rPr>
                <w:rFonts w:ascii="Book Antiqua" w:eastAsia="Times New Roman" w:hAnsi="Book Antiqua" w:cs="Times New Roman"/>
                <w:sz w:val="22"/>
                <w:szCs w:val="22"/>
                <w:lang w:eastAsia="sk-SK"/>
              </w:rPr>
            </w:pPr>
            <w:r w:rsidRPr="00442548">
              <w:rPr>
                <w:rFonts w:ascii="Book Antiqua" w:eastAsia="Times New Roman" w:hAnsi="Book Antiqua" w:cs="Times New Roman"/>
                <w:sz w:val="22"/>
                <w:szCs w:val="22"/>
                <w:lang w:eastAsia="sk-SK"/>
              </w:rPr>
              <w:t>Návrh uznesenia Národnej rady Slovenskej republiky</w:t>
            </w:r>
          </w:p>
          <w:p w14:paraId="58AF6685" w14:textId="77777777" w:rsidR="00B35ACF" w:rsidRPr="00442548" w:rsidRDefault="00B35ACF" w:rsidP="00B35ACF">
            <w:pPr>
              <w:pStyle w:val="Odsekzoznamu"/>
              <w:numPr>
                <w:ilvl w:val="0"/>
                <w:numId w:val="1"/>
              </w:numPr>
              <w:spacing w:before="120" w:after="160" w:line="276" w:lineRule="auto"/>
              <w:ind w:left="0" w:firstLine="30"/>
              <w:jc w:val="both"/>
              <w:rPr>
                <w:rFonts w:ascii="Book Antiqua" w:eastAsia="Times New Roman" w:hAnsi="Book Antiqua" w:cs="Times New Roman"/>
                <w:sz w:val="22"/>
                <w:szCs w:val="22"/>
                <w:lang w:eastAsia="sk-SK"/>
              </w:rPr>
            </w:pPr>
            <w:r w:rsidRPr="00442548">
              <w:rPr>
                <w:rFonts w:ascii="Book Antiqua" w:eastAsia="Times New Roman" w:hAnsi="Book Antiqua" w:cs="Times New Roman"/>
                <w:sz w:val="22"/>
                <w:szCs w:val="22"/>
                <w:lang w:eastAsia="sk-SK"/>
              </w:rPr>
              <w:t>Odôvodnenie</w:t>
            </w:r>
          </w:p>
          <w:p w14:paraId="5BFCECEF" w14:textId="77777777" w:rsidR="00B35ACF" w:rsidRPr="00442548" w:rsidRDefault="00B35ACF" w:rsidP="006F55D9">
            <w:pPr>
              <w:spacing w:before="120" w:after="160" w:line="276" w:lineRule="auto"/>
              <w:jc w:val="both"/>
              <w:rPr>
                <w:rFonts w:ascii="Book Antiqua" w:eastAsia="Times New Roman" w:hAnsi="Book Antiqua" w:cs="Times New Roman"/>
                <w:sz w:val="22"/>
                <w:szCs w:val="22"/>
                <w:lang w:eastAsia="sk-SK"/>
              </w:rPr>
            </w:pPr>
          </w:p>
          <w:p w14:paraId="111A66E4" w14:textId="77777777" w:rsidR="00B35ACF" w:rsidRPr="00442548" w:rsidRDefault="00B35ACF" w:rsidP="006F55D9">
            <w:pPr>
              <w:spacing w:before="120" w:after="160" w:line="276" w:lineRule="auto"/>
              <w:jc w:val="both"/>
              <w:rPr>
                <w:rFonts w:ascii="Book Antiqua" w:eastAsia="Times New Roman" w:hAnsi="Book Antiqua" w:cs="Times New Roman"/>
                <w:sz w:val="22"/>
                <w:szCs w:val="22"/>
                <w:lang w:eastAsia="sk-SK"/>
              </w:rPr>
            </w:pPr>
          </w:p>
          <w:p w14:paraId="3CE9F90B" w14:textId="77777777" w:rsidR="00B35ACF" w:rsidRPr="00442548" w:rsidRDefault="00B35ACF" w:rsidP="006F55D9">
            <w:pPr>
              <w:jc w:val="both"/>
              <w:rPr>
                <w:rFonts w:ascii="Book Antiqua" w:eastAsia="Times New Roman" w:hAnsi="Book Antiqua" w:cs="Times New Roman"/>
                <w:sz w:val="22"/>
                <w:szCs w:val="22"/>
                <w:lang w:eastAsia="sk-SK"/>
              </w:rPr>
            </w:pPr>
          </w:p>
          <w:p w14:paraId="7703E805" w14:textId="77777777" w:rsidR="00B35ACF" w:rsidRPr="00442548" w:rsidRDefault="00B35ACF" w:rsidP="006F55D9">
            <w:pPr>
              <w:spacing w:before="120" w:after="160" w:line="360" w:lineRule="auto"/>
              <w:jc w:val="both"/>
              <w:rPr>
                <w:rFonts w:ascii="Book Antiqua" w:eastAsia="Times New Roman" w:hAnsi="Book Antiqua" w:cs="Times New Roman"/>
                <w:sz w:val="22"/>
                <w:szCs w:val="22"/>
                <w:lang w:eastAsia="sk-SK"/>
              </w:rPr>
            </w:pPr>
            <w:bookmarkStart w:id="6" w:name="__DdeLink__1042_3691294648"/>
            <w:bookmarkEnd w:id="6"/>
          </w:p>
          <w:p w14:paraId="6BE8FD87" w14:textId="77777777" w:rsidR="00B35ACF" w:rsidRPr="00442548" w:rsidRDefault="00B35ACF" w:rsidP="006F55D9">
            <w:pPr>
              <w:spacing w:line="360" w:lineRule="auto"/>
              <w:jc w:val="both"/>
              <w:rPr>
                <w:rFonts w:ascii="Book Antiqua" w:hAnsi="Book Antiqua"/>
                <w:sz w:val="22"/>
                <w:szCs w:val="22"/>
              </w:rPr>
            </w:pPr>
            <w:r w:rsidRPr="00442548">
              <w:rPr>
                <w:rStyle w:val="awspan"/>
                <w:rFonts w:ascii="Book Antiqua" w:eastAsia="Times New Roman" w:hAnsi="Book Antiqua" w:cs="Times New Roman"/>
                <w:color w:val="000000"/>
                <w:sz w:val="22"/>
                <w:szCs w:val="22"/>
                <w:lang w:eastAsia="sk-SK"/>
              </w:rPr>
              <w:t xml:space="preserve"> </w:t>
            </w:r>
          </w:p>
          <w:p w14:paraId="64530BAB" w14:textId="77777777" w:rsidR="00B35ACF" w:rsidRPr="00442548" w:rsidRDefault="00B35ACF" w:rsidP="006F55D9">
            <w:pPr>
              <w:spacing w:line="360" w:lineRule="auto"/>
              <w:jc w:val="both"/>
              <w:rPr>
                <w:rFonts w:ascii="Book Antiqua" w:eastAsia="Times New Roman" w:hAnsi="Book Antiqua" w:cs="Times New Roman"/>
                <w:sz w:val="22"/>
                <w:szCs w:val="22"/>
                <w:lang w:eastAsia="sk-SK"/>
              </w:rPr>
            </w:pPr>
          </w:p>
        </w:tc>
      </w:tr>
    </w:tbl>
    <w:p w14:paraId="1B198316" w14:textId="086493DB" w:rsidR="00AF39C6" w:rsidRPr="00442548" w:rsidRDefault="00AF39C6" w:rsidP="00442548">
      <w:pPr>
        <w:rPr>
          <w:rFonts w:ascii="Book Antiqua" w:hAnsi="Book Antiqua"/>
          <w:sz w:val="22"/>
          <w:szCs w:val="22"/>
        </w:rPr>
      </w:pPr>
    </w:p>
    <w:p w14:paraId="027ACEA7" w14:textId="75E52757" w:rsidR="00B35ACF" w:rsidRPr="00442548" w:rsidRDefault="00B35ACF" w:rsidP="00B35ACF">
      <w:pPr>
        <w:jc w:val="center"/>
        <w:rPr>
          <w:rFonts w:ascii="Book Antiqua" w:hAnsi="Book Antiqua"/>
          <w:sz w:val="22"/>
          <w:szCs w:val="22"/>
        </w:rPr>
      </w:pPr>
      <w:r w:rsidRPr="00442548">
        <w:rPr>
          <w:rFonts w:ascii="Book Antiqua" w:hAnsi="Book Antiqua"/>
          <w:sz w:val="22"/>
          <w:szCs w:val="22"/>
        </w:rPr>
        <w:t xml:space="preserve">Bratislava </w:t>
      </w:r>
      <w:r w:rsidR="002E7A92" w:rsidRPr="00442548">
        <w:rPr>
          <w:rFonts w:ascii="Book Antiqua" w:hAnsi="Book Antiqua"/>
          <w:sz w:val="22"/>
          <w:szCs w:val="22"/>
        </w:rPr>
        <w:t>október</w:t>
      </w:r>
      <w:r w:rsidRPr="00442548">
        <w:rPr>
          <w:rFonts w:ascii="Book Antiqua" w:hAnsi="Book Antiqua"/>
          <w:sz w:val="22"/>
          <w:szCs w:val="22"/>
        </w:rPr>
        <w:t xml:space="preserve"> 202</w:t>
      </w:r>
      <w:r w:rsidR="0075201D" w:rsidRPr="00442548">
        <w:rPr>
          <w:rFonts w:ascii="Book Antiqua" w:hAnsi="Book Antiqua"/>
          <w:sz w:val="22"/>
          <w:szCs w:val="22"/>
        </w:rPr>
        <w:t>5</w:t>
      </w:r>
      <w:r w:rsidRPr="00442548">
        <w:rPr>
          <w:rFonts w:ascii="Book Antiqua" w:hAnsi="Book Antiqua"/>
          <w:sz w:val="22"/>
          <w:szCs w:val="22"/>
        </w:rPr>
        <w:br w:type="page"/>
      </w:r>
    </w:p>
    <w:p w14:paraId="3C569C35" w14:textId="77777777" w:rsidR="00B35ACF" w:rsidRPr="00442548" w:rsidRDefault="00B35ACF" w:rsidP="00B35ACF">
      <w:pPr>
        <w:widowControl w:val="0"/>
        <w:pBdr>
          <w:bottom w:val="single" w:sz="12" w:space="1" w:color="000000"/>
        </w:pBdr>
        <w:spacing w:before="120" w:line="276" w:lineRule="auto"/>
        <w:jc w:val="center"/>
        <w:rPr>
          <w:rFonts w:ascii="Book Antiqua" w:hAnsi="Book Antiqua"/>
          <w:sz w:val="22"/>
          <w:szCs w:val="22"/>
        </w:rPr>
      </w:pPr>
      <w:r w:rsidRPr="00442548">
        <w:rPr>
          <w:rFonts w:ascii="Book Antiqua" w:hAnsi="Book Antiqua"/>
          <w:b/>
          <w:bCs/>
          <w:sz w:val="22"/>
          <w:szCs w:val="22"/>
        </w:rPr>
        <w:lastRenderedPageBreak/>
        <w:t>NÁRODNÁ RADA SLOVENSKEJ REPUBLIKY</w:t>
      </w:r>
      <w:bookmarkStart w:id="7" w:name="_Hlk89090507"/>
      <w:bookmarkEnd w:id="7"/>
    </w:p>
    <w:p w14:paraId="61B3784B" w14:textId="77777777" w:rsidR="00B35ACF" w:rsidRPr="00442548" w:rsidRDefault="00B35ACF" w:rsidP="00B35ACF">
      <w:pPr>
        <w:widowControl w:val="0"/>
        <w:spacing w:before="120" w:line="276" w:lineRule="auto"/>
        <w:jc w:val="center"/>
        <w:rPr>
          <w:rFonts w:ascii="Book Antiqua" w:hAnsi="Book Antiqua"/>
          <w:sz w:val="22"/>
          <w:szCs w:val="22"/>
        </w:rPr>
      </w:pPr>
    </w:p>
    <w:p w14:paraId="3D1ABA53" w14:textId="77777777" w:rsidR="00B35ACF" w:rsidRPr="00442548" w:rsidRDefault="00B35ACF" w:rsidP="00B35ACF">
      <w:pPr>
        <w:widowControl w:val="0"/>
        <w:spacing w:before="120" w:line="276" w:lineRule="auto"/>
        <w:jc w:val="center"/>
        <w:rPr>
          <w:rFonts w:ascii="Book Antiqua" w:hAnsi="Book Antiqua"/>
          <w:sz w:val="22"/>
          <w:szCs w:val="22"/>
        </w:rPr>
      </w:pPr>
      <w:r w:rsidRPr="00442548">
        <w:rPr>
          <w:rFonts w:ascii="Book Antiqua" w:hAnsi="Book Antiqua"/>
          <w:spacing w:val="20"/>
          <w:sz w:val="22"/>
          <w:szCs w:val="22"/>
        </w:rPr>
        <w:t>IX.  volebné obdobie</w:t>
      </w:r>
    </w:p>
    <w:p w14:paraId="456ADD44" w14:textId="77777777" w:rsidR="00B35ACF" w:rsidRPr="00442548" w:rsidRDefault="00B35ACF" w:rsidP="00B35ACF">
      <w:pPr>
        <w:pStyle w:val="Zkladntext"/>
        <w:spacing w:before="120" w:after="0"/>
        <w:jc w:val="center"/>
        <w:rPr>
          <w:rFonts w:ascii="Book Antiqua" w:hAnsi="Book Antiqua"/>
          <w:bCs/>
          <w:sz w:val="22"/>
          <w:szCs w:val="22"/>
        </w:rPr>
      </w:pPr>
    </w:p>
    <w:p w14:paraId="2FB74EC0" w14:textId="77777777" w:rsidR="00B35ACF" w:rsidRPr="00442548" w:rsidRDefault="00B35ACF" w:rsidP="00B35ACF">
      <w:pPr>
        <w:pStyle w:val="Zkladntext"/>
        <w:spacing w:before="120" w:after="0"/>
        <w:jc w:val="center"/>
        <w:rPr>
          <w:rFonts w:ascii="Book Antiqua" w:hAnsi="Book Antiqua"/>
          <w:sz w:val="22"/>
          <w:szCs w:val="22"/>
        </w:rPr>
      </w:pPr>
      <w:r w:rsidRPr="00442548">
        <w:rPr>
          <w:rFonts w:ascii="Book Antiqua" w:hAnsi="Book Antiqua"/>
          <w:bCs/>
          <w:sz w:val="22"/>
          <w:szCs w:val="22"/>
        </w:rPr>
        <w:t>Návrh</w:t>
      </w:r>
    </w:p>
    <w:p w14:paraId="2654D572" w14:textId="77777777" w:rsidR="00B35ACF" w:rsidRPr="00442548" w:rsidRDefault="00B35ACF" w:rsidP="00B35ACF">
      <w:pPr>
        <w:pStyle w:val="Zkladntext"/>
        <w:spacing w:before="120" w:after="0"/>
        <w:jc w:val="center"/>
        <w:rPr>
          <w:rFonts w:ascii="Book Antiqua" w:hAnsi="Book Antiqua"/>
          <w:b/>
          <w:bCs/>
          <w:sz w:val="22"/>
          <w:szCs w:val="22"/>
        </w:rPr>
      </w:pPr>
    </w:p>
    <w:p w14:paraId="1F8D4B03" w14:textId="77777777" w:rsidR="00B35ACF" w:rsidRPr="00442548" w:rsidRDefault="00B35ACF" w:rsidP="00B35ACF">
      <w:pPr>
        <w:pStyle w:val="Zkladntext"/>
        <w:spacing w:before="120" w:after="0"/>
        <w:jc w:val="center"/>
        <w:rPr>
          <w:rFonts w:ascii="Book Antiqua" w:hAnsi="Book Antiqua"/>
          <w:sz w:val="22"/>
          <w:szCs w:val="22"/>
        </w:rPr>
      </w:pPr>
      <w:r w:rsidRPr="00442548">
        <w:rPr>
          <w:rFonts w:ascii="Book Antiqua" w:hAnsi="Book Antiqua"/>
          <w:b/>
          <w:bCs/>
          <w:sz w:val="22"/>
          <w:szCs w:val="22"/>
        </w:rPr>
        <w:t xml:space="preserve">UZNESENIE </w:t>
      </w:r>
    </w:p>
    <w:p w14:paraId="0A836857" w14:textId="77777777" w:rsidR="00B35ACF" w:rsidRPr="00442548" w:rsidRDefault="00B35ACF" w:rsidP="00B35ACF">
      <w:pPr>
        <w:pStyle w:val="Zkladntext"/>
        <w:spacing w:before="120" w:after="0"/>
        <w:jc w:val="center"/>
        <w:rPr>
          <w:rFonts w:ascii="Book Antiqua" w:hAnsi="Book Antiqua"/>
          <w:sz w:val="22"/>
          <w:szCs w:val="22"/>
        </w:rPr>
      </w:pPr>
      <w:r w:rsidRPr="00442548">
        <w:rPr>
          <w:rFonts w:ascii="Book Antiqua" w:hAnsi="Book Antiqua"/>
          <w:b/>
          <w:bCs/>
          <w:sz w:val="22"/>
          <w:szCs w:val="22"/>
        </w:rPr>
        <w:t>NÁRODNEJ RADY SLOVENSKEJ REPUBLIKY</w:t>
      </w:r>
    </w:p>
    <w:p w14:paraId="6E46988F" w14:textId="77777777" w:rsidR="00B35ACF" w:rsidRPr="00442548" w:rsidRDefault="00B35ACF" w:rsidP="00B35ACF">
      <w:pPr>
        <w:pStyle w:val="Zkladntext"/>
        <w:spacing w:before="120" w:after="0"/>
        <w:jc w:val="center"/>
        <w:rPr>
          <w:rFonts w:ascii="Book Antiqua" w:hAnsi="Book Antiqua"/>
          <w:b/>
          <w:bCs/>
          <w:sz w:val="22"/>
          <w:szCs w:val="22"/>
        </w:rPr>
      </w:pPr>
    </w:p>
    <w:p w14:paraId="2557A6AE" w14:textId="2FE11006" w:rsidR="00B35ACF" w:rsidRPr="00442548" w:rsidRDefault="00B35ACF" w:rsidP="00B35ACF">
      <w:pPr>
        <w:pStyle w:val="Zkladntext"/>
        <w:spacing w:before="120" w:after="0"/>
        <w:jc w:val="center"/>
        <w:rPr>
          <w:rFonts w:ascii="Book Antiqua" w:hAnsi="Book Antiqua"/>
          <w:sz w:val="22"/>
          <w:szCs w:val="22"/>
        </w:rPr>
      </w:pPr>
      <w:r w:rsidRPr="00442548">
        <w:rPr>
          <w:rFonts w:ascii="Book Antiqua" w:hAnsi="Book Antiqua"/>
          <w:bCs/>
          <w:sz w:val="22"/>
          <w:szCs w:val="22"/>
        </w:rPr>
        <w:t>z ... 202</w:t>
      </w:r>
      <w:r w:rsidR="00E44D5F" w:rsidRPr="00442548">
        <w:rPr>
          <w:rFonts w:ascii="Book Antiqua" w:hAnsi="Book Antiqua"/>
          <w:bCs/>
          <w:sz w:val="22"/>
          <w:szCs w:val="22"/>
        </w:rPr>
        <w:t>5</w:t>
      </w:r>
      <w:r w:rsidRPr="00442548">
        <w:rPr>
          <w:rFonts w:ascii="Book Antiqua" w:hAnsi="Book Antiqua"/>
          <w:bCs/>
          <w:sz w:val="22"/>
          <w:szCs w:val="22"/>
        </w:rPr>
        <w:t>,</w:t>
      </w:r>
    </w:p>
    <w:p w14:paraId="2EA21716" w14:textId="77777777" w:rsidR="00B35ACF" w:rsidRPr="00442548" w:rsidRDefault="00B35ACF" w:rsidP="00B35ACF">
      <w:pPr>
        <w:spacing w:before="120" w:line="276" w:lineRule="auto"/>
        <w:rPr>
          <w:rFonts w:ascii="Book Antiqua" w:hAnsi="Book Antiqua" w:cs="Times New Roman"/>
          <w:sz w:val="22"/>
          <w:szCs w:val="22"/>
        </w:rPr>
      </w:pPr>
    </w:p>
    <w:p w14:paraId="129D1056" w14:textId="045B2738" w:rsidR="002E7A92" w:rsidRPr="00442548" w:rsidRDefault="002E7A92" w:rsidP="002E7A92">
      <w:pPr>
        <w:tabs>
          <w:tab w:val="left" w:pos="1095"/>
        </w:tabs>
        <w:spacing w:before="120" w:line="360" w:lineRule="auto"/>
        <w:jc w:val="center"/>
        <w:rPr>
          <w:rStyle w:val="s10"/>
          <w:rFonts w:ascii="Book Antiqua" w:hAnsi="Book Antiqua"/>
          <w:b/>
          <w:bCs/>
          <w:color w:val="000000"/>
          <w:sz w:val="22"/>
          <w:szCs w:val="22"/>
        </w:rPr>
      </w:pPr>
      <w:r w:rsidRPr="00442548">
        <w:rPr>
          <w:rStyle w:val="s10"/>
          <w:rFonts w:ascii="Book Antiqua" w:hAnsi="Book Antiqua"/>
          <w:b/>
          <w:bCs/>
          <w:color w:val="000000"/>
          <w:sz w:val="22"/>
          <w:szCs w:val="22"/>
        </w:rPr>
        <w:t>k</w:t>
      </w:r>
      <w:r w:rsidR="00FC115C">
        <w:rPr>
          <w:rStyle w:val="s10"/>
          <w:rFonts w:ascii="Book Antiqua" w:hAnsi="Book Antiqua"/>
          <w:b/>
          <w:bCs/>
          <w:color w:val="000000"/>
          <w:sz w:val="22"/>
          <w:szCs w:val="22"/>
        </w:rPr>
        <w:t xml:space="preserve"> prejedeným 7,4 miliardám eur z troch konsolidácií </w:t>
      </w:r>
    </w:p>
    <w:p w14:paraId="1D7E02FE" w14:textId="77777777" w:rsidR="002E7A92" w:rsidRPr="00442548" w:rsidRDefault="002E7A92" w:rsidP="002E7A92">
      <w:pPr>
        <w:tabs>
          <w:tab w:val="left" w:pos="1095"/>
        </w:tabs>
        <w:spacing w:before="120" w:line="360" w:lineRule="auto"/>
        <w:jc w:val="center"/>
        <w:rPr>
          <w:rStyle w:val="s10"/>
          <w:rFonts w:ascii="Book Antiqua" w:hAnsi="Book Antiqua"/>
          <w:b/>
          <w:bCs/>
          <w:color w:val="000000"/>
          <w:sz w:val="22"/>
          <w:szCs w:val="22"/>
        </w:rPr>
      </w:pPr>
    </w:p>
    <w:p w14:paraId="67902983" w14:textId="1B04EA3F" w:rsidR="00576787" w:rsidRPr="00442548" w:rsidRDefault="00B35ACF" w:rsidP="00B35ACF">
      <w:pPr>
        <w:tabs>
          <w:tab w:val="left" w:pos="1095"/>
        </w:tabs>
        <w:spacing w:before="120" w:line="360" w:lineRule="auto"/>
        <w:jc w:val="both"/>
        <w:rPr>
          <w:rFonts w:ascii="Book Antiqua" w:hAnsi="Book Antiqua" w:cs="Times New Roman"/>
          <w:sz w:val="22"/>
          <w:szCs w:val="22"/>
        </w:rPr>
      </w:pPr>
      <w:r w:rsidRPr="00442548">
        <w:rPr>
          <w:rFonts w:ascii="Book Antiqua" w:hAnsi="Book Antiqua" w:cs="Times New Roman"/>
          <w:sz w:val="22"/>
          <w:szCs w:val="22"/>
        </w:rPr>
        <w:t xml:space="preserve">Národná rada Slovenskej republiky </w:t>
      </w:r>
      <w:r w:rsidR="002E7A92" w:rsidRPr="00442548">
        <w:rPr>
          <w:rFonts w:ascii="Book Antiqua" w:hAnsi="Book Antiqua" w:cs="Times New Roman"/>
          <w:sz w:val="22"/>
          <w:szCs w:val="22"/>
        </w:rPr>
        <w:t>vyzýva vládu Slovenskej republiky, aby</w:t>
      </w:r>
      <w:r w:rsidR="00B25DDD" w:rsidRPr="00442548">
        <w:rPr>
          <w:rFonts w:ascii="Book Antiqua" w:hAnsi="Book Antiqua" w:cs="Times New Roman"/>
          <w:sz w:val="22"/>
          <w:szCs w:val="22"/>
        </w:rPr>
        <w:t xml:space="preserve"> </w:t>
      </w:r>
      <w:r w:rsidR="00FC115C">
        <w:rPr>
          <w:rFonts w:ascii="Book Antiqua" w:hAnsi="Book Antiqua" w:cs="Times New Roman"/>
          <w:sz w:val="22"/>
          <w:szCs w:val="22"/>
        </w:rPr>
        <w:t xml:space="preserve">do 30 dní odo dňa schválenie tohto uznesenia predložila Národnej rade Slovenskej republiky podrobný prehľad vynaloženia 7,4 miliardy eur, ktoré každý rok vyťahuje z peňaženiek ľudí a podnikateľov v rámci troch konsolidácií a pritom sa dlh verejných financií neznížil ani o jeden cent, práve naopak, historicky narastá a ťahá Slovenskú republiky „gréckou cestou“ priamo v ústrety bankrotu. </w:t>
      </w:r>
    </w:p>
    <w:p w14:paraId="2B14EE32" w14:textId="77777777" w:rsidR="00B35ACF" w:rsidRPr="00442548" w:rsidRDefault="00B35ACF" w:rsidP="002E7A92">
      <w:pPr>
        <w:pageBreakBefore/>
        <w:tabs>
          <w:tab w:val="left" w:pos="1095"/>
        </w:tabs>
        <w:spacing w:before="120" w:line="276" w:lineRule="auto"/>
        <w:jc w:val="center"/>
        <w:rPr>
          <w:rFonts w:ascii="Book Antiqua" w:hAnsi="Book Antiqua"/>
          <w:sz w:val="22"/>
          <w:szCs w:val="22"/>
        </w:rPr>
      </w:pPr>
      <w:r w:rsidRPr="00442548">
        <w:rPr>
          <w:rFonts w:ascii="Book Antiqua" w:hAnsi="Book Antiqua" w:cs="Times New Roman"/>
          <w:b/>
          <w:bCs/>
          <w:sz w:val="22"/>
          <w:szCs w:val="22"/>
        </w:rPr>
        <w:lastRenderedPageBreak/>
        <w:t>DÔVODOVÁ SPRÁVA</w:t>
      </w:r>
    </w:p>
    <w:p w14:paraId="180CA004" w14:textId="58EF52C4" w:rsidR="00FC115C" w:rsidRPr="00442548" w:rsidRDefault="00FC115C" w:rsidP="00FC115C">
      <w:pPr>
        <w:tabs>
          <w:tab w:val="right" w:leader="dot" w:pos="10632"/>
        </w:tabs>
        <w:spacing w:before="120" w:after="120" w:line="276" w:lineRule="auto"/>
        <w:jc w:val="both"/>
        <w:rPr>
          <w:rFonts w:ascii="Book Antiqua" w:hAnsi="Book Antiqua" w:cs="Tahoma"/>
          <w:sz w:val="22"/>
          <w:szCs w:val="22"/>
        </w:rPr>
      </w:pPr>
    </w:p>
    <w:p w14:paraId="3DFC06BD" w14:textId="77777777" w:rsidR="00AA65AD" w:rsidRDefault="00AA65AD" w:rsidP="00A13EB3">
      <w:pPr>
        <w:tabs>
          <w:tab w:val="right" w:leader="dot" w:pos="10632"/>
        </w:tabs>
        <w:spacing w:before="120" w:after="120" w:line="276" w:lineRule="auto"/>
        <w:jc w:val="both"/>
        <w:rPr>
          <w:rFonts w:ascii="Book Antiqua" w:hAnsi="Book Antiqua" w:cs="Tahoma"/>
          <w:sz w:val="22"/>
          <w:szCs w:val="22"/>
        </w:rPr>
      </w:pPr>
      <w:r>
        <w:rPr>
          <w:rFonts w:ascii="Book Antiqua" w:hAnsi="Book Antiqua" w:cs="Tahoma"/>
          <w:sz w:val="22"/>
          <w:szCs w:val="22"/>
        </w:rPr>
        <w:t xml:space="preserve">Počas vlády Igora Matoviča bol priemerný deficit verejných financií na úrovni 4 miliardy eur ročne. Od nástupu súčasnej vlády, ktorá sľubovala zníženie dlhu a vymyslela si argument o rozvrátených financiách sa deficit verejných financií každý rok zvyšoval takmer dvojnásobne. </w:t>
      </w:r>
    </w:p>
    <w:p w14:paraId="410D0FDD" w14:textId="3A30E4F6" w:rsidR="008A3169" w:rsidRDefault="00AA65AD" w:rsidP="00A13EB3">
      <w:pPr>
        <w:tabs>
          <w:tab w:val="right" w:leader="dot" w:pos="10632"/>
        </w:tabs>
        <w:spacing w:before="120" w:after="120" w:line="276" w:lineRule="auto"/>
        <w:jc w:val="both"/>
        <w:rPr>
          <w:rFonts w:ascii="Book Antiqua" w:hAnsi="Book Antiqua" w:cs="Tahoma"/>
          <w:sz w:val="22"/>
          <w:szCs w:val="22"/>
        </w:rPr>
      </w:pPr>
      <w:r>
        <w:rPr>
          <w:rFonts w:ascii="Book Antiqua" w:hAnsi="Book Antiqua" w:cs="Tahoma"/>
          <w:sz w:val="22"/>
          <w:szCs w:val="22"/>
        </w:rPr>
        <w:t>Rok 2023 po bezbrehom rozhadzovaní v posledných 2 mesiacoch ukončili s deficitom verejných financií vo výške 6,4 miliardy eur.</w:t>
      </w:r>
    </w:p>
    <w:p w14:paraId="41B1E5AD" w14:textId="3CA553CD" w:rsidR="00AA65AD" w:rsidRDefault="00AA65AD" w:rsidP="00A13EB3">
      <w:pPr>
        <w:tabs>
          <w:tab w:val="right" w:leader="dot" w:pos="10632"/>
        </w:tabs>
        <w:spacing w:before="120" w:after="120" w:line="276" w:lineRule="auto"/>
        <w:jc w:val="both"/>
        <w:rPr>
          <w:rFonts w:ascii="Book Antiqua" w:hAnsi="Book Antiqua" w:cs="Tahoma"/>
          <w:sz w:val="22"/>
          <w:szCs w:val="22"/>
        </w:rPr>
      </w:pPr>
      <w:r>
        <w:rPr>
          <w:rFonts w:ascii="Book Antiqua" w:hAnsi="Book Antiqua" w:cs="Tahoma"/>
          <w:sz w:val="22"/>
          <w:szCs w:val="22"/>
        </w:rPr>
        <w:t>Rok 2024, počas ktorého celý čas vládli sami a s vlastným rozpočtom skončili s deficitom verejných financií vo výške 7 miliárd eur.</w:t>
      </w:r>
    </w:p>
    <w:p w14:paraId="098E90AC" w14:textId="5C154ACD" w:rsidR="00AA65AD" w:rsidRDefault="00AA65AD" w:rsidP="00A13EB3">
      <w:pPr>
        <w:tabs>
          <w:tab w:val="right" w:leader="dot" w:pos="10632"/>
        </w:tabs>
        <w:spacing w:before="120" w:after="120" w:line="276" w:lineRule="auto"/>
        <w:jc w:val="both"/>
        <w:rPr>
          <w:rFonts w:ascii="Book Antiqua" w:hAnsi="Book Antiqua" w:cs="Tahoma"/>
          <w:sz w:val="22"/>
          <w:szCs w:val="22"/>
        </w:rPr>
      </w:pPr>
      <w:r>
        <w:rPr>
          <w:rFonts w:ascii="Book Antiqua" w:hAnsi="Book Antiqua" w:cs="Tahoma"/>
          <w:sz w:val="22"/>
          <w:szCs w:val="22"/>
        </w:rPr>
        <w:t>Po dvoch ožobračovacích konsolidáciách</w:t>
      </w:r>
      <w:r w:rsidR="00E746A6">
        <w:rPr>
          <w:rFonts w:ascii="Book Antiqua" w:hAnsi="Book Antiqua" w:cs="Tahoma"/>
          <w:sz w:val="22"/>
          <w:szCs w:val="22"/>
        </w:rPr>
        <w:t>,</w:t>
      </w:r>
      <w:r>
        <w:rPr>
          <w:rFonts w:ascii="Book Antiqua" w:hAnsi="Book Antiqua" w:cs="Tahoma"/>
          <w:sz w:val="22"/>
          <w:szCs w:val="22"/>
        </w:rPr>
        <w:t xml:space="preserve"> ke</w:t>
      </w:r>
      <w:r w:rsidR="00E746A6">
        <w:rPr>
          <w:rFonts w:ascii="Book Antiqua" w:hAnsi="Book Antiqua" w:cs="Tahoma"/>
          <w:sz w:val="22"/>
          <w:szCs w:val="22"/>
        </w:rPr>
        <w:t>ď</w:t>
      </w:r>
      <w:r>
        <w:rPr>
          <w:rFonts w:ascii="Book Antiqua" w:hAnsi="Book Antiqua" w:cs="Tahoma"/>
          <w:sz w:val="22"/>
          <w:szCs w:val="22"/>
        </w:rPr>
        <w:t xml:space="preserve"> ľuďom vytiahli z peňaženiek 4,7 miliardy eur ukončia tento rok s deficitom ďalších 7 miliárd eur.</w:t>
      </w:r>
    </w:p>
    <w:p w14:paraId="41D8CFA6" w14:textId="5224CD5C" w:rsidR="00AA65AD" w:rsidRDefault="00AA65AD" w:rsidP="00A13EB3">
      <w:pPr>
        <w:tabs>
          <w:tab w:val="right" w:leader="dot" w:pos="10632"/>
        </w:tabs>
        <w:spacing w:before="120" w:after="120" w:line="276" w:lineRule="auto"/>
        <w:jc w:val="both"/>
        <w:rPr>
          <w:rFonts w:ascii="Book Antiqua" w:hAnsi="Book Antiqua" w:cs="Tahoma"/>
          <w:sz w:val="22"/>
          <w:szCs w:val="22"/>
        </w:rPr>
      </w:pPr>
      <w:r>
        <w:rPr>
          <w:rFonts w:ascii="Book Antiqua" w:hAnsi="Book Antiqua" w:cs="Tahoma"/>
          <w:sz w:val="22"/>
          <w:szCs w:val="22"/>
        </w:rPr>
        <w:t>Aj po prijatí tretej konsolidácie s plánom vyberať z peňaženiek ľudí od roku 2026 7,4 miliardy eur bude podľa najnovších odhadov Rady pre rozpočtovú zodpovednosť deficit znovu vo výške 6,5 miliardy eur.</w:t>
      </w:r>
    </w:p>
    <w:p w14:paraId="0775CE05" w14:textId="64924E3C" w:rsidR="00AA65AD" w:rsidRPr="00442548" w:rsidRDefault="00AA65AD" w:rsidP="00A13EB3">
      <w:pPr>
        <w:tabs>
          <w:tab w:val="right" w:leader="dot" w:pos="10632"/>
        </w:tabs>
        <w:spacing w:before="120" w:after="120" w:line="276" w:lineRule="auto"/>
        <w:jc w:val="both"/>
        <w:rPr>
          <w:rFonts w:ascii="Book Antiqua" w:hAnsi="Book Antiqua" w:cs="Tahoma"/>
          <w:sz w:val="22"/>
          <w:szCs w:val="22"/>
        </w:rPr>
      </w:pPr>
      <w:r>
        <w:rPr>
          <w:rFonts w:ascii="Book Antiqua" w:hAnsi="Book Antiqua" w:cs="Tahoma"/>
          <w:sz w:val="22"/>
          <w:szCs w:val="22"/>
        </w:rPr>
        <w:t>Obyvatelia Slovenskej republiky majú právo vedieť, kde skončili peniaze zo zvýšených poplatkov, zníženého odvodu do 2. piliera, zvýšených daní, transakčnej dane zníženého daňového bonusu na dieťa, zrušeného rodičovského dôchodku, zmrazených 13. dôchodkov, neustáleho zdražovania potravín a totálneho ožobračenia živnostníkov</w:t>
      </w:r>
      <w:r w:rsidR="001C5E4A">
        <w:rPr>
          <w:rFonts w:ascii="Book Antiqua" w:hAnsi="Book Antiqua" w:cs="Tahoma"/>
          <w:sz w:val="22"/>
          <w:szCs w:val="22"/>
        </w:rPr>
        <w:t>, či zamestnancov</w:t>
      </w:r>
      <w:r>
        <w:rPr>
          <w:rFonts w:ascii="Book Antiqua" w:hAnsi="Book Antiqua" w:cs="Tahoma"/>
          <w:sz w:val="22"/>
          <w:szCs w:val="22"/>
        </w:rPr>
        <w:t>.</w:t>
      </w:r>
    </w:p>
    <w:sectPr w:rsidR="00AA65AD" w:rsidRPr="00442548" w:rsidSect="00B35ACF">
      <w:pgSz w:w="11906" w:h="16838"/>
      <w:pgMar w:top="1134" w:right="1134" w:bottom="1134"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83BCF" w14:textId="77777777" w:rsidR="007978CB" w:rsidRDefault="007978CB" w:rsidP="00760EB8">
      <w:pPr>
        <w:rPr>
          <w:rFonts w:hint="eastAsia"/>
        </w:rPr>
      </w:pPr>
      <w:r>
        <w:separator/>
      </w:r>
    </w:p>
  </w:endnote>
  <w:endnote w:type="continuationSeparator" w:id="0">
    <w:p w14:paraId="151E9BD0" w14:textId="77777777" w:rsidR="007978CB" w:rsidRDefault="007978CB" w:rsidP="00760E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A4FD0" w14:textId="77777777" w:rsidR="007978CB" w:rsidRDefault="007978CB" w:rsidP="00760EB8">
      <w:pPr>
        <w:rPr>
          <w:rFonts w:hint="eastAsia"/>
        </w:rPr>
      </w:pPr>
      <w:r>
        <w:separator/>
      </w:r>
    </w:p>
  </w:footnote>
  <w:footnote w:type="continuationSeparator" w:id="0">
    <w:p w14:paraId="53EC5009" w14:textId="77777777" w:rsidR="007978CB" w:rsidRDefault="007978CB" w:rsidP="00760EB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4A23"/>
    <w:multiLevelType w:val="hybridMultilevel"/>
    <w:tmpl w:val="CB646A2A"/>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29387B13"/>
    <w:multiLevelType w:val="hybridMultilevel"/>
    <w:tmpl w:val="3A4E41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046174"/>
    <w:multiLevelType w:val="hybridMultilevel"/>
    <w:tmpl w:val="D71847B2"/>
    <w:lvl w:ilvl="0" w:tplc="CF42BA6A">
      <w:start w:val="1"/>
      <w:numFmt w:val="upperLetter"/>
      <w:suff w:val="space"/>
      <w:lvlText w:val="%1)"/>
      <w:lvlJc w:val="left"/>
      <w:pPr>
        <w:ind w:left="720" w:hanging="360"/>
      </w:pPr>
      <w:rPr>
        <w:rFonts w:ascii="Book Antiqua" w:hAnsi="Book Antiqua" w:hint="default"/>
        <w:b/>
        <w:bCs w:val="0"/>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8CE080F"/>
    <w:multiLevelType w:val="multilevel"/>
    <w:tmpl w:val="BE4E2D50"/>
    <w:lvl w:ilvl="0">
      <w:start w:val="1"/>
      <w:numFmt w:val="decimal"/>
      <w:suff w:val="space"/>
      <w:lvlText w:val="%1."/>
      <w:lvlJc w:val="left"/>
      <w:pPr>
        <w:ind w:left="720" w:hanging="360"/>
      </w:pPr>
      <w:rPr>
        <w:rFonts w:ascii="Book Antiqua" w:hAnsi="Book Antiqua"/>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DA1C39"/>
    <w:multiLevelType w:val="hybridMultilevel"/>
    <w:tmpl w:val="EA08E2CE"/>
    <w:lvl w:ilvl="0" w:tplc="365271B0">
      <w:start w:val="1"/>
      <w:numFmt w:val="decimal"/>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A6E32A7"/>
    <w:multiLevelType w:val="hybridMultilevel"/>
    <w:tmpl w:val="DC984AC4"/>
    <w:lvl w:ilvl="0" w:tplc="365271B0">
      <w:start w:val="1"/>
      <w:numFmt w:val="decimal"/>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BBB0EBB"/>
    <w:multiLevelType w:val="hybridMultilevel"/>
    <w:tmpl w:val="F8628792"/>
    <w:lvl w:ilvl="0" w:tplc="51FE1690">
      <w:start w:val="1"/>
      <w:numFmt w:val="upperLetter"/>
      <w:lvlText w:val="%1."/>
      <w:lvlJc w:val="left"/>
      <w:pPr>
        <w:ind w:left="720" w:hanging="360"/>
      </w:pPr>
      <w:rPr>
        <w:rFonts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CF"/>
    <w:rsid w:val="00063149"/>
    <w:rsid w:val="00064B79"/>
    <w:rsid w:val="000D6A4E"/>
    <w:rsid w:val="00170DC5"/>
    <w:rsid w:val="0018001B"/>
    <w:rsid w:val="001C5E4A"/>
    <w:rsid w:val="001F5499"/>
    <w:rsid w:val="00202EF0"/>
    <w:rsid w:val="00226184"/>
    <w:rsid w:val="002E7A92"/>
    <w:rsid w:val="00322164"/>
    <w:rsid w:val="00374AA5"/>
    <w:rsid w:val="00375311"/>
    <w:rsid w:val="003A1FAA"/>
    <w:rsid w:val="003F683E"/>
    <w:rsid w:val="00442548"/>
    <w:rsid w:val="00492FF2"/>
    <w:rsid w:val="004E1A71"/>
    <w:rsid w:val="00551231"/>
    <w:rsid w:val="00576787"/>
    <w:rsid w:val="00595C83"/>
    <w:rsid w:val="005A329A"/>
    <w:rsid w:val="005B0986"/>
    <w:rsid w:val="005F65AA"/>
    <w:rsid w:val="006126EA"/>
    <w:rsid w:val="0070443A"/>
    <w:rsid w:val="00735F9A"/>
    <w:rsid w:val="00740C0D"/>
    <w:rsid w:val="0075201D"/>
    <w:rsid w:val="00760EB8"/>
    <w:rsid w:val="007731B0"/>
    <w:rsid w:val="0077394F"/>
    <w:rsid w:val="00776E90"/>
    <w:rsid w:val="007978CB"/>
    <w:rsid w:val="008A1FB4"/>
    <w:rsid w:val="008A3169"/>
    <w:rsid w:val="008B2E4D"/>
    <w:rsid w:val="008B47D2"/>
    <w:rsid w:val="008D7827"/>
    <w:rsid w:val="00906C88"/>
    <w:rsid w:val="00945A43"/>
    <w:rsid w:val="00976724"/>
    <w:rsid w:val="009B1B5C"/>
    <w:rsid w:val="00A1020F"/>
    <w:rsid w:val="00A13EB3"/>
    <w:rsid w:val="00A50243"/>
    <w:rsid w:val="00A811D5"/>
    <w:rsid w:val="00AA5478"/>
    <w:rsid w:val="00AA65AD"/>
    <w:rsid w:val="00AD3782"/>
    <w:rsid w:val="00AE23FD"/>
    <w:rsid w:val="00AF39C6"/>
    <w:rsid w:val="00B05BBC"/>
    <w:rsid w:val="00B25DDD"/>
    <w:rsid w:val="00B35ACF"/>
    <w:rsid w:val="00B64FB2"/>
    <w:rsid w:val="00B84C7A"/>
    <w:rsid w:val="00BA54B3"/>
    <w:rsid w:val="00C47BE8"/>
    <w:rsid w:val="00CB4FE8"/>
    <w:rsid w:val="00CD59AD"/>
    <w:rsid w:val="00D02468"/>
    <w:rsid w:val="00D13A23"/>
    <w:rsid w:val="00D30655"/>
    <w:rsid w:val="00D80EBC"/>
    <w:rsid w:val="00DF09AF"/>
    <w:rsid w:val="00E078E8"/>
    <w:rsid w:val="00E44D5F"/>
    <w:rsid w:val="00E473A2"/>
    <w:rsid w:val="00E51DC1"/>
    <w:rsid w:val="00E701A9"/>
    <w:rsid w:val="00E746A6"/>
    <w:rsid w:val="00E81741"/>
    <w:rsid w:val="00F57457"/>
    <w:rsid w:val="00FA004D"/>
    <w:rsid w:val="00FC11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F4F1"/>
  <w15:chartTrackingRefBased/>
  <w15:docId w15:val="{77D8998C-74AC-4907-892C-E6D2C57C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ACF"/>
    <w:pPr>
      <w:spacing w:after="0" w:line="240" w:lineRule="auto"/>
    </w:pPr>
    <w:rPr>
      <w:rFonts w:ascii="Liberation Serif" w:eastAsia="NSimSun" w:hAnsi="Liberation Serif" w:cs="Mangal"/>
      <w:lang w:eastAsia="zh-CN" w:bidi="hi-IN"/>
      <w14:ligatures w14:val="none"/>
    </w:rPr>
  </w:style>
  <w:style w:type="paragraph" w:styleId="Nadpis1">
    <w:name w:val="heading 1"/>
    <w:basedOn w:val="Normlny"/>
    <w:next w:val="Normlny"/>
    <w:link w:val="Nadpis1Char"/>
    <w:uiPriority w:val="9"/>
    <w:qFormat/>
    <w:rsid w:val="00B35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35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35AC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35AC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35AC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35AC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5AC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5AC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5AC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5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35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35AC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35AC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35AC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35AC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5AC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5AC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5ACF"/>
    <w:rPr>
      <w:rFonts w:eastAsiaTheme="majorEastAsia" w:cstheme="majorBidi"/>
      <w:color w:val="272727" w:themeColor="text1" w:themeTint="D8"/>
    </w:rPr>
  </w:style>
  <w:style w:type="paragraph" w:styleId="Nzov">
    <w:name w:val="Title"/>
    <w:basedOn w:val="Normlny"/>
    <w:next w:val="Normlny"/>
    <w:link w:val="NzovChar"/>
    <w:qFormat/>
    <w:rsid w:val="00B35AC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5AC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B35AC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5AC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5AC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35ACF"/>
    <w:rPr>
      <w:i/>
      <w:iCs/>
      <w:color w:val="404040" w:themeColor="text1" w:themeTint="BF"/>
    </w:rPr>
  </w:style>
  <w:style w:type="paragraph" w:styleId="Odsekzoznamu">
    <w:name w:val="List Paragraph"/>
    <w:basedOn w:val="Normlny"/>
    <w:qFormat/>
    <w:rsid w:val="00B35ACF"/>
    <w:pPr>
      <w:ind w:left="720"/>
      <w:contextualSpacing/>
    </w:pPr>
  </w:style>
  <w:style w:type="character" w:styleId="Intenzvnezvraznenie">
    <w:name w:val="Intense Emphasis"/>
    <w:basedOn w:val="Predvolenpsmoodseku"/>
    <w:uiPriority w:val="21"/>
    <w:qFormat/>
    <w:rsid w:val="00B35ACF"/>
    <w:rPr>
      <w:i/>
      <w:iCs/>
      <w:color w:val="0F4761" w:themeColor="accent1" w:themeShade="BF"/>
    </w:rPr>
  </w:style>
  <w:style w:type="paragraph" w:styleId="Zvraznencitcia">
    <w:name w:val="Intense Quote"/>
    <w:basedOn w:val="Normlny"/>
    <w:next w:val="Normlny"/>
    <w:link w:val="ZvraznencitciaChar"/>
    <w:uiPriority w:val="30"/>
    <w:qFormat/>
    <w:rsid w:val="00B3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35ACF"/>
    <w:rPr>
      <w:i/>
      <w:iCs/>
      <w:color w:val="0F4761" w:themeColor="accent1" w:themeShade="BF"/>
    </w:rPr>
  </w:style>
  <w:style w:type="character" w:styleId="Intenzvnyodkaz">
    <w:name w:val="Intense Reference"/>
    <w:basedOn w:val="Predvolenpsmoodseku"/>
    <w:uiPriority w:val="32"/>
    <w:qFormat/>
    <w:rsid w:val="00B35ACF"/>
    <w:rPr>
      <w:b/>
      <w:bCs/>
      <w:smallCaps/>
      <w:color w:val="0F4761" w:themeColor="accent1" w:themeShade="BF"/>
      <w:spacing w:val="5"/>
    </w:rPr>
  </w:style>
  <w:style w:type="character" w:customStyle="1" w:styleId="awspan">
    <w:name w:val="awspan"/>
    <w:basedOn w:val="Predvolenpsmoodseku"/>
    <w:qFormat/>
    <w:rsid w:val="00B35ACF"/>
  </w:style>
  <w:style w:type="paragraph" w:styleId="Zkladntext">
    <w:name w:val="Body Text"/>
    <w:basedOn w:val="Normlny"/>
    <w:link w:val="ZkladntextChar"/>
    <w:rsid w:val="00B35ACF"/>
    <w:pPr>
      <w:spacing w:after="140" w:line="276" w:lineRule="auto"/>
    </w:pPr>
  </w:style>
  <w:style w:type="character" w:customStyle="1" w:styleId="ZkladntextChar">
    <w:name w:val="Základný text Char"/>
    <w:basedOn w:val="Predvolenpsmoodseku"/>
    <w:link w:val="Zkladntext"/>
    <w:rsid w:val="00B35ACF"/>
    <w:rPr>
      <w:rFonts w:ascii="Liberation Serif" w:eastAsia="NSimSun" w:hAnsi="Liberation Serif" w:cs="Mangal"/>
      <w:lang w:eastAsia="zh-CN" w:bidi="hi-IN"/>
      <w14:ligatures w14:val="none"/>
    </w:rPr>
  </w:style>
  <w:style w:type="character" w:customStyle="1" w:styleId="s10">
    <w:name w:val="s10"/>
    <w:basedOn w:val="Predvolenpsmoodseku"/>
    <w:rsid w:val="00B35ACF"/>
  </w:style>
  <w:style w:type="paragraph" w:styleId="Textpoznmkypodiarou">
    <w:name w:val="footnote text"/>
    <w:basedOn w:val="Normlny"/>
    <w:link w:val="TextpoznmkypodiarouChar"/>
    <w:uiPriority w:val="99"/>
    <w:semiHidden/>
    <w:unhideWhenUsed/>
    <w:rsid w:val="00760EB8"/>
    <w:rPr>
      <w:sz w:val="20"/>
      <w:szCs w:val="18"/>
    </w:rPr>
  </w:style>
  <w:style w:type="character" w:customStyle="1" w:styleId="TextpoznmkypodiarouChar">
    <w:name w:val="Text poznámky pod čiarou Char"/>
    <w:basedOn w:val="Predvolenpsmoodseku"/>
    <w:link w:val="Textpoznmkypodiarou"/>
    <w:uiPriority w:val="99"/>
    <w:semiHidden/>
    <w:rsid w:val="00760EB8"/>
    <w:rPr>
      <w:rFonts w:ascii="Liberation Serif" w:eastAsia="NSimSun" w:hAnsi="Liberation Serif" w:cs="Mangal"/>
      <w:sz w:val="20"/>
      <w:szCs w:val="18"/>
      <w:lang w:eastAsia="zh-CN" w:bidi="hi-IN"/>
      <w14:ligatures w14:val="none"/>
    </w:rPr>
  </w:style>
  <w:style w:type="character" w:styleId="Odkaznapoznmkupodiarou">
    <w:name w:val="footnote reference"/>
    <w:basedOn w:val="Predvolenpsmoodseku"/>
    <w:uiPriority w:val="99"/>
    <w:semiHidden/>
    <w:unhideWhenUsed/>
    <w:rsid w:val="00760EB8"/>
    <w:rPr>
      <w:vertAlign w:val="superscript"/>
    </w:rPr>
  </w:style>
  <w:style w:type="table" w:styleId="Mriekatabuky">
    <w:name w:val="Table Grid"/>
    <w:basedOn w:val="Normlnatabuka"/>
    <w:uiPriority w:val="39"/>
    <w:rsid w:val="00442548"/>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3432">
      <w:bodyDiv w:val="1"/>
      <w:marLeft w:val="0"/>
      <w:marRight w:val="0"/>
      <w:marTop w:val="0"/>
      <w:marBottom w:val="0"/>
      <w:divBdr>
        <w:top w:val="none" w:sz="0" w:space="0" w:color="auto"/>
        <w:left w:val="none" w:sz="0" w:space="0" w:color="auto"/>
        <w:bottom w:val="none" w:sz="0" w:space="0" w:color="auto"/>
        <w:right w:val="none" w:sz="0" w:space="0" w:color="auto"/>
      </w:divBdr>
    </w:div>
    <w:div w:id="249700524">
      <w:bodyDiv w:val="1"/>
      <w:marLeft w:val="0"/>
      <w:marRight w:val="0"/>
      <w:marTop w:val="0"/>
      <w:marBottom w:val="0"/>
      <w:divBdr>
        <w:top w:val="none" w:sz="0" w:space="0" w:color="auto"/>
        <w:left w:val="none" w:sz="0" w:space="0" w:color="auto"/>
        <w:bottom w:val="none" w:sz="0" w:space="0" w:color="auto"/>
        <w:right w:val="none" w:sz="0" w:space="0" w:color="auto"/>
      </w:divBdr>
    </w:div>
    <w:div w:id="648830296">
      <w:bodyDiv w:val="1"/>
      <w:marLeft w:val="0"/>
      <w:marRight w:val="0"/>
      <w:marTop w:val="0"/>
      <w:marBottom w:val="0"/>
      <w:divBdr>
        <w:top w:val="none" w:sz="0" w:space="0" w:color="auto"/>
        <w:left w:val="none" w:sz="0" w:space="0" w:color="auto"/>
        <w:bottom w:val="none" w:sz="0" w:space="0" w:color="auto"/>
        <w:right w:val="none" w:sz="0" w:space="0" w:color="auto"/>
      </w:divBdr>
    </w:div>
    <w:div w:id="156371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B6C2-F08C-45E4-B3DA-8205EE0F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358</Words>
  <Characters>2047</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Klub SLOVENSKO, ZA ĽUDÍ, KÚ</cp:lastModifiedBy>
  <cp:revision>5</cp:revision>
  <cp:lastPrinted>2025-10-14T10:35:00Z</cp:lastPrinted>
  <dcterms:created xsi:type="dcterms:W3CDTF">2025-10-14T10:29:00Z</dcterms:created>
  <dcterms:modified xsi:type="dcterms:W3CDTF">2025-10-14T10:43:00Z</dcterms:modified>
</cp:coreProperties>
</file>