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návrhu s právom Európskej únie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5" w:hanging="382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zákona: </w:t>
        <w:tab/>
      </w:r>
      <w:r w:rsidDel="00000000" w:rsidR="00000000" w:rsidRPr="00000000">
        <w:rPr>
          <w:rtl w:val="0"/>
        </w:rPr>
        <w:t xml:space="preserve">poslankyne Národnej rady Slovenskej republiky Zora Jaurová a Zuzana </w:t>
      </w:r>
      <w:r w:rsidDel="00000000" w:rsidR="00000000" w:rsidRPr="00000000">
        <w:rPr>
          <w:rtl w:val="0"/>
        </w:rPr>
        <w:t xml:space="preserve">Mesterová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5" w:hanging="3825"/>
        <w:jc w:val="both"/>
        <w:rPr/>
      </w:pPr>
      <w:r w:rsidDel="00000000" w:rsidR="00000000" w:rsidRPr="00000000">
        <w:rPr>
          <w:b w:val="1"/>
          <w:rtl w:val="0"/>
        </w:rPr>
        <w:t xml:space="preserve">2. Názov návrhu zákona:</w:t>
      </w:r>
      <w:r w:rsidDel="00000000" w:rsidR="00000000" w:rsidRPr="00000000">
        <w:rPr>
          <w:rtl w:val="0"/>
        </w:rPr>
        <w:t xml:space="preserve">   </w:t>
        <w:tab/>
        <w:t xml:space="preserve">Návrh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5" w:right="0" w:hanging="3825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Predmet návrhu zákona: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a) nie je upravený v práve Európskych spoločenstiev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b) nie je obsiahnutý v práve Európskej únie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c) nie je obsiahnutý v judikatúre Súdneho dvora Európskej únie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A.2. Vplyvy: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5370"/>
        <w:gridCol w:w="1305"/>
        <w:gridCol w:w="1005"/>
        <w:gridCol w:w="1365"/>
        <w:tblGridChange w:id="0">
          <w:tblGrid>
            <w:gridCol w:w="5370"/>
            <w:gridCol w:w="1305"/>
            <w:gridCol w:w="1005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Vplyv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 Vplyvy na služby pre občana z toho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 Vplyvy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A.3. Poznámky</w:t>
      </w:r>
    </w:p>
    <w:p w:rsidR="00000000" w:rsidDel="00000000" w:rsidP="00000000" w:rsidRDefault="00000000" w:rsidRPr="00000000" w14:paraId="0000004F">
      <w:pPr>
        <w:widowControl w:val="1"/>
        <w:shd w:fill="ffffff" w:val="clear"/>
        <w:spacing w:after="240" w:before="240" w:line="276" w:lineRule="auto"/>
        <w:ind w:firstLine="566.9291338582675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Návrh zákona nemá vplyvy na rozpočet verejnej správy, sociálne vplyvy, vplyvy na životné prostredie, vplyvy na služby verejnej správy pre občana, vplyvy na informatizáciu spoločnosti a nemá  ani vplyvy na manželstvo, rodičovstvo a rodinu.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A.4. Alternatívne riešenia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V prípade nulového riešenia, teda pri zachovaní súčasného stavu, Fond na podporu umenia nebude schopný znovu naštartovať efektívne a transparentné fungovanie. Súčasné nedostatky v procesoch rozhodovania, nedostatočná odborná kontrola a pretrvávajúce problémy s transparentnosťou by zostali nezmenené, čo vážne ohrozuje plnenie jeho základného poslania podporovať rozvoj umenia a kultúry.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4165A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14165A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rsid w:val="0014165A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Revzia">
    <w:name w:val="Revision"/>
    <w:hidden w:val="1"/>
    <w:uiPriority w:val="99"/>
    <w:semiHidden w:val="1"/>
    <w:rsid w:val="00335383"/>
    <w:rPr>
      <w:rFonts w:cs="Mangal" w:eastAsia="SimSun"/>
      <w:kern w:val="1"/>
      <w:szCs w:val="21"/>
      <w:lang w:bidi="hi-IN" w:eastAsia="hi-IN"/>
    </w:rPr>
  </w:style>
  <w:style w:type="table" w:styleId="a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CZpL2eyVtHX5LKVWFiSAMNx6g==">CgMxLjAyCGguZ2pkZ3hzOAByITE1eWs0LXJGbDFsT0lzMFlRYW16OWNlRnNCZlpwNTBlQg==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2024-08-23T08:22:00Z</dcterms:created>
  <dc:creator>Števulová, Zuzana</dc:creator>
</cp:coreProperties>
</file>