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3">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284/2014 Z. z. o Fonde na podporu umenia </w:t>
      </w:r>
      <w:r w:rsidDel="00000000" w:rsidR="00000000" w:rsidRPr="00000000">
        <w:rPr>
          <w:rFonts w:ascii="Times New Roman" w:cs="Times New Roman" w:eastAsia="Times New Roman" w:hAnsi="Times New Roman"/>
          <w:sz w:val="24"/>
          <w:szCs w:val="24"/>
          <w:rtl w:val="0"/>
        </w:rPr>
        <w:t xml:space="preserve">a o zmene a doplnení zákona č. 434/2010 Z. z. o poskytovaní dotácií v pôsobnosti Ministerstva kultúry Slovenskej republiky v znení zákona č. 79/2013 Z. z. v znení neskorších predpisov </w:t>
      </w:r>
      <w:r w:rsidDel="00000000" w:rsidR="00000000" w:rsidRPr="00000000">
        <w:rPr>
          <w:rFonts w:ascii="Times New Roman" w:cs="Times New Roman" w:eastAsia="Times New Roman" w:hAnsi="Times New Roman"/>
          <w:sz w:val="24"/>
          <w:szCs w:val="24"/>
          <w:rtl w:val="0"/>
        </w:rPr>
        <w:t xml:space="preserve">(ďalej len „návrh zákona“), reaguje na praktickú skúsenosť s poslednou novelizáciou tohto zákona, ktorá presunula kľúčové kompetencie z riaditeľa fondu na radu fondu. Táto zmena spôsobila závažné problémy vo fungovaní Fondu </w:t>
      </w:r>
      <w:r w:rsidDel="00000000" w:rsidR="00000000" w:rsidRPr="00000000">
        <w:rPr>
          <w:rFonts w:ascii="Times New Roman" w:cs="Times New Roman" w:eastAsia="Times New Roman" w:hAnsi="Times New Roman"/>
          <w:sz w:val="24"/>
          <w:szCs w:val="24"/>
          <w:rtl w:val="0"/>
        </w:rPr>
        <w:t xml:space="preserve">na podporu umenia, priniesla zásadné problémy pri nominácii nových členov rady a overovaní ich odbornej spôsobilosti, ale aj vážne skomplikovala rozhodovací proces pri prideľovaní podpory z fondu.</w:t>
      </w:r>
    </w:p>
    <w:p w:rsidR="00000000" w:rsidDel="00000000" w:rsidP="00000000" w:rsidRDefault="00000000" w:rsidRPr="00000000" w14:paraId="00000004">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Fond </w:t>
      </w:r>
      <w:r w:rsidDel="00000000" w:rsidR="00000000" w:rsidRPr="00000000">
        <w:rPr>
          <w:rFonts w:ascii="Times New Roman" w:cs="Times New Roman" w:eastAsia="Times New Roman" w:hAnsi="Times New Roman"/>
          <w:sz w:val="24"/>
          <w:szCs w:val="24"/>
          <w:rtl w:val="0"/>
        </w:rPr>
        <w:t xml:space="preserve">na podporu umenia </w:t>
      </w:r>
      <w:r w:rsidDel="00000000" w:rsidR="00000000" w:rsidRPr="00000000">
        <w:rPr>
          <w:rFonts w:ascii="Times New Roman" w:cs="Times New Roman" w:eastAsia="Times New Roman" w:hAnsi="Times New Roman"/>
          <w:sz w:val="24"/>
          <w:szCs w:val="24"/>
          <w:rtl w:val="0"/>
        </w:rPr>
        <w:t xml:space="preserve">je pritom hlavným zdrojom podpory pre </w:t>
      </w:r>
      <w:r w:rsidDel="00000000" w:rsidR="00000000" w:rsidRPr="00000000">
        <w:rPr>
          <w:rFonts w:ascii="Times New Roman" w:cs="Times New Roman" w:eastAsia="Times New Roman" w:hAnsi="Times New Roman"/>
          <w:sz w:val="24"/>
          <w:szCs w:val="24"/>
          <w:rtl w:val="0"/>
        </w:rPr>
        <w:t xml:space="preserve">nezriaďovanú</w:t>
      </w:r>
      <w:r w:rsidDel="00000000" w:rsidR="00000000" w:rsidRPr="00000000">
        <w:rPr>
          <w:rFonts w:ascii="Times New Roman" w:cs="Times New Roman" w:eastAsia="Times New Roman" w:hAnsi="Times New Roman"/>
          <w:sz w:val="24"/>
          <w:szCs w:val="24"/>
          <w:rtl w:val="0"/>
        </w:rPr>
        <w:t xml:space="preserve"> kultúrnu obec, ktorá je na jeho fungovaní existenčne závislá. Predložený </w:t>
      </w:r>
      <w:r w:rsidDel="00000000" w:rsidR="00000000" w:rsidRPr="00000000">
        <w:rPr>
          <w:rFonts w:ascii="Times New Roman" w:cs="Times New Roman" w:eastAsia="Times New Roman" w:hAnsi="Times New Roman"/>
          <w:sz w:val="24"/>
          <w:szCs w:val="24"/>
          <w:rtl w:val="0"/>
        </w:rPr>
        <w:t xml:space="preserve">návrh</w:t>
      </w:r>
      <w:r w:rsidDel="00000000" w:rsidR="00000000" w:rsidRPr="00000000">
        <w:rPr>
          <w:rFonts w:ascii="Times New Roman" w:cs="Times New Roman" w:eastAsia="Times New Roman" w:hAnsi="Times New Roman"/>
          <w:sz w:val="24"/>
          <w:szCs w:val="24"/>
          <w:rtl w:val="0"/>
        </w:rPr>
        <w:t xml:space="preserve"> zákona prispeje k opätovnému naštartovaniu fondu tým, že vráti pôvodný rozhodovací mechanizmus pri prideľovaní dotácií, v ktorom o prideľovaní dotácií rozhoduje riaditeľ na základe stanovísk odborných komisií, čím sa zabezpečí odborné a </w:t>
      </w:r>
      <w:r w:rsidDel="00000000" w:rsidR="00000000" w:rsidRPr="00000000">
        <w:rPr>
          <w:rFonts w:ascii="Times New Roman" w:cs="Times New Roman" w:eastAsia="Times New Roman" w:hAnsi="Times New Roman"/>
          <w:sz w:val="24"/>
          <w:szCs w:val="24"/>
          <w:rtl w:val="0"/>
        </w:rPr>
        <w:t xml:space="preserve">apolitické</w:t>
      </w:r>
      <w:r w:rsidDel="00000000" w:rsidR="00000000" w:rsidRPr="00000000">
        <w:rPr>
          <w:rFonts w:ascii="Times New Roman" w:cs="Times New Roman" w:eastAsia="Times New Roman" w:hAnsi="Times New Roman"/>
          <w:sz w:val="24"/>
          <w:szCs w:val="24"/>
          <w:rtl w:val="0"/>
        </w:rPr>
        <w:t xml:space="preserve"> rozhodovanie. Tieto zmeny dlhodobo požaduje široká kultúrna obec, ktorá opakovane žiadala Národnú radu SR a Výbor NR SR pre kultúru a médiá o nápravu súčasnej situácie. Navrhovaná legislatíva reflektuje potrebu zabezpečiť stabilnú, transparentnú a efektívnu podporu umeleckých a kultúrnych aktivít na Slovensku.</w:t>
      </w:r>
    </w:p>
    <w:p w:rsidR="00000000" w:rsidDel="00000000" w:rsidP="00000000" w:rsidRDefault="00000000" w:rsidRPr="00000000" w14:paraId="00000005">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Okrem toho návrh zákona obsahuje ďalšie legislatívne úpravy, ktoré súvisia s fungovaním odborných komisií, dozorných orgánov a kontrolou finančných prostriedkov. Tieto zmeny majú za cieľ zabezpečiť väčšiu transparentnosť, zodpovednosť a právnu istotu v oblasti rozhodovania o verejných financiách. Navrhované zmeny vychádzajú z praktických skúseností z fungovania fondu a z požiadaviek odborníkov, ktorí dlhodobo </w:t>
      </w:r>
      <w:r w:rsidDel="00000000" w:rsidR="00000000" w:rsidRPr="00000000">
        <w:rPr>
          <w:rFonts w:ascii="Times New Roman" w:cs="Times New Roman" w:eastAsia="Times New Roman" w:hAnsi="Times New Roman"/>
          <w:sz w:val="24"/>
          <w:szCs w:val="24"/>
          <w:rtl w:val="0"/>
        </w:rPr>
        <w:t xml:space="preserve">poukazovali</w:t>
      </w:r>
      <w:r w:rsidDel="00000000" w:rsidR="00000000" w:rsidRPr="00000000">
        <w:rPr>
          <w:rFonts w:ascii="Times New Roman" w:cs="Times New Roman" w:eastAsia="Times New Roman" w:hAnsi="Times New Roman"/>
          <w:sz w:val="24"/>
          <w:szCs w:val="24"/>
          <w:rtl w:val="0"/>
        </w:rPr>
        <w:t xml:space="preserve"> na potrebu zefektívniť a skvalitniť niektoré procesy.</w:t>
      </w:r>
    </w:p>
    <w:p w:rsidR="00000000" w:rsidDel="00000000" w:rsidP="00000000" w:rsidRDefault="00000000" w:rsidRPr="00000000" w14:paraId="00000006">
      <w:pPr>
        <w:shd w:fill="auto" w:val="clear"/>
        <w:spacing w:after="200" w:before="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07">
      <w:pPr>
        <w:shd w:fill="auto" w:val="clear"/>
        <w:spacing w:after="0" w:before="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Návrh zákona ne</w:t>
      </w:r>
      <w:r w:rsidDel="00000000" w:rsidR="00000000" w:rsidRPr="00000000">
        <w:rPr>
          <w:rFonts w:ascii="Times New Roman" w:cs="Times New Roman" w:eastAsia="Times New Roman" w:hAnsi="Times New Roman"/>
          <w:sz w:val="24"/>
          <w:szCs w:val="24"/>
          <w:rtl w:val="0"/>
        </w:rPr>
        <w:t xml:space="preserve">bude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mať vplyv na rozpočet verejnej správy, vplyv na podnikateľské prostredie, vplyv na životné prostredie, sociálne vplyvy, vplyv na služby verejnej správy pre občana, vplyv na informatizáciu spoločnosti ani vplyv na manželstvo, rodičovstvo a rodinu.</w:t>
      </w:r>
      <w:r w:rsidDel="00000000" w:rsidR="00000000" w:rsidRPr="00000000">
        <w:rPr>
          <w:rtl w:val="0"/>
        </w:rPr>
      </w:r>
    </w:p>
    <w:p w:rsidR="00000000" w:rsidDel="00000000" w:rsidP="00000000" w:rsidRDefault="00000000" w:rsidRPr="00000000" w14:paraId="00000008">
      <w:pPr>
        <w:shd w:fill="auto" w:val="clear"/>
        <w:spacing w:after="0" w:before="0"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Osobitná časť</w:t>
      </w:r>
    </w:p>
    <w:p w:rsidR="00000000" w:rsidDel="00000000" w:rsidP="00000000" w:rsidRDefault="00000000" w:rsidRPr="00000000" w14:paraId="0000000A">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w:t>
      </w:r>
    </w:p>
    <w:p w:rsidR="00000000" w:rsidDel="00000000" w:rsidP="00000000" w:rsidRDefault="00000000" w:rsidRPr="00000000" w14:paraId="0000000B">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bodom 1 až 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návrhu sa vypúšťajú ustanovenia, ktoré dávajú rade fondu právomoci rozhodovať o poskytovaní finančných prostriedkov, voliť a odvolať členov dozornej komisie a zriaďovať, zlučovať a zrušovať odborné komisie. Kompetencie sa prenášajú na riaditeľa fondu.</w:t>
      </w:r>
    </w:p>
    <w:p w:rsidR="00000000" w:rsidDel="00000000" w:rsidP="00000000" w:rsidRDefault="00000000" w:rsidRPr="00000000" w14:paraId="0000000D">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E">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Znižuje sa počet členov rady fondu na 9. Všetci členovia rady, ktorých vymenúva minister kultúry, musia byť vymenovaní výlučne na základe návrhu, pričom dôraz sa kladie na odbornú reprezentáciu jednotlivých umeleckých a kultúrnych oblastí. Táto zmena podporuje efektívnejšie a </w:t>
      </w:r>
      <w:r w:rsidDel="00000000" w:rsidR="00000000" w:rsidRPr="00000000">
        <w:rPr>
          <w:rFonts w:ascii="Times New Roman" w:cs="Times New Roman" w:eastAsia="Times New Roman" w:hAnsi="Times New Roman"/>
          <w:sz w:val="24"/>
          <w:szCs w:val="24"/>
          <w:rtl w:val="0"/>
        </w:rPr>
        <w:t xml:space="preserve">apolitické</w:t>
      </w:r>
      <w:r w:rsidDel="00000000" w:rsidR="00000000" w:rsidRPr="00000000">
        <w:rPr>
          <w:rFonts w:ascii="Times New Roman" w:cs="Times New Roman" w:eastAsia="Times New Roman" w:hAnsi="Times New Roman"/>
          <w:sz w:val="24"/>
          <w:szCs w:val="24"/>
          <w:rtl w:val="0"/>
        </w:rPr>
        <w:t xml:space="preserve"> fungovanie rady fondu.</w:t>
      </w:r>
    </w:p>
    <w:p w:rsidR="00000000" w:rsidDel="00000000" w:rsidP="00000000" w:rsidRDefault="00000000" w:rsidRPr="00000000" w14:paraId="00000010">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Vypúšťa</w:t>
      </w:r>
      <w:r w:rsidDel="00000000" w:rsidR="00000000" w:rsidRPr="00000000">
        <w:rPr>
          <w:rFonts w:ascii="Times New Roman" w:cs="Times New Roman" w:eastAsia="Times New Roman" w:hAnsi="Times New Roman"/>
          <w:sz w:val="24"/>
          <w:szCs w:val="24"/>
          <w:rtl w:val="0"/>
        </w:rPr>
        <w:t xml:space="preserve"> sa odsek týkajúci sa konfliktu záujmov členov rady fondu, keďže rada už nebude vstupovať do rozhodovania o poskytnutí finančných prostriedkov.</w:t>
      </w:r>
    </w:p>
    <w:p w:rsidR="00000000" w:rsidDel="00000000" w:rsidP="00000000" w:rsidRDefault="00000000" w:rsidRPr="00000000" w14:paraId="00000013">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 </w:t>
      </w:r>
      <w:r w:rsidDel="00000000" w:rsidR="00000000" w:rsidRPr="00000000">
        <w:rPr>
          <w:rFonts w:ascii="Times New Roman" w:cs="Times New Roman" w:eastAsia="Times New Roman" w:hAnsi="Times New Roman"/>
          <w:sz w:val="24"/>
          <w:szCs w:val="24"/>
          <w:rtl w:val="0"/>
        </w:rPr>
        <w:t xml:space="preserve">v nadväznosti na úpravu v § 4 ods.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7">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bohu 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Dop</w:t>
      </w:r>
      <w:r w:rsidDel="00000000" w:rsidR="00000000" w:rsidRPr="00000000">
        <w:rPr>
          <w:rFonts w:ascii="Times New Roman" w:cs="Times New Roman" w:eastAsia="Times New Roman" w:hAnsi="Times New Roman"/>
          <w:sz w:val="24"/>
          <w:szCs w:val="24"/>
          <w:rtl w:val="0"/>
        </w:rPr>
        <w:t xml:space="preserve">ĺňa</w:t>
      </w:r>
      <w:r w:rsidDel="00000000" w:rsidR="00000000" w:rsidRPr="00000000">
        <w:rPr>
          <w:rFonts w:ascii="Times New Roman" w:cs="Times New Roman" w:eastAsia="Times New Roman" w:hAnsi="Times New Roman"/>
          <w:sz w:val="24"/>
          <w:szCs w:val="24"/>
          <w:rtl w:val="0"/>
        </w:rPr>
        <w:t xml:space="preserve"> sa kompetencia dozornej komisie vyjadrovať stanovisko k podnetom žiadateľa voči rozhodnutiu voči rozhodnutiu riaditeľa podľa § 18 ods. 8 písm. b), ak žiadateľ namieta nedodržanie pravidiel a zásad podpornej činnosti fondu.</w:t>
      </w:r>
    </w:p>
    <w:p w:rsidR="00000000" w:rsidDel="00000000" w:rsidP="00000000" w:rsidRDefault="00000000" w:rsidRPr="00000000" w14:paraId="00000019">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A">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bodom 9 až 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Nové znenia ustanovení upravujú zloženie a spôsob vymenovania členov dozornej komisie, pričom sa zabezpečuje ich väčšia nezávislosť.</w:t>
      </w:r>
      <w:r w:rsidDel="00000000" w:rsidR="00000000" w:rsidRPr="00000000">
        <w:rPr>
          <w:rtl w:val="0"/>
        </w:rPr>
      </w:r>
    </w:p>
    <w:p w:rsidR="00000000" w:rsidDel="00000000" w:rsidP="00000000" w:rsidRDefault="00000000" w:rsidRPr="00000000" w14:paraId="0000001C">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bodom 12 až 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Kompetencia rozhodovania o poskytnutí finančných prostriedkov sa presúva na riaditeľa fondu, pričom kľúčovú úlohu v procese posudzovania projektov budú zohrávať odborné komisie svojimi stanoviskami. Tieto zmeny reflektujú potrebu odborného a efektívneho rozhodovania o žiadostiach.</w:t>
      </w:r>
    </w:p>
    <w:p w:rsidR="00000000" w:rsidDel="00000000" w:rsidP="00000000" w:rsidRDefault="00000000" w:rsidRPr="00000000" w14:paraId="0000001F">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0">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Zavádza sa možnosť obmedziť poskytovanie finančných prostriedkov subjektom, ktorých štatutárny orgán opakovane nedodržiava povinnosti voči fondu. Tento krok zlepšuje právnu ochranu fondu pred </w:t>
      </w:r>
      <w:r w:rsidDel="00000000" w:rsidR="00000000" w:rsidRPr="00000000">
        <w:rPr>
          <w:rFonts w:ascii="Times New Roman" w:cs="Times New Roman" w:eastAsia="Times New Roman" w:hAnsi="Times New Roman"/>
          <w:sz w:val="24"/>
          <w:szCs w:val="24"/>
          <w:rtl w:val="0"/>
        </w:rPr>
        <w:t xml:space="preserve">neplnením</w:t>
      </w:r>
      <w:r w:rsidDel="00000000" w:rsidR="00000000" w:rsidRPr="00000000">
        <w:rPr>
          <w:rFonts w:ascii="Times New Roman" w:cs="Times New Roman" w:eastAsia="Times New Roman" w:hAnsi="Times New Roman"/>
          <w:sz w:val="24"/>
          <w:szCs w:val="24"/>
          <w:rtl w:val="0"/>
        </w:rPr>
        <w:t xml:space="preserve"> záväzkov.</w:t>
      </w:r>
    </w:p>
    <w:p w:rsidR="00000000" w:rsidDel="00000000" w:rsidP="00000000" w:rsidRDefault="00000000" w:rsidRPr="00000000" w14:paraId="00000022">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3">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Ustanovuje sa možnosť žiadateľa podať podnet na dozornú komisiu z dôvodu nedodržania pravidiel a zásad podpornej činnosti fondu voči rozhodnutiu rady o neposkytnutí finančných prostriedkov. Podnet môže žiadateľ podať v lehote do troch týždňov od zverejnenia rozhodnutia rady.</w:t>
      </w:r>
      <w:r w:rsidDel="00000000" w:rsidR="00000000" w:rsidRPr="00000000">
        <w:rPr>
          <w:rtl w:val="0"/>
        </w:rPr>
      </w:r>
    </w:p>
    <w:p w:rsidR="00000000" w:rsidDel="00000000" w:rsidP="00000000" w:rsidRDefault="00000000" w:rsidRPr="00000000" w14:paraId="00000025">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 o úpravu v nadväznosti na prenos kompetencií z rady na riaditeľa fondu.</w:t>
      </w:r>
      <w:r w:rsidDel="00000000" w:rsidR="00000000" w:rsidRPr="00000000">
        <w:rPr>
          <w:rtl w:val="0"/>
        </w:rPr>
      </w:r>
    </w:p>
    <w:p w:rsidR="00000000" w:rsidDel="00000000" w:rsidP="00000000" w:rsidRDefault="00000000" w:rsidRPr="00000000" w14:paraId="00000028">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Dopĺňa sa ustanovenie umožňujúce financovanie odmien členov odborných komisií z podpory fondu. Výkon členstva v odbornej komisii je neoddeliteľne spätý s podpornou činnosťou fondu, keďže odborné komisie zohrávajú kľúčovú úlohu pri posudzovaní žiadostí a poskytovaní kvalifikovaných stanovísk. Dopĺňané ustanovenie jednoznačne vyjasňuje túto situáciu a zabezpečuje súlad s doterajšou praxou a požiadavkami transparentnosti.</w:t>
      </w:r>
      <w:r w:rsidDel="00000000" w:rsidR="00000000" w:rsidRPr="00000000">
        <w:rPr>
          <w:rtl w:val="0"/>
        </w:rPr>
      </w:r>
    </w:p>
    <w:p w:rsidR="00000000" w:rsidDel="00000000" w:rsidP="00000000" w:rsidRDefault="00000000" w:rsidRPr="00000000" w14:paraId="0000002B">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C">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 </w:t>
      </w:r>
      <w:r w:rsidDel="00000000" w:rsidR="00000000" w:rsidRPr="00000000">
        <w:rPr>
          <w:rFonts w:ascii="Times New Roman" w:cs="Times New Roman" w:eastAsia="Times New Roman" w:hAnsi="Times New Roman"/>
          <w:sz w:val="24"/>
          <w:szCs w:val="24"/>
          <w:rtl w:val="0"/>
        </w:rPr>
        <w:t xml:space="preserve">v nadväznosti na úpravu v § 4 ods.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F">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Zníženie percenta na pôvodný stav, tzn. stav pred prijatím poslednej novely (zákon č. 169/2022 Z. z.).</w:t>
      </w:r>
    </w:p>
    <w:p w:rsidR="00000000" w:rsidDel="00000000" w:rsidP="00000000" w:rsidRDefault="00000000" w:rsidRPr="00000000" w14:paraId="00000031">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2">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28: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 v nadväznosti na zmenu v § 13 ods. 2.</w:t>
      </w:r>
    </w:p>
    <w:p w:rsidR="00000000" w:rsidDel="00000000" w:rsidP="00000000" w:rsidRDefault="00000000" w:rsidRPr="00000000" w14:paraId="00000034">
      <w:pPr>
        <w:spacing w:after="0" w:before="0" w:lineRule="auto"/>
        <w:ind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5">
      <w:pPr>
        <w:spacing w:after="0" w:before="0" w:lineRule="auto"/>
        <w:ind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29:</w:t>
      </w:r>
    </w:p>
    <w:p w:rsidR="00000000" w:rsidDel="00000000" w:rsidP="00000000" w:rsidRDefault="00000000" w:rsidRPr="00000000" w14:paraId="00000036">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že fond zverejní na svojom webovom sídle doklad preukazujúci splnenie podmienky odbornej praxe člena rady fondu, tzn. splnenie najmenej päťročnej odbornej praxe v oblasti umenia, kultúry alebo kreatívneho priemyslu, ktorý mu na žiadosť poskytne ministerstvo kultúry.</w:t>
      </w:r>
    </w:p>
    <w:p w:rsidR="00000000" w:rsidDel="00000000" w:rsidP="00000000" w:rsidRDefault="00000000" w:rsidRPr="00000000" w14:paraId="00000037">
      <w:pPr>
        <w:spacing w:after="0" w:before="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bodu 30: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0" w:before="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praxi sa ukázalo, že na základe súčasného ustanovenia sú dotknuté body pozastavené už piaty rok, čo v praxi znamená, že prijímatelia dotácií napríklad nepredkladajú k vyúčtovaniu dotácie účtovné doklady, hoci aktuálne vyhlásená krízová situácia nemá taký dopad na kultúru, aby bránila riadnemu vyúčtovaniu vrátane účtovných dokladov. Táto úprava zužuje rozsah výnimiek na prípady, kde je krízová situácia skutočne relevantná.</w:t>
      </w:r>
    </w:p>
    <w:p w:rsidR="00000000" w:rsidDel="00000000" w:rsidP="00000000" w:rsidRDefault="00000000" w:rsidRPr="00000000" w14:paraId="0000003A">
      <w:pPr>
        <w:ind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w:t>
      </w:r>
    </w:p>
    <w:p w:rsidR="00000000" w:rsidDel="00000000" w:rsidP="00000000" w:rsidRDefault="00000000" w:rsidRPr="00000000" w14:paraId="0000003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účinnosť zákona od 1. januára 2026, čo zabezpečuje dostatočný čas na adaptáciu procesov v súlade s novelou.</w:t>
      </w:r>
      <w:r w:rsidDel="00000000" w:rsidR="00000000" w:rsidRPr="00000000">
        <w:rPr>
          <w:rtl w:val="0"/>
        </w:rPr>
      </w:r>
    </w:p>
    <w:p w:rsidR="00000000" w:rsidDel="00000000" w:rsidP="00000000" w:rsidRDefault="00000000" w:rsidRPr="00000000" w14:paraId="0000003C">
      <w:pPr>
        <w:ind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ind w:firstLine="0"/>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hd w:fill="ffffff" w:val="clear"/>
        <w:spacing w:after="240" w:before="240" w:line="276" w:lineRule="auto"/>
        <w:ind w:firstLine="566.9291338582678"/>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