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A6468" w:rsidP="009A6468">
      <w:pPr>
        <w:pStyle w:val="Heading4"/>
        <w:widowControl w:val="0"/>
        <w:rPr>
          <w:i/>
          <w:sz w:val="26"/>
          <w:szCs w:val="26"/>
        </w:rPr>
      </w:pPr>
      <w:r>
        <w:rPr>
          <w:i/>
          <w:sz w:val="26"/>
          <w:szCs w:val="26"/>
          <w:lang w:val="cs-CZ"/>
        </w:rPr>
        <w:t>Vý</w:t>
      </w:r>
      <w:r>
        <w:rPr>
          <w:i/>
          <w:sz w:val="26"/>
          <w:szCs w:val="26"/>
        </w:rPr>
        <w:t>bor Národnej rady Slovenskej republiky</w:t>
      </w:r>
    </w:p>
    <w:p w:rsidR="009A6468" w:rsidP="009A6468">
      <w:pPr>
        <w:rPr>
          <w:b/>
        </w:rPr>
      </w:pPr>
      <w:r>
        <w:rPr>
          <w:b/>
          <w:i/>
          <w:sz w:val="26"/>
          <w:szCs w:val="26"/>
        </w:rPr>
        <w:t xml:space="preserve">               pre financie a rozpočet  </w:t>
      </w:r>
    </w:p>
    <w:p w:rsidR="009A6468" w:rsidP="009A6468">
      <w:pPr>
        <w:rPr>
          <w:b/>
        </w:rPr>
      </w:pPr>
    </w:p>
    <w:p w:rsidR="009A6468" w:rsidP="009A6468">
      <w:pPr>
        <w:jc w:val="right"/>
        <w:rPr>
          <w:b/>
        </w:rPr>
      </w:pPr>
      <w:r>
        <w:rPr>
          <w:b/>
          <w:sz w:val="28"/>
        </w:rPr>
        <w:t xml:space="preserve">                                 </w:t>
      </w:r>
      <w:r w:rsidR="00C42382">
        <w:rPr>
          <w:b/>
          <w:sz w:val="28"/>
        </w:rPr>
        <w:t xml:space="preserve"> </w:t>
      </w:r>
      <w:r>
        <w:rPr>
          <w:b/>
          <w:sz w:val="28"/>
        </w:rPr>
        <w:t xml:space="preserve">         </w:t>
      </w:r>
      <w:r w:rsidR="00E9103D">
        <w:rPr>
          <w:b/>
          <w:sz w:val="28"/>
        </w:rPr>
        <w:t xml:space="preserve">  </w:t>
      </w:r>
      <w:r w:rsidR="00067852">
        <w:rPr>
          <w:b/>
        </w:rPr>
        <w:t xml:space="preserve">60. </w:t>
      </w:r>
      <w:r>
        <w:rPr>
          <w:b/>
        </w:rPr>
        <w:t>schôdza výboru</w:t>
      </w:r>
    </w:p>
    <w:p w:rsidR="009A6468" w:rsidRPr="00DF385F" w:rsidP="009A6468">
      <w:pPr>
        <w:ind w:right="-567"/>
      </w:pPr>
      <w:r>
        <w:rPr>
          <w:b/>
        </w:rPr>
        <w:t xml:space="preserve"> </w:t>
        <w:tab/>
        <w:tab/>
        <w:tab/>
      </w:r>
      <w:r w:rsidRPr="00DF385F">
        <w:t xml:space="preserve">                                                                         Číslo: KNR-VFR-</w:t>
      </w:r>
      <w:r w:rsidR="00067852">
        <w:t>5703</w:t>
      </w:r>
      <w:r w:rsidR="00DF385F">
        <w:t>/202</w:t>
      </w:r>
      <w:r w:rsidR="00F53DEC">
        <w:t>5</w:t>
      </w:r>
      <w:r w:rsidR="00DF385F">
        <w:t>-</w:t>
      </w:r>
      <w:r w:rsidR="00067852">
        <w:t>22</w:t>
      </w:r>
      <w:r w:rsidRPr="00DF385F">
        <w:t xml:space="preserve"> </w:t>
      </w:r>
    </w:p>
    <w:p w:rsidR="009A6468" w:rsidRPr="00F53DEC" w:rsidP="00F53DEC">
      <w:pPr>
        <w:ind w:left="3540" w:right="-567" w:firstLine="708"/>
        <w:rPr>
          <w:b/>
          <w:sz w:val="28"/>
          <w:szCs w:val="28"/>
        </w:rPr>
      </w:pPr>
    </w:p>
    <w:p w:rsidR="009A6468" w:rsidRPr="00F53DEC" w:rsidP="00F53DEC">
      <w:pPr>
        <w:ind w:right="27"/>
        <w:jc w:val="center"/>
        <w:rPr>
          <w:b/>
          <w:sz w:val="28"/>
          <w:szCs w:val="28"/>
        </w:rPr>
      </w:pPr>
      <w:r w:rsidR="00F53DEC">
        <w:rPr>
          <w:b/>
          <w:sz w:val="28"/>
          <w:szCs w:val="28"/>
        </w:rPr>
        <w:t xml:space="preserve">  </w:t>
      </w:r>
      <w:r w:rsidR="00F53DEC">
        <w:rPr>
          <w:b/>
          <w:sz w:val="28"/>
          <w:szCs w:val="28"/>
        </w:rPr>
        <w:t xml:space="preserve"> </w:t>
      </w:r>
      <w:r w:rsidR="00067852">
        <w:rPr>
          <w:b/>
          <w:sz w:val="28"/>
          <w:szCs w:val="28"/>
        </w:rPr>
        <w:t>266</w:t>
      </w:r>
    </w:p>
    <w:p w:rsidR="009A6468" w:rsidRPr="00F53DEC" w:rsidP="00F53DEC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53DEC">
        <w:rPr>
          <w:rFonts w:ascii="Times New Roman" w:hAnsi="Times New Roman"/>
          <w:sz w:val="28"/>
          <w:szCs w:val="28"/>
        </w:rPr>
        <w:t>U z n e s e n i e</w:t>
      </w:r>
    </w:p>
    <w:p w:rsidR="009A6468" w:rsidRPr="00F53DEC" w:rsidP="00F53DEC">
      <w:pPr>
        <w:jc w:val="center"/>
        <w:rPr>
          <w:b/>
          <w:sz w:val="28"/>
          <w:szCs w:val="28"/>
        </w:rPr>
      </w:pPr>
      <w:r w:rsidRPr="00F53DEC">
        <w:rPr>
          <w:b/>
          <w:sz w:val="28"/>
          <w:szCs w:val="28"/>
        </w:rPr>
        <w:t>Výboru Národnej rady Slovenskej republiky pre financie a rozpočet</w:t>
      </w:r>
    </w:p>
    <w:p w:rsidR="009A6468" w:rsidRPr="00067852" w:rsidP="00067852">
      <w:pPr>
        <w:jc w:val="center"/>
        <w:rPr>
          <w:sz w:val="28"/>
          <w:szCs w:val="28"/>
        </w:rPr>
      </w:pPr>
      <w:r w:rsidRPr="00F53DEC">
        <w:rPr>
          <w:b/>
          <w:sz w:val="28"/>
          <w:szCs w:val="28"/>
        </w:rPr>
        <w:t>z</w:t>
      </w:r>
      <w:r w:rsidR="00067852">
        <w:rPr>
          <w:b/>
          <w:sz w:val="28"/>
          <w:szCs w:val="28"/>
        </w:rPr>
        <w:t> </w:t>
      </w:r>
      <w:r w:rsidRPr="00F53DEC">
        <w:rPr>
          <w:b/>
          <w:sz w:val="28"/>
          <w:szCs w:val="28"/>
        </w:rPr>
        <w:t>1</w:t>
      </w:r>
      <w:r w:rsidR="00067852">
        <w:rPr>
          <w:b/>
          <w:sz w:val="28"/>
          <w:szCs w:val="28"/>
        </w:rPr>
        <w:t>3. októbra</w:t>
      </w:r>
      <w:r w:rsidRPr="00F53DEC">
        <w:rPr>
          <w:b/>
          <w:sz w:val="28"/>
          <w:szCs w:val="28"/>
        </w:rPr>
        <w:t xml:space="preserve"> 202</w:t>
      </w:r>
      <w:r w:rsidR="00067852">
        <w:rPr>
          <w:b/>
          <w:sz w:val="28"/>
          <w:szCs w:val="28"/>
        </w:rPr>
        <w:t>5</w:t>
      </w:r>
    </w:p>
    <w:p w:rsidR="002E253D" w:rsidP="00955CC2">
      <w:pPr>
        <w:jc w:val="both"/>
      </w:pPr>
    </w:p>
    <w:p w:rsidR="004578D4" w:rsidRPr="00847137" w:rsidP="00955CC2">
      <w:pPr>
        <w:ind w:firstLine="426"/>
        <w:jc w:val="both"/>
        <w:rPr>
          <w:bCs/>
        </w:rPr>
      </w:pPr>
      <w:r w:rsidR="00213920">
        <w:t xml:space="preserve">Výbor Národnej rady Slovenskej republiky pre </w:t>
      </w:r>
      <w:r w:rsidR="00A1320F">
        <w:t>financie a rozpočet</w:t>
      </w:r>
      <w:r w:rsidR="00213920">
        <w:t xml:space="preserve"> prerokoval </w:t>
      </w:r>
      <w:r>
        <w:t>v</w:t>
      </w:r>
      <w:r w:rsidRPr="00676C0E">
        <w:rPr>
          <w:bCs/>
        </w:rPr>
        <w:t>ládny návrh záko</w:t>
      </w:r>
      <w:r w:rsidR="000805E2">
        <w:rPr>
          <w:bCs/>
        </w:rPr>
        <w:t>n</w:t>
      </w:r>
      <w:r w:rsidR="0061373A">
        <w:rPr>
          <w:bCs/>
        </w:rPr>
        <w:t>a o štátnom rozpočte na rok 202</w:t>
      </w:r>
      <w:r w:rsidR="00067852">
        <w:rPr>
          <w:bCs/>
        </w:rPr>
        <w:t>6</w:t>
      </w:r>
      <w:r w:rsidRPr="00676C0E">
        <w:rPr>
          <w:bCs/>
        </w:rPr>
        <w:t xml:space="preserve"> </w:t>
      </w:r>
      <w:r>
        <w:rPr>
          <w:bCs/>
        </w:rPr>
        <w:t>a návrh rozpo</w:t>
      </w:r>
      <w:r w:rsidR="00557073">
        <w:rPr>
          <w:bCs/>
        </w:rPr>
        <w:t>čtu</w:t>
      </w:r>
      <w:r w:rsidR="00DC1015">
        <w:rPr>
          <w:bCs/>
        </w:rPr>
        <w:t xml:space="preserve"> </w:t>
      </w:r>
      <w:r w:rsidR="00730F08">
        <w:rPr>
          <w:bCs/>
        </w:rPr>
        <w:t>ver</w:t>
      </w:r>
      <w:r w:rsidR="00730F08">
        <w:rPr>
          <w:bCs/>
        </w:rPr>
        <w:t>ejnej správy na roky 202</w:t>
      </w:r>
      <w:r w:rsidR="00067852">
        <w:rPr>
          <w:bCs/>
        </w:rPr>
        <w:t>6</w:t>
      </w:r>
      <w:r w:rsidR="00557073">
        <w:rPr>
          <w:bCs/>
        </w:rPr>
        <w:t xml:space="preserve"> až 20</w:t>
      </w:r>
      <w:r w:rsidR="00C81885">
        <w:rPr>
          <w:bCs/>
        </w:rPr>
        <w:t>2</w:t>
      </w:r>
      <w:r w:rsidR="00F53DEC">
        <w:rPr>
          <w:bCs/>
        </w:rPr>
        <w:t>8</w:t>
      </w:r>
      <w:r>
        <w:rPr>
          <w:bCs/>
        </w:rPr>
        <w:t xml:space="preserve"> </w:t>
      </w:r>
      <w:r w:rsidRPr="00847137">
        <w:rPr>
          <w:b/>
          <w:bCs/>
        </w:rPr>
        <w:t xml:space="preserve">(tlač </w:t>
      </w:r>
      <w:r w:rsidR="002B297E">
        <w:rPr>
          <w:b/>
          <w:bCs/>
        </w:rPr>
        <w:t>1037</w:t>
      </w:r>
      <w:r w:rsidRPr="00847137">
        <w:rPr>
          <w:b/>
          <w:bCs/>
        </w:rPr>
        <w:t>)</w:t>
      </w:r>
      <w:r w:rsidRPr="00847137" w:rsidR="00CA3C6C">
        <w:rPr>
          <w:bCs/>
        </w:rPr>
        <w:t xml:space="preserve"> a</w:t>
      </w:r>
    </w:p>
    <w:p w:rsidR="002E253D" w:rsidRPr="00847137" w:rsidP="00955CC2">
      <w:pPr>
        <w:tabs>
          <w:tab w:val="left" w:pos="709"/>
          <w:tab w:val="left" w:pos="964"/>
        </w:tabs>
        <w:jc w:val="both"/>
      </w:pPr>
    </w:p>
    <w:p w:rsidR="00F55CF6" w:rsidRPr="00847137" w:rsidP="00470906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 w:rsidRPr="00847137">
        <w:rPr>
          <w:b/>
          <w:bCs/>
        </w:rPr>
        <w:t>s ú h l a s</w:t>
      </w:r>
      <w:r w:rsidR="000B68C2">
        <w:rPr>
          <w:b/>
          <w:bCs/>
        </w:rPr>
        <w:t> </w:t>
      </w:r>
      <w:r w:rsidRPr="00847137">
        <w:rPr>
          <w:b/>
          <w:bCs/>
        </w:rPr>
        <w:t>í</w:t>
      </w:r>
      <w:r w:rsidR="000B68C2">
        <w:rPr>
          <w:b/>
          <w:bCs/>
        </w:rPr>
        <w:t xml:space="preserve">   s </w:t>
      </w:r>
    </w:p>
    <w:p w:rsidR="00F55CF6" w:rsidP="00470906">
      <w:pPr>
        <w:numPr>
          <w:ilvl w:val="0"/>
          <w:numId w:val="4"/>
        </w:numPr>
        <w:tabs>
          <w:tab w:val="left" w:pos="426"/>
          <w:tab w:val="left" w:pos="709"/>
        </w:tabs>
        <w:jc w:val="both"/>
      </w:pPr>
      <w:r w:rsidRPr="00847137">
        <w:t>vládnym návrhom záko</w:t>
      </w:r>
      <w:r w:rsidRPr="00847137" w:rsidR="000805E2">
        <w:t>n</w:t>
      </w:r>
      <w:r w:rsidRPr="00847137" w:rsidR="00730F08">
        <w:t>a o štátnom rozpočte na rok 202</w:t>
      </w:r>
      <w:r w:rsidR="00F53DEC">
        <w:t>6</w:t>
      </w:r>
      <w:r w:rsidRPr="00847137">
        <w:t xml:space="preserve"> </w:t>
      </w:r>
      <w:r w:rsidRPr="00847137">
        <w:rPr>
          <w:b/>
        </w:rPr>
        <w:t>(tlač</w:t>
      </w:r>
      <w:r w:rsidR="002B297E">
        <w:rPr>
          <w:b/>
        </w:rPr>
        <w:t xml:space="preserve"> 1037</w:t>
      </w:r>
      <w:r w:rsidRPr="00847137" w:rsidR="00174180">
        <w:rPr>
          <w:b/>
        </w:rPr>
        <w:t>)</w:t>
      </w:r>
      <w:r w:rsidRPr="00847137">
        <w:t>, ktorého</w:t>
      </w:r>
    </w:p>
    <w:p w:rsidR="00F55CF6" w:rsidP="00955CC2">
      <w:pPr>
        <w:tabs>
          <w:tab w:val="left" w:pos="709"/>
          <w:tab w:val="left" w:pos="964"/>
        </w:tabs>
        <w:jc w:val="both"/>
      </w:pPr>
    </w:p>
    <w:p w:rsidR="00A50A91" w:rsidRPr="00955CC2" w:rsidP="00955CC2">
      <w:pPr>
        <w:ind w:firstLine="708"/>
        <w:jc w:val="both"/>
        <w:rPr>
          <w:b/>
          <w:bCs/>
        </w:rPr>
      </w:pPr>
      <w:r w:rsidRPr="009F442D">
        <w:rPr>
          <w:b/>
          <w:bCs/>
        </w:rPr>
        <w:t xml:space="preserve">príjmy sa rozpočtujú sumou:   </w:t>
        <w:tab/>
        <w:tab/>
      </w:r>
      <w:r w:rsidR="009F442D">
        <w:rPr>
          <w:b/>
          <w:bCs/>
        </w:rPr>
        <w:t xml:space="preserve">                      </w:t>
      </w:r>
      <w:r w:rsidR="00FC684F">
        <w:rPr>
          <w:b/>
          <w:bCs/>
        </w:rPr>
        <w:t>27 769 584 314</w:t>
      </w:r>
      <w:r w:rsidR="0079730B">
        <w:rPr>
          <w:b/>
          <w:bCs/>
        </w:rPr>
        <w:t xml:space="preserve"> </w:t>
      </w:r>
      <w:r w:rsidR="00067852">
        <w:rPr>
          <w:b/>
          <w:bCs/>
        </w:rPr>
        <w:t xml:space="preserve"> </w:t>
      </w:r>
      <w:r w:rsidRPr="00955CC2" w:rsidR="00955CC2">
        <w:rPr>
          <w:b/>
          <w:color w:val="000000"/>
        </w:rPr>
        <w:t xml:space="preserve"> </w:t>
      </w:r>
      <w:r w:rsidRPr="00955CC2" w:rsidR="009F442D">
        <w:rPr>
          <w:b/>
        </w:rPr>
        <w:t>eur</w:t>
      </w:r>
      <w:r w:rsidRPr="00955CC2">
        <w:rPr>
          <w:b/>
          <w:bCs/>
        </w:rPr>
        <w:tab/>
        <w:t xml:space="preserve">  </w:t>
      </w:r>
      <w:r w:rsidRPr="00955CC2" w:rsidR="009F442D">
        <w:rPr>
          <w:b/>
          <w:bCs/>
        </w:rPr>
        <w:t xml:space="preserve"> </w:t>
      </w:r>
      <w:r w:rsidRPr="00955CC2">
        <w:rPr>
          <w:b/>
          <w:bCs/>
        </w:rPr>
        <w:t xml:space="preserve"> </w:t>
      </w:r>
    </w:p>
    <w:p w:rsidR="00A50A91" w:rsidRPr="00955CC2" w:rsidP="00955CC2">
      <w:pPr>
        <w:jc w:val="both"/>
        <w:rPr>
          <w:b/>
          <w:bCs/>
        </w:rPr>
      </w:pPr>
      <w:r w:rsidRPr="00955CC2">
        <w:rPr>
          <w:b/>
          <w:bCs/>
        </w:rPr>
        <w:t xml:space="preserve">            výdavky sa určujú sumou:</w:t>
      </w:r>
      <w:r w:rsidRPr="00955CC2">
        <w:rPr>
          <w:b/>
        </w:rPr>
        <w:t xml:space="preserve">   </w:t>
        <w:tab/>
        <w:tab/>
      </w:r>
      <w:r w:rsidRPr="00955CC2" w:rsidR="009F442D">
        <w:rPr>
          <w:b/>
        </w:rPr>
        <w:t xml:space="preserve">                      </w:t>
      </w:r>
      <w:r w:rsidR="00FC684F">
        <w:rPr>
          <w:b/>
        </w:rPr>
        <w:t>33 521 979 063</w:t>
      </w:r>
      <w:r w:rsidRPr="00955CC2" w:rsidR="00955CC2">
        <w:rPr>
          <w:b/>
          <w:color w:val="000000"/>
        </w:rPr>
        <w:t xml:space="preserve"> </w:t>
      </w:r>
      <w:r w:rsidR="00FC684F">
        <w:rPr>
          <w:b/>
          <w:color w:val="000000"/>
        </w:rPr>
        <w:t xml:space="preserve"> </w:t>
      </w:r>
      <w:r w:rsidRPr="00955CC2" w:rsidR="00955CC2">
        <w:rPr>
          <w:b/>
          <w:color w:val="000000"/>
        </w:rPr>
        <w:t xml:space="preserve"> </w:t>
      </w:r>
      <w:r w:rsidRPr="00955CC2" w:rsidR="009F442D">
        <w:rPr>
          <w:b/>
        </w:rPr>
        <w:t>eur</w:t>
      </w:r>
      <w:r w:rsidRPr="00955CC2">
        <w:rPr>
          <w:b/>
        </w:rPr>
        <w:tab/>
        <w:t xml:space="preserve">  </w:t>
      </w:r>
      <w:r w:rsidRPr="00955CC2" w:rsidR="009F442D">
        <w:rPr>
          <w:b/>
          <w:bCs/>
        </w:rPr>
        <w:t xml:space="preserve"> </w:t>
      </w:r>
      <w:r w:rsidRPr="00955CC2">
        <w:rPr>
          <w:b/>
          <w:bCs/>
        </w:rPr>
        <w:t xml:space="preserve"> </w:t>
      </w:r>
    </w:p>
    <w:p w:rsidR="000B68C2" w:rsidP="00955CC2">
      <w:pPr>
        <w:jc w:val="both"/>
        <w:rPr>
          <w:b/>
        </w:rPr>
      </w:pPr>
      <w:r w:rsidRPr="00955CC2" w:rsidR="00A50A91">
        <w:rPr>
          <w:b/>
          <w:bCs/>
        </w:rPr>
        <w:tab/>
        <w:t xml:space="preserve">schodok štátneho rozpočtu sa určuje sumou: </w:t>
      </w:r>
      <w:r w:rsidRPr="00955CC2" w:rsidR="009F442D">
        <w:rPr>
          <w:b/>
          <w:bCs/>
        </w:rPr>
        <w:t xml:space="preserve">                </w:t>
      </w:r>
      <w:r w:rsidR="002B297E">
        <w:rPr>
          <w:b/>
          <w:bCs/>
        </w:rPr>
        <w:t xml:space="preserve">  </w:t>
      </w:r>
      <w:r w:rsidR="00FC684F">
        <w:rPr>
          <w:b/>
          <w:bCs/>
        </w:rPr>
        <w:t>5 752 394 749</w:t>
      </w:r>
      <w:r w:rsidR="0079730B">
        <w:rPr>
          <w:b/>
          <w:color w:val="000000"/>
        </w:rPr>
        <w:t xml:space="preserve"> </w:t>
      </w:r>
      <w:r w:rsidR="002B297E">
        <w:rPr>
          <w:b/>
          <w:color w:val="000000"/>
        </w:rPr>
        <w:t xml:space="preserve"> </w:t>
      </w:r>
      <w:r w:rsidR="0079730B">
        <w:rPr>
          <w:b/>
          <w:color w:val="000000"/>
        </w:rPr>
        <w:t xml:space="preserve"> </w:t>
      </w:r>
      <w:r w:rsidRPr="00955CC2" w:rsidR="009F442D">
        <w:rPr>
          <w:b/>
        </w:rPr>
        <w:t>eur</w:t>
      </w:r>
      <w:r w:rsidR="00955CC2">
        <w:rPr>
          <w:b/>
        </w:rPr>
        <w:t>;</w:t>
      </w:r>
    </w:p>
    <w:p w:rsidR="000B68C2" w:rsidP="00955CC2">
      <w:pPr>
        <w:jc w:val="both"/>
        <w:rPr>
          <w:b/>
        </w:rPr>
      </w:pPr>
    </w:p>
    <w:p w:rsidR="000B68C2" w:rsidP="000B68C2">
      <w:pPr>
        <w:tabs>
          <w:tab w:val="left" w:pos="709"/>
        </w:tabs>
        <w:ind w:left="709" w:hanging="283"/>
        <w:jc w:val="both"/>
      </w:pPr>
      <w:r>
        <w:rPr>
          <w:b/>
          <w:bCs/>
        </w:rPr>
        <w:t>b)</w:t>
      </w:r>
      <w:r w:rsidRPr="00955CC2" w:rsidR="00A50A91">
        <w:rPr>
          <w:b/>
          <w:bCs/>
        </w:rPr>
        <w:tab/>
      </w:r>
      <w:r w:rsidRPr="00955CC2" w:rsidR="009F442D">
        <w:rPr>
          <w:b/>
          <w:bCs/>
        </w:rPr>
        <w:t xml:space="preserve"> </w:t>
      </w:r>
      <w:r>
        <w:t>limitom verejných výdavkov na rok 202</w:t>
      </w:r>
      <w:r w:rsidR="00067852">
        <w:t>6</w:t>
      </w:r>
      <w:r>
        <w:t xml:space="preserve"> v sume </w:t>
      </w:r>
      <w:r w:rsidR="00FC684F">
        <w:rPr>
          <w:b/>
        </w:rPr>
        <w:t xml:space="preserve">   62 936 036 312</w:t>
      </w:r>
      <w:r w:rsidR="0079730B">
        <w:rPr>
          <w:b/>
        </w:rPr>
        <w:t xml:space="preserve"> </w:t>
      </w:r>
      <w:r w:rsidRPr="006F6C66">
        <w:rPr>
          <w:b/>
        </w:rPr>
        <w:t xml:space="preserve"> eur</w:t>
      </w:r>
    </w:p>
    <w:p w:rsidR="000B68C2" w:rsidP="000B68C2">
      <w:pPr>
        <w:tabs>
          <w:tab w:val="left" w:pos="709"/>
        </w:tabs>
        <w:ind w:left="709" w:hanging="283"/>
        <w:jc w:val="both"/>
      </w:pPr>
      <w:r>
        <w:t xml:space="preserve">      limitom verejných výdavkov na rok 20</w:t>
      </w:r>
      <w:r>
        <w:t>2</w:t>
      </w:r>
      <w:r w:rsidR="00067852">
        <w:t>7</w:t>
      </w:r>
      <w:r>
        <w:t xml:space="preserve"> v sume </w:t>
      </w:r>
      <w:r w:rsidR="00FC684F">
        <w:rPr>
          <w:b/>
        </w:rPr>
        <w:t xml:space="preserve">   63 931 327 109 </w:t>
      </w:r>
      <w:r w:rsidR="0079730B">
        <w:rPr>
          <w:b/>
        </w:rPr>
        <w:t xml:space="preserve"> </w:t>
      </w:r>
      <w:r w:rsidRPr="006F6C66">
        <w:rPr>
          <w:b/>
        </w:rPr>
        <w:t>eur</w:t>
      </w:r>
      <w:r>
        <w:t xml:space="preserve"> </w:t>
      </w:r>
    </w:p>
    <w:p w:rsidR="000B68C2" w:rsidP="000B68C2">
      <w:pPr>
        <w:tabs>
          <w:tab w:val="left" w:pos="709"/>
        </w:tabs>
        <w:ind w:left="709" w:hanging="283"/>
        <w:jc w:val="both"/>
        <w:rPr>
          <w:b/>
        </w:rPr>
      </w:pPr>
      <w:r>
        <w:t xml:space="preserve">      limitom verejných výdavkov na rok 202</w:t>
      </w:r>
      <w:r w:rsidR="00067852">
        <w:t>8</w:t>
      </w:r>
      <w:r>
        <w:t xml:space="preserve"> v sume </w:t>
      </w:r>
      <w:r w:rsidR="00FC684F">
        <w:rPr>
          <w:b/>
        </w:rPr>
        <w:t xml:space="preserve">   64 570 550 443</w:t>
      </w:r>
      <w:r w:rsidR="0079730B">
        <w:rPr>
          <w:b/>
        </w:rPr>
        <w:t xml:space="preserve"> </w:t>
      </w:r>
      <w:r w:rsidR="00FC684F">
        <w:rPr>
          <w:b/>
        </w:rPr>
        <w:t xml:space="preserve"> </w:t>
      </w:r>
      <w:r w:rsidRPr="006F6C66">
        <w:rPr>
          <w:b/>
        </w:rPr>
        <w:t>eur;</w:t>
      </w:r>
    </w:p>
    <w:p w:rsidR="000B68C2" w:rsidP="000B68C2">
      <w:pPr>
        <w:tabs>
          <w:tab w:val="left" w:pos="709"/>
        </w:tabs>
        <w:ind w:left="709" w:hanging="283"/>
      </w:pPr>
      <w:r>
        <w:t xml:space="preserve"> </w:t>
      </w:r>
    </w:p>
    <w:p w:rsidR="000B68C2" w:rsidP="00470906">
      <w:pPr>
        <w:numPr>
          <w:ilvl w:val="0"/>
          <w:numId w:val="5"/>
        </w:numPr>
        <w:tabs>
          <w:tab w:val="left" w:pos="709"/>
        </w:tabs>
        <w:ind w:left="709" w:hanging="283"/>
        <w:jc w:val="both"/>
      </w:pPr>
      <w:r>
        <w:t>limitmi verejných výdavkov subjektov verejnej správy a ďalších súčastí rozpočtu verejnej správy rozpočtovaných v rozpočte verejnej správy na rok</w:t>
      </w:r>
      <w:r>
        <w:t xml:space="preserve"> 202</w:t>
      </w:r>
      <w:r w:rsidR="00067852">
        <w:t>6</w:t>
      </w:r>
      <w:r>
        <w:t xml:space="preserve"> uvedených v prílohe tohto uznesenia;</w:t>
      </w:r>
    </w:p>
    <w:p w:rsidR="00F55CF6" w:rsidP="00955CC2">
      <w:pPr>
        <w:tabs>
          <w:tab w:val="left" w:pos="709"/>
          <w:tab w:val="left" w:pos="964"/>
        </w:tabs>
        <w:jc w:val="both"/>
      </w:pPr>
    </w:p>
    <w:p w:rsidR="00F55CF6" w:rsidP="00470906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DD7555" w:rsidP="00470906">
      <w:pPr>
        <w:numPr>
          <w:ilvl w:val="0"/>
          <w:numId w:val="3"/>
        </w:numPr>
        <w:tabs>
          <w:tab w:val="left" w:pos="426"/>
          <w:tab w:val="left" w:pos="709"/>
        </w:tabs>
        <w:ind w:hanging="294"/>
        <w:jc w:val="both"/>
      </w:pPr>
      <w:r w:rsidR="00F55CF6">
        <w:t xml:space="preserve">návrh rozpočtu verejnej správy </w:t>
      </w:r>
      <w:r w:rsidR="00730F08">
        <w:t>na roky 202</w:t>
      </w:r>
      <w:r w:rsidR="00F53DEC">
        <w:t>6</w:t>
      </w:r>
      <w:r w:rsidR="00CA3C6C">
        <w:t xml:space="preserve"> až 20</w:t>
      </w:r>
      <w:r w:rsidR="00174180">
        <w:t>2</w:t>
      </w:r>
      <w:r w:rsidR="00F53DEC">
        <w:t>8</w:t>
      </w:r>
      <w:r w:rsidR="009374F3">
        <w:t>;</w:t>
      </w:r>
    </w:p>
    <w:p w:rsidR="00B2643A" w:rsidP="00C42382">
      <w:pPr>
        <w:tabs>
          <w:tab w:val="left" w:pos="426"/>
          <w:tab w:val="left" w:pos="709"/>
        </w:tabs>
        <w:ind w:left="780" w:hanging="294"/>
        <w:jc w:val="both"/>
      </w:pPr>
    </w:p>
    <w:p w:rsidR="00667BD0" w:rsidP="00470906">
      <w:pPr>
        <w:numPr>
          <w:ilvl w:val="0"/>
          <w:numId w:val="3"/>
        </w:numPr>
        <w:tabs>
          <w:tab w:val="left" w:pos="567"/>
          <w:tab w:val="left" w:pos="709"/>
        </w:tabs>
        <w:ind w:hanging="294"/>
        <w:jc w:val="both"/>
      </w:pPr>
      <w:r w:rsidR="00C42382">
        <w:t xml:space="preserve"> </w:t>
      </w:r>
      <w:r>
        <w:t>Stanovisko Naj</w:t>
      </w:r>
      <w:r w:rsidR="00730F08">
        <w:t>vyššieho kontrolného úradu S</w:t>
      </w:r>
      <w:r w:rsidR="00955CC2">
        <w:t>lovenskej republiky</w:t>
      </w:r>
      <w:r w:rsidR="00730F08">
        <w:t xml:space="preserve"> k </w:t>
      </w:r>
      <w:r>
        <w:t>návrhu zákona o štátnom rozpočte</w:t>
      </w:r>
      <w:r w:rsidR="000805E2">
        <w:t xml:space="preserve"> </w:t>
      </w:r>
      <w:r w:rsidR="00B2643A">
        <w:t>Slovenskej republiky na rok</w:t>
      </w:r>
      <w:r w:rsidR="00B2643A">
        <w:t xml:space="preserve"> </w:t>
      </w:r>
      <w:r w:rsidRPr="00E66637" w:rsidR="00B2643A">
        <w:t>202</w:t>
      </w:r>
      <w:r w:rsidR="00F53DEC">
        <w:t>6</w:t>
      </w:r>
      <w:r w:rsidRPr="00E66637">
        <w:t xml:space="preserve"> </w:t>
      </w:r>
      <w:r w:rsidRPr="005E22B7" w:rsidR="005E22B7">
        <w:rPr>
          <w:b/>
        </w:rPr>
        <w:t>(tlač 1053)</w:t>
      </w:r>
      <w:r w:rsidRPr="00E66637">
        <w:t xml:space="preserve"> predložené</w:t>
      </w:r>
      <w:r w:rsidR="00DF385F">
        <w:t xml:space="preserve"> podľa § 5 ods. </w:t>
      </w:r>
      <w:r>
        <w:t>1 zákona č. 39/1993 Z. z. o Najvyššom kontrolnom úrade Slovenskej republiky v znení neskorších predpisov;</w:t>
      </w:r>
    </w:p>
    <w:p w:rsidR="00A50A91" w:rsidRPr="00955CC2" w:rsidP="00955CC2">
      <w:pPr>
        <w:jc w:val="both"/>
        <w:rPr>
          <w:b/>
          <w:bCs/>
          <w:iCs/>
        </w:rPr>
      </w:pPr>
    </w:p>
    <w:p w:rsidR="002E253D" w:rsidP="00470906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0B68C2" w:rsidP="00955CC2">
      <w:pPr>
        <w:tabs>
          <w:tab w:val="left" w:pos="426"/>
          <w:tab w:val="left" w:pos="964"/>
        </w:tabs>
        <w:jc w:val="both"/>
        <w:rPr>
          <w:b/>
          <w:bCs/>
        </w:rPr>
      </w:pPr>
      <w:r w:rsidR="00CA3C6C">
        <w:rPr>
          <w:b/>
          <w:bCs/>
        </w:rPr>
        <w:tab/>
      </w:r>
      <w:r w:rsidR="002E253D">
        <w:rPr>
          <w:b/>
          <w:bCs/>
        </w:rPr>
        <w:t>Národnej rade Slovenskej republiky</w:t>
      </w:r>
      <w:r>
        <w:rPr>
          <w:b/>
          <w:bCs/>
        </w:rPr>
        <w:t xml:space="preserve"> </w:t>
      </w:r>
    </w:p>
    <w:p w:rsidR="000B68C2" w:rsidP="00955CC2">
      <w:pPr>
        <w:tabs>
          <w:tab w:val="left" w:pos="426"/>
          <w:tab w:val="left" w:pos="964"/>
        </w:tabs>
        <w:jc w:val="both"/>
        <w:rPr>
          <w:b/>
          <w:bCs/>
        </w:rPr>
      </w:pPr>
    </w:p>
    <w:p w:rsidR="00213920" w:rsidRPr="00C42382" w:rsidP="00470906">
      <w:pPr>
        <w:numPr>
          <w:ilvl w:val="0"/>
          <w:numId w:val="6"/>
        </w:numPr>
        <w:tabs>
          <w:tab w:val="left" w:pos="426"/>
          <w:tab w:val="left" w:pos="964"/>
        </w:tabs>
        <w:jc w:val="both"/>
        <w:rPr>
          <w:b/>
          <w:bCs/>
        </w:rPr>
      </w:pPr>
      <w:r w:rsidR="000B68C2">
        <w:rPr>
          <w:b/>
          <w:bCs/>
        </w:rPr>
        <w:t>schváliť</w:t>
      </w:r>
    </w:p>
    <w:p w:rsidR="00FB2F99" w:rsidRPr="000B68C2" w:rsidP="00470906">
      <w:pPr>
        <w:numPr>
          <w:ilvl w:val="0"/>
          <w:numId w:val="2"/>
        </w:numPr>
        <w:tabs>
          <w:tab w:val="left" w:pos="709"/>
        </w:tabs>
        <w:ind w:left="993" w:firstLine="0"/>
        <w:jc w:val="both"/>
      </w:pPr>
      <w:r w:rsidR="002E253D">
        <w:t xml:space="preserve">vládny návrh zákona o štátnom rozpočte </w:t>
      </w:r>
      <w:r w:rsidR="00730F08">
        <w:t xml:space="preserve">na </w:t>
      </w:r>
      <w:r w:rsidR="00730F08">
        <w:t xml:space="preserve">rok </w:t>
      </w:r>
      <w:r w:rsidRPr="00847137" w:rsidR="00730F08">
        <w:t>202</w:t>
      </w:r>
      <w:r w:rsidR="00F53DEC">
        <w:t>6</w:t>
      </w:r>
      <w:r w:rsidRPr="00847137" w:rsidR="003202F4">
        <w:t xml:space="preserve"> </w:t>
      </w:r>
      <w:r w:rsidRPr="00847137" w:rsidR="00213920">
        <w:rPr>
          <w:b/>
        </w:rPr>
        <w:t xml:space="preserve">(tlač </w:t>
      </w:r>
      <w:r w:rsidR="002B297E">
        <w:rPr>
          <w:b/>
        </w:rPr>
        <w:t>1037</w:t>
      </w:r>
      <w:r w:rsidRPr="00847137" w:rsidR="00213920">
        <w:rPr>
          <w:b/>
        </w:rPr>
        <w:t>)</w:t>
      </w:r>
      <w:r w:rsidR="004919DA">
        <w:rPr>
          <w:b/>
          <w:bCs/>
        </w:rPr>
        <w:t>,</w:t>
      </w:r>
      <w:r w:rsidRPr="00D90882" w:rsidR="00B94B80">
        <w:rPr>
          <w:b/>
          <w:bCs/>
        </w:rPr>
        <w:t xml:space="preserve"> </w:t>
      </w:r>
    </w:p>
    <w:p w:rsidR="000B68C2" w:rsidP="00470906">
      <w:pPr>
        <w:numPr>
          <w:ilvl w:val="0"/>
          <w:numId w:val="2"/>
        </w:numPr>
        <w:tabs>
          <w:tab w:val="left" w:pos="709"/>
        </w:tabs>
        <w:ind w:left="993" w:firstLine="0"/>
        <w:jc w:val="both"/>
      </w:pPr>
      <w:r>
        <w:t>limity verejných výdavkov na roky 202</w:t>
      </w:r>
      <w:r w:rsidR="00F53DEC">
        <w:t>6</w:t>
      </w:r>
      <w:r>
        <w:t xml:space="preserve"> až 202</w:t>
      </w:r>
      <w:r w:rsidR="00F53DEC">
        <w:t>8</w:t>
      </w:r>
      <w:r>
        <w:t>,</w:t>
      </w:r>
    </w:p>
    <w:p w:rsidR="000B68C2" w:rsidP="00470906">
      <w:pPr>
        <w:numPr>
          <w:ilvl w:val="0"/>
          <w:numId w:val="2"/>
        </w:numPr>
        <w:tabs>
          <w:tab w:val="left" w:pos="709"/>
        </w:tabs>
        <w:ind w:left="1418" w:hanging="425"/>
        <w:jc w:val="both"/>
      </w:pPr>
      <w:r>
        <w:t>limity verejných výdavkov subjektov verejnej správy a ďalších súčastí rozpočtu verejnej správy rozpočtovaných v rozpočte verejnej správy na rok 202</w:t>
      </w:r>
      <w:r w:rsidR="00F53DEC">
        <w:t>6</w:t>
      </w:r>
      <w:r w:rsidR="00AE7244">
        <w:t>;</w:t>
      </w:r>
    </w:p>
    <w:p w:rsidR="000B68C2" w:rsidP="000B68C2">
      <w:pPr>
        <w:tabs>
          <w:tab w:val="left" w:pos="709"/>
        </w:tabs>
        <w:jc w:val="both"/>
      </w:pPr>
    </w:p>
    <w:p w:rsidR="00FB2F99" w:rsidRPr="000B68C2" w:rsidP="00470906">
      <w:pPr>
        <w:numPr>
          <w:ilvl w:val="0"/>
          <w:numId w:val="6"/>
        </w:numPr>
        <w:tabs>
          <w:tab w:val="left" w:pos="709"/>
        </w:tabs>
        <w:jc w:val="both"/>
        <w:rPr>
          <w:b/>
          <w:bCs/>
        </w:rPr>
      </w:pPr>
      <w:r w:rsidRPr="00FB2F99" w:rsidR="000B68C2">
        <w:rPr>
          <w:b/>
        </w:rPr>
        <w:t>vziať na vedomie</w:t>
      </w:r>
      <w:r w:rsidR="000B68C2">
        <w:rPr>
          <w:b/>
          <w:bCs/>
        </w:rPr>
        <w:t xml:space="preserve"> </w:t>
      </w:r>
      <w:r w:rsidR="00F70DB4">
        <w:t>návrh rozpo</w:t>
      </w:r>
      <w:r w:rsidR="00A72A3A">
        <w:t>č</w:t>
      </w:r>
      <w:r w:rsidR="00A50A91">
        <w:t>tu ve</w:t>
      </w:r>
      <w:r w:rsidR="00A50A91">
        <w:t>rejnej správy na roky 202</w:t>
      </w:r>
      <w:r w:rsidR="00F53DEC">
        <w:t>6</w:t>
      </w:r>
      <w:r w:rsidR="00077AD5">
        <w:t xml:space="preserve"> </w:t>
      </w:r>
      <w:r w:rsidR="00C87F23">
        <w:t>až 2</w:t>
      </w:r>
      <w:r w:rsidR="00174180">
        <w:t>02</w:t>
      </w:r>
      <w:r w:rsidR="00F53DEC">
        <w:t>8</w:t>
      </w:r>
      <w:r w:rsidRPr="00AE7244" w:rsidR="00AE7244">
        <w:t>;</w:t>
      </w:r>
    </w:p>
    <w:p w:rsidR="00DA2426" w:rsidP="000B68C2">
      <w:pPr>
        <w:tabs>
          <w:tab w:val="left" w:pos="709"/>
        </w:tabs>
        <w:ind w:left="709"/>
        <w:jc w:val="both"/>
      </w:pPr>
    </w:p>
    <w:p w:rsidR="00A70758" w:rsidP="00470906">
      <w:pPr>
        <w:numPr>
          <w:ilvl w:val="0"/>
          <w:numId w:val="6"/>
        </w:numPr>
        <w:tabs>
          <w:tab w:val="left" w:pos="709"/>
        </w:tabs>
        <w:jc w:val="both"/>
      </w:pPr>
      <w:r w:rsidRPr="00FB2F99">
        <w:rPr>
          <w:b/>
        </w:rPr>
        <w:t>požiadať vládu S</w:t>
      </w:r>
      <w:r w:rsidRPr="00FB2F99" w:rsidR="008C06D2">
        <w:rPr>
          <w:b/>
        </w:rPr>
        <w:t>lovenskej republiky</w:t>
      </w:r>
      <w:r w:rsidRPr="001B4FCB">
        <w:t>,</w:t>
      </w:r>
      <w:r w:rsidRPr="001B4FCB" w:rsidR="00CA3C6C">
        <w:t xml:space="preserve"> </w:t>
      </w:r>
      <w:r w:rsidRPr="001B4FCB" w:rsidR="001B4FCB">
        <w:t>aby</w:t>
      </w:r>
      <w:r w:rsidRPr="00FB2F99" w:rsidR="001B4FCB">
        <w:rPr>
          <w:b/>
        </w:rPr>
        <w:t xml:space="preserve"> </w:t>
      </w:r>
      <w:r w:rsidRPr="00A70758">
        <w:t>dôsledne zabezpečova</w:t>
      </w:r>
      <w:r w:rsidR="001B4FCB">
        <w:t>la</w:t>
      </w:r>
      <w:r w:rsidRPr="00A70758">
        <w:t xml:space="preserve"> úlohy vyplývajúce zo schválené</w:t>
      </w:r>
      <w:r w:rsidR="00CA3C6C">
        <w:t xml:space="preserve">ho </w:t>
      </w:r>
      <w:r w:rsidR="00327B67">
        <w:t>štátn</w:t>
      </w:r>
      <w:r w:rsidR="00756C9C">
        <w:t>eho</w:t>
      </w:r>
      <w:r w:rsidR="00327B67">
        <w:t xml:space="preserve"> rozpočt</w:t>
      </w:r>
      <w:r w:rsidR="00756C9C">
        <w:t>u</w:t>
      </w:r>
      <w:r w:rsidR="00A72A3A">
        <w:t xml:space="preserve"> n</w:t>
      </w:r>
      <w:r w:rsidR="00730F08">
        <w:t>a rok 202</w:t>
      </w:r>
      <w:r w:rsidR="00F53DEC">
        <w:t>6</w:t>
      </w:r>
      <w:r w:rsidR="00CA3C6C">
        <w:t>;</w:t>
      </w:r>
    </w:p>
    <w:p w:rsidR="00DE14CC" w:rsidP="00DE14CC">
      <w:pPr>
        <w:pStyle w:val="ListParagraph"/>
      </w:pPr>
    </w:p>
    <w:p w:rsidR="00DE14CC" w:rsidRPr="00A70758" w:rsidP="00470906">
      <w:pPr>
        <w:numPr>
          <w:ilvl w:val="0"/>
          <w:numId w:val="6"/>
        </w:numPr>
        <w:tabs>
          <w:tab w:val="left" w:pos="709"/>
        </w:tabs>
        <w:jc w:val="both"/>
      </w:pPr>
      <w:r>
        <w:rPr>
          <w:b/>
        </w:rPr>
        <w:t>splnomocniť</w:t>
      </w:r>
      <w:r w:rsidRPr="00FB2F99">
        <w:rPr>
          <w:b/>
        </w:rPr>
        <w:t xml:space="preserve"> vládu Slovenskej republiky</w:t>
      </w:r>
      <w:r>
        <w:rPr>
          <w:rStyle w:val="awspan"/>
          <w:color w:val="000000"/>
          <w:sz w:val="27"/>
          <w:szCs w:val="27"/>
        </w:rPr>
        <w:t xml:space="preserve"> </w:t>
      </w:r>
      <w:r w:rsidRPr="00DE14CC">
        <w:rPr>
          <w:rStyle w:val="awspan"/>
          <w:color w:val="000000"/>
        </w:rPr>
        <w:t>upraviť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limity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verejných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výdavkov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subjektov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verejne</w:t>
      </w:r>
      <w:r w:rsidRPr="00DE14CC">
        <w:rPr>
          <w:rStyle w:val="awspan"/>
          <w:color w:val="000000"/>
        </w:rPr>
        <w:t>j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správy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a ďalších</w:t>
      </w:r>
      <w:r w:rsidRPr="00DE14CC">
        <w:rPr>
          <w:rStyle w:val="awspan"/>
          <w:color w:val="000000"/>
          <w:spacing w:val="-14"/>
        </w:rPr>
        <w:t xml:space="preserve"> </w:t>
      </w:r>
      <w:r w:rsidRPr="00DE14CC">
        <w:rPr>
          <w:rStyle w:val="awspan"/>
          <w:color w:val="000000"/>
        </w:rPr>
        <w:t>súčastí rozpočtu verejnej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správy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rozpočtovaných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v rozpočte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verejnej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správy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na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rok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202</w:t>
      </w:r>
      <w:r w:rsidR="00F53DEC">
        <w:rPr>
          <w:rStyle w:val="awspan"/>
          <w:color w:val="000000"/>
        </w:rPr>
        <w:t>6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a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uvedených</w:t>
      </w:r>
      <w:r w:rsidRPr="00DE14CC">
        <w:rPr>
          <w:rStyle w:val="awspan"/>
          <w:color w:val="000000"/>
          <w:spacing w:val="1"/>
        </w:rPr>
        <w:t xml:space="preserve"> </w:t>
      </w:r>
      <w:r w:rsidRPr="00DE14CC">
        <w:rPr>
          <w:rStyle w:val="awspan"/>
          <w:color w:val="000000"/>
        </w:rPr>
        <w:t>v prílohe tohto uznesenia pri dodržaní celkového limitu verejných výdavkov.</w:t>
      </w:r>
    </w:p>
    <w:p w:rsidR="00A50A91" w:rsidP="00290DAE">
      <w:pPr>
        <w:tabs>
          <w:tab w:val="left" w:pos="709"/>
          <w:tab w:val="left" w:pos="964"/>
        </w:tabs>
        <w:jc w:val="both"/>
      </w:pPr>
    </w:p>
    <w:p w:rsidR="006A4BA0" w:rsidRPr="001B4FCB" w:rsidP="00470906">
      <w:pPr>
        <w:pStyle w:val="Heading5"/>
        <w:numPr>
          <w:ilvl w:val="0"/>
          <w:numId w:val="1"/>
        </w:numPr>
        <w:spacing w:before="0" w:after="0"/>
        <w:ind w:left="426" w:hanging="426"/>
        <w:rPr>
          <w:i w:val="0"/>
          <w:sz w:val="24"/>
          <w:szCs w:val="24"/>
        </w:rPr>
      </w:pPr>
      <w:r w:rsidR="001B4FCB">
        <w:rPr>
          <w:i w:val="0"/>
          <w:sz w:val="24"/>
          <w:szCs w:val="24"/>
          <w:lang w:val="sk-SK"/>
        </w:rPr>
        <w:t>p o v e r u j e</w:t>
      </w:r>
    </w:p>
    <w:p w:rsidR="006A4BA0" w:rsidP="00955CC2">
      <w:pPr>
        <w:ind w:firstLine="426"/>
        <w:rPr>
          <w:b/>
          <w:bCs/>
        </w:rPr>
      </w:pPr>
      <w:r>
        <w:rPr>
          <w:b/>
          <w:bCs/>
        </w:rPr>
        <w:t>predsed</w:t>
      </w:r>
      <w:r w:rsidR="001B4FCB">
        <w:rPr>
          <w:b/>
          <w:bCs/>
        </w:rPr>
        <w:t>u</w:t>
      </w:r>
      <w:r>
        <w:rPr>
          <w:b/>
          <w:bCs/>
        </w:rPr>
        <w:t xml:space="preserve"> výboru</w:t>
      </w:r>
      <w:r w:rsidR="00594048">
        <w:rPr>
          <w:b/>
          <w:bCs/>
        </w:rPr>
        <w:t>,</w:t>
      </w:r>
    </w:p>
    <w:p w:rsidR="00395E1F" w:rsidP="00955CC2">
      <w:pPr>
        <w:rPr>
          <w:b/>
          <w:bCs/>
        </w:rPr>
      </w:pPr>
    </w:p>
    <w:p w:rsidR="00A1320F" w:rsidP="00955CC2">
      <w:pPr>
        <w:ind w:left="426"/>
        <w:jc w:val="both"/>
      </w:pPr>
      <w:r w:rsidR="00594048">
        <w:rPr>
          <w:rStyle w:val="awspan"/>
        </w:rPr>
        <w:t>aby</w:t>
      </w:r>
      <w:r w:rsidR="00594048">
        <w:rPr>
          <w:rStyle w:val="awspan"/>
          <w:spacing w:val="80"/>
        </w:rPr>
        <w:t xml:space="preserve"> </w:t>
      </w:r>
      <w:r w:rsidR="00594048">
        <w:rPr>
          <w:rStyle w:val="awspan"/>
        </w:rPr>
        <w:t>spracoval</w:t>
      </w:r>
      <w:r w:rsidR="00594048">
        <w:rPr>
          <w:rStyle w:val="awspan"/>
          <w:spacing w:val="80"/>
        </w:rPr>
        <w:t xml:space="preserve"> </w:t>
      </w:r>
      <w:r w:rsidR="00594048">
        <w:rPr>
          <w:rStyle w:val="awspan"/>
        </w:rPr>
        <w:t>výsledky</w:t>
      </w:r>
      <w:r w:rsidR="00594048">
        <w:rPr>
          <w:rStyle w:val="awspan"/>
          <w:spacing w:val="80"/>
        </w:rPr>
        <w:t xml:space="preserve"> </w:t>
      </w:r>
      <w:r w:rsidR="00594048">
        <w:rPr>
          <w:rStyle w:val="awspan"/>
        </w:rPr>
        <w:t>roko</w:t>
      </w:r>
      <w:r w:rsidR="00594048">
        <w:rPr>
          <w:rStyle w:val="awspan"/>
        </w:rPr>
        <w:t>vania</w:t>
      </w:r>
      <w:r w:rsidR="00594048">
        <w:rPr>
          <w:rStyle w:val="awspan"/>
          <w:spacing w:val="80"/>
        </w:rPr>
        <w:t xml:space="preserve"> </w:t>
      </w:r>
      <w:r w:rsidR="00594048">
        <w:rPr>
          <w:rStyle w:val="awspan"/>
        </w:rPr>
        <w:t>Výboru</w:t>
      </w:r>
      <w:r w:rsidR="00594048">
        <w:rPr>
          <w:rStyle w:val="awspan"/>
          <w:spacing w:val="4"/>
        </w:rPr>
        <w:t xml:space="preserve"> </w:t>
      </w:r>
      <w:r w:rsidR="00594048">
        <w:rPr>
          <w:rStyle w:val="awspan"/>
        </w:rPr>
        <w:t>Národnej</w:t>
      </w:r>
      <w:r w:rsidR="00594048">
        <w:rPr>
          <w:rStyle w:val="awspan"/>
          <w:spacing w:val="72"/>
        </w:rPr>
        <w:t xml:space="preserve"> </w:t>
      </w:r>
      <w:r w:rsidR="00594048">
        <w:rPr>
          <w:rStyle w:val="awspan"/>
        </w:rPr>
        <w:t>rady</w:t>
      </w:r>
      <w:r w:rsidR="00594048">
        <w:rPr>
          <w:rStyle w:val="awspan"/>
          <w:spacing w:val="72"/>
        </w:rPr>
        <w:t xml:space="preserve"> </w:t>
      </w:r>
      <w:r w:rsidR="00594048">
        <w:rPr>
          <w:rStyle w:val="awspan"/>
        </w:rPr>
        <w:t>Slovenskej</w:t>
      </w:r>
      <w:r w:rsidR="00594048">
        <w:rPr>
          <w:rStyle w:val="awspan"/>
          <w:spacing w:val="72"/>
        </w:rPr>
        <w:t xml:space="preserve"> </w:t>
      </w:r>
      <w:r w:rsidR="00594048">
        <w:rPr>
          <w:rStyle w:val="awspan"/>
        </w:rPr>
        <w:t>republiky</w:t>
      </w:r>
      <w:r w:rsidR="00594048">
        <w:rPr>
          <w:rStyle w:val="awspan"/>
          <w:spacing w:val="72"/>
        </w:rPr>
        <w:t xml:space="preserve"> </w:t>
      </w:r>
      <w:r w:rsidR="00594048">
        <w:rPr>
          <w:rStyle w:val="awspan"/>
        </w:rPr>
        <w:t>pre financie a rozpočet z  13. októbra 2025</w:t>
      </w:r>
      <w:r w:rsidR="00594048">
        <w:rPr>
          <w:rStyle w:val="awspan"/>
          <w:spacing w:val="72"/>
        </w:rPr>
        <w:t xml:space="preserve"> </w:t>
      </w:r>
      <w:r w:rsidR="00594048">
        <w:rPr>
          <w:rStyle w:val="awspan"/>
        </w:rPr>
        <w:t>o tomto návrhu zákona spolu</w:t>
      </w:r>
      <w:r w:rsidR="00594048">
        <w:rPr>
          <w:rStyle w:val="awspan"/>
          <w:spacing w:val="68"/>
        </w:rPr>
        <w:t xml:space="preserve"> </w:t>
      </w:r>
      <w:r w:rsidR="00594048">
        <w:rPr>
          <w:rStyle w:val="awspan"/>
        </w:rPr>
        <w:t>s výsledkami</w:t>
      </w:r>
      <w:r w:rsidR="00594048">
        <w:rPr>
          <w:rStyle w:val="awspan"/>
          <w:spacing w:val="68"/>
        </w:rPr>
        <w:t xml:space="preserve"> </w:t>
      </w:r>
      <w:r w:rsidR="00594048">
        <w:rPr>
          <w:rStyle w:val="awspan"/>
        </w:rPr>
        <w:t>rokovania výborov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Národnej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rady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Slovenskej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republiky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do písomnej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spoločnej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správy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>výborov</w:t>
      </w:r>
      <w:r w:rsidR="00594048">
        <w:rPr>
          <w:rStyle w:val="awspan"/>
          <w:spacing w:val="1"/>
        </w:rPr>
        <w:t xml:space="preserve"> </w:t>
      </w:r>
      <w:r w:rsidR="00594048">
        <w:rPr>
          <w:rStyle w:val="awspan"/>
        </w:rPr>
        <w:t xml:space="preserve">Národnej rady Slovenskej republiky a predložil ju na schválenie gestorskému výboru. </w:t>
      </w:r>
    </w:p>
    <w:p w:rsidR="00B2643A" w:rsidP="00955CC2">
      <w:pPr>
        <w:pStyle w:val="Heading3"/>
        <w:spacing w:before="0" w:line="240" w:lineRule="auto"/>
        <w:jc w:val="center"/>
      </w:pPr>
      <w:r>
        <w:t xml:space="preserve"> </w:t>
      </w:r>
      <w:r>
        <w:rPr>
          <w:rFonts w:ascii="Times New Roman" w:hAnsi="Times New Roman"/>
          <w:bCs/>
        </w:rPr>
        <w:t xml:space="preserve"> </w:t>
      </w:r>
      <w:r w:rsidRPr="00322311">
        <w:t xml:space="preserve">                                                                         </w:t>
      </w:r>
    </w:p>
    <w:p w:rsidR="009302ED" w:rsidP="00905ECC">
      <w:pPr>
        <w:ind w:left="6946" w:firstLine="134"/>
      </w:pPr>
      <w:r w:rsidR="00B2643A">
        <w:t xml:space="preserve"> </w:t>
      </w:r>
      <w:r w:rsidRPr="00332910" w:rsidR="00B2643A">
        <w:tab/>
        <w:t xml:space="preserve">     </w:t>
      </w:r>
      <w:r w:rsidR="00B2643A">
        <w:tab/>
        <w:tab/>
        <w:tab/>
        <w:tab/>
      </w:r>
      <w:r w:rsidRPr="00597581" w:rsidR="00B2643A">
        <w:tab/>
      </w:r>
      <w:r>
        <w:rPr>
          <w:b/>
        </w:rPr>
        <w:t xml:space="preserve">   </w:t>
      </w:r>
      <w:r w:rsidR="00201AEF">
        <w:rPr>
          <w:b/>
        </w:rPr>
        <w:t xml:space="preserve">                     </w:t>
      </w:r>
      <w:r>
        <w:rPr>
          <w:b/>
        </w:rPr>
        <w:t>Ján Blcháč</w:t>
      </w:r>
      <w:r>
        <w:rPr>
          <w:b/>
          <w:bCs/>
        </w:rPr>
        <w:t xml:space="preserve"> </w:t>
      </w:r>
      <w:r w:rsidRPr="00905ECC" w:rsidR="00905ECC">
        <w:rPr>
          <w:b/>
        </w:rPr>
        <w:t>v.</w:t>
      </w:r>
      <w:r w:rsidR="00F53DEC">
        <w:rPr>
          <w:b/>
        </w:rPr>
        <w:t xml:space="preserve"> </w:t>
      </w:r>
      <w:r w:rsidRPr="00905ECC" w:rsidR="00905ECC">
        <w:rPr>
          <w:b/>
        </w:rPr>
        <w:t>r.</w:t>
      </w:r>
      <w:r w:rsidR="00905ECC">
        <w:t xml:space="preserve"> </w:t>
      </w:r>
    </w:p>
    <w:p w:rsidR="009302ED" w:rsidP="00955CC2">
      <w:r>
        <w:t xml:space="preserve">    </w:t>
        <w:tab/>
        <w:tab/>
        <w:tab/>
        <w:tab/>
        <w:tab/>
        <w:tab/>
        <w:tab/>
        <w:tab/>
        <w:tab/>
      </w:r>
      <w:r w:rsidR="00201AEF">
        <w:t xml:space="preserve">         </w:t>
      </w:r>
      <w:r>
        <w:t>predseda výboru</w:t>
      </w:r>
    </w:p>
    <w:p w:rsidR="006F6C66" w:rsidP="00955CC2"/>
    <w:p w:rsidR="006F6C66" w:rsidP="00955CC2"/>
    <w:p w:rsidR="006F6C66" w:rsidP="00955CC2"/>
    <w:p w:rsidR="006F6C66" w:rsidP="00955CC2"/>
    <w:p w:rsidR="006F6C66" w:rsidP="00955CC2"/>
    <w:p w:rsidR="006F6C66" w:rsidP="00955CC2"/>
    <w:p w:rsidR="009302ED" w:rsidP="00955CC2">
      <w:pPr>
        <w:jc w:val="both"/>
      </w:pPr>
    </w:p>
    <w:p w:rsidR="00C42382" w:rsidP="00955CC2">
      <w:pPr>
        <w:jc w:val="both"/>
        <w:rPr>
          <w:b/>
          <w:color w:val="FF0000"/>
        </w:rPr>
      </w:pPr>
      <w:r w:rsidR="009302ED">
        <w:rPr>
          <w:b/>
          <w:color w:val="FF0000"/>
        </w:rPr>
        <w:t xml:space="preserve">  </w:t>
      </w:r>
    </w:p>
    <w:p w:rsidR="00C42382" w:rsidP="00955CC2">
      <w:pPr>
        <w:jc w:val="both"/>
        <w:rPr>
          <w:b/>
          <w:color w:val="FF0000"/>
        </w:rPr>
      </w:pPr>
    </w:p>
    <w:p w:rsidR="00C42382" w:rsidP="00955CC2">
      <w:pPr>
        <w:jc w:val="both"/>
        <w:rPr>
          <w:b/>
          <w:color w:val="FF0000"/>
        </w:rPr>
      </w:pPr>
    </w:p>
    <w:p w:rsidR="00C42382" w:rsidP="00955CC2">
      <w:pPr>
        <w:jc w:val="both"/>
        <w:rPr>
          <w:b/>
          <w:color w:val="FF0000"/>
        </w:rPr>
      </w:pPr>
    </w:p>
    <w:p w:rsidR="009302ED" w:rsidP="00955CC2">
      <w:pPr>
        <w:jc w:val="both"/>
      </w:pPr>
      <w:r w:rsidR="00C42382">
        <w:rPr>
          <w:b/>
          <w:color w:val="FF0000"/>
        </w:rPr>
        <w:t xml:space="preserve">  </w:t>
      </w:r>
      <w:r>
        <w:rPr>
          <w:b/>
          <w:bCs/>
        </w:rPr>
        <w:t>Igor Válek</w:t>
      </w:r>
      <w:r w:rsidR="00594048">
        <w:rPr>
          <w:b/>
          <w:bCs/>
        </w:rPr>
        <w:t>,</w:t>
      </w:r>
      <w:r>
        <w:rPr>
          <w:b/>
          <w:bCs/>
        </w:rPr>
        <w:t xml:space="preserve"> </w:t>
      </w:r>
      <w:r w:rsidR="00594048">
        <w:rPr>
          <w:b/>
          <w:bCs/>
        </w:rPr>
        <w:t>v. r.</w:t>
      </w:r>
      <w:r>
        <w:rPr>
          <w:b/>
          <w:bCs/>
        </w:rPr>
        <w:t xml:space="preserve">    </w:t>
      </w:r>
      <w:r>
        <w:rPr>
          <w:b/>
          <w:bCs/>
        </w:rPr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9302ED" w:rsidP="00955CC2">
      <w:pPr>
        <w:jc w:val="both"/>
        <w:rPr>
          <w:b/>
        </w:rPr>
      </w:pPr>
      <w:r>
        <w:rPr>
          <w:b/>
        </w:rPr>
        <w:t xml:space="preserve">  Marián Viskupič</w:t>
      </w:r>
      <w:r w:rsidR="00594048">
        <w:rPr>
          <w:b/>
        </w:rPr>
        <w:t xml:space="preserve">, v. r. </w:t>
      </w:r>
    </w:p>
    <w:p w:rsidR="009302ED" w:rsidP="00955CC2">
      <w:pPr>
        <w:jc w:val="both"/>
      </w:pPr>
      <w:r>
        <w:t xml:space="preserve">  overovatelia výboru</w:t>
      </w:r>
    </w:p>
    <w:p w:rsidR="00E9103D" w:rsidP="00955CC2">
      <w:pPr>
        <w:jc w:val="both"/>
      </w:pPr>
    </w:p>
    <w:p w:rsidR="00594048" w:rsidP="00955CC2">
      <w:pPr>
        <w:jc w:val="both"/>
      </w:pPr>
    </w:p>
    <w:p w:rsidR="00594048" w:rsidP="00955CC2">
      <w:pPr>
        <w:jc w:val="both"/>
      </w:pPr>
    </w:p>
    <w:p w:rsidR="00594048" w:rsidP="00955CC2">
      <w:pPr>
        <w:jc w:val="both"/>
      </w:pPr>
    </w:p>
    <w:p w:rsidR="00594048" w:rsidP="00955CC2">
      <w:pPr>
        <w:jc w:val="both"/>
      </w:pPr>
    </w:p>
    <w:p w:rsidR="00594048" w:rsidP="00955CC2">
      <w:pPr>
        <w:jc w:val="both"/>
      </w:pPr>
    </w:p>
    <w:p w:rsidR="00594048" w:rsidP="00955CC2">
      <w:pPr>
        <w:jc w:val="both"/>
      </w:pPr>
    </w:p>
    <w:p w:rsidR="00E9103D" w:rsidP="00955CC2">
      <w:pPr>
        <w:jc w:val="both"/>
      </w:pPr>
    </w:p>
    <w:p w:rsidR="00E9103D" w:rsidP="00955CC2">
      <w:pPr>
        <w:jc w:val="both"/>
      </w:pPr>
    </w:p>
    <w:p w:rsidR="00E9103D" w:rsidP="00955CC2">
      <w:pPr>
        <w:jc w:val="both"/>
      </w:pPr>
    </w:p>
    <w:p w:rsidR="00E9103D" w:rsidP="00955CC2">
      <w:pPr>
        <w:jc w:val="both"/>
      </w:pPr>
    </w:p>
    <w:tbl>
      <w:tblPr>
        <w:tblStyle w:val="TableNormal"/>
        <w:tblW w:w="9240" w:type="dxa"/>
        <w:tblCellMar>
          <w:left w:w="70" w:type="dxa"/>
          <w:right w:w="70" w:type="dxa"/>
        </w:tblCellMar>
        <w:tblLook w:val="04A0"/>
      </w:tblPr>
      <w:tblGrid>
        <w:gridCol w:w="9240"/>
      </w:tblGrid>
      <w:tr w:rsidTr="00046D1F">
        <w:tblPrEx>
          <w:tblW w:w="924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9240" w:type="dxa"/>
            <w:vAlign w:val="center"/>
          </w:tcPr>
          <w:tbl>
            <w:tblPr>
              <w:tblStyle w:val="TableNormal"/>
              <w:tblW w:w="91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100"/>
            </w:tblGrid>
            <w:tr w:rsidTr="00046D1F">
              <w:tblPrEx>
                <w:tblW w:w="910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100" w:type="dxa"/>
                  <w:noWrap/>
                  <w:hideMark/>
                </w:tcPr>
                <w:p w:rsidR="00E9103D" w:rsidRPr="00E9103D" w:rsidP="00E9103D">
                  <w:pPr>
                    <w:ind w:right="-85"/>
                    <w:jc w:val="right"/>
                    <w:rPr>
                      <w:i/>
                      <w:color w:val="000000"/>
                      <w:sz w:val="18"/>
                      <w:szCs w:val="18"/>
                    </w:rPr>
                  </w:pPr>
                  <w:r w:rsidRPr="00E9103D">
                    <w:rPr>
                      <w:i/>
                      <w:color w:val="000000"/>
                      <w:sz w:val="18"/>
                      <w:szCs w:val="18"/>
                    </w:rPr>
                    <w:t>Príloha k uzneseniu</w:t>
                  </w:r>
                </w:p>
              </w:tc>
            </w:tr>
            <w:tr w:rsidTr="00046D1F">
              <w:tblPrEx>
                <w:tblW w:w="910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:rsidR="00E9103D" w:rsidRPr="00E9103D" w:rsidP="00E9103D">
                  <w:pPr>
                    <w:jc w:val="right"/>
                    <w:rPr>
                      <w:i/>
                      <w:color w:val="000000"/>
                      <w:sz w:val="18"/>
                      <w:szCs w:val="18"/>
                    </w:rPr>
                  </w:pPr>
                  <w:r w:rsidRPr="00E9103D">
                    <w:rPr>
                      <w:i/>
                      <w:color w:val="000000"/>
                      <w:sz w:val="18"/>
                      <w:szCs w:val="18"/>
                    </w:rPr>
                    <w:t>Výboru  Národnej rady Slovenskej republiky</w:t>
                  </w:r>
                </w:p>
                <w:p w:rsidR="00E9103D" w:rsidRPr="00E9103D" w:rsidP="00E9103D">
                  <w:pPr>
                    <w:jc w:val="right"/>
                    <w:rPr>
                      <w:i/>
                      <w:color w:val="000000"/>
                      <w:sz w:val="18"/>
                      <w:szCs w:val="18"/>
                    </w:rPr>
                  </w:pPr>
                  <w:r w:rsidRPr="00E9103D">
                    <w:rPr>
                      <w:i/>
                      <w:color w:val="000000"/>
                      <w:sz w:val="18"/>
                      <w:szCs w:val="18"/>
                    </w:rPr>
                    <w:t xml:space="preserve">pre financie a rozpočet </w:t>
                  </w:r>
                </w:p>
              </w:tc>
            </w:tr>
            <w:tr w:rsidTr="00046D1F">
              <w:tblPrEx>
                <w:tblW w:w="9100" w:type="dxa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:rsidR="00E9103D" w:rsidRPr="00E9103D" w:rsidP="00E9103D">
                  <w:pPr>
                    <w:jc w:val="right"/>
                    <w:rPr>
                      <w:i/>
                      <w:color w:val="000000"/>
                      <w:sz w:val="18"/>
                      <w:szCs w:val="18"/>
                    </w:rPr>
                  </w:pPr>
                  <w:r w:rsidRPr="00E9103D">
                    <w:rPr>
                      <w:i/>
                      <w:color w:val="000000"/>
                      <w:sz w:val="18"/>
                      <w:szCs w:val="18"/>
                    </w:rPr>
                    <w:t>č. .../2025</w:t>
                  </w:r>
                </w:p>
              </w:tc>
            </w:tr>
          </w:tbl>
          <w:p w:rsidR="00E9103D" w:rsidRPr="00E9103D" w:rsidP="00046D1F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:rsidR="00E9103D" w:rsidRPr="005E22B7" w:rsidP="005E22B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E9103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Limity verejných výdavkov subjektov verejnej správy a ďalších súčastí rozpočtu verejnej správy rozpočtovaných v rozpočte verejnej správy na rok 2026</w:t>
            </w:r>
          </w:p>
        </w:tc>
      </w:tr>
    </w:tbl>
    <w:p w:rsidR="00E9103D" w:rsidP="00E9103D">
      <w:pPr>
        <w:rPr>
          <w:sz w:val="16"/>
          <w:szCs w:val="16"/>
        </w:rPr>
      </w:pPr>
    </w:p>
    <w:tbl>
      <w:tblPr>
        <w:tblStyle w:val="TableNormal"/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6075"/>
        <w:gridCol w:w="2910"/>
      </w:tblGrid>
      <w:tr w:rsidTr="00046D1F">
        <w:tblPrEx>
          <w:tblW w:w="898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9103D" w:rsidP="00046D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Subjekt verejnej správy</w:t>
            </w:r>
          </w:p>
          <w:p w:rsidR="00E9103D" w:rsidRPr="006B11A4" w:rsidP="00046D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9103D" w:rsidRPr="006B11A4" w:rsidP="00046D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Limit verejných výdavkov </w:t>
            </w:r>
            <w:r w:rsidRPr="00B248CB">
              <w:rPr>
                <w:b/>
                <w:bCs/>
                <w:color w:val="000000"/>
                <w:sz w:val="16"/>
                <w:szCs w:val="16"/>
              </w:rPr>
              <w:t>(v eurách)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Štátny rozpočet</w:t>
            </w:r>
          </w:p>
        </w:tc>
        <w:tc>
          <w:tcPr>
            <w:tcW w:w="291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22 527 117 094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Sociálna poisťovňa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15 005 713 700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Národný jadrový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1 716 100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Environmentáln</w:t>
            </w:r>
            <w:r w:rsidRPr="005C66E6">
              <w:rPr>
                <w:color w:val="000000"/>
                <w:sz w:val="16"/>
                <w:szCs w:val="16"/>
              </w:rPr>
              <w:t>y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54 089 767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Štátny fond rozvoja bývania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9 880 000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Úrad pre dohľad nad zdravotnou starostlivosťou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34 739 170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Národný inštitút pre hodnotu a technológie v zdravotníctve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2 684 690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Slovenský pozemkový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21 250 263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televízia a rozhlas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17</w:t>
            </w:r>
            <w:r w:rsidRPr="005C66E6">
              <w:rPr>
                <w:color w:val="000000"/>
                <w:sz w:val="16"/>
                <w:szCs w:val="16"/>
              </w:rPr>
              <w:t>8 328 714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Tlačová agentúra Slovenskej republiky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7 035 428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Úrad pre dohľad nad výkonom auditu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Audiovizuálny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17 331 400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Kancelária Rady pre rozpočtovú zodpovednosť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4 328 644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Železnice Slovenskej republiky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719 312 062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Agentúra pre núdzové</w:t>
            </w:r>
            <w:r w:rsidRPr="005C66E6">
              <w:rPr>
                <w:color w:val="000000"/>
                <w:sz w:val="16"/>
                <w:szCs w:val="16"/>
              </w:rPr>
              <w:t xml:space="preserve"> zásoby ropy a ropných výrobkov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62 392 892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vzdelávania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1 311 718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umenia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20 586 800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kultúry národnostných menšín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8 037 000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športu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16 052 130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  <w:vertAlign w:val="superscript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cestovného ruchu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10 500 000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Eximbanka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45 611 000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záručná a rozvojová banka, a.s.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29 747 246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vysoké školy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1 254 015 597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výskumné inštitúcie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190 310 178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zdravotné poistenie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5 780 950 454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Zdravotnícke zariadenia zaradené v ústrednej správe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4 054 275 699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MH Manažment, a</w:t>
            </w:r>
            <w:r w:rsidRPr="005C66E6">
              <w:rPr>
                <w:color w:val="000000"/>
                <w:sz w:val="16"/>
                <w:szCs w:val="16"/>
              </w:rPr>
              <w:t>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4 379 100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konsolidačná,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13 322 575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Železničná spoločnosť Slovensko,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628 595 239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Národná diaľničná spoločnosť,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454 302 420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MH Invest,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19 558 657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MH Invest II,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2 070 615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Slovak investment holding, a. s</w:t>
            </w:r>
            <w:r w:rsidRPr="005C66E6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25 788 845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Jadrová a vyraďovacia spoločnosť,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294 350 358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Valaliky Industrial Park,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158 451 845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Slovenský vodohospodársky podnik, š. p.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141 499 463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Obce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6 801 026 228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Príspevkové organizácie obcí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358 187 086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Vyššie územné celky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1 657 112 322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Príspevkové organizácie vyšších územných celkov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752 838 412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Dopravné podniky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312 926 224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48"/>
          <w:jc w:val="center"/>
        </w:trPr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03D" w:rsidRPr="005C66E6" w:rsidP="00046D1F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Zdravotnícke zariadenia v územnej samospráve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358 669 163</w:t>
            </w:r>
          </w:p>
        </w:tc>
      </w:tr>
      <w:tr w:rsidTr="00046D1F">
        <w:tblPrEx>
          <w:tblW w:w="898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24"/>
          <w:jc w:val="center"/>
        </w:trPr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03D" w:rsidRPr="005C66E6" w:rsidP="00046D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66E6">
              <w:rPr>
                <w:b/>
                <w:bCs/>
                <w:color w:val="000000"/>
                <w:sz w:val="16"/>
                <w:szCs w:val="16"/>
              </w:rPr>
              <w:t>Celkový limit verejných výdavkov subjektov verejnej správy a ďalších súčastí rozpočtu verejnej správy rozpočtovaných v rozpočte verejnej správy na rok 2026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103D" w:rsidRPr="005C66E6" w:rsidP="00046D1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C66E6">
              <w:rPr>
                <w:b/>
                <w:sz w:val="16"/>
                <w:szCs w:val="16"/>
              </w:rPr>
              <w:t>62 042 080 298</w:t>
            </w:r>
          </w:p>
        </w:tc>
      </w:tr>
    </w:tbl>
    <w:p w:rsidR="00E9103D" w:rsidP="00E9103D">
      <w:pPr>
        <w:jc w:val="both"/>
      </w:pPr>
      <w:r w:rsidRPr="00DA6E7B">
        <w:rPr>
          <w:sz w:val="16"/>
          <w:szCs w:val="16"/>
        </w:rPr>
        <w:t>.</w:t>
      </w:r>
    </w:p>
    <w:p w:rsidR="00E9103D" w:rsidP="00955CC2">
      <w:pPr>
        <w:jc w:val="both"/>
      </w:pPr>
    </w:p>
    <w:p w:rsidR="00E9103D" w:rsidP="00955CC2">
      <w:pPr>
        <w:jc w:val="both"/>
      </w:pPr>
    </w:p>
    <w:p w:rsidR="005E22B7" w:rsidP="005E22B7">
      <w:pPr>
        <w:jc w:val="right"/>
      </w:pPr>
      <w:r w:rsidR="00A1320F">
        <w:tab/>
        <w:tab/>
      </w:r>
      <w:r>
        <w:t>Príloha</w:t>
      </w:r>
    </w:p>
    <w:p w:rsidR="00CC230C" w:rsidP="005E22B7">
      <w:pPr>
        <w:jc w:val="right"/>
      </w:pPr>
      <w:r w:rsidR="005E22B7">
        <w:t xml:space="preserve">k uzneseniu Výboru </w:t>
      </w:r>
    </w:p>
    <w:p w:rsidR="00A1320F" w:rsidP="005E22B7">
      <w:pPr>
        <w:jc w:val="right"/>
      </w:pPr>
      <w:r w:rsidR="005E22B7">
        <w:t xml:space="preserve">Národnej rady Slovenskej republiky </w:t>
      </w:r>
    </w:p>
    <w:p w:rsidR="00CC230C" w:rsidP="005E22B7">
      <w:pPr>
        <w:jc w:val="right"/>
      </w:pPr>
      <w:r>
        <w:t>pre financie a rozpočet</w:t>
      </w:r>
    </w:p>
    <w:p w:rsidR="00CC230C" w:rsidP="005E22B7">
      <w:pPr>
        <w:jc w:val="right"/>
      </w:pPr>
      <w:r>
        <w:t>č. 266 z 13. októbra 2025</w:t>
      </w:r>
    </w:p>
    <w:p w:rsidR="00CC230C" w:rsidP="00CC230C">
      <w:pPr>
        <w:jc w:val="center"/>
      </w:pPr>
    </w:p>
    <w:p w:rsidR="00CC230C" w:rsidP="00CC230C">
      <w:pPr>
        <w:jc w:val="center"/>
      </w:pPr>
      <w:r>
        <w:t xml:space="preserve">Pozmeňujúce a doplňujúce návrhy </w:t>
      </w:r>
    </w:p>
    <w:p w:rsidR="00CC230C" w:rsidP="00CC230C">
      <w:pPr>
        <w:jc w:val="center"/>
        <w:rPr>
          <w:b/>
          <w:bCs/>
        </w:rPr>
      </w:pPr>
      <w:r>
        <w:t>k v</w:t>
      </w:r>
      <w:r w:rsidRPr="00676C0E">
        <w:rPr>
          <w:bCs/>
        </w:rPr>
        <w:t>ládn</w:t>
      </w:r>
      <w:r>
        <w:rPr>
          <w:bCs/>
        </w:rPr>
        <w:t>emu</w:t>
      </w:r>
      <w:r w:rsidRPr="00676C0E">
        <w:rPr>
          <w:bCs/>
        </w:rPr>
        <w:t xml:space="preserve"> návrh</w:t>
      </w:r>
      <w:r>
        <w:rPr>
          <w:bCs/>
        </w:rPr>
        <w:t>u</w:t>
      </w:r>
      <w:r w:rsidRPr="00676C0E">
        <w:rPr>
          <w:bCs/>
        </w:rPr>
        <w:t xml:space="preserve"> záko</w:t>
      </w:r>
      <w:r>
        <w:rPr>
          <w:bCs/>
        </w:rPr>
        <w:t>na o štátnom rozpočte na rok 2026</w:t>
      </w:r>
      <w:r w:rsidRPr="00676C0E">
        <w:rPr>
          <w:bCs/>
        </w:rPr>
        <w:t xml:space="preserve"> </w:t>
      </w:r>
      <w:r>
        <w:rPr>
          <w:bCs/>
        </w:rPr>
        <w:t xml:space="preserve">a návrh rozpočtu verejnej správy na roky 2026 až 2028 </w:t>
      </w:r>
      <w:r w:rsidRPr="00847137">
        <w:rPr>
          <w:b/>
          <w:bCs/>
        </w:rPr>
        <w:t xml:space="preserve">(tlač </w:t>
      </w:r>
      <w:r>
        <w:rPr>
          <w:b/>
          <w:bCs/>
        </w:rPr>
        <w:t>1037</w:t>
      </w:r>
      <w:r w:rsidRPr="00847137">
        <w:rPr>
          <w:b/>
          <w:bCs/>
        </w:rPr>
        <w:t>)</w:t>
      </w:r>
    </w:p>
    <w:p w:rsidR="00CC230C" w:rsidP="00CC230C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CC230C" w:rsidP="00CC230C">
      <w:pPr>
        <w:jc w:val="center"/>
        <w:rPr>
          <w:b/>
          <w:bCs/>
        </w:rPr>
      </w:pPr>
    </w:p>
    <w:p w:rsidR="00CC230C" w:rsidP="00CC230C">
      <w:pPr>
        <w:jc w:val="center"/>
        <w:rPr>
          <w:b/>
          <w:bCs/>
        </w:rPr>
      </w:pPr>
    </w:p>
    <w:p w:rsidR="00CC230C" w:rsidP="00CC230C">
      <w:pPr>
        <w:jc w:val="both"/>
      </w:pPr>
      <w:r>
        <w:t>1</w:t>
      </w:r>
      <w:r w:rsidRPr="00705A4A">
        <w:t xml:space="preserve">. </w:t>
      </w:r>
      <w:r>
        <w:t xml:space="preserve">V prílohe č. 2 </w:t>
      </w:r>
      <w:r w:rsidRPr="00705A4A">
        <w:t>v kapitole Ministerstv</w:t>
      </w:r>
      <w:r>
        <w:t>a</w:t>
      </w:r>
      <w:r w:rsidRPr="00705A4A">
        <w:t xml:space="preserve"> zdravotníctva SR</w:t>
      </w:r>
      <w:r>
        <w:t xml:space="preserve"> sa suma príjmov spolu</w:t>
      </w:r>
      <w:r w:rsidRPr="001002A4">
        <w:t xml:space="preserve"> „</w:t>
      </w:r>
      <w:r>
        <w:t>67 623 806</w:t>
      </w:r>
      <w:r w:rsidRPr="001002A4">
        <w:t>“ z</w:t>
      </w:r>
      <w:r>
        <w:t>nižuje</w:t>
      </w:r>
      <w:r w:rsidRPr="001002A4">
        <w:t xml:space="preserve"> o</w:t>
      </w:r>
      <w:r>
        <w:t> </w:t>
      </w:r>
      <w:r w:rsidRPr="001002A4">
        <w:t>sumu</w:t>
      </w:r>
      <w:r>
        <w:t xml:space="preserve"> 3 077 324 e</w:t>
      </w:r>
      <w:r w:rsidRPr="001002A4">
        <w:t>ur</w:t>
      </w:r>
      <w:r>
        <w:t xml:space="preserve"> </w:t>
      </w:r>
      <w:r w:rsidRPr="002F297D">
        <w:t>a suma záväzného ukazovateľa „67</w:t>
      </w:r>
      <w:r>
        <w:t> </w:t>
      </w:r>
      <w:r w:rsidRPr="002F297D">
        <w:t>623</w:t>
      </w:r>
      <w:r>
        <w:t> </w:t>
      </w:r>
      <w:r w:rsidRPr="002F297D">
        <w:t>806“ sa znižuje o sumu 3</w:t>
      </w:r>
      <w:r>
        <w:t> </w:t>
      </w:r>
      <w:r w:rsidRPr="002F297D">
        <w:t>077</w:t>
      </w:r>
      <w:r>
        <w:t> </w:t>
      </w:r>
      <w:r w:rsidRPr="002F297D">
        <w:t>324 eur.</w:t>
      </w:r>
    </w:p>
    <w:p w:rsidR="00CC230C" w:rsidP="00CC230C">
      <w:pPr>
        <w:jc w:val="both"/>
      </w:pPr>
    </w:p>
    <w:p w:rsidR="00CC230C" w:rsidP="00CC230C">
      <w:pPr>
        <w:jc w:val="both"/>
      </w:pPr>
      <w:r w:rsidRPr="002273AB">
        <w:t>Zmen</w:t>
      </w:r>
      <w:r>
        <w:t>a</w:t>
      </w:r>
      <w:r w:rsidRPr="002273AB">
        <w:t xml:space="preserve"> </w:t>
      </w:r>
      <w:r>
        <w:t>príjmov</w:t>
      </w:r>
      <w:r w:rsidRPr="002273AB">
        <w:t xml:space="preserve"> v kapitol</w:t>
      </w:r>
      <w:r>
        <w:t>e</w:t>
      </w:r>
      <w:r w:rsidRPr="002273AB">
        <w:t xml:space="preserve"> </w:t>
      </w:r>
      <w:r w:rsidRPr="00705A4A">
        <w:t>Ministerstv</w:t>
      </w:r>
      <w:r>
        <w:t>a</w:t>
      </w:r>
      <w:r w:rsidRPr="00705A4A">
        <w:t xml:space="preserve"> zdravotníctva SR</w:t>
      </w:r>
      <w:r w:rsidRPr="002273AB">
        <w:t xml:space="preserve"> sa premietn</w:t>
      </w:r>
      <w:r>
        <w:t>e</w:t>
      </w:r>
      <w:r w:rsidRPr="002273AB">
        <w:t xml:space="preserve"> aj v riadku „Spolu“</w:t>
      </w:r>
      <w:r>
        <w:t xml:space="preserve"> v stĺpci „Príjmy spolu“ a v stĺpci „Záväzný ukazovateľ“.</w:t>
      </w:r>
    </w:p>
    <w:p w:rsidR="00CC230C" w:rsidP="00CC230C">
      <w:pPr>
        <w:jc w:val="both"/>
      </w:pPr>
    </w:p>
    <w:p w:rsidR="00CC230C" w:rsidP="00CC230C">
      <w:pPr>
        <w:jc w:val="both"/>
      </w:pPr>
      <w:r w:rsidRPr="00705A4A">
        <w:t>Zároveň sa zmen</w:t>
      </w:r>
      <w:r>
        <w:t>y</w:t>
      </w:r>
      <w:r w:rsidRPr="00705A4A">
        <w:t xml:space="preserve"> vykonan</w:t>
      </w:r>
      <w:r>
        <w:t>é</w:t>
      </w:r>
      <w:r w:rsidRPr="00705A4A">
        <w:t xml:space="preserve"> v prílohe č. </w:t>
      </w:r>
      <w:r>
        <w:t>2</w:t>
      </w:r>
      <w:r w:rsidRPr="00705A4A">
        <w:t xml:space="preserve"> premiet</w:t>
      </w:r>
      <w:r>
        <w:t>nu</w:t>
      </w:r>
      <w:r w:rsidRPr="00705A4A">
        <w:t xml:space="preserve"> aj v prílohe č. 1 </w:t>
      </w:r>
      <w:r>
        <w:t xml:space="preserve">Bilancia príjmov a výdavkov štátneho rozpočtu na rok 2026 </w:t>
      </w:r>
      <w:r w:rsidRPr="00705A4A">
        <w:t>a v paragrafovom znení zákona o štátnom rozpočte na rok 202</w:t>
      </w:r>
      <w:r>
        <w:t>6</w:t>
      </w:r>
      <w:r w:rsidRPr="00705A4A">
        <w:t>.</w:t>
      </w:r>
    </w:p>
    <w:p w:rsidR="00CC230C" w:rsidP="00CC230C">
      <w:pPr>
        <w:jc w:val="both"/>
      </w:pPr>
    </w:p>
    <w:p w:rsidR="00CC230C" w:rsidRPr="008C76A2" w:rsidP="00CC230C">
      <w:pPr>
        <w:ind w:left="2123" w:hanging="138"/>
        <w:jc w:val="both"/>
        <w:rPr>
          <w:b/>
        </w:rPr>
      </w:pPr>
      <w:r w:rsidRPr="008C76A2">
        <w:rPr>
          <w:b/>
        </w:rPr>
        <w:t xml:space="preserve">Odôvodnenie: </w:t>
      </w:r>
    </w:p>
    <w:p w:rsidR="00CC230C" w:rsidP="00CC230C">
      <w:pPr>
        <w:ind w:left="1985" w:firstLine="4"/>
        <w:jc w:val="both"/>
      </w:pPr>
      <w:r w:rsidRPr="004F18FE">
        <w:t>Príjmy kapitoly Ministerstva zdravotníctva S</w:t>
      </w:r>
      <w:r>
        <w:t>R</w:t>
      </w:r>
      <w:r w:rsidRPr="004F18FE">
        <w:t xml:space="preserve"> s</w:t>
      </w:r>
      <w:r>
        <w:t xml:space="preserve">a </w:t>
      </w:r>
      <w:r w:rsidRPr="004F18FE">
        <w:t>znižujú z dôvodu zmeny sadzby pre príspevok na činnosť Národného centra zdravotníckych informácií z 0,44</w:t>
      </w:r>
      <w:r>
        <w:t xml:space="preserve"> </w:t>
      </w:r>
      <w:r w:rsidRPr="004F18FE">
        <w:t>% na 0,40</w:t>
      </w:r>
      <w:r>
        <w:t xml:space="preserve"> </w:t>
      </w:r>
      <w:r w:rsidRPr="004F18FE">
        <w:t>% zo základu na jeho určenie.</w:t>
      </w:r>
    </w:p>
    <w:p w:rsidR="00CC230C" w:rsidP="00CC230C">
      <w:pPr>
        <w:ind w:left="1985" w:firstLine="4"/>
        <w:jc w:val="both"/>
      </w:pPr>
      <w:r>
        <w:t xml:space="preserve">Uvedená zmena </w:t>
      </w:r>
      <w:r w:rsidRPr="004B2F3C">
        <w:t>nadväz</w:t>
      </w:r>
      <w:r>
        <w:t>uje</w:t>
      </w:r>
      <w:r w:rsidRPr="004B2F3C">
        <w:t xml:space="preserve"> </w:t>
      </w:r>
      <w:r>
        <w:t xml:space="preserve">na novelu </w:t>
      </w:r>
      <w:r w:rsidRPr="004B2F3C">
        <w:t>zákona</w:t>
      </w:r>
      <w:r>
        <w:t xml:space="preserve"> </w:t>
      </w:r>
      <w:r w:rsidRPr="004B2F3C">
        <w:rPr>
          <w:bCs/>
        </w:rPr>
        <w:t>č. 580/2004 Z. z. o</w:t>
      </w:r>
      <w:r>
        <w:rPr>
          <w:bCs/>
        </w:rPr>
        <w:t> </w:t>
      </w:r>
      <w:r w:rsidRPr="004B2F3C">
        <w:rPr>
          <w:bCs/>
        </w:rPr>
        <w:t>zdravotnom poistení a o zmene a doplnení zákona č. 95/2002 Z. z. o poisťovníctve a o zmene a doplnení niektorých zákonov v znení neskorších predpisov</w:t>
      </w:r>
      <w:r w:rsidRPr="004B2F3C">
        <w:t xml:space="preserve">, </w:t>
      </w:r>
      <w:r w:rsidRPr="0071738F">
        <w:t>a ktorým sa mení a dopĺňa zákon č. 581/2004 Z. z. o zdravotných poisťovniach, dohľade nad zdravotnou starostlivosťou a</w:t>
      </w:r>
      <w:r>
        <w:t> </w:t>
      </w:r>
      <w:r w:rsidRPr="0071738F">
        <w:t>o</w:t>
      </w:r>
      <w:r>
        <w:t> </w:t>
      </w:r>
      <w:r w:rsidRPr="0071738F">
        <w:t>zmene a doplnení niektorých zákonov v znení neskorších predpisov</w:t>
      </w:r>
      <w:r>
        <w:t xml:space="preserve"> (ČPT 919).</w:t>
      </w:r>
    </w:p>
    <w:p w:rsidR="00CC230C" w:rsidP="00CC230C">
      <w:pPr>
        <w:ind w:left="1985" w:firstLine="4"/>
        <w:jc w:val="both"/>
      </w:pPr>
    </w:p>
    <w:p w:rsidR="00CC230C" w:rsidP="00CC230C">
      <w:pPr>
        <w:ind w:left="1985" w:firstLine="4"/>
        <w:jc w:val="both"/>
      </w:pPr>
      <w:r w:rsidRPr="005A2524">
        <w:t xml:space="preserve">Zmena </w:t>
      </w:r>
      <w:r>
        <w:t xml:space="preserve">príjmov </w:t>
      </w:r>
      <w:r w:rsidRPr="005A2524">
        <w:t>štátneho rozpočtu sa premiet</w:t>
      </w:r>
      <w:r>
        <w:t>ne</w:t>
      </w:r>
      <w:r w:rsidRPr="005A2524">
        <w:t xml:space="preserve"> aj do výšky  hotovostného schodku štátneho rozpočtu.</w:t>
      </w:r>
    </w:p>
    <w:p w:rsidR="00CC230C" w:rsidP="00CC230C">
      <w:pPr>
        <w:ind w:left="1985" w:firstLine="4"/>
        <w:jc w:val="both"/>
      </w:pPr>
    </w:p>
    <w:p w:rsidR="00CC230C" w:rsidRPr="005A2524" w:rsidP="00CC230C">
      <w:pPr>
        <w:ind w:left="1985"/>
        <w:jc w:val="both"/>
        <w:rPr>
          <w:rStyle w:val="awspan"/>
          <w:bCs/>
          <w:color w:val="000000"/>
        </w:rPr>
      </w:pPr>
      <w:r w:rsidRPr="005A2524">
        <w:rPr>
          <w:rStyle w:val="awspan"/>
          <w:bCs/>
          <w:color w:val="000000"/>
        </w:rPr>
        <w:t>Vyššie uvedené sa premietn</w:t>
      </w:r>
      <w:r>
        <w:rPr>
          <w:rStyle w:val="awspan"/>
          <w:bCs/>
          <w:color w:val="000000"/>
        </w:rPr>
        <w:t>e</w:t>
      </w:r>
      <w:r w:rsidRPr="005A2524">
        <w:rPr>
          <w:rStyle w:val="awspan"/>
          <w:bCs/>
          <w:color w:val="000000"/>
        </w:rPr>
        <w:t xml:space="preserve"> </w:t>
      </w:r>
      <w:r>
        <w:rPr>
          <w:rStyle w:val="awspan"/>
          <w:bCs/>
          <w:color w:val="000000"/>
        </w:rPr>
        <w:t xml:space="preserve">aj </w:t>
      </w:r>
      <w:r w:rsidRPr="005A2524">
        <w:rPr>
          <w:rStyle w:val="awspan"/>
          <w:bCs/>
          <w:color w:val="000000"/>
        </w:rPr>
        <w:t>do úpravy rozpočtu verejnej správy na roky 2026 až 2028.</w:t>
      </w:r>
    </w:p>
    <w:p w:rsidR="00CC230C" w:rsidP="00CC230C">
      <w:pPr>
        <w:ind w:left="1985" w:firstLine="4"/>
        <w:jc w:val="both"/>
      </w:pPr>
    </w:p>
    <w:p w:rsidR="00CC230C" w:rsidRPr="00FA52B4" w:rsidP="00CC230C">
      <w:pPr>
        <w:jc w:val="both"/>
      </w:pPr>
      <w:r w:rsidRPr="00FA52B4">
        <w:t>2. V prílohe č. 3 v kapitole Ministerstv</w:t>
      </w:r>
      <w:r>
        <w:t>a</w:t>
      </w:r>
      <w:r w:rsidRPr="00FA52B4">
        <w:t xml:space="preserve"> zdravotníctva SR sa suma výdavkov spolu „3 370 146 945“ znižuje o sumu 622 311 380 eur a suma výdavkov spolu bez prostriedkov podľa § 17 ods. 4 zákona č. 523/2004 Z. z. a prostriedkov z rozpočtu EÚ a prostriedkov z Plánu obnovy a odolnosti „3 177 261 780“ sa znižuje o sumu 622 311 380 eur.</w:t>
      </w:r>
    </w:p>
    <w:p w:rsidR="00CC230C" w:rsidRPr="00A93438" w:rsidP="00CC230C">
      <w:pPr>
        <w:pStyle w:val="ListParagraph1"/>
        <w:ind w:left="0"/>
        <w:jc w:val="both"/>
        <w:rPr>
          <w:highlight w:val="yellow"/>
        </w:rPr>
      </w:pPr>
    </w:p>
    <w:p w:rsidR="00CC230C" w:rsidP="00CC230C">
      <w:pPr>
        <w:jc w:val="both"/>
      </w:pPr>
      <w:r w:rsidRPr="00705A4A">
        <w:t>Zmena výdavkov v kapitole Ministerstv</w:t>
      </w:r>
      <w:r>
        <w:t>a</w:t>
      </w:r>
      <w:r w:rsidRPr="00705A4A">
        <w:t xml:space="preserve"> zdravotníctva SR sa premietne aj v riadku „Spolu“. </w:t>
      </w:r>
    </w:p>
    <w:p w:rsidR="00CC230C" w:rsidRPr="00705A4A" w:rsidP="00CC230C">
      <w:pPr>
        <w:jc w:val="both"/>
      </w:pPr>
      <w:r w:rsidRPr="00705A4A">
        <w:t>Zároveň sa zmen</w:t>
      </w:r>
      <w:r>
        <w:t>y</w:t>
      </w:r>
      <w:r w:rsidRPr="00705A4A">
        <w:t xml:space="preserve"> vykonan</w:t>
      </w:r>
      <w:r>
        <w:t>é</w:t>
      </w:r>
      <w:r w:rsidRPr="00705A4A">
        <w:t xml:space="preserve"> v prílohe č. 3 premiet</w:t>
      </w:r>
      <w:r>
        <w:t>nu</w:t>
      </w:r>
      <w:r w:rsidRPr="00705A4A">
        <w:t xml:space="preserve"> aj v prílohe č. 1 a v paragrafovom znení zákona o štátnom rozpočte na rok 202</w:t>
      </w:r>
      <w:r>
        <w:t>6</w:t>
      </w:r>
      <w:r w:rsidRPr="00705A4A">
        <w:t>.</w:t>
      </w:r>
    </w:p>
    <w:p w:rsidR="00CC230C" w:rsidRPr="00E94034" w:rsidP="00CC230C">
      <w:pPr>
        <w:pStyle w:val="ListParagraph1"/>
        <w:ind w:left="0"/>
        <w:jc w:val="both"/>
      </w:pPr>
      <w:r w:rsidRPr="00E94034">
        <w:t>Uvedené zmeny sa premietnu v návrhu uznesenia Národnej rady Slovenskej republiky k rozpočtu verejnej správy na roky 2026 až 2028, ktorým sa schvaľujú limity verejných výdavkov.</w:t>
      </w:r>
    </w:p>
    <w:p w:rsidR="00CC230C" w:rsidRPr="00E94034" w:rsidP="00CC230C">
      <w:pPr>
        <w:pStyle w:val="ListParagraph1"/>
        <w:ind w:left="0"/>
      </w:pPr>
    </w:p>
    <w:p w:rsidR="00CC230C" w:rsidRPr="00E94034" w:rsidP="00CC230C">
      <w:pPr>
        <w:ind w:left="2123" w:hanging="138"/>
        <w:jc w:val="both"/>
        <w:rPr>
          <w:b/>
        </w:rPr>
      </w:pPr>
      <w:r w:rsidRPr="00E94034">
        <w:rPr>
          <w:b/>
        </w:rPr>
        <w:t>Odôvodnenie:</w:t>
      </w:r>
    </w:p>
    <w:p w:rsidR="00CC230C" w:rsidRPr="005A2524" w:rsidP="00CC230C">
      <w:pPr>
        <w:ind w:left="1985" w:firstLine="4"/>
        <w:jc w:val="both"/>
      </w:pPr>
      <w:r w:rsidRPr="00E94034">
        <w:t xml:space="preserve">Výdavky kapitoly Ministerstva zdravotníctva SR sa znižujú v nadväznosti na novelu zákona č. 580/2004 Z. z. </w:t>
      </w:r>
      <w:r w:rsidRPr="00CC230C">
        <w:rPr>
          <w:bCs/>
          <w:color w:val="000000"/>
        </w:rPr>
        <w:t xml:space="preserve">o zdravotnom poistení a o zmene a doplnení zákona č. 95/2002 Z. z. o poisťovníctve a o zmene a doplnení niektorých zákonov v znení neskorších predpisov, a ktorým sa mení a dopĺňa zákon č. 581/2004 Z. z. </w:t>
      </w:r>
      <w:r w:rsidRPr="00E94034">
        <w:t>o zdravotných poisťovniach, dohľade nad zdravotnou starostlivosťou a o zmene a doplnení niektorých zákonov v znení neskorších predpisov (ČPT 919). Z tohto dôvodu sa znižuje celková platba štátu o sumu 619 234 056 eur a výdavky Národného centra zdravotníckych informácií sa znižujú o sumu 3 077 324 eur.</w:t>
      </w:r>
    </w:p>
    <w:p w:rsidR="00CC230C" w:rsidRPr="005A2524" w:rsidP="00CC230C">
      <w:pPr>
        <w:jc w:val="both"/>
      </w:pPr>
    </w:p>
    <w:p w:rsidR="00CC230C" w:rsidRPr="005A2524" w:rsidP="00CC230C">
      <w:pPr>
        <w:ind w:left="1985"/>
        <w:jc w:val="both"/>
      </w:pPr>
      <w:r w:rsidRPr="005A2524">
        <w:t>Zmena výdavkov štátneho rozpočtu sa premieta aj do výšky hotovostného schodku štátneho rozpočtu.</w:t>
      </w:r>
    </w:p>
    <w:p w:rsidR="00CC230C" w:rsidRPr="005A2524" w:rsidP="00CC230C">
      <w:pPr>
        <w:ind w:left="1985"/>
        <w:jc w:val="both"/>
      </w:pPr>
    </w:p>
    <w:p w:rsidR="00CC230C" w:rsidRPr="005A2524" w:rsidP="00CC230C">
      <w:pPr>
        <w:ind w:left="1985"/>
        <w:jc w:val="both"/>
        <w:rPr>
          <w:rStyle w:val="awspan"/>
          <w:bCs/>
          <w:color w:val="000000"/>
        </w:rPr>
      </w:pPr>
      <w:r w:rsidRPr="005A2524">
        <w:rPr>
          <w:rStyle w:val="awspan"/>
          <w:bCs/>
          <w:color w:val="000000"/>
        </w:rPr>
        <w:t>Vyššie uvedené sa premietn</w:t>
      </w:r>
      <w:r>
        <w:rPr>
          <w:rStyle w:val="awspan"/>
          <w:bCs/>
          <w:color w:val="000000"/>
        </w:rPr>
        <w:t>e</w:t>
      </w:r>
      <w:r w:rsidRPr="005A2524">
        <w:rPr>
          <w:rStyle w:val="awspan"/>
          <w:bCs/>
          <w:color w:val="000000"/>
        </w:rPr>
        <w:t xml:space="preserve"> </w:t>
      </w:r>
      <w:r>
        <w:rPr>
          <w:rStyle w:val="awspan"/>
          <w:bCs/>
          <w:color w:val="000000"/>
        </w:rPr>
        <w:t xml:space="preserve">aj </w:t>
      </w:r>
      <w:r w:rsidRPr="005A2524">
        <w:rPr>
          <w:rStyle w:val="awspan"/>
          <w:bCs/>
          <w:color w:val="000000"/>
        </w:rPr>
        <w:t>do úpravy rozpočtu verejnej správy na roky 2026 až 2028.</w:t>
      </w:r>
    </w:p>
    <w:p w:rsidR="00CC230C" w:rsidRPr="00A93438" w:rsidP="00CC230C">
      <w:pPr>
        <w:jc w:val="both"/>
        <w:rPr>
          <w:highlight w:val="yellow"/>
        </w:rPr>
      </w:pPr>
    </w:p>
    <w:p w:rsidR="00CC230C" w:rsidRPr="002F297D" w:rsidP="00CC230C">
      <w:pPr>
        <w:jc w:val="both"/>
      </w:pPr>
      <w:r>
        <w:t>3</w:t>
      </w:r>
      <w:r w:rsidRPr="00642B09">
        <w:t xml:space="preserve">. V prílohe č. 4 v kapitole 21 – Ministerstvo zdravotníctva SR sa suma výdavkov spolu za kapitolu „3 370 146 945“ </w:t>
      </w:r>
      <w:r w:rsidRPr="002F297D">
        <w:t>znižuje o sumu 622 311 380 eur, suma výdavkov na program 07A Zdravotná starostlivosť „3 188 452 014“ sa znižuje o sumu 619 234 056 eur, suma výdavkov na p</w:t>
      </w:r>
      <w:r>
        <w:t>odprograme</w:t>
      </w:r>
      <w:r w:rsidRPr="002F297D">
        <w:t xml:space="preserve"> 07A01 Poistné za poistencov štátu „2 720 048 000“ sa znižuje o sumu 619</w:t>
      </w:r>
      <w:r>
        <w:t> </w:t>
      </w:r>
      <w:r w:rsidRPr="002F297D">
        <w:t>234 056 eur, suma výdavkov na program 07B Tvorba a implementácia politík „82 272 328“ sa znižuje o sumu 3 077 324 eur a suma výdavkov na prvku 07B0204 Zber, spracovanie a analýza údajov „19 434 930“ sa znižuje o sumu 3 077</w:t>
      </w:r>
      <w:r>
        <w:t> </w:t>
      </w:r>
      <w:r w:rsidRPr="002F297D">
        <w:t>324</w:t>
      </w:r>
      <w:r>
        <w:t xml:space="preserve"> eur</w:t>
      </w:r>
      <w:r w:rsidRPr="002F297D">
        <w:t>.</w:t>
      </w:r>
    </w:p>
    <w:p w:rsidR="00CC230C" w:rsidRPr="002F297D" w:rsidP="00CC230C">
      <w:pPr>
        <w:jc w:val="both"/>
      </w:pPr>
    </w:p>
    <w:p w:rsidR="00CC230C" w:rsidRPr="00642B09" w:rsidP="00CC230C">
      <w:pPr>
        <w:ind w:left="2123" w:hanging="138"/>
        <w:jc w:val="both"/>
        <w:rPr>
          <w:b/>
        </w:rPr>
      </w:pPr>
      <w:r w:rsidRPr="00642B09">
        <w:rPr>
          <w:b/>
        </w:rPr>
        <w:t>Odôvodnenie:</w:t>
      </w:r>
    </w:p>
    <w:p w:rsidR="00CC230C" w:rsidRPr="00642B09" w:rsidP="00CC230C">
      <w:pPr>
        <w:ind w:left="1985"/>
        <w:jc w:val="both"/>
      </w:pPr>
      <w:r w:rsidRPr="00642B09">
        <w:t>Zmeny výdavkov v kapitole Ministerstv</w:t>
      </w:r>
      <w:r>
        <w:t>a</w:t>
      </w:r>
      <w:r w:rsidRPr="00642B09">
        <w:t xml:space="preserve"> zdravotníctva SR sa premiet</w:t>
      </w:r>
      <w:r>
        <w:t>nu</w:t>
      </w:r>
      <w:r w:rsidRPr="00642B09">
        <w:t xml:space="preserve"> aj do prílohy č. 4 k vládnemu návrhu zákona o štátnom rozpočte na rok 2026 „Výdavky štátneho rozpočtu na realizáciu programov vlády SR a častí programov vlády SR na rok 2026“.</w:t>
      </w:r>
    </w:p>
    <w:p w:rsidR="00CC230C" w:rsidRPr="00A93438" w:rsidP="00CC230C">
      <w:pPr>
        <w:jc w:val="both"/>
        <w:rPr>
          <w:highlight w:val="yellow"/>
        </w:rPr>
      </w:pPr>
    </w:p>
    <w:p w:rsidR="00CC230C" w:rsidP="00CC230C">
      <w:pPr>
        <w:jc w:val="both"/>
      </w:pPr>
    </w:p>
    <w:p w:rsidR="00CC230C" w:rsidP="00CC230C">
      <w:pPr>
        <w:jc w:val="both"/>
      </w:pPr>
    </w:p>
    <w:p w:rsidR="00CC230C" w:rsidP="00CC230C">
      <w:pPr>
        <w:jc w:val="both"/>
      </w:pPr>
    </w:p>
    <w:p w:rsidR="00CC230C" w:rsidP="00CC230C">
      <w:pPr>
        <w:jc w:val="both"/>
        <w:rPr>
          <w:b/>
          <w:bCs/>
        </w:rPr>
      </w:pPr>
    </w:p>
    <w:sectPr w:rsidSect="00C42382">
      <w:footerReference w:type="even" r:id="rId4"/>
      <w:footerReference w:type="default" r:id="rId5"/>
      <w:pgSz w:w="11906" w:h="16838"/>
      <w:pgMar w:top="1418" w:right="1106" w:bottom="184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mbria">
    <w:panose1 w:val="00000000000000000000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0000000000000000000"/>
    <w:charset w:val="EE"/>
    <w:family w:val="swiss"/>
    <w:pitch w:val="variable"/>
    <w:sig w:usb0="A0002AEF" w:usb1="4000207B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FB2">
      <w:rPr>
        <w:rStyle w:val="PageNumber"/>
        <w:noProof/>
      </w:rPr>
      <w:t>5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835"/>
    <w:multiLevelType w:val="hybridMultilevel"/>
    <w:tmpl w:val="EAC299B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0E12"/>
    <w:multiLevelType w:val="hybridMultilevel"/>
    <w:tmpl w:val="5246D81C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C26439E"/>
    <w:multiLevelType w:val="hybridMultilevel"/>
    <w:tmpl w:val="565C72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A7F8E"/>
    <w:multiLevelType w:val="hybridMultilevel"/>
    <w:tmpl w:val="8382A60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CED178C"/>
    <w:multiLevelType w:val="hybridMultilevel"/>
    <w:tmpl w:val="906AAEE0"/>
    <w:lvl w:ilvl="0">
      <w:start w:val="3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2643A"/>
    <w:pPr>
      <w:keepNext/>
      <w:keepLines/>
      <w:spacing w:before="40" w:line="256" w:lineRule="auto"/>
      <w:outlineLvl w:val="2"/>
    </w:pPr>
    <w:rPr>
      <w:rFonts w:ascii="Calibri Light" w:eastAsia="Times New Roman" w:hAnsi="Calibri Light" w:cs="Times New Roman"/>
      <w:color w:val="1F4D78"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B2643A"/>
    <w:rPr>
      <w:rFonts w:ascii="Calibri Light" w:hAnsi="Calibri Light"/>
      <w:color w:val="1F4D78"/>
      <w:sz w:val="24"/>
      <w:szCs w:val="24"/>
    </w:rPr>
  </w:style>
  <w:style w:type="character" w:customStyle="1" w:styleId="awspan">
    <w:name w:val="awspan"/>
    <w:rsid w:val="00DE14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Kramplová, Iveta</cp:lastModifiedBy>
  <cp:revision>20</cp:revision>
  <cp:lastPrinted>2025-10-13T04:27:00Z</cp:lastPrinted>
  <dcterms:created xsi:type="dcterms:W3CDTF">2024-11-18T12:17:00Z</dcterms:created>
  <dcterms:modified xsi:type="dcterms:W3CDTF">2025-10-14T10:47:00Z</dcterms:modified>
</cp:coreProperties>
</file>