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8B" w:rsidRDefault="0038408B" w:rsidP="0038408B">
      <w:pPr>
        <w:keepNext/>
        <w:outlineLvl w:val="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Výbor Národnej rady Slovenskej republiky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8408B" w:rsidRDefault="0038408B" w:rsidP="003840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pre financie a rozpočet</w:t>
      </w:r>
    </w:p>
    <w:p w:rsidR="0038408B" w:rsidRDefault="0038408B" w:rsidP="0038408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8408B" w:rsidRDefault="0038408B" w:rsidP="0038408B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60. schôdza výboru</w:t>
      </w:r>
    </w:p>
    <w:p w:rsidR="0038408B" w:rsidRDefault="0038408B" w:rsidP="003840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Číslo: KNR-VFR-5703/2025-</w:t>
      </w:r>
      <w:r w:rsidR="00A7472B">
        <w:rPr>
          <w:rFonts w:ascii="Times New Roman" w:hAnsi="Times New Roman" w:cs="Times New Roman"/>
          <w:sz w:val="24"/>
          <w:szCs w:val="24"/>
        </w:rPr>
        <w:t>3</w:t>
      </w:r>
    </w:p>
    <w:p w:rsidR="0038408B" w:rsidRDefault="0038408B" w:rsidP="003840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408B" w:rsidRDefault="0038408B" w:rsidP="003840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408B" w:rsidRDefault="0038408B" w:rsidP="003840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408B" w:rsidRDefault="00A7472B" w:rsidP="00384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250</w:t>
      </w:r>
    </w:p>
    <w:p w:rsidR="0038408B" w:rsidRDefault="0038408B" w:rsidP="0038408B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Uznesenie</w:t>
      </w:r>
    </w:p>
    <w:p w:rsidR="0038408B" w:rsidRDefault="0038408B" w:rsidP="00384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Výboru Národnej rady Slovenskej republiky pre financie a rozpočet</w:t>
      </w:r>
    </w:p>
    <w:p w:rsidR="0038408B" w:rsidRDefault="0038408B" w:rsidP="00384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 </w:t>
      </w:r>
      <w:r w:rsidR="00A7472B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 októbra 2025</w:t>
      </w:r>
    </w:p>
    <w:p w:rsidR="0038408B" w:rsidRDefault="0038408B" w:rsidP="0038408B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08B" w:rsidRDefault="0038408B" w:rsidP="0038408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  v</w:t>
      </w:r>
      <w:r>
        <w:rPr>
          <w:rFonts w:ascii="Times New Roman" w:hAnsi="Times New Roman" w:cs="Times New Roman"/>
          <w:noProof/>
          <w:sz w:val="24"/>
          <w:szCs w:val="24"/>
        </w:rPr>
        <w:t xml:space="preserve">ládny návrh </w:t>
      </w:r>
      <w:r w:rsidRPr="0038408B">
        <w:rPr>
          <w:rFonts w:ascii="Times New Roman" w:hAnsi="Times New Roman" w:cs="Times New Roman"/>
          <w:noProof/>
          <w:sz w:val="24"/>
          <w:szCs w:val="24"/>
        </w:rPr>
        <w:t>zákona,</w:t>
      </w:r>
      <w:r w:rsidRPr="0038408B">
        <w:rPr>
          <w:rFonts w:ascii="Times New Roman" w:hAnsi="Times New Roman" w:cs="Times New Roman"/>
          <w:sz w:val="24"/>
          <w:szCs w:val="24"/>
        </w:rPr>
        <w:t xml:space="preserve"> </w:t>
      </w:r>
      <w:r w:rsidRPr="0038408B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108/2024 Z. z. o ochrane spotrebiteľa a o zmene a doplnení niektorých zákonov a ktorým sa menia a dopĺňajú niektoré zákony </w:t>
      </w:r>
      <w:r w:rsidRPr="0038408B">
        <w:rPr>
          <w:rFonts w:ascii="Times New Roman" w:hAnsi="Times New Roman" w:cs="Times New Roman"/>
          <w:b/>
          <w:noProof/>
          <w:sz w:val="24"/>
          <w:szCs w:val="24"/>
        </w:rPr>
        <w:t>(tlač 864)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8408B" w:rsidRDefault="0038408B" w:rsidP="0038408B">
      <w:pPr>
        <w:rPr>
          <w:rFonts w:ascii="Times New Roman" w:hAnsi="Times New Roman" w:cs="Times New Roman"/>
          <w:bCs/>
          <w:sz w:val="24"/>
          <w:szCs w:val="24"/>
        </w:rPr>
      </w:pPr>
    </w:p>
    <w:p w:rsidR="0038408B" w:rsidRDefault="0038408B" w:rsidP="0038408B">
      <w:pPr>
        <w:pStyle w:val="Odsekzoznamu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s ú h l a s í</w:t>
      </w:r>
    </w:p>
    <w:p w:rsidR="0038408B" w:rsidRDefault="0038408B" w:rsidP="0038408B">
      <w:pPr>
        <w:pStyle w:val="Odsekzoznamu"/>
        <w:ind w:firstLine="0"/>
        <w:rPr>
          <w:b/>
          <w:bCs/>
          <w:szCs w:val="24"/>
        </w:rPr>
      </w:pPr>
    </w:p>
    <w:p w:rsidR="0038408B" w:rsidRDefault="0038408B" w:rsidP="0038408B">
      <w:pPr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s vládnym návrhom </w:t>
      </w:r>
      <w:r w:rsidRPr="0038408B">
        <w:rPr>
          <w:rFonts w:ascii="Times New Roman" w:hAnsi="Times New Roman" w:cs="Times New Roman"/>
          <w:noProof/>
          <w:sz w:val="24"/>
          <w:szCs w:val="24"/>
        </w:rPr>
        <w:t>zákona,</w:t>
      </w:r>
      <w:r w:rsidRPr="0038408B">
        <w:rPr>
          <w:rFonts w:ascii="Times New Roman" w:hAnsi="Times New Roman" w:cs="Times New Roman"/>
          <w:sz w:val="24"/>
          <w:szCs w:val="24"/>
        </w:rPr>
        <w:t xml:space="preserve"> </w:t>
      </w:r>
      <w:r w:rsidRPr="0038408B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108/2024 Z. z. o ochrane spotrebiteľa a o zmene a doplnení niektorých zákonov a ktorým sa menia a dopĺňajú niektoré zákony </w:t>
      </w:r>
      <w:r w:rsidRPr="0038408B">
        <w:rPr>
          <w:rFonts w:ascii="Times New Roman" w:hAnsi="Times New Roman" w:cs="Times New Roman"/>
          <w:b/>
          <w:noProof/>
          <w:sz w:val="24"/>
          <w:szCs w:val="24"/>
        </w:rPr>
        <w:t>(tlač 864)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38408B" w:rsidRDefault="0038408B" w:rsidP="0038408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408B" w:rsidRDefault="0038408B" w:rsidP="0038408B">
      <w:pPr>
        <w:pStyle w:val="Odsekzoznamu"/>
        <w:keepNext/>
        <w:numPr>
          <w:ilvl w:val="0"/>
          <w:numId w:val="1"/>
        </w:numPr>
        <w:outlineLvl w:val="6"/>
        <w:rPr>
          <w:b/>
          <w:bCs/>
          <w:szCs w:val="24"/>
        </w:rPr>
      </w:pPr>
      <w:r>
        <w:rPr>
          <w:b/>
          <w:szCs w:val="24"/>
        </w:rPr>
        <w:t>odporúča</w:t>
      </w:r>
      <w:r>
        <w:rPr>
          <w:b/>
          <w:bCs/>
          <w:szCs w:val="24"/>
        </w:rPr>
        <w:t xml:space="preserve"> </w:t>
      </w:r>
    </w:p>
    <w:p w:rsidR="0038408B" w:rsidRDefault="0038408B" w:rsidP="0038408B">
      <w:pPr>
        <w:keepNext/>
        <w:tabs>
          <w:tab w:val="num" w:pos="426"/>
        </w:tabs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Národnej rade Slovenskej republiky</w:t>
      </w:r>
    </w:p>
    <w:p w:rsidR="0038408B" w:rsidRDefault="0038408B" w:rsidP="0038408B">
      <w:pPr>
        <w:keepNext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1B6611" w:rsidRDefault="0038408B" w:rsidP="001B66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vládny návrh </w:t>
      </w:r>
      <w:r w:rsidRPr="0038408B">
        <w:rPr>
          <w:rFonts w:ascii="Times New Roman" w:hAnsi="Times New Roman" w:cs="Times New Roman"/>
          <w:noProof/>
          <w:sz w:val="24"/>
          <w:szCs w:val="24"/>
        </w:rPr>
        <w:t>zákona,</w:t>
      </w:r>
      <w:r w:rsidRPr="0038408B">
        <w:rPr>
          <w:rFonts w:ascii="Times New Roman" w:hAnsi="Times New Roman" w:cs="Times New Roman"/>
          <w:sz w:val="24"/>
          <w:szCs w:val="24"/>
        </w:rPr>
        <w:t xml:space="preserve"> </w:t>
      </w:r>
      <w:r w:rsidRPr="0038408B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108/2024 Z. z. o ochrane spotrebiteľa a o zmene a doplnení niektorých zákonov a ktorým sa menia a dopĺňajú niektoré zákony </w:t>
      </w:r>
      <w:r w:rsidRPr="0038408B">
        <w:rPr>
          <w:rFonts w:ascii="Times New Roman" w:hAnsi="Times New Roman" w:cs="Times New Roman"/>
          <w:b/>
          <w:noProof/>
          <w:sz w:val="24"/>
          <w:szCs w:val="24"/>
        </w:rPr>
        <w:t>(tlač 864)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schváliť</w:t>
      </w:r>
      <w:r w:rsidR="001B6611">
        <w:rPr>
          <w:rFonts w:ascii="Times New Roman" w:hAnsi="Times New Roman" w:cs="Times New Roman"/>
          <w:b/>
          <w:sz w:val="24"/>
          <w:szCs w:val="24"/>
        </w:rPr>
        <w:t xml:space="preserve"> so zmenami a doplnkami </w:t>
      </w:r>
      <w:r w:rsidR="001B6611">
        <w:rPr>
          <w:rFonts w:ascii="Times New Roman" w:hAnsi="Times New Roman" w:cs="Times New Roman"/>
          <w:sz w:val="24"/>
          <w:szCs w:val="24"/>
        </w:rPr>
        <w:t>ako sú uvedené v prílohe tohto uznesenia;</w:t>
      </w:r>
    </w:p>
    <w:p w:rsidR="0038408B" w:rsidRDefault="0038408B" w:rsidP="0038408B">
      <w:pPr>
        <w:keepNext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408B" w:rsidRDefault="0038408B" w:rsidP="0038408B">
      <w:pPr>
        <w:pStyle w:val="Odsekzoznamu"/>
        <w:keepNext/>
        <w:numPr>
          <w:ilvl w:val="0"/>
          <w:numId w:val="1"/>
        </w:numPr>
        <w:outlineLvl w:val="4"/>
        <w:rPr>
          <w:b/>
          <w:bCs/>
          <w:szCs w:val="24"/>
        </w:rPr>
      </w:pPr>
      <w:r>
        <w:rPr>
          <w:b/>
          <w:bCs/>
          <w:szCs w:val="24"/>
        </w:rPr>
        <w:t>ukladá</w:t>
      </w:r>
    </w:p>
    <w:p w:rsidR="00FB6FE9" w:rsidRDefault="0038408B" w:rsidP="00FB6FE9">
      <w:pPr>
        <w:keepNext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pred</w:t>
      </w:r>
      <w:r w:rsidR="00FB6FE9">
        <w:rPr>
          <w:rFonts w:ascii="Times New Roman" w:hAnsi="Times New Roman" w:cs="Times New Roman"/>
          <w:b/>
          <w:bCs/>
          <w:sz w:val="24"/>
          <w:szCs w:val="24"/>
        </w:rPr>
        <w:t>sedovi výboru</w:t>
      </w:r>
    </w:p>
    <w:p w:rsidR="0038408B" w:rsidRDefault="0038408B" w:rsidP="00FB6FE9">
      <w:pPr>
        <w:keepNext/>
        <w:ind w:firstLine="567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38408B" w:rsidRPr="003D02D7" w:rsidRDefault="0038408B" w:rsidP="0038408B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     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informovať o výsledku prerokovania uvedeného vládneho návrhu zákona gestorský výbor – Výbor Národnej rady Slovenskej republiky pre </w:t>
      </w:r>
      <w:r>
        <w:rPr>
          <w:rFonts w:ascii="Times New Roman" w:hAnsi="Times New Roman" w:cs="Times New Roman"/>
          <w:sz w:val="24"/>
          <w:szCs w:val="24"/>
          <w:lang w:eastAsia="sk-SK"/>
        </w:rPr>
        <w:t>hospodárske záležitosti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38408B" w:rsidRPr="003D02D7" w:rsidRDefault="0038408B" w:rsidP="0038408B">
      <w:pPr>
        <w:keepNext/>
        <w:tabs>
          <w:tab w:val="left" w:pos="709"/>
          <w:tab w:val="left" w:pos="1021"/>
        </w:tabs>
        <w:outlineLvl w:val="3"/>
        <w:rPr>
          <w:b/>
          <w:sz w:val="28"/>
          <w:szCs w:val="28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02D7">
        <w:rPr>
          <w:b/>
          <w:sz w:val="28"/>
          <w:szCs w:val="28"/>
        </w:rPr>
        <w:t xml:space="preserve">                                                                </w:t>
      </w:r>
    </w:p>
    <w:p w:rsidR="0038408B" w:rsidRPr="003D02D7" w:rsidRDefault="0038408B" w:rsidP="0038408B">
      <w:pPr>
        <w:keepNext/>
        <w:keepLines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38408B" w:rsidRPr="003D02D7" w:rsidRDefault="0038408B" w:rsidP="0038408B">
      <w:pPr>
        <w:keepNext/>
        <w:keepLines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8408B" w:rsidRDefault="0038408B" w:rsidP="0038408B">
      <w:pPr>
        <w:rPr>
          <w:rFonts w:ascii="Times New Roman" w:hAnsi="Times New Roman" w:cs="Times New Roman"/>
          <w:sz w:val="24"/>
          <w:szCs w:val="24"/>
        </w:rPr>
      </w:pPr>
    </w:p>
    <w:p w:rsidR="0038408B" w:rsidRDefault="0038408B" w:rsidP="0038408B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38408B" w:rsidRDefault="00F3144B" w:rsidP="0038408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Ján Blcháč, v. r. </w:t>
      </w:r>
      <w:bookmarkStart w:id="0" w:name="_GoBack"/>
      <w:bookmarkEnd w:id="0"/>
    </w:p>
    <w:p w:rsidR="0038408B" w:rsidRDefault="0038408B" w:rsidP="0038408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35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predseda výboru </w:t>
      </w:r>
    </w:p>
    <w:p w:rsidR="0038408B" w:rsidRDefault="0038408B" w:rsidP="0038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44B">
        <w:rPr>
          <w:rFonts w:ascii="Times New Roman" w:hAnsi="Times New Roman" w:cs="Times New Roman"/>
          <w:b/>
          <w:sz w:val="24"/>
          <w:szCs w:val="24"/>
        </w:rPr>
        <w:t xml:space="preserve">Igor Válek, v. r.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408B" w:rsidRDefault="0038408B" w:rsidP="0038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Marián Viskupič</w:t>
      </w:r>
      <w:r w:rsidR="00F3144B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408B" w:rsidRDefault="0038408B" w:rsidP="0038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výboru</w:t>
      </w:r>
    </w:p>
    <w:p w:rsidR="0038408B" w:rsidRDefault="0038408B" w:rsidP="0038408B">
      <w:pPr>
        <w:rPr>
          <w:rFonts w:ascii="Times New Roman" w:hAnsi="Times New Roman" w:cs="Times New Roman"/>
          <w:sz w:val="24"/>
          <w:szCs w:val="24"/>
        </w:rPr>
      </w:pPr>
    </w:p>
    <w:p w:rsidR="0038408B" w:rsidRDefault="0038408B" w:rsidP="0038408B">
      <w:pPr>
        <w:rPr>
          <w:rFonts w:ascii="Times New Roman" w:hAnsi="Times New Roman" w:cs="Times New Roman"/>
          <w:sz w:val="24"/>
          <w:szCs w:val="24"/>
        </w:rPr>
      </w:pPr>
    </w:p>
    <w:p w:rsidR="0038408B" w:rsidRDefault="0038408B" w:rsidP="0038408B">
      <w:pPr>
        <w:rPr>
          <w:rFonts w:ascii="Times New Roman" w:hAnsi="Times New Roman" w:cs="Times New Roman"/>
          <w:sz w:val="24"/>
          <w:szCs w:val="24"/>
        </w:rPr>
      </w:pPr>
    </w:p>
    <w:p w:rsidR="001B6611" w:rsidRDefault="001B6611" w:rsidP="0038408B">
      <w:pPr>
        <w:rPr>
          <w:rFonts w:ascii="Times New Roman" w:hAnsi="Times New Roman" w:cs="Times New Roman"/>
          <w:sz w:val="24"/>
          <w:szCs w:val="24"/>
        </w:rPr>
      </w:pPr>
    </w:p>
    <w:p w:rsidR="0038408B" w:rsidRDefault="0038408B" w:rsidP="0038408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 r í l o h a</w:t>
      </w:r>
    </w:p>
    <w:p w:rsidR="0038408B" w:rsidRDefault="0038408B" w:rsidP="0038408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 uzneseniu Výboru </w:t>
      </w:r>
    </w:p>
    <w:p w:rsidR="0038408B" w:rsidRDefault="0038408B" w:rsidP="0038408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Národnej rady Slovenskej republiky </w:t>
      </w:r>
    </w:p>
    <w:p w:rsidR="0038408B" w:rsidRDefault="0038408B" w:rsidP="0038408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 financie a rozpočet</w:t>
      </w:r>
    </w:p>
    <w:p w:rsidR="0038408B" w:rsidRDefault="0038408B" w:rsidP="0038408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CA4B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 </w:t>
      </w:r>
      <w:r w:rsidR="00CA4B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októbra 2025</w:t>
      </w:r>
    </w:p>
    <w:p w:rsidR="0038408B" w:rsidRDefault="0038408B" w:rsidP="00CA4B4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408B" w:rsidRDefault="0038408B" w:rsidP="0038408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Pozmeňujúce a doplňujúce návrhy </w:t>
      </w:r>
    </w:p>
    <w:p w:rsidR="0038408B" w:rsidRPr="0038408B" w:rsidRDefault="0038408B" w:rsidP="003840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 vládnemu </w:t>
      </w:r>
      <w:r w:rsidRPr="0038408B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38408B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</w:t>
      </w:r>
      <w:r w:rsidRPr="0038408B">
        <w:rPr>
          <w:rFonts w:ascii="Times New Roman" w:hAnsi="Times New Roman" w:cs="Times New Roman"/>
          <w:b/>
          <w:noProof/>
          <w:sz w:val="24"/>
          <w:szCs w:val="24"/>
        </w:rPr>
        <w:t>zákona,</w:t>
      </w:r>
      <w:r w:rsidRPr="0038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08B">
        <w:rPr>
          <w:rFonts w:ascii="Times New Roman" w:hAnsi="Times New Roman" w:cs="Times New Roman"/>
          <w:b/>
          <w:noProof/>
          <w:sz w:val="24"/>
          <w:szCs w:val="24"/>
        </w:rPr>
        <w:t>ktorým sa mení a dopĺňa zákon č. 108/2024 Z. z. o ochrane spotrebiteľa a o zmene a doplnení niektorých zákonov a ktorým sa menia a dopĺňajú niektoré zákony (tlač 864)</w:t>
      </w:r>
      <w:r w:rsidRPr="0038408B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</w:t>
      </w:r>
    </w:p>
    <w:p w:rsidR="0038408B" w:rsidRPr="0038408B" w:rsidRDefault="0038408B" w:rsidP="0038408B">
      <w:pPr>
        <w:keepNext/>
        <w:tabs>
          <w:tab w:val="left" w:pos="709"/>
          <w:tab w:val="left" w:pos="1021"/>
        </w:tabs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                       </w:t>
      </w:r>
    </w:p>
    <w:p w:rsidR="0038408B" w:rsidRPr="007A5ED2" w:rsidRDefault="0038408B" w:rsidP="007A5ED2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CA4B4E" w:rsidRPr="00CA4B4E" w:rsidRDefault="00CA4B4E" w:rsidP="00CA4B4E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ind w:left="284"/>
        <w:rPr>
          <w:szCs w:val="24"/>
        </w:rPr>
      </w:pPr>
      <w:r w:rsidRPr="00CA4B4E">
        <w:rPr>
          <w:szCs w:val="24"/>
        </w:rPr>
        <w:t xml:space="preserve">V čl. I, 2. bode, § 2 písm. p) prvý bod sa slovo „otvorený“ nahrádza slovom „prístupný“. </w:t>
      </w:r>
    </w:p>
    <w:p w:rsidR="00CA4B4E" w:rsidRPr="00CA4B4E" w:rsidRDefault="00CA4B4E" w:rsidP="00CA4B4E">
      <w:pPr>
        <w:pStyle w:val="Odsekzoznamu"/>
        <w:tabs>
          <w:tab w:val="left" w:pos="284"/>
        </w:tabs>
        <w:spacing w:after="0" w:line="240" w:lineRule="auto"/>
        <w:ind w:left="284"/>
        <w:rPr>
          <w:szCs w:val="24"/>
        </w:rPr>
      </w:pPr>
      <w:r w:rsidRPr="00CA4B4E">
        <w:rPr>
          <w:szCs w:val="24"/>
        </w:rPr>
        <w:t xml:space="preserve"> </w:t>
      </w:r>
    </w:p>
    <w:p w:rsidR="00CA4B4E" w:rsidRPr="00CA4B4E" w:rsidRDefault="00CA4B4E" w:rsidP="00CA4B4E">
      <w:pPr>
        <w:tabs>
          <w:tab w:val="left" w:pos="284"/>
        </w:tabs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A4B4E">
        <w:rPr>
          <w:rFonts w:ascii="Times New Roman" w:hAnsi="Times New Roman" w:cs="Times New Roman"/>
          <w:sz w:val="24"/>
          <w:szCs w:val="24"/>
        </w:rPr>
        <w:t xml:space="preserve">Legislatívno-technická úprava; zjednotenie terminológie zákona [(napr. § 39 ods. 5 písm. b) a § 34 ods. 1 a 2 platného znenia zákona č. 108/2024 Z. z. o ochrane spotrebiteľa]. </w:t>
      </w:r>
    </w:p>
    <w:p w:rsidR="00CA4B4E" w:rsidRPr="00CA4B4E" w:rsidRDefault="00CA4B4E" w:rsidP="00CA4B4E">
      <w:pPr>
        <w:pStyle w:val="Odsekzoznamu"/>
        <w:tabs>
          <w:tab w:val="left" w:pos="284"/>
        </w:tabs>
        <w:spacing w:after="0" w:line="360" w:lineRule="auto"/>
        <w:rPr>
          <w:szCs w:val="24"/>
        </w:rPr>
      </w:pPr>
    </w:p>
    <w:p w:rsidR="00CA4B4E" w:rsidRPr="00CA4B4E" w:rsidRDefault="00CA4B4E" w:rsidP="00CA4B4E">
      <w:pPr>
        <w:pStyle w:val="Odsekzoznam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CA4B4E">
        <w:rPr>
          <w:bCs/>
          <w:szCs w:val="24"/>
        </w:rPr>
        <w:t xml:space="preserve">V čl. I 7. bode poznámke pod čiarou  k odkazu 23b sa slová „príloha IV“ nahrádzajú slovami „bod 5 prílohy IV, príloha </w:t>
      </w:r>
      <w:proofErr w:type="spellStart"/>
      <w:r w:rsidRPr="00CA4B4E">
        <w:rPr>
          <w:bCs/>
          <w:szCs w:val="24"/>
        </w:rPr>
        <w:t>IVa</w:t>
      </w:r>
      <w:proofErr w:type="spellEnd"/>
      <w:r w:rsidRPr="00CA4B4E">
        <w:rPr>
          <w:bCs/>
          <w:szCs w:val="24"/>
        </w:rPr>
        <w:t>, V a VI“.</w:t>
      </w:r>
    </w:p>
    <w:p w:rsidR="00CA4B4E" w:rsidRPr="00CA4B4E" w:rsidRDefault="00CA4B4E" w:rsidP="00CA4B4E">
      <w:pPr>
        <w:tabs>
          <w:tab w:val="left" w:pos="284"/>
        </w:tabs>
        <w:ind w:left="42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4B4E">
        <w:rPr>
          <w:rFonts w:ascii="Times New Roman" w:hAnsi="Times New Roman" w:cs="Times New Roman"/>
          <w:bCs/>
          <w:sz w:val="24"/>
          <w:szCs w:val="24"/>
        </w:rPr>
        <w:t xml:space="preserve">Legislatívno-technické spresnenie poznámky pod čiarou k odkazu 23b, keďže prílohy </w:t>
      </w:r>
      <w:proofErr w:type="spellStart"/>
      <w:r w:rsidRPr="00CA4B4E">
        <w:rPr>
          <w:rFonts w:ascii="Times New Roman" w:hAnsi="Times New Roman" w:cs="Times New Roman"/>
          <w:bCs/>
          <w:sz w:val="24"/>
          <w:szCs w:val="24"/>
        </w:rPr>
        <w:t>IVa</w:t>
      </w:r>
      <w:proofErr w:type="spellEnd"/>
      <w:r w:rsidRPr="00CA4B4E">
        <w:rPr>
          <w:rFonts w:ascii="Times New Roman" w:hAnsi="Times New Roman" w:cs="Times New Roman"/>
          <w:bCs/>
          <w:sz w:val="24"/>
          <w:szCs w:val="24"/>
        </w:rPr>
        <w:t xml:space="preserve"> až VI tiež upravujú informáciu o bodovom hodnotení opraviteľnosti tovaru.</w:t>
      </w:r>
    </w:p>
    <w:p w:rsidR="00CA4B4E" w:rsidRPr="00CA4B4E" w:rsidRDefault="00CA4B4E" w:rsidP="00CA4B4E">
      <w:pPr>
        <w:pStyle w:val="Odsekzoznamu"/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</w:p>
    <w:p w:rsidR="00CA4B4E" w:rsidRPr="00CA4B4E" w:rsidRDefault="00CA4B4E" w:rsidP="00CA4B4E">
      <w:pPr>
        <w:pStyle w:val="Odsekzoznam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CA4B4E">
        <w:rPr>
          <w:szCs w:val="24"/>
        </w:rPr>
        <w:t>V čl. I, 16. bode [§ 10 ods. 2 písm. d)] sa za slová „dostupných a overiteľných záväzkov“ vkladá slovo „obchodníka“.</w:t>
      </w:r>
    </w:p>
    <w:p w:rsidR="00CA4B4E" w:rsidRPr="00CA4B4E" w:rsidRDefault="00CA4B4E" w:rsidP="00CA4B4E">
      <w:pPr>
        <w:pStyle w:val="Odsekzoznamu"/>
        <w:widowControl w:val="0"/>
        <w:overflowPunct w:val="0"/>
        <w:autoSpaceDE w:val="0"/>
        <w:autoSpaceDN w:val="0"/>
        <w:adjustRightInd w:val="0"/>
        <w:spacing w:after="0" w:line="240" w:lineRule="auto"/>
        <w:ind w:left="4253"/>
        <w:rPr>
          <w:szCs w:val="24"/>
        </w:rPr>
      </w:pPr>
      <w:r w:rsidRPr="00CA4B4E">
        <w:rPr>
          <w:szCs w:val="24"/>
        </w:rPr>
        <w:t xml:space="preserve">Upresnenie znenia ustanovenia v súlade so 4.  bodom odôvodnenia k smernici (EÚ) 2024/825, ako aj s osobitnou časťou dôvodovej správy návrhu zákona (k bodom 15 a 16) sa z dôvodu  zrozumiteľnosti navrhovaného ustanovenia dopĺňa subjekt záväzkov t. j. „obchodník“, aby bolo zo znenia ustanovenia zrejmé, o koho záväzky ide. </w:t>
      </w:r>
    </w:p>
    <w:p w:rsidR="00CA4B4E" w:rsidRPr="00CA4B4E" w:rsidRDefault="00CA4B4E" w:rsidP="00CA4B4E">
      <w:pPr>
        <w:pStyle w:val="Odsekzoznamu"/>
        <w:tabs>
          <w:tab w:val="left" w:pos="284"/>
        </w:tabs>
        <w:spacing w:after="0" w:line="360" w:lineRule="auto"/>
        <w:rPr>
          <w:szCs w:val="24"/>
        </w:rPr>
      </w:pPr>
    </w:p>
    <w:p w:rsidR="00CA4B4E" w:rsidRPr="00CA4B4E" w:rsidRDefault="00CA4B4E" w:rsidP="00CA4B4E">
      <w:pPr>
        <w:pStyle w:val="Odsekzoznam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CA4B4E">
        <w:rPr>
          <w:szCs w:val="24"/>
        </w:rPr>
        <w:t>V čl. I, 18. bode, § 13a ods. 2 sa slová „médiu, v primeranej lehote“ nahrádza slovami „médiu bezodkladne“.</w:t>
      </w:r>
    </w:p>
    <w:p w:rsidR="00CA4B4E" w:rsidRPr="00CA4B4E" w:rsidRDefault="00CA4B4E" w:rsidP="00CA4B4E">
      <w:pPr>
        <w:pStyle w:val="Odsekzoznamu"/>
        <w:widowControl w:val="0"/>
        <w:overflowPunct w:val="0"/>
        <w:autoSpaceDE w:val="0"/>
        <w:autoSpaceDN w:val="0"/>
        <w:adjustRightInd w:val="0"/>
        <w:spacing w:after="0" w:line="240" w:lineRule="auto"/>
        <w:ind w:left="4253"/>
        <w:rPr>
          <w:szCs w:val="24"/>
        </w:rPr>
      </w:pPr>
      <w:r w:rsidRPr="00CA4B4E">
        <w:rPr>
          <w:szCs w:val="24"/>
        </w:rPr>
        <w:t xml:space="preserve">Precizovanie ustanovenia v súlade s 11. bodom odôvodnenia k smernici (EÚ) 2024/1799, ktoré  vysvetľuje, že primeraná lehota by mala zodpovedať čo najkratšej lehote. Z tohto dôvodu sa v záujme ochrany spotrebiteľa primeraná lehota nahrádza slovom „bezodkladne“. </w:t>
      </w:r>
    </w:p>
    <w:sectPr w:rsidR="00CA4B4E" w:rsidRPr="00CA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C47"/>
    <w:multiLevelType w:val="hybridMultilevel"/>
    <w:tmpl w:val="D4D235DA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EE6307"/>
    <w:multiLevelType w:val="hybridMultilevel"/>
    <w:tmpl w:val="77D6D26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79"/>
    <w:rsid w:val="001B6611"/>
    <w:rsid w:val="0038408B"/>
    <w:rsid w:val="00581279"/>
    <w:rsid w:val="007A5ED2"/>
    <w:rsid w:val="00A6138B"/>
    <w:rsid w:val="00A7472B"/>
    <w:rsid w:val="00C241A4"/>
    <w:rsid w:val="00CA4B4E"/>
    <w:rsid w:val="00CE0358"/>
    <w:rsid w:val="00F3144B"/>
    <w:rsid w:val="00FB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6AC5"/>
  <w15:chartTrackingRefBased/>
  <w15:docId w15:val="{8F3B56D5-9024-46F7-A209-0A34AEEA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408B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38408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38408B"/>
    <w:pPr>
      <w:spacing w:after="5" w:line="266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awspan">
    <w:name w:val="awspan"/>
    <w:basedOn w:val="Predvolenpsmoodseku"/>
    <w:rsid w:val="0038408B"/>
  </w:style>
  <w:style w:type="paragraph" w:styleId="Textbubliny">
    <w:name w:val="Balloon Text"/>
    <w:basedOn w:val="Normlny"/>
    <w:link w:val="TextbublinyChar"/>
    <w:uiPriority w:val="99"/>
    <w:semiHidden/>
    <w:unhideWhenUsed/>
    <w:rsid w:val="00A74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4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2025-10-13T11:15:00Z</cp:lastPrinted>
  <dcterms:created xsi:type="dcterms:W3CDTF">2025-10-06T08:48:00Z</dcterms:created>
  <dcterms:modified xsi:type="dcterms:W3CDTF">2025-10-13T11:16:00Z</dcterms:modified>
</cp:coreProperties>
</file>