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CA24FE" w:rsidP="00CA24FE">
      <w:pPr>
        <w:ind w:left="708"/>
        <w:jc w:val="both"/>
        <w:rPr>
          <w:b/>
          <w:i/>
        </w:rPr>
      </w:pPr>
    </w:p>
    <w:p w:rsidR="00CA24FE" w:rsidRPr="00713EAD" w:rsidRDefault="00B655E3" w:rsidP="00616EAD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DE5202">
        <w:t>38</w:t>
      </w:r>
      <w:r w:rsidR="00CA24FE" w:rsidRPr="00713EAD">
        <w:t>. schôdza výboru</w:t>
      </w:r>
    </w:p>
    <w:p w:rsidR="00C13206" w:rsidRDefault="00CA24FE" w:rsidP="00616EA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 w:rsidRPr="00DE5202">
        <w:rPr>
          <w:color w:val="FF0000"/>
        </w:rPr>
        <w:t xml:space="preserve"> </w:t>
      </w:r>
      <w:r w:rsidR="00BE3ACC" w:rsidRPr="00A86315">
        <w:t>KNR-VKM-</w:t>
      </w:r>
      <w:r w:rsidR="00BE3ACC">
        <w:t>5775</w:t>
      </w:r>
      <w:r w:rsidR="00BE3ACC" w:rsidRPr="00A86315">
        <w:t>/2025</w:t>
      </w:r>
      <w:r w:rsidR="00BE3ACC">
        <w:t>-3</w:t>
      </w:r>
    </w:p>
    <w:p w:rsidR="00CA24FE" w:rsidRPr="00C936C3" w:rsidRDefault="00CA24FE" w:rsidP="000C1E58">
      <w:pPr>
        <w:ind w:left="708"/>
        <w:jc w:val="both"/>
      </w:pPr>
    </w:p>
    <w:p w:rsidR="00232981" w:rsidRPr="00DE5202" w:rsidRDefault="00232981" w:rsidP="00CA24FE">
      <w:pPr>
        <w:jc w:val="center"/>
        <w:rPr>
          <w:i/>
          <w:sz w:val="28"/>
          <w:szCs w:val="28"/>
        </w:rPr>
      </w:pPr>
    </w:p>
    <w:p w:rsidR="003E6D4B" w:rsidRDefault="00DE5202" w:rsidP="00CA2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65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DE5202" w:rsidRDefault="00DE5202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RDefault="00CA24FE" w:rsidP="003E6D4B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3E6D4B" w:rsidRPr="003E6D4B">
        <w:rPr>
          <w:b/>
        </w:rPr>
        <w:t xml:space="preserve"> </w:t>
      </w:r>
      <w:r w:rsidR="003E6D4B">
        <w:rPr>
          <w:b/>
        </w:rPr>
        <w:t>pre kultúru a médiá</w:t>
      </w:r>
    </w:p>
    <w:p w:rsidR="000408A6" w:rsidRPr="000408A6" w:rsidRDefault="00CA24FE" w:rsidP="000408A6">
      <w:pPr>
        <w:jc w:val="center"/>
        <w:rPr>
          <w:b/>
        </w:rPr>
      </w:pPr>
      <w:r w:rsidRPr="00713EAD">
        <w:rPr>
          <w:b/>
        </w:rPr>
        <w:t>z</w:t>
      </w:r>
      <w:r w:rsidR="00DE5202">
        <w:rPr>
          <w:b/>
        </w:rPr>
        <w:t> 13</w:t>
      </w:r>
      <w:r w:rsidR="003E6D4B">
        <w:rPr>
          <w:b/>
        </w:rPr>
        <w:t xml:space="preserve">. </w:t>
      </w:r>
      <w:r w:rsidR="00DE5202">
        <w:rPr>
          <w:b/>
        </w:rPr>
        <w:t>októbr</w:t>
      </w:r>
      <w:r w:rsidR="00ED4C1B">
        <w:rPr>
          <w:b/>
        </w:rPr>
        <w:t>a</w:t>
      </w:r>
      <w:r>
        <w:rPr>
          <w:b/>
        </w:rPr>
        <w:t xml:space="preserve"> 20</w:t>
      </w:r>
      <w:r w:rsidR="00DE5202">
        <w:rPr>
          <w:b/>
        </w:rPr>
        <w:t>25</w:t>
      </w:r>
      <w:r w:rsidRPr="00713EAD">
        <w:rPr>
          <w:b/>
        </w:rPr>
        <w:t xml:space="preserve">  </w:t>
      </w:r>
    </w:p>
    <w:p w:rsidR="00A55991" w:rsidRDefault="00A55991" w:rsidP="00A55991"/>
    <w:p w:rsidR="00DE5202" w:rsidRPr="00DE5202" w:rsidRDefault="00DE5202" w:rsidP="00DE5202">
      <w:pPr>
        <w:jc w:val="both"/>
      </w:pPr>
      <w:r w:rsidRPr="00DE5202">
        <w:rPr>
          <w:bCs/>
        </w:rPr>
        <w:t>k vládnemu n</w:t>
      </w:r>
      <w:r w:rsidRPr="00DE5202">
        <w:t xml:space="preserve">ávrhu zákona o niektorých administratívnych opatreniach súvisiacich so zhromažďovaním elektronických dôkazov v trestnom konaní a o zmene a doplnení niektorých zákonov </w:t>
      </w:r>
      <w:r w:rsidRPr="007346C8">
        <w:rPr>
          <w:b/>
        </w:rPr>
        <w:t>(tlač 954)</w:t>
      </w:r>
    </w:p>
    <w:p w:rsidR="00DE5202" w:rsidRDefault="00DE5202" w:rsidP="00DE5202">
      <w:pPr>
        <w:jc w:val="both"/>
      </w:pPr>
    </w:p>
    <w:p w:rsidR="00DE5202" w:rsidRDefault="00DE5202" w:rsidP="00DE5202">
      <w:pPr>
        <w:jc w:val="both"/>
      </w:pPr>
    </w:p>
    <w:p w:rsidR="00DE5202" w:rsidRDefault="00DE5202" w:rsidP="00DE5202">
      <w:pPr>
        <w:ind w:firstLine="360"/>
        <w:jc w:val="both"/>
      </w:pPr>
      <w:r>
        <w:rPr>
          <w:b/>
        </w:rPr>
        <w:t>Výbor Národnej rady Slovenskej republiky pre kultúru a médiá</w:t>
      </w:r>
      <w:r>
        <w:t xml:space="preserve">  </w:t>
      </w:r>
    </w:p>
    <w:p w:rsidR="00DE5202" w:rsidRDefault="00DE5202" w:rsidP="00DE5202">
      <w:pPr>
        <w:tabs>
          <w:tab w:val="left" w:pos="284"/>
        </w:tabs>
        <w:jc w:val="both"/>
        <w:rPr>
          <w:b/>
        </w:rPr>
      </w:pPr>
    </w:p>
    <w:p w:rsidR="00DE5202" w:rsidRDefault="00DE5202" w:rsidP="00DE5202">
      <w:pPr>
        <w:tabs>
          <w:tab w:val="left" w:pos="284"/>
        </w:tabs>
        <w:jc w:val="both"/>
        <w:rPr>
          <w:b/>
        </w:rPr>
      </w:pPr>
    </w:p>
    <w:p w:rsidR="00DE5202" w:rsidRDefault="00DE5202" w:rsidP="00DE5202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A.  </w:t>
      </w:r>
      <w:r>
        <w:rPr>
          <w:b/>
          <w:spacing w:val="20"/>
        </w:rPr>
        <w:tab/>
        <w:t>súhlasí</w:t>
      </w:r>
      <w:r>
        <w:rPr>
          <w:b/>
          <w:spacing w:val="50"/>
        </w:rPr>
        <w:t xml:space="preserve"> </w:t>
      </w:r>
    </w:p>
    <w:p w:rsidR="00DE5202" w:rsidRDefault="00DE5202" w:rsidP="00DE5202">
      <w:pPr>
        <w:tabs>
          <w:tab w:val="left" w:pos="360"/>
        </w:tabs>
        <w:jc w:val="both"/>
        <w:rPr>
          <w:b/>
          <w:spacing w:val="50"/>
        </w:rPr>
      </w:pPr>
    </w:p>
    <w:p w:rsidR="00DE5202" w:rsidRPr="004A207B" w:rsidRDefault="00DE5202" w:rsidP="00DE5202">
      <w:pPr>
        <w:pStyle w:val="Zkladntext"/>
        <w:widowControl/>
        <w:suppressAutoHyphens w:val="0"/>
        <w:spacing w:after="0"/>
        <w:ind w:left="360"/>
        <w:jc w:val="both"/>
        <w:rPr>
          <w:b/>
        </w:rPr>
      </w:pPr>
      <w:r>
        <w:rPr>
          <w:bCs/>
        </w:rPr>
        <w:t xml:space="preserve">s vládnym </w:t>
      </w:r>
      <w:r w:rsidRPr="009D70F4">
        <w:rPr>
          <w:bCs/>
        </w:rPr>
        <w:t>návrh</w:t>
      </w:r>
      <w:r>
        <w:rPr>
          <w:bCs/>
        </w:rPr>
        <w:t>om</w:t>
      </w:r>
      <w:r w:rsidRPr="009D70F4">
        <w:rPr>
          <w:bCs/>
        </w:rPr>
        <w:t xml:space="preserve"> </w:t>
      </w:r>
      <w:r>
        <w:rPr>
          <w:bCs/>
        </w:rPr>
        <w:t xml:space="preserve">zákona o niektorých administratívnych opatreniach súvisiacich so zhromaždením elektronických </w:t>
      </w:r>
      <w:r w:rsidRPr="00DE5202">
        <w:rPr>
          <w:szCs w:val="24"/>
        </w:rPr>
        <w:t>dôkazov v trestnom konaní a o zmene a doplnení niektorých</w:t>
      </w:r>
    </w:p>
    <w:p w:rsidR="00DE5202" w:rsidRDefault="00DE5202" w:rsidP="00DE5202">
      <w:pPr>
        <w:ind w:left="360"/>
        <w:jc w:val="both"/>
      </w:pPr>
      <w:r w:rsidRPr="00DE5202">
        <w:t xml:space="preserve">zákonov </w:t>
      </w:r>
      <w:r w:rsidRPr="007346C8">
        <w:rPr>
          <w:b/>
        </w:rPr>
        <w:t>(tlač 954)</w:t>
      </w:r>
    </w:p>
    <w:p w:rsidR="00DE5202" w:rsidRDefault="00DE5202" w:rsidP="00DE5202">
      <w:pPr>
        <w:ind w:left="360"/>
        <w:jc w:val="both"/>
      </w:pPr>
    </w:p>
    <w:p w:rsidR="00DE5202" w:rsidRDefault="00DE5202" w:rsidP="00DE5202">
      <w:pPr>
        <w:ind w:left="360"/>
        <w:jc w:val="both"/>
      </w:pPr>
    </w:p>
    <w:p w:rsidR="00DE5202" w:rsidRDefault="00DE5202" w:rsidP="00DE5202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B. </w:t>
      </w:r>
      <w:r>
        <w:rPr>
          <w:b/>
        </w:rPr>
        <w:tab/>
      </w:r>
      <w:r>
        <w:rPr>
          <w:b/>
          <w:spacing w:val="50"/>
        </w:rPr>
        <w:t xml:space="preserve">odporúča </w:t>
      </w:r>
      <w:r>
        <w:rPr>
          <w:b/>
        </w:rPr>
        <w:t xml:space="preserve">Národnej  rade  Slovenskej  republiky </w:t>
      </w:r>
    </w:p>
    <w:p w:rsidR="00DE5202" w:rsidRDefault="00DE5202" w:rsidP="00DE5202">
      <w:pPr>
        <w:tabs>
          <w:tab w:val="left" w:pos="360"/>
        </w:tabs>
        <w:jc w:val="both"/>
        <w:rPr>
          <w:b/>
          <w:spacing w:val="50"/>
        </w:rPr>
      </w:pPr>
    </w:p>
    <w:p w:rsidR="00DE5202" w:rsidRPr="001171D1" w:rsidRDefault="00DE5202" w:rsidP="00DE5202">
      <w:pPr>
        <w:pStyle w:val="Zkladntext"/>
        <w:widowControl/>
        <w:suppressAutoHyphens w:val="0"/>
        <w:spacing w:after="0"/>
        <w:ind w:left="360"/>
        <w:jc w:val="both"/>
        <w:rPr>
          <w:b/>
        </w:rPr>
      </w:pPr>
      <w:r w:rsidRPr="001171D1">
        <w:t xml:space="preserve">vládny návrh </w:t>
      </w:r>
      <w:r w:rsidRPr="001171D1">
        <w:rPr>
          <w:bCs/>
        </w:rPr>
        <w:t xml:space="preserve">zákona o niektorých administratívnych opatreniach súvisiacich so zhromaždením elektronických </w:t>
      </w:r>
      <w:r w:rsidRPr="001171D1">
        <w:rPr>
          <w:szCs w:val="24"/>
        </w:rPr>
        <w:t>dôkazov v trestnom konaní a o zmene a doplnení niektorých</w:t>
      </w:r>
    </w:p>
    <w:p w:rsidR="00E6242E" w:rsidRPr="001171D1" w:rsidRDefault="00DE5202" w:rsidP="00E6242E">
      <w:pPr>
        <w:ind w:left="360"/>
        <w:jc w:val="both"/>
      </w:pPr>
      <w:r w:rsidRPr="001171D1">
        <w:t xml:space="preserve">zákonov </w:t>
      </w:r>
      <w:r w:rsidRPr="001171D1">
        <w:rPr>
          <w:b/>
        </w:rPr>
        <w:t xml:space="preserve">(tlač 954) </w:t>
      </w:r>
      <w:r w:rsidRPr="001171D1">
        <w:rPr>
          <w:b/>
          <w:spacing w:val="20"/>
        </w:rPr>
        <w:t>schváliť</w:t>
      </w:r>
      <w:r w:rsidR="001171D1">
        <w:rPr>
          <w:b/>
          <w:spacing w:val="20"/>
        </w:rPr>
        <w:t xml:space="preserve"> </w:t>
      </w:r>
      <w:r w:rsidR="00E6242E" w:rsidRPr="001171D1">
        <w:t>s pozmeňujúcimi a doplňujúcimi návrhmi uvedenými v prílohe uznesenia;</w:t>
      </w:r>
    </w:p>
    <w:p w:rsidR="004010E6" w:rsidRPr="00DE5202" w:rsidRDefault="004010E6" w:rsidP="004010E6">
      <w:pPr>
        <w:ind w:left="360"/>
        <w:jc w:val="both"/>
        <w:rPr>
          <w:color w:val="FF0000"/>
        </w:rPr>
      </w:pPr>
    </w:p>
    <w:p w:rsidR="00DE5202" w:rsidRPr="005D379C" w:rsidRDefault="00DE5202" w:rsidP="004010E6">
      <w:pPr>
        <w:pStyle w:val="Zkladntext"/>
        <w:widowControl/>
        <w:suppressAutoHyphens w:val="0"/>
        <w:spacing w:after="0"/>
        <w:jc w:val="both"/>
      </w:pPr>
    </w:p>
    <w:p w:rsidR="007A7A36" w:rsidRDefault="007A7A36" w:rsidP="007A7A36">
      <w:pPr>
        <w:tabs>
          <w:tab w:val="left" w:pos="1134"/>
        </w:tabs>
        <w:rPr>
          <w:b/>
        </w:rPr>
      </w:pPr>
      <w:r>
        <w:rPr>
          <w:b/>
        </w:rPr>
        <w:t xml:space="preserve">C.  </w:t>
      </w:r>
      <w:r w:rsidRPr="002B6BD5">
        <w:rPr>
          <w:b/>
        </w:rPr>
        <w:t>p o v e r u j e</w:t>
      </w:r>
    </w:p>
    <w:p w:rsidR="007A7A36" w:rsidRDefault="007A7A36" w:rsidP="007A7A36">
      <w:pPr>
        <w:pStyle w:val="Bezriadkovania"/>
      </w:pPr>
    </w:p>
    <w:p w:rsidR="007A7A36" w:rsidRDefault="007A7A36" w:rsidP="007A7A36">
      <w:pPr>
        <w:tabs>
          <w:tab w:val="left" w:pos="1134"/>
        </w:tabs>
        <w:jc w:val="both"/>
      </w:pPr>
      <w:r>
        <w:t xml:space="preserve">     predsedu výboru </w:t>
      </w:r>
      <w:r w:rsidRPr="00CD0180">
        <w:t xml:space="preserve">predložiť stanovisko výboru k uvedenému návrhu zákona </w:t>
      </w:r>
      <w:r>
        <w:t xml:space="preserve">predsedovi    </w:t>
      </w:r>
    </w:p>
    <w:p w:rsidR="00DE5202" w:rsidRDefault="007A7A36" w:rsidP="007A7A36">
      <w:pPr>
        <w:tabs>
          <w:tab w:val="left" w:pos="1134"/>
        </w:tabs>
        <w:jc w:val="both"/>
      </w:pPr>
      <w:r>
        <w:t xml:space="preserve">     gestorského Ústavnoprávneho v</w:t>
      </w:r>
      <w:r w:rsidRPr="00CD0180">
        <w:t xml:space="preserve">ýboru Národnej rady Slovenskej </w:t>
      </w:r>
      <w:r w:rsidRPr="00622EC1">
        <w:t>republiky</w:t>
      </w:r>
      <w:r>
        <w:t xml:space="preserve">. </w:t>
      </w:r>
    </w:p>
    <w:p w:rsidR="00DE5202" w:rsidRDefault="00DE5202" w:rsidP="007A7A36">
      <w:pPr>
        <w:ind w:left="284"/>
        <w:jc w:val="both"/>
      </w:pPr>
    </w:p>
    <w:p w:rsidR="004010E6" w:rsidRDefault="004010E6" w:rsidP="007A7A36">
      <w:pPr>
        <w:ind w:left="284"/>
        <w:jc w:val="both"/>
      </w:pPr>
    </w:p>
    <w:p w:rsidR="00DE5202" w:rsidRDefault="00DE5202" w:rsidP="007A7A36">
      <w:pPr>
        <w:jc w:val="both"/>
      </w:pPr>
    </w:p>
    <w:p w:rsidR="00DE5202" w:rsidRPr="004314C2" w:rsidRDefault="00DE5202" w:rsidP="00DE520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314C2">
        <w:rPr>
          <w:b/>
        </w:rPr>
        <w:t>Roman Michelko</w:t>
      </w:r>
      <w:r w:rsidR="007A49B8">
        <w:rPr>
          <w:b/>
        </w:rPr>
        <w:t>, v. r.</w:t>
      </w:r>
    </w:p>
    <w:p w:rsidR="00DE5202" w:rsidRDefault="00DE5202" w:rsidP="00DE5202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DE5202" w:rsidRDefault="00DE5202" w:rsidP="00DE5202"/>
    <w:p w:rsidR="00DE5202" w:rsidRDefault="00DE5202" w:rsidP="00DE5202">
      <w:pPr>
        <w:rPr>
          <w:b/>
        </w:rPr>
      </w:pPr>
      <w:r>
        <w:rPr>
          <w:b/>
        </w:rPr>
        <w:t xml:space="preserve">Peter </w:t>
      </w:r>
      <w:proofErr w:type="spellStart"/>
      <w:r>
        <w:rPr>
          <w:b/>
        </w:rPr>
        <w:t>Náhlik</w:t>
      </w:r>
      <w:proofErr w:type="spellEnd"/>
      <w:r w:rsidR="007A49B8">
        <w:rPr>
          <w:b/>
        </w:rPr>
        <w:t>, v. 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E5202" w:rsidRDefault="00DE5202" w:rsidP="00DE5202">
      <w:pPr>
        <w:jc w:val="both"/>
      </w:pPr>
      <w:r>
        <w:t>overovateľ  výboru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DE5202" w:rsidRDefault="00DE5202" w:rsidP="00DE5202">
      <w:pPr>
        <w:jc w:val="both"/>
      </w:pPr>
    </w:p>
    <w:p w:rsidR="00AA6C23" w:rsidRDefault="00AA6C23" w:rsidP="000D5D1B">
      <w:pPr>
        <w:jc w:val="both"/>
      </w:pPr>
    </w:p>
    <w:p w:rsidR="00AA6C23" w:rsidRDefault="00AA6C23" w:rsidP="00AA6C23">
      <w:pPr>
        <w:ind w:left="5664"/>
        <w:jc w:val="both"/>
      </w:pPr>
      <w:r>
        <w:lastRenderedPageBreak/>
        <w:t>Príloha k uzneseniu č. 65 tlač 954</w:t>
      </w:r>
    </w:p>
    <w:p w:rsidR="00AA6C23" w:rsidRDefault="00AA6C23" w:rsidP="000D5D1B">
      <w:pPr>
        <w:jc w:val="both"/>
      </w:pPr>
      <w:r>
        <w:t xml:space="preserve"> </w:t>
      </w:r>
    </w:p>
    <w:p w:rsidR="00AA6C23" w:rsidRDefault="00AA6C23" w:rsidP="000D5D1B">
      <w:pPr>
        <w:jc w:val="both"/>
      </w:pPr>
    </w:p>
    <w:p w:rsidR="00AA6C23" w:rsidRDefault="00AA6C23" w:rsidP="00AA6C23">
      <w:pPr>
        <w:jc w:val="center"/>
      </w:pPr>
      <w:r>
        <w:t>Pozmeňujúce a doplňujúce návrhy</w:t>
      </w:r>
    </w:p>
    <w:p w:rsidR="00AA6C23" w:rsidRPr="00AA6C23" w:rsidRDefault="00AA6C23" w:rsidP="00AA6C23">
      <w:pPr>
        <w:jc w:val="center"/>
      </w:pPr>
      <w:r>
        <w:t>k vládnemu n</w:t>
      </w:r>
      <w:r w:rsidRPr="00556D91">
        <w:t>ávrh</w:t>
      </w:r>
      <w:r>
        <w:t>u</w:t>
      </w:r>
      <w:r w:rsidRPr="00556D91">
        <w:t xml:space="preserve"> </w:t>
      </w:r>
      <w:r>
        <w:rPr>
          <w:bCs/>
        </w:rPr>
        <w:t xml:space="preserve">zákona o niektorých administratívnych opatreniach súvisiacich so zhromaždením elektronických </w:t>
      </w:r>
      <w:r w:rsidRPr="00DE5202">
        <w:t>dôkazov v trestnom konaní a o zmene a doplnení niektorých</w:t>
      </w:r>
    </w:p>
    <w:p w:rsidR="00AA6C23" w:rsidRDefault="00AA6C23" w:rsidP="00AA6C23">
      <w:pPr>
        <w:jc w:val="center"/>
      </w:pPr>
      <w:r w:rsidRPr="00DE5202">
        <w:t xml:space="preserve">zákonov </w:t>
      </w:r>
      <w:r w:rsidRPr="007346C8">
        <w:rPr>
          <w:b/>
        </w:rPr>
        <w:t>(tlač 954)</w:t>
      </w:r>
    </w:p>
    <w:p w:rsidR="00AA6C23" w:rsidRDefault="00AA6C23" w:rsidP="000D5D1B">
      <w:pPr>
        <w:jc w:val="both"/>
      </w:pPr>
      <w:r>
        <w:t>___________________________________________________________________________</w:t>
      </w:r>
    </w:p>
    <w:p w:rsidR="00AA6C23" w:rsidRDefault="00AA6C23" w:rsidP="000D5D1B">
      <w:pPr>
        <w:jc w:val="both"/>
      </w:pPr>
    </w:p>
    <w:p w:rsidR="00AA6C23" w:rsidRPr="00AA6C23" w:rsidRDefault="00AA6C23" w:rsidP="00AA6C23">
      <w:pPr>
        <w:jc w:val="both"/>
      </w:pPr>
    </w:p>
    <w:p w:rsidR="00AA6C23" w:rsidRPr="00AA6C23" w:rsidRDefault="00AA6C23" w:rsidP="00AA6C23">
      <w:pPr>
        <w:pStyle w:val="Odsekzoznamu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6C23">
        <w:rPr>
          <w:rFonts w:ascii="Times New Roman" w:hAnsi="Times New Roman" w:cs="Times New Roman"/>
          <w:sz w:val="24"/>
          <w:szCs w:val="24"/>
        </w:rPr>
        <w:t>V čl. I § 3 písm. b) prvom bode sa vypúšťa slovo „jednom“  a v druhom bode sa za slová „poskytovateľ služieb v“ vkladá slovo „tomto“.</w:t>
      </w:r>
    </w:p>
    <w:p w:rsidR="00AA6C23" w:rsidRPr="00AA6C23" w:rsidRDefault="00AA6C23" w:rsidP="00AA6C23">
      <w:pPr>
        <w:ind w:left="4247"/>
      </w:pPr>
      <w:r w:rsidRPr="00AA6C23">
        <w:t>Ide o legislatívno-technickú pripomienku, ktorou sa ozrejmuje, že ide o členský štát podľa prvého bodu.</w:t>
      </w:r>
    </w:p>
    <w:p w:rsidR="00AA6C23" w:rsidRPr="00AA6C23" w:rsidRDefault="00AA6C23" w:rsidP="00AA6C23">
      <w:pPr>
        <w:ind w:left="4247"/>
      </w:pPr>
    </w:p>
    <w:p w:rsidR="00AA6C23" w:rsidRPr="00AA6C23" w:rsidRDefault="00AA6C23" w:rsidP="00AA6C23">
      <w:pPr>
        <w:pStyle w:val="Odsekzoznamu"/>
        <w:numPr>
          <w:ilvl w:val="0"/>
          <w:numId w:val="14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A6C23">
        <w:rPr>
          <w:rFonts w:ascii="Times New Roman" w:hAnsi="Times New Roman" w:cs="Times New Roman"/>
          <w:sz w:val="24"/>
          <w:szCs w:val="24"/>
        </w:rPr>
        <w:t xml:space="preserve"> V čl. II 1. bode poznámka pod čiarou k odkazu 72 znie:</w:t>
      </w:r>
    </w:p>
    <w:p w:rsidR="00AA6C23" w:rsidRPr="00AA6C23" w:rsidRDefault="00AA6C23" w:rsidP="00AA6C23">
      <w:pPr>
        <w:spacing w:line="360" w:lineRule="auto"/>
        <w:jc w:val="both"/>
      </w:pPr>
      <w:r w:rsidRPr="00AA6C23">
        <w:t>„</w:t>
      </w:r>
      <w:r w:rsidRPr="00AA6C23">
        <w:rPr>
          <w:vertAlign w:val="superscript"/>
        </w:rPr>
        <w:t>72</w:t>
      </w:r>
      <w:r w:rsidRPr="00AA6C23">
        <w:t>) Nariadenie (EÚ) 2019/1150.</w:t>
      </w:r>
    </w:p>
    <w:p w:rsidR="00AA6C23" w:rsidRPr="00AA6C23" w:rsidRDefault="00AA6C23" w:rsidP="00AA6C23">
      <w:pPr>
        <w:spacing w:line="360" w:lineRule="auto"/>
        <w:jc w:val="both"/>
      </w:pPr>
      <w:r w:rsidRPr="00AA6C23">
        <w:t>Nariadenie (EÚ) 2022/2065.</w:t>
      </w:r>
    </w:p>
    <w:p w:rsidR="00AA6C23" w:rsidRPr="00AA6C23" w:rsidRDefault="00AA6C23" w:rsidP="00AA6C23">
      <w:pPr>
        <w:spacing w:line="360" w:lineRule="auto"/>
        <w:jc w:val="both"/>
      </w:pPr>
      <w:r w:rsidRPr="00AA6C23">
        <w:t>Nariadenie (EÚ) 2024/1083.</w:t>
      </w:r>
    </w:p>
    <w:p w:rsidR="00AA6C23" w:rsidRPr="00AA6C23" w:rsidRDefault="00AA6C23" w:rsidP="00AA6C23">
      <w:pPr>
        <w:spacing w:line="360" w:lineRule="auto"/>
        <w:jc w:val="both"/>
      </w:pPr>
      <w:r w:rsidRPr="00AA6C23">
        <w:t>§ 22 a 24 zákona č. 265/2022 Z. z.</w:t>
      </w:r>
    </w:p>
    <w:p w:rsidR="00AA6C23" w:rsidRPr="00AA6C23" w:rsidRDefault="00AA6C23" w:rsidP="00AA6C23">
      <w:pPr>
        <w:spacing w:line="360" w:lineRule="auto"/>
        <w:jc w:val="both"/>
      </w:pPr>
      <w:r w:rsidRPr="00AA6C23">
        <w:t>Zákon č. .../2025 Z. z. o niektorých administratívnych opatreniach súvisiacich so zhromažďovaním elektronických dôkazov v trestnom konaní a o zmene a doplnení niektorých zákonov.“.</w:t>
      </w:r>
    </w:p>
    <w:p w:rsidR="00AA6C23" w:rsidRPr="00AA6C23" w:rsidRDefault="00AA6C23" w:rsidP="00AA6C23">
      <w:pPr>
        <w:ind w:left="4394"/>
        <w:jc w:val="both"/>
      </w:pPr>
      <w:r w:rsidRPr="00AA6C23">
        <w:t xml:space="preserve">Ide o legislatívno-technickú úpravu, ktorou sa dopĺňa poznámka pod čiarou k odkazu 72 o Nariadenie (EÚ) 2024/1083, ktoré sa do zákona o mediálnych službách doplnilo tlačou 808 (v čl. I 24. bode), s účinnosťou 1. novembra 2025. Poznámka pod čiarou odkazuje na Nariadenie Európskeho parlamentu a Rady (EÚ) 2024/1083 (Európsky akt o slobode médií), z ktorého vyplýva viacero povinností, nad plnením ktorých bude vykonávať dohľad práve regulátor.  </w:t>
      </w:r>
    </w:p>
    <w:p w:rsidR="00AA6C23" w:rsidRPr="00AA6C23" w:rsidRDefault="00AA6C23" w:rsidP="00AA6C23">
      <w:pPr>
        <w:jc w:val="both"/>
      </w:pPr>
    </w:p>
    <w:p w:rsidR="00AA6C23" w:rsidRPr="00AA6C23" w:rsidRDefault="00AA6C23" w:rsidP="00AA6C23">
      <w:pPr>
        <w:pStyle w:val="Odsekzoznamu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A6C23">
        <w:rPr>
          <w:rFonts w:ascii="Times New Roman" w:hAnsi="Times New Roman" w:cs="Times New Roman"/>
          <w:sz w:val="24"/>
          <w:szCs w:val="24"/>
          <w:lang w:eastAsia="sk-SK"/>
        </w:rPr>
        <w:t xml:space="preserve"> V čl. II 3. bod znie:</w:t>
      </w:r>
    </w:p>
    <w:p w:rsidR="00AA6C23" w:rsidRPr="00AA6C23" w:rsidRDefault="00AA6C23" w:rsidP="00AA6C23">
      <w:pPr>
        <w:spacing w:line="360" w:lineRule="auto"/>
        <w:jc w:val="both"/>
      </w:pPr>
      <w:r w:rsidRPr="00AA6C23">
        <w:t>„3. V § 132 ods. 1 sa odkaz „</w:t>
      </w:r>
      <w:r w:rsidRPr="00AA6C23">
        <w:rPr>
          <w:vertAlign w:val="superscript"/>
        </w:rPr>
        <w:t>65e</w:t>
      </w:r>
      <w:r w:rsidRPr="00AA6C23">
        <w:t>)“ nahrádza odkazom „</w:t>
      </w:r>
      <w:r w:rsidRPr="00AA6C23">
        <w:rPr>
          <w:vertAlign w:val="superscript"/>
        </w:rPr>
        <w:t>89b</w:t>
      </w:r>
      <w:r w:rsidRPr="00AA6C23">
        <w:t xml:space="preserve">)“. </w:t>
      </w:r>
    </w:p>
    <w:p w:rsidR="00AA6C23" w:rsidRPr="00AA6C23" w:rsidRDefault="00AA6C23" w:rsidP="00AA6C23">
      <w:pPr>
        <w:spacing w:line="360" w:lineRule="auto"/>
        <w:jc w:val="both"/>
      </w:pPr>
      <w:r w:rsidRPr="00AA6C23">
        <w:t>Poznámka pod čiarou k odkazu 89b znie:</w:t>
      </w:r>
    </w:p>
    <w:p w:rsidR="00AA6C23" w:rsidRPr="00AA6C23" w:rsidRDefault="00AA6C23" w:rsidP="00AA6C23">
      <w:pPr>
        <w:spacing w:line="360" w:lineRule="auto"/>
        <w:jc w:val="both"/>
      </w:pPr>
      <w:r w:rsidRPr="00AA6C23">
        <w:t>„</w:t>
      </w:r>
      <w:r w:rsidRPr="00AA6C23">
        <w:rPr>
          <w:vertAlign w:val="superscript"/>
        </w:rPr>
        <w:t>89b</w:t>
      </w:r>
      <w:r w:rsidRPr="00AA6C23">
        <w:t>) Nariadenie (EÚ) 2019/1150.</w:t>
      </w:r>
    </w:p>
    <w:p w:rsidR="00AA6C23" w:rsidRPr="00AA6C23" w:rsidRDefault="00AA6C23" w:rsidP="00AA6C23">
      <w:pPr>
        <w:spacing w:line="360" w:lineRule="auto"/>
        <w:jc w:val="both"/>
      </w:pPr>
      <w:r w:rsidRPr="00AA6C23">
        <w:t>Nariadenie (EÚ) 2022/2065.</w:t>
      </w:r>
    </w:p>
    <w:p w:rsidR="00AA6C23" w:rsidRPr="00AA6C23" w:rsidRDefault="00AA6C23" w:rsidP="00AA6C23">
      <w:pPr>
        <w:spacing w:line="360" w:lineRule="auto"/>
        <w:jc w:val="both"/>
      </w:pPr>
      <w:r w:rsidRPr="00AA6C23">
        <w:t>Nariadenie (EÚ) 2024/1083</w:t>
      </w:r>
    </w:p>
    <w:p w:rsidR="00AA6C23" w:rsidRPr="00AA6C23" w:rsidRDefault="00AA6C23" w:rsidP="00AA6C23">
      <w:pPr>
        <w:spacing w:line="360" w:lineRule="auto"/>
        <w:jc w:val="both"/>
      </w:pPr>
      <w:r w:rsidRPr="00AA6C23">
        <w:t>Zákon č. .../2025 Z. z.“.“.</w:t>
      </w:r>
    </w:p>
    <w:p w:rsidR="00AA6C23" w:rsidRDefault="00AA6C23" w:rsidP="00AA6C23">
      <w:pPr>
        <w:ind w:left="4394"/>
        <w:jc w:val="both"/>
      </w:pPr>
      <w:r w:rsidRPr="00AA6C23">
        <w:lastRenderedPageBreak/>
        <w:t xml:space="preserve">Ide o legislatívno-technickú úpravu. V tlači 808 (v čl. I 40. bode), s účinnosťou 1. novembra 2025, sa upravuje nové znenie § 127 ods. 3 aj s novým znením poznámky pod čiarou k odkazu 89a, pričom ide o odkaz, ktorý odkazuje na vecne odlišnú úpravu (čl. 4 nariadenia (EÚ) 2024/1083 a § 6 zákona č. 265/2022 Z. z.), ako sa navrhuje v čl. II 3. bode. Preto sa navrhuje prečíslovanie navrhovanej poznámky pod čiarou. Zároveň sa navrhuje doplnenie poznámky pod čiarou o Nariadenie Európskeho parlamentu a Rady (EÚ) 2024/1083 (Európsky akt o slobode médií), z ktorého vyplýva viacero povinností, nad plnením ktorých bude vykonávať dohľad práve regulátor.  </w:t>
      </w:r>
    </w:p>
    <w:p w:rsidR="00AF4B2E" w:rsidRPr="00AA6C23" w:rsidRDefault="00AF4B2E" w:rsidP="00AA6C23">
      <w:pPr>
        <w:ind w:left="4394"/>
        <w:jc w:val="both"/>
      </w:pPr>
    </w:p>
    <w:p w:rsidR="00AF4B2E" w:rsidRPr="009A48CB" w:rsidRDefault="00AF4B2E" w:rsidP="00AF4B2E">
      <w:pPr>
        <w:pStyle w:val="Odsekzoznamu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8CB">
        <w:rPr>
          <w:rFonts w:ascii="Times New Roman" w:hAnsi="Times New Roman" w:cs="Times New Roman"/>
          <w:sz w:val="24"/>
          <w:szCs w:val="24"/>
        </w:rPr>
        <w:t>V čl. II sa vkladá nový bod 1, ktorý znie:</w:t>
      </w:r>
    </w:p>
    <w:p w:rsidR="00AF4B2E" w:rsidRPr="009A48CB" w:rsidRDefault="00AF4B2E" w:rsidP="00AF4B2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48CB">
        <w:rPr>
          <w:rFonts w:ascii="Times New Roman" w:hAnsi="Times New Roman" w:cs="Times New Roman"/>
          <w:sz w:val="24"/>
          <w:szCs w:val="24"/>
        </w:rPr>
        <w:t xml:space="preserve">„1. V § 104 úvodná veta znie: </w:t>
      </w:r>
    </w:p>
    <w:p w:rsidR="00AF4B2E" w:rsidRPr="009A48CB" w:rsidRDefault="00AF4B2E" w:rsidP="00AF4B2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48CB">
        <w:rPr>
          <w:rFonts w:ascii="Times New Roman" w:hAnsi="Times New Roman" w:cs="Times New Roman"/>
          <w:sz w:val="24"/>
          <w:szCs w:val="24"/>
        </w:rPr>
        <w:t>„Regulátor posudzuje vzťahy vzniknuté na základe koncentrácie</w:t>
      </w:r>
      <w:r w:rsidRPr="009A48CB">
        <w:rPr>
          <w:rFonts w:ascii="Times New Roman" w:hAnsi="Times New Roman" w:cs="Times New Roman"/>
          <w:sz w:val="24"/>
          <w:szCs w:val="24"/>
          <w:vertAlign w:val="superscript"/>
        </w:rPr>
        <w:t>65ad)</w:t>
      </w:r>
      <w:r w:rsidRPr="009A48CB">
        <w:rPr>
          <w:rFonts w:ascii="Times New Roman" w:hAnsi="Times New Roman" w:cs="Times New Roman"/>
          <w:sz w:val="24"/>
          <w:szCs w:val="24"/>
        </w:rPr>
        <w:t xml:space="preserve"> poskytovateľov obsahovej služby alebo poskytovateľov online platformy, ako aj majetkové prepojenie a personálne prepojenie poskytovateľa obsahovej služby alebo poskytovateľa online platformy, s cieľom preskúmať, či tieto vzťahy s</w:t>
      </w:r>
      <w:r w:rsidR="00E0316D">
        <w:rPr>
          <w:rFonts w:ascii="Times New Roman" w:hAnsi="Times New Roman" w:cs="Times New Roman"/>
          <w:sz w:val="24"/>
          <w:szCs w:val="24"/>
        </w:rPr>
        <w:t>pĺňajú nasledovné podmienky:“.</w:t>
      </w:r>
    </w:p>
    <w:p w:rsidR="00AF4B2E" w:rsidRPr="009A48CB" w:rsidRDefault="00AF4B2E" w:rsidP="00AF4B2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4B2E" w:rsidRPr="009A48CB" w:rsidRDefault="00AF4B2E" w:rsidP="00AF4B2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48CB">
        <w:rPr>
          <w:rFonts w:ascii="Times New Roman" w:hAnsi="Times New Roman" w:cs="Times New Roman"/>
          <w:sz w:val="24"/>
          <w:szCs w:val="24"/>
        </w:rPr>
        <w:t>Poznámka pod čiarou k odkazu 65ad znie:</w:t>
      </w:r>
    </w:p>
    <w:p w:rsidR="00AF4B2E" w:rsidRPr="009A48CB" w:rsidRDefault="00AF4B2E" w:rsidP="00AF4B2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48CB">
        <w:rPr>
          <w:rFonts w:ascii="Times New Roman" w:hAnsi="Times New Roman" w:cs="Times New Roman"/>
          <w:sz w:val="24"/>
          <w:szCs w:val="24"/>
        </w:rPr>
        <w:t>„65ad) Čl. 3 nariadenia Rady (ES) č. 139/2004 z 20. januára 2004 o kontrole koncentrácií medzi podnikmi (Nariadenie ES o fúziách) (Ú. v. EÚ L 24, 29.1.2004).“.</w:t>
      </w:r>
    </w:p>
    <w:p w:rsidR="00AF4B2E" w:rsidRPr="009A48CB" w:rsidRDefault="00AF4B2E" w:rsidP="00AF4B2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4B2E" w:rsidRPr="009A48CB" w:rsidRDefault="00AF4B2E" w:rsidP="00AF4B2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48CB">
        <w:rPr>
          <w:rFonts w:ascii="Times New Roman" w:hAnsi="Times New Roman" w:cs="Times New Roman"/>
          <w:sz w:val="24"/>
          <w:szCs w:val="24"/>
        </w:rPr>
        <w:t>Ďalšie body návrhu zákona sa primerane prečíslujú.</w:t>
      </w:r>
    </w:p>
    <w:p w:rsidR="00AF4B2E" w:rsidRPr="009A48CB" w:rsidRDefault="00AF4B2E" w:rsidP="00AF4B2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4B2E" w:rsidRPr="009A48CB" w:rsidRDefault="00AF4B2E" w:rsidP="00AF4B2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48CB">
        <w:rPr>
          <w:rFonts w:ascii="Times New Roman" w:hAnsi="Times New Roman" w:cs="Times New Roman"/>
          <w:sz w:val="24"/>
          <w:szCs w:val="24"/>
        </w:rPr>
        <w:t>Tento bod nadobúda účinnosť 1. decembra 2025 čo sa premietne do článku o účinnosti.</w:t>
      </w:r>
    </w:p>
    <w:p w:rsidR="00AF4B2E" w:rsidRPr="009A48CB" w:rsidRDefault="00AF4B2E" w:rsidP="00AF4B2E">
      <w:pPr>
        <w:jc w:val="both"/>
        <w:rPr>
          <w:bCs/>
          <w:color w:val="000000"/>
          <w:highlight w:val="yellow"/>
        </w:rPr>
      </w:pPr>
    </w:p>
    <w:p w:rsidR="00AF4B2E" w:rsidRPr="00275F4F" w:rsidRDefault="00AF4B2E" w:rsidP="00275F4F">
      <w:pPr>
        <w:pStyle w:val="Odsekzoznamu"/>
        <w:spacing w:after="0" w:line="100" w:lineRule="atLeas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275F4F">
        <w:rPr>
          <w:rFonts w:ascii="Times New Roman" w:hAnsi="Times New Roman" w:cs="Times New Roman"/>
          <w:sz w:val="24"/>
          <w:szCs w:val="24"/>
        </w:rPr>
        <w:t>V nadväznosti na výhrady Protimonopolného úradu SR k implementácii Európskeho aktu o slobode médií sa v záujme právnej istoty navrhuje precizovať ustanovenie § 104 zákona o mediálnych službách tak, aby v ňom bolo explicitne uvedené, že regulátor je oprávnený posudzovať aj vzťahy vzniknuté na základe koncentrácie v zmysle Nariadenia o fúziách.</w:t>
      </w:r>
    </w:p>
    <w:p w:rsidR="00AF4B2E" w:rsidRDefault="00AF4B2E" w:rsidP="00275F4F">
      <w:pPr>
        <w:pStyle w:val="Odsekzoznamu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6C23" w:rsidRPr="00AA6C23" w:rsidRDefault="00AA6C23" w:rsidP="00AA6C23">
      <w:pPr>
        <w:pStyle w:val="Odsekzoznamu"/>
        <w:numPr>
          <w:ilvl w:val="0"/>
          <w:numId w:val="14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A6C23">
        <w:rPr>
          <w:rFonts w:ascii="Times New Roman" w:hAnsi="Times New Roman" w:cs="Times New Roman"/>
          <w:sz w:val="24"/>
          <w:szCs w:val="24"/>
        </w:rPr>
        <w:t>V čl. II sa vypúšťa 5. bod. </w:t>
      </w:r>
    </w:p>
    <w:p w:rsidR="00AA6C23" w:rsidRPr="00AA6C23" w:rsidRDefault="00AA6C23" w:rsidP="00AA6C2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AA6C23" w:rsidRPr="00AA6C23" w:rsidRDefault="00AA6C23" w:rsidP="00AA6C23">
      <w:pPr>
        <w:jc w:val="both"/>
      </w:pPr>
      <w:r w:rsidRPr="00AA6C23">
        <w:t>Doterajší šiesty bod sa označuje ako piaty bod.</w:t>
      </w:r>
    </w:p>
    <w:p w:rsidR="00AA6C23" w:rsidRPr="00AA6C23" w:rsidRDefault="00AA6C23" w:rsidP="00AA6C23">
      <w:pPr>
        <w:ind w:left="4394"/>
        <w:jc w:val="both"/>
      </w:pPr>
      <w:r w:rsidRPr="00AA6C23">
        <w:t>Ide o legislatívno-technickú úpravu. Navrhuje sa vypustenie 5. bodu v čl. II z dôvodu, že rovnaká zmena už bola schválená v tlači 808 (v čl. I 68. bode), s účinnosťou 1. novembra 2025.</w:t>
      </w:r>
    </w:p>
    <w:p w:rsidR="00AA6C23" w:rsidRPr="00AA6C23" w:rsidRDefault="00AA6C23" w:rsidP="00AA6C23">
      <w:pPr>
        <w:ind w:left="4395"/>
        <w:jc w:val="both"/>
      </w:pPr>
    </w:p>
    <w:p w:rsidR="00AA6C23" w:rsidRPr="00AA6C23" w:rsidRDefault="00AA6C23" w:rsidP="009A48CB">
      <w:pPr>
        <w:jc w:val="both"/>
      </w:pPr>
      <w:bookmarkStart w:id="0" w:name="_GoBack"/>
      <w:bookmarkEnd w:id="0"/>
    </w:p>
    <w:sectPr w:rsidR="00AA6C23" w:rsidRPr="00AA6C23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29A" w:rsidRDefault="0054329A">
      <w:r>
        <w:separator/>
      </w:r>
    </w:p>
  </w:endnote>
  <w:endnote w:type="continuationSeparator" w:id="0">
    <w:p w:rsidR="0054329A" w:rsidRDefault="0054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A4DE5">
      <w:rPr>
        <w:rStyle w:val="slostrany"/>
        <w:noProof/>
      </w:rPr>
      <w:t>3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29A" w:rsidRDefault="0054329A">
      <w:r>
        <w:separator/>
      </w:r>
    </w:p>
  </w:footnote>
  <w:footnote w:type="continuationSeparator" w:id="0">
    <w:p w:rsidR="0054329A" w:rsidRDefault="00543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D534F4"/>
    <w:multiLevelType w:val="multilevel"/>
    <w:tmpl w:val="A85A27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62C38AE"/>
    <w:multiLevelType w:val="hybridMultilevel"/>
    <w:tmpl w:val="DEFAC19C"/>
    <w:lvl w:ilvl="0" w:tplc="3A08AD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7AA5045"/>
    <w:multiLevelType w:val="hybridMultilevel"/>
    <w:tmpl w:val="D2B4D9EE"/>
    <w:lvl w:ilvl="0" w:tplc="D0B2CD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1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12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84C539A"/>
    <w:multiLevelType w:val="hybridMultilevel"/>
    <w:tmpl w:val="6CB83F6E"/>
    <w:lvl w:ilvl="0" w:tplc="E4702FE4">
      <w:start w:val="1"/>
      <w:numFmt w:val="decimal"/>
      <w:lvlText w:val="%1."/>
      <w:lvlJc w:val="left"/>
      <w:pPr>
        <w:ind w:left="354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74" w:hanging="360"/>
      </w:pPr>
    </w:lvl>
    <w:lvl w:ilvl="2" w:tplc="041B001B" w:tentative="1">
      <w:start w:val="1"/>
      <w:numFmt w:val="lowerRoman"/>
      <w:lvlText w:val="%3."/>
      <w:lvlJc w:val="right"/>
      <w:pPr>
        <w:ind w:left="1794" w:hanging="180"/>
      </w:pPr>
    </w:lvl>
    <w:lvl w:ilvl="3" w:tplc="041B000F" w:tentative="1">
      <w:start w:val="1"/>
      <w:numFmt w:val="decimal"/>
      <w:lvlText w:val="%4."/>
      <w:lvlJc w:val="left"/>
      <w:pPr>
        <w:ind w:left="2514" w:hanging="360"/>
      </w:pPr>
    </w:lvl>
    <w:lvl w:ilvl="4" w:tplc="041B0019" w:tentative="1">
      <w:start w:val="1"/>
      <w:numFmt w:val="lowerLetter"/>
      <w:lvlText w:val="%5."/>
      <w:lvlJc w:val="left"/>
      <w:pPr>
        <w:ind w:left="3234" w:hanging="360"/>
      </w:pPr>
    </w:lvl>
    <w:lvl w:ilvl="5" w:tplc="041B001B" w:tentative="1">
      <w:start w:val="1"/>
      <w:numFmt w:val="lowerRoman"/>
      <w:lvlText w:val="%6."/>
      <w:lvlJc w:val="right"/>
      <w:pPr>
        <w:ind w:left="3954" w:hanging="180"/>
      </w:pPr>
    </w:lvl>
    <w:lvl w:ilvl="6" w:tplc="041B000F" w:tentative="1">
      <w:start w:val="1"/>
      <w:numFmt w:val="decimal"/>
      <w:lvlText w:val="%7."/>
      <w:lvlJc w:val="left"/>
      <w:pPr>
        <w:ind w:left="4674" w:hanging="360"/>
      </w:pPr>
    </w:lvl>
    <w:lvl w:ilvl="7" w:tplc="041B0019" w:tentative="1">
      <w:start w:val="1"/>
      <w:numFmt w:val="lowerLetter"/>
      <w:lvlText w:val="%8."/>
      <w:lvlJc w:val="left"/>
      <w:pPr>
        <w:ind w:left="5394" w:hanging="360"/>
      </w:pPr>
    </w:lvl>
    <w:lvl w:ilvl="8" w:tplc="041B001B" w:tentative="1">
      <w:start w:val="1"/>
      <w:numFmt w:val="lowerRoman"/>
      <w:lvlText w:val="%9."/>
      <w:lvlJc w:val="right"/>
      <w:pPr>
        <w:ind w:left="6114" w:hanging="180"/>
      </w:pPr>
    </w:lvl>
  </w:abstractNum>
  <w:num w:numId="1">
    <w:abstractNumId w:val="10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12"/>
  </w:num>
  <w:num w:numId="10">
    <w:abstractNumId w:val="0"/>
  </w:num>
  <w:num w:numId="11">
    <w:abstractNumId w:val="11"/>
  </w:num>
  <w:num w:numId="12">
    <w:abstractNumId w:val="14"/>
  </w:num>
  <w:num w:numId="13">
    <w:abstractNumId w:val="9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358C8"/>
    <w:rsid w:val="000408A6"/>
    <w:rsid w:val="00044EEF"/>
    <w:rsid w:val="00053FDB"/>
    <w:rsid w:val="00057EA3"/>
    <w:rsid w:val="00062912"/>
    <w:rsid w:val="00062CCE"/>
    <w:rsid w:val="00063493"/>
    <w:rsid w:val="00063845"/>
    <w:rsid w:val="00066261"/>
    <w:rsid w:val="00071127"/>
    <w:rsid w:val="00072125"/>
    <w:rsid w:val="00087E71"/>
    <w:rsid w:val="00092A72"/>
    <w:rsid w:val="000A474A"/>
    <w:rsid w:val="000C1E58"/>
    <w:rsid w:val="000C3DA3"/>
    <w:rsid w:val="000D5D1B"/>
    <w:rsid w:val="000E5F3B"/>
    <w:rsid w:val="000F6620"/>
    <w:rsid w:val="00102B9F"/>
    <w:rsid w:val="0010460E"/>
    <w:rsid w:val="00111A97"/>
    <w:rsid w:val="00117192"/>
    <w:rsid w:val="001171D1"/>
    <w:rsid w:val="00167906"/>
    <w:rsid w:val="0018384A"/>
    <w:rsid w:val="0019237E"/>
    <w:rsid w:val="00195CBE"/>
    <w:rsid w:val="001A0F58"/>
    <w:rsid w:val="001A12C1"/>
    <w:rsid w:val="001A299F"/>
    <w:rsid w:val="001A5D7C"/>
    <w:rsid w:val="001B6AC9"/>
    <w:rsid w:val="001D2367"/>
    <w:rsid w:val="001D6993"/>
    <w:rsid w:val="00206D90"/>
    <w:rsid w:val="00211912"/>
    <w:rsid w:val="00217717"/>
    <w:rsid w:val="002178AE"/>
    <w:rsid w:val="00221611"/>
    <w:rsid w:val="00221792"/>
    <w:rsid w:val="00223A39"/>
    <w:rsid w:val="00223CD2"/>
    <w:rsid w:val="00224AF4"/>
    <w:rsid w:val="00232981"/>
    <w:rsid w:val="00235EC8"/>
    <w:rsid w:val="00241B62"/>
    <w:rsid w:val="00252788"/>
    <w:rsid w:val="00253220"/>
    <w:rsid w:val="002557B6"/>
    <w:rsid w:val="00262858"/>
    <w:rsid w:val="00265A9D"/>
    <w:rsid w:val="002667C3"/>
    <w:rsid w:val="00267A53"/>
    <w:rsid w:val="00275F4F"/>
    <w:rsid w:val="002820ED"/>
    <w:rsid w:val="00293FA0"/>
    <w:rsid w:val="00296270"/>
    <w:rsid w:val="002A448D"/>
    <w:rsid w:val="002E230F"/>
    <w:rsid w:val="002E6ED3"/>
    <w:rsid w:val="002F13DF"/>
    <w:rsid w:val="00312AB4"/>
    <w:rsid w:val="00313301"/>
    <w:rsid w:val="0031539E"/>
    <w:rsid w:val="00335C5A"/>
    <w:rsid w:val="0033718E"/>
    <w:rsid w:val="00340350"/>
    <w:rsid w:val="003439EA"/>
    <w:rsid w:val="003479C9"/>
    <w:rsid w:val="00347D13"/>
    <w:rsid w:val="003559E6"/>
    <w:rsid w:val="003571A6"/>
    <w:rsid w:val="0036366A"/>
    <w:rsid w:val="003715E7"/>
    <w:rsid w:val="0037441C"/>
    <w:rsid w:val="003B11A4"/>
    <w:rsid w:val="003B76ED"/>
    <w:rsid w:val="003E6D4B"/>
    <w:rsid w:val="003F2850"/>
    <w:rsid w:val="003F5816"/>
    <w:rsid w:val="004010E6"/>
    <w:rsid w:val="00407BB8"/>
    <w:rsid w:val="00416305"/>
    <w:rsid w:val="00430143"/>
    <w:rsid w:val="00430CBC"/>
    <w:rsid w:val="00437B20"/>
    <w:rsid w:val="00451647"/>
    <w:rsid w:val="00462DDD"/>
    <w:rsid w:val="004759EB"/>
    <w:rsid w:val="00483B72"/>
    <w:rsid w:val="00483F8F"/>
    <w:rsid w:val="00490748"/>
    <w:rsid w:val="004A5D5B"/>
    <w:rsid w:val="004B10DD"/>
    <w:rsid w:val="004C48D4"/>
    <w:rsid w:val="004C4D07"/>
    <w:rsid w:val="004C5B46"/>
    <w:rsid w:val="004D6651"/>
    <w:rsid w:val="004E09DE"/>
    <w:rsid w:val="004F7B17"/>
    <w:rsid w:val="0050097C"/>
    <w:rsid w:val="00503DD4"/>
    <w:rsid w:val="0054329A"/>
    <w:rsid w:val="005460D5"/>
    <w:rsid w:val="0055305A"/>
    <w:rsid w:val="00553B2D"/>
    <w:rsid w:val="00562573"/>
    <w:rsid w:val="00566121"/>
    <w:rsid w:val="00567648"/>
    <w:rsid w:val="005739EE"/>
    <w:rsid w:val="005849B1"/>
    <w:rsid w:val="00592D3D"/>
    <w:rsid w:val="00593442"/>
    <w:rsid w:val="00594DA0"/>
    <w:rsid w:val="00595AC6"/>
    <w:rsid w:val="00597CFC"/>
    <w:rsid w:val="005A4DE5"/>
    <w:rsid w:val="005B1999"/>
    <w:rsid w:val="005B68AC"/>
    <w:rsid w:val="005D0284"/>
    <w:rsid w:val="005F5626"/>
    <w:rsid w:val="005F60F5"/>
    <w:rsid w:val="005F6784"/>
    <w:rsid w:val="00603B1D"/>
    <w:rsid w:val="006059BA"/>
    <w:rsid w:val="00611E75"/>
    <w:rsid w:val="006137FA"/>
    <w:rsid w:val="00616EAD"/>
    <w:rsid w:val="006327E9"/>
    <w:rsid w:val="00642203"/>
    <w:rsid w:val="00642D71"/>
    <w:rsid w:val="00650569"/>
    <w:rsid w:val="00653527"/>
    <w:rsid w:val="0065578E"/>
    <w:rsid w:val="006567F7"/>
    <w:rsid w:val="00662C54"/>
    <w:rsid w:val="00665281"/>
    <w:rsid w:val="006A0148"/>
    <w:rsid w:val="006A337A"/>
    <w:rsid w:val="006B259B"/>
    <w:rsid w:val="006D0418"/>
    <w:rsid w:val="00703FA2"/>
    <w:rsid w:val="0070460B"/>
    <w:rsid w:val="00713EAD"/>
    <w:rsid w:val="00715F39"/>
    <w:rsid w:val="00720EE0"/>
    <w:rsid w:val="00723035"/>
    <w:rsid w:val="007346C8"/>
    <w:rsid w:val="00754707"/>
    <w:rsid w:val="0076002E"/>
    <w:rsid w:val="0076210A"/>
    <w:rsid w:val="00765DDC"/>
    <w:rsid w:val="007775CB"/>
    <w:rsid w:val="00790682"/>
    <w:rsid w:val="00795097"/>
    <w:rsid w:val="00795673"/>
    <w:rsid w:val="007A301B"/>
    <w:rsid w:val="007A32CC"/>
    <w:rsid w:val="007A49B8"/>
    <w:rsid w:val="007A7A36"/>
    <w:rsid w:val="007C0338"/>
    <w:rsid w:val="007D1811"/>
    <w:rsid w:val="00846109"/>
    <w:rsid w:val="00873FDF"/>
    <w:rsid w:val="00877237"/>
    <w:rsid w:val="008A086B"/>
    <w:rsid w:val="008B632F"/>
    <w:rsid w:val="008C0180"/>
    <w:rsid w:val="008C396C"/>
    <w:rsid w:val="008C4AF5"/>
    <w:rsid w:val="008D4970"/>
    <w:rsid w:val="008E239E"/>
    <w:rsid w:val="008F1D24"/>
    <w:rsid w:val="008F720A"/>
    <w:rsid w:val="00920683"/>
    <w:rsid w:val="009231BB"/>
    <w:rsid w:val="00936C62"/>
    <w:rsid w:val="00944E4F"/>
    <w:rsid w:val="00946D70"/>
    <w:rsid w:val="00947278"/>
    <w:rsid w:val="00951F3D"/>
    <w:rsid w:val="00955AD8"/>
    <w:rsid w:val="00962257"/>
    <w:rsid w:val="00974CC1"/>
    <w:rsid w:val="0098217B"/>
    <w:rsid w:val="00993B13"/>
    <w:rsid w:val="009963F8"/>
    <w:rsid w:val="009A48CB"/>
    <w:rsid w:val="009C1C18"/>
    <w:rsid w:val="009C2D56"/>
    <w:rsid w:val="009C77E4"/>
    <w:rsid w:val="009D4BD9"/>
    <w:rsid w:val="009D5B7D"/>
    <w:rsid w:val="009E3D7F"/>
    <w:rsid w:val="009F2268"/>
    <w:rsid w:val="00A21A2B"/>
    <w:rsid w:val="00A30C5B"/>
    <w:rsid w:val="00A42200"/>
    <w:rsid w:val="00A42BAA"/>
    <w:rsid w:val="00A46036"/>
    <w:rsid w:val="00A47461"/>
    <w:rsid w:val="00A55991"/>
    <w:rsid w:val="00A55A98"/>
    <w:rsid w:val="00A565D5"/>
    <w:rsid w:val="00A62F8E"/>
    <w:rsid w:val="00A9579A"/>
    <w:rsid w:val="00AA6C23"/>
    <w:rsid w:val="00AC22A2"/>
    <w:rsid w:val="00AC6157"/>
    <w:rsid w:val="00AF4B2E"/>
    <w:rsid w:val="00AF7A16"/>
    <w:rsid w:val="00B0588A"/>
    <w:rsid w:val="00B12890"/>
    <w:rsid w:val="00B16181"/>
    <w:rsid w:val="00B174F5"/>
    <w:rsid w:val="00B44204"/>
    <w:rsid w:val="00B61ECD"/>
    <w:rsid w:val="00B655E3"/>
    <w:rsid w:val="00B759D3"/>
    <w:rsid w:val="00B924DC"/>
    <w:rsid w:val="00BB3885"/>
    <w:rsid w:val="00BB49AE"/>
    <w:rsid w:val="00BC35CA"/>
    <w:rsid w:val="00BC5F2E"/>
    <w:rsid w:val="00BD09AF"/>
    <w:rsid w:val="00BE3ACC"/>
    <w:rsid w:val="00BF7369"/>
    <w:rsid w:val="00C01BD6"/>
    <w:rsid w:val="00C13206"/>
    <w:rsid w:val="00C1338C"/>
    <w:rsid w:val="00C15350"/>
    <w:rsid w:val="00C248CD"/>
    <w:rsid w:val="00C33322"/>
    <w:rsid w:val="00C33BFF"/>
    <w:rsid w:val="00C62554"/>
    <w:rsid w:val="00C63AA7"/>
    <w:rsid w:val="00C65A8F"/>
    <w:rsid w:val="00C75E03"/>
    <w:rsid w:val="00C81C95"/>
    <w:rsid w:val="00C8218A"/>
    <w:rsid w:val="00C824DA"/>
    <w:rsid w:val="00C82FB3"/>
    <w:rsid w:val="00C936C3"/>
    <w:rsid w:val="00CA24FE"/>
    <w:rsid w:val="00CC12C3"/>
    <w:rsid w:val="00CC3248"/>
    <w:rsid w:val="00CC7FC3"/>
    <w:rsid w:val="00CD7957"/>
    <w:rsid w:val="00CE2896"/>
    <w:rsid w:val="00CF05C9"/>
    <w:rsid w:val="00CF62A6"/>
    <w:rsid w:val="00CF77A6"/>
    <w:rsid w:val="00D340EF"/>
    <w:rsid w:val="00D36108"/>
    <w:rsid w:val="00D442D1"/>
    <w:rsid w:val="00D47446"/>
    <w:rsid w:val="00D55B7A"/>
    <w:rsid w:val="00D82440"/>
    <w:rsid w:val="00D85E99"/>
    <w:rsid w:val="00D90BDB"/>
    <w:rsid w:val="00D9448F"/>
    <w:rsid w:val="00D94A30"/>
    <w:rsid w:val="00D971DE"/>
    <w:rsid w:val="00DA0D80"/>
    <w:rsid w:val="00DC4D4E"/>
    <w:rsid w:val="00DE5202"/>
    <w:rsid w:val="00DE57A8"/>
    <w:rsid w:val="00DE70C4"/>
    <w:rsid w:val="00DF0355"/>
    <w:rsid w:val="00E02046"/>
    <w:rsid w:val="00E0316D"/>
    <w:rsid w:val="00E223E1"/>
    <w:rsid w:val="00E5589D"/>
    <w:rsid w:val="00E6242E"/>
    <w:rsid w:val="00E646AB"/>
    <w:rsid w:val="00E84AF2"/>
    <w:rsid w:val="00EB621D"/>
    <w:rsid w:val="00EC1617"/>
    <w:rsid w:val="00ED4C1B"/>
    <w:rsid w:val="00EF10E9"/>
    <w:rsid w:val="00EF2D94"/>
    <w:rsid w:val="00F012B4"/>
    <w:rsid w:val="00F13A02"/>
    <w:rsid w:val="00F324F7"/>
    <w:rsid w:val="00F37A4A"/>
    <w:rsid w:val="00F426AD"/>
    <w:rsid w:val="00F44730"/>
    <w:rsid w:val="00F559E2"/>
    <w:rsid w:val="00F565F2"/>
    <w:rsid w:val="00F570F2"/>
    <w:rsid w:val="00F73506"/>
    <w:rsid w:val="00F831F1"/>
    <w:rsid w:val="00F84782"/>
    <w:rsid w:val="00F87264"/>
    <w:rsid w:val="00FA67DE"/>
    <w:rsid w:val="00FC15EF"/>
    <w:rsid w:val="00FC1B03"/>
    <w:rsid w:val="00FC5CF3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684CA"/>
  <w14:defaultImageDpi w14:val="0"/>
  <w15:docId w15:val="{3FC5ACAC-7CBE-4053-B2C3-64FC1B87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qFormat/>
    <w:locked/>
    <w:rsid w:val="00DE5202"/>
    <w:rPr>
      <w:rFonts w:ascii="Calibri" w:eastAsia="SimSun" w:hAnsi="Calibri" w:cs="Calibri"/>
      <w:sz w:val="22"/>
      <w:szCs w:val="22"/>
      <w:lang w:eastAsia="ar-SA"/>
    </w:rPr>
  </w:style>
  <w:style w:type="paragraph" w:styleId="Bezriadkovania">
    <w:name w:val="No Spacing"/>
    <w:uiPriority w:val="1"/>
    <w:qFormat/>
    <w:rsid w:val="007A7A36"/>
    <w:rPr>
      <w:sz w:val="24"/>
      <w:szCs w:val="24"/>
    </w:rPr>
  </w:style>
  <w:style w:type="paragraph" w:customStyle="1" w:styleId="Default">
    <w:name w:val="Default"/>
    <w:rsid w:val="00AA6C2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78AAE-BAE1-4FB1-A383-2CEF6162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Valachová, Jana, Mgr.</cp:lastModifiedBy>
  <cp:revision>5</cp:revision>
  <cp:lastPrinted>2025-10-13T08:40:00Z</cp:lastPrinted>
  <dcterms:created xsi:type="dcterms:W3CDTF">2025-10-14T05:34:00Z</dcterms:created>
  <dcterms:modified xsi:type="dcterms:W3CDTF">2025-10-14T08:11:00Z</dcterms:modified>
</cp:coreProperties>
</file>