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992DF9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992DF9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992DF9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92DF9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992DF9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992DF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3877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992DF9" w:rsidR="00DA0F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Pr="00992DF9" w:rsidR="003104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5797/2025-23</w:t>
      </w:r>
    </w:p>
    <w:p w:rsidR="00F025DE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992DF9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992DF9" w:rsidR="00BA2D3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9</w:t>
      </w:r>
      <w:r w:rsidRPr="00992DF9" w:rsidR="00560DC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60</w:t>
      </w:r>
      <w:r w:rsidRPr="00992DF9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992DF9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992DF9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992DF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992DF9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92DF9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92DF9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92DF9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92DF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92DF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992DF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133/2013 Z. z. 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stavebných výrobkoch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960</w:t>
      </w:r>
      <w:r w:rsidRPr="00992DF9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92DF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92DF9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992DF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92DF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992DF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92DF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992DF9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992DF9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92DF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992DF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133/2013 Z. z. 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stavebných výrobkoch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960</w:t>
      </w:r>
      <w:r w:rsidRPr="00992DF9" w:rsidR="00CE3F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92DF9" w:rsidR="00BA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92DF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92DF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92DF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992DF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2DF9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992DF9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92DF9" w:rsidR="002862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1105</w:t>
      </w:r>
      <w:r w:rsidRPr="00992DF9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92DF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2862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992DF9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992DF9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2862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992DF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992DF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92DF9" w:rsidR="004D3C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992DF9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992DF9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992DF9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992DF9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A61CB2" w:rsidRPr="00992DF9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992DF9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992DF9" w:rsidR="00BA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992DF9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2DF9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992DF9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992DF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992DF9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992DF9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992DF9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404A88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97E2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992DF9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992DF9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992DF9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992DF9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992DF9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992DF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367</w:t>
      </w:r>
      <w:r w:rsidRPr="00992DF9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992DF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992DF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992DF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992DF9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992DF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992DF9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992DF9" w:rsidR="00BA2D3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E25B86" w:rsidRPr="00992DF9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992DF9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992DF9" w:rsidR="00C515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208</w:t>
      </w:r>
      <w:r w:rsidRPr="00992DF9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992DF9" w:rsidR="00C515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992DF9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 2025</w:t>
      </w:r>
      <w:r w:rsidRPr="00992DF9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992DF9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92DF9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992DF9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992DF9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992DF9"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992DF9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Pr="00992DF9"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92DF9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92DF9"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92DF9"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92DF9"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992DF9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5934D5" w:rsidRPr="00992DF9" w:rsidP="005411B4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numPr>
          <w:numId w:val="48"/>
        </w:numPr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12 v § 2a odseky 5 a 6 znejú: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tabs>
          <w:tab w:val="left" w:pos="1134"/>
        </w:tabs>
        <w:autoSpaceDE/>
        <w:autoSpaceDN/>
        <w:bidi w:val="0"/>
        <w:adjustRightInd/>
        <w:ind w:left="284" w:right="0" w:firstLine="28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„(5)</w:t>
        <w:tab/>
        <w:t>Ak výrobok predstavuje riziko,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10a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hospodárske subjekty zapojené do distribučného reťazca tohto výrobku, sú povinné sa o tomto riziku vzájomne bezodkladne informovať, ako aj bezodkladne informovať príslušné vnútroštátne orgány štátov, v ktorých sa výrobok sprístupnil na trh. Hospodárske subjekty sú zároveň povinné spolupracovať s príslušnými vnútroštátnymi orgánmi a prijať nevyhnutné nápravné opatrenia. Ak výrobok predstavuje vážne riziko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10b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výrobca ho bezodkladne stiahne a prevezme späť na vlastné náklady.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tabs>
          <w:tab w:val="left" w:pos="1134"/>
        </w:tabs>
        <w:autoSpaceDE/>
        <w:autoSpaceDN/>
        <w:bidi w:val="0"/>
        <w:adjustRightInd/>
        <w:ind w:left="284" w:right="0" w:firstLine="28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(6)</w:t>
        <w:tab/>
        <w:t>Na základe odôvodnenej žiadosti príslušného vnútroštátneho orgánu a v ním určenej lehote je každý hospodársky subjekt, zapojený do distribučného reťazca výrobku podľa odseku 5, povinný poskytnúť potrebné informácie a dokumentáciu potrebnú na preukázanie zhody výrobku s požiadavkami podľa § 2, a to v rozsahu jeho postavenia v distribučnom reťazci.“.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Poznámky pod čiarou k odkazom 10a a 10b znejú: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tabs>
          <w:tab w:val="left" w:pos="851"/>
        </w:tabs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10a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  <w:tab/>
        <w:t>Čl. 3 bod 59 nariadenia (EÚ) 2024/3110.</w:t>
      </w:r>
    </w:p>
    <w:p w:rsidR="00992DF9" w:rsidRPr="00992DF9" w:rsidP="00992DF9">
      <w:pPr>
        <w:framePr w:wrap="auto"/>
        <w:widowControl/>
        <w:tabs>
          <w:tab w:val="left" w:pos="851"/>
        </w:tabs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   10b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  <w:tab/>
        <w:t>Čl. 3 bod 60 nariadenia (EÚ) 2024/3110.“.“.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2160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 sa precizovať odsek 5 doplnením lehôt v ktorých  sú hospodárske subjekty povinné sa vzájomne informovať o riziku a vážnom riziku výrobku, vrátane informovania  príslušných vnútroštátnych orgánov. Zároveň sa navrhuje ustanoviť povinnosť výrobcu, v záujme ochrany spotrebiteľa, bezodkladne stiahnuť výrobok prestavujúci vážne riziko.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2160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odseku 6 sa navrhuje doplnenie ustanovenia o určenie lehoty, v ktorej hospodársky subjekt bude povinný poskytnúť príslušným vnútroštátnym orgánom potrebné informácie a dokumentáciu.</w:t>
      </w:r>
    </w:p>
    <w:p w:rsidR="00992DF9" w:rsidP="00992DF9">
      <w:pPr>
        <w:framePr w:wrap="auto"/>
        <w:widowControl w:val="0"/>
        <w:tabs>
          <w:tab w:val="left" w:pos="2835"/>
        </w:tabs>
        <w:autoSpaceDE w:val="0"/>
        <w:autoSpaceDN w:val="0"/>
        <w:bidi w:val="0"/>
        <w:adjustRightInd w:val="0"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spacing w:after="120"/>
        <w:ind w:left="2163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92DF9" w:rsidRPr="00992DF9" w:rsidP="00992DF9">
      <w:pPr>
        <w:framePr w:wrap="auto"/>
        <w:widowControl/>
        <w:numPr>
          <w:numId w:val="48"/>
        </w:numPr>
        <w:autoSpaceDE/>
        <w:autoSpaceDN/>
        <w:bidi w:val="0"/>
        <w:adjustRightInd/>
        <w:spacing w:after="200" w:line="276" w:lineRule="auto"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45 § 12a ods. 2 sa slová „v súlade s osobitným predpisom“ nahrádzajú slovami „na webovom sídle Komisie</w:t>
      </w:r>
      <w:r w:rsidRPr="00992DF9">
        <w:rPr>
          <w:rFonts w:ascii="Times New Roman" w:eastAsia="Times New Roman" w:hAnsi="Times New Roman" w:cs="Times New Roman" w:hint="cs"/>
          <w:i/>
          <w:iCs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podľa osobitného predpisu“.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úprava, ktorou sa spresňuje  údaj o zverejnení najnovšej verzie softvéru v súlade s čl. 15 ods. 2 nariadenia (EÚ) 2024/3110.</w:t>
      </w:r>
    </w:p>
    <w:p w:rsidR="00992DF9" w:rsidRPr="00992DF9" w:rsidP="00992DF9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spacing w:after="12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92DF9" w:rsidP="00992DF9">
      <w:pPr>
        <w:framePr w:wrap="auto"/>
        <w:widowControl w:val="0"/>
        <w:autoSpaceDE w:val="0"/>
        <w:autoSpaceDN w:val="0"/>
        <w:bidi w:val="0"/>
        <w:adjustRightInd w:val="0"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numPr>
          <w:numId w:val="48"/>
        </w:numPr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vypúšťa bod 81.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163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Navrhuje sa vypustenie bodu vzhľadom na znenie čl. 91 nariadenia (EÚ) 2024/3110.</w:t>
      </w:r>
    </w:p>
    <w:p w:rsid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spacing w:after="120"/>
        <w:ind w:left="2163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numPr>
          <w:numId w:val="48"/>
        </w:numPr>
        <w:autoSpaceDE/>
        <w:autoSpaceDN/>
        <w:bidi w:val="0"/>
        <w:adjustRightInd/>
        <w:ind w:left="284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102 v § 27 ods. 5 písmeno h) znie:</w:t>
      </w: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709" w:right="0" w:hanging="425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„h)</w:t>
        <w:tab/>
        <w:t>nesplnil niektorú z povinností týkajúcu sa online trhoviska podľa osobitného predpisu,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37a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)“.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Poznámka pod čiarou k odkazu 37a znie:</w:t>
      </w:r>
    </w:p>
    <w:p w:rsidR="00992DF9" w:rsidRPr="00992DF9" w:rsidP="00992DF9">
      <w:pPr>
        <w:framePr w:wrap="auto"/>
        <w:widowControl/>
        <w:tabs>
          <w:tab w:val="left" w:pos="851"/>
        </w:tabs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37a</w:t>
      </w:r>
      <w:r w:rsidRPr="00992D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  <w:tab/>
        <w:t>Čl. 28 a čl. 29 ods. 2 nariadenia (EÚ) 2024/3110.“.“.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2163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Navrhuje sa spresnenie ustanovenia z hľadiska obsahu ustanovení nariadenia (EÚ) 2024/3110 na ktoré sa odkazuje. 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2DF9" w:rsidRPr="00992DF9" w:rsidP="00992DF9">
      <w:pPr>
        <w:framePr w:wrap="auto"/>
        <w:widowControl/>
        <w:autoSpaceDE/>
        <w:autoSpaceDN/>
        <w:bidi w:val="0"/>
        <w:adjustRightInd/>
        <w:spacing w:after="120"/>
        <w:ind w:left="2163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92DF9" w:rsidRPr="00992DF9" w:rsidP="00992DF9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92DF9" w:rsidRPr="00992DF9" w:rsidP="00992DF9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E799F" w:rsidRPr="00992DF9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92DF9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 o</w:t>
      </w:r>
      <w:r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A75470" w:rsid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bodoch 1 až 4 spoločne</w:t>
      </w:r>
      <w:r w:rsid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992DF9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992DF9" w:rsidRPr="00992DF9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C60DB6" w:rsidRPr="00992DF9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2DF9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992DF9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992DF9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133/2013 Z. z. 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stavebných výrobkoch</w:t>
      </w:r>
      <w:r w:rsidRPr="00992DF9" w:rsidR="00560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960</w:t>
      </w:r>
      <w:r w:rsidRPr="00992DF9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92DF9" w:rsidR="00E22D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560D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992DF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992DF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727955"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727955"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727955"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7279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92DF9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992DF9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992DF9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92DF9" w:rsidR="00DF7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229</w:t>
      </w:r>
      <w:r w:rsidRPr="00992DF9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92DF9" w:rsidR="00DF7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992DF9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 w:rsidR="00DF7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92DF9" w:rsidR="009A07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992DF9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992D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992DF9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92DF9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992DF9" w:rsidR="007177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Pr="00992DF9" w:rsidR="00E106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92DF9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92D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992DF9" w:rsidR="00DF7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92DF9" w:rsidR="00E106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992DF9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97E23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92D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992DF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992DF9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992DF9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992DF9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992DF9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92DF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97E2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7BE3FF1"/>
    <w:multiLevelType w:val="hybridMultilevel"/>
    <w:tmpl w:val="EE003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38"/>
  </w:num>
  <w:num w:numId="4">
    <w:abstractNumId w:val="14"/>
  </w:num>
  <w:num w:numId="5">
    <w:abstractNumId w:val="26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5"/>
  </w:num>
  <w:num w:numId="21">
    <w:abstractNumId w:val="6"/>
  </w:num>
  <w:num w:numId="22">
    <w:abstractNumId w:val="31"/>
  </w:num>
  <w:num w:numId="23">
    <w:abstractNumId w:val="5"/>
  </w:num>
  <w:num w:numId="24">
    <w:abstractNumId w:val="41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9"/>
  </w:num>
  <w:num w:numId="32">
    <w:abstractNumId w:val="21"/>
  </w:num>
  <w:num w:numId="33">
    <w:abstractNumId w:val="40"/>
  </w:num>
  <w:num w:numId="34">
    <w:abstractNumId w:val="22"/>
  </w:num>
  <w:num w:numId="35">
    <w:abstractNumId w:val="10"/>
  </w:num>
  <w:num w:numId="36">
    <w:abstractNumId w:val="44"/>
  </w:num>
  <w:num w:numId="37">
    <w:abstractNumId w:val="43"/>
  </w:num>
  <w:num w:numId="38">
    <w:abstractNumId w:val="9"/>
  </w:num>
  <w:num w:numId="39">
    <w:abstractNumId w:val="15"/>
  </w:num>
  <w:num w:numId="40">
    <w:abstractNumId w:val="19"/>
  </w:num>
  <w:num w:numId="41">
    <w:abstractNumId w:val="35"/>
  </w:num>
  <w:num w:numId="42">
    <w:abstractNumId w:val="4"/>
  </w:num>
  <w:num w:numId="43">
    <w:abstractNumId w:val="34"/>
  </w:num>
  <w:num w:numId="44">
    <w:abstractNumId w:val="11"/>
  </w:num>
  <w:num w:numId="45">
    <w:abstractNumId w:val="2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244</TotalTime>
  <Pages>4</Pages>
  <Words>887</Words>
  <Characters>5061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114</cp:revision>
  <cp:lastPrinted>2020-05-20T15:53:00Z</cp:lastPrinted>
  <dcterms:created xsi:type="dcterms:W3CDTF">2021-10-19T14:12:00Z</dcterms:created>
  <dcterms:modified xsi:type="dcterms:W3CDTF">2025-10-14T10:06:00Z</dcterms:modified>
</cp:coreProperties>
</file>