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7.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8.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0.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1.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2.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3.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4.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5.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6.xml" ContentType="application/vnd.openxmlformats-officedocument.themeOverrid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7.xml" ContentType="application/vnd.openxmlformats-officedocument.themeOverrid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8.xml" ContentType="application/vnd.openxmlformats-officedocument.themeOverrid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9.xml" ContentType="application/vnd.openxmlformats-officedocument.themeOverrid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0.xml" ContentType="application/vnd.openxmlformats-officedocument.themeOverrid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1.xml" ContentType="application/vnd.openxmlformats-officedocument.themeOverrid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2.xml" ContentType="application/vnd.openxmlformats-officedocument.themeOverrid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3.xml" ContentType="application/vnd.openxmlformats-officedocument.themeOverrid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4.xml" ContentType="application/vnd.openxmlformats-officedocument.themeOverrid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5.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1209720558"/>
        <w:placeholder>
          <w:docPart w:val="4CFA9320A03148E98EF733F7A917AECF"/>
        </w:placeholder>
      </w:sdtPr>
      <w:sdtEndPr/>
      <w:sdtContent>
        <w:p w14:paraId="12D0BE3D" w14:textId="45B648A7" w:rsidR="00196D31" w:rsidRDefault="006C125B" w:rsidP="00FF5DA3">
          <w:pPr>
            <w:pStyle w:val="Nzov"/>
            <w:spacing w:before="4800"/>
          </w:pPr>
          <w:r>
            <w:t xml:space="preserve">STANOVISKO </w:t>
          </w:r>
          <w:r>
            <w:br/>
            <w:t xml:space="preserve">najvyššieho kontrolného úradu sr k návrhu štátneho rozpočtu sr na rok </w:t>
          </w:r>
          <w:r w:rsidRPr="009A64E6">
            <w:t>202</w:t>
          </w:r>
          <w:r w:rsidR="00653496">
            <w:t>6</w:t>
          </w:r>
        </w:p>
      </w:sdtContent>
    </w:sdt>
    <w:p w14:paraId="6D1ED517" w14:textId="77777777" w:rsidR="00F539EB" w:rsidRDefault="00F539EB" w:rsidP="00FF5DA3">
      <w:pPr>
        <w:pStyle w:val="Podtitul"/>
        <w:spacing w:after="1200"/>
      </w:pPr>
    </w:p>
    <w:p w14:paraId="427B3189" w14:textId="5CF0BE08" w:rsidR="00F071B7" w:rsidRDefault="001A5615" w:rsidP="00F071B7">
      <w:pPr>
        <w:jc w:val="center"/>
        <w:rPr>
          <w:b/>
          <w:color w:val="314364" w:themeColor="text2"/>
          <w:sz w:val="32"/>
          <w:szCs w:val="32"/>
        </w:rPr>
      </w:pPr>
      <w:r>
        <w:rPr>
          <w:b/>
          <w:color w:val="314364" w:themeColor="text2"/>
          <w:sz w:val="32"/>
          <w:szCs w:val="32"/>
        </w:rPr>
        <w:t>Október</w:t>
      </w:r>
      <w:r w:rsidR="00F071B7" w:rsidRPr="00FF5DA3">
        <w:rPr>
          <w:b/>
          <w:color w:val="314364" w:themeColor="text2"/>
          <w:sz w:val="32"/>
          <w:szCs w:val="32"/>
        </w:rPr>
        <w:t xml:space="preserve"> </w:t>
      </w:r>
      <w:r w:rsidR="00F071B7">
        <w:rPr>
          <w:b/>
          <w:color w:val="314364" w:themeColor="text2"/>
          <w:sz w:val="32"/>
          <w:szCs w:val="32"/>
        </w:rPr>
        <w:t>202</w:t>
      </w:r>
      <w:r w:rsidR="00653496">
        <w:rPr>
          <w:b/>
          <w:color w:val="314364" w:themeColor="text2"/>
          <w:sz w:val="32"/>
          <w:szCs w:val="32"/>
        </w:rPr>
        <w:t>5</w:t>
      </w:r>
    </w:p>
    <w:p w14:paraId="0B2834C2" w14:textId="77777777" w:rsidR="00F071B7" w:rsidRDefault="00F071B7" w:rsidP="00F071B7">
      <w:pPr>
        <w:jc w:val="center"/>
        <w:rPr>
          <w:b/>
          <w:color w:val="314364" w:themeColor="text2"/>
          <w:sz w:val="32"/>
          <w:szCs w:val="32"/>
        </w:rPr>
      </w:pPr>
    </w:p>
    <w:p w14:paraId="67BC3C64" w14:textId="77777777" w:rsidR="00F071B7" w:rsidRDefault="00F071B7" w:rsidP="00F071B7">
      <w:pPr>
        <w:jc w:val="center"/>
        <w:rPr>
          <w:b/>
          <w:color w:val="314364" w:themeColor="text2"/>
          <w:sz w:val="32"/>
          <w:szCs w:val="32"/>
        </w:rPr>
      </w:pPr>
    </w:p>
    <w:p w14:paraId="3B65B546" w14:textId="77777777" w:rsidR="00F071B7" w:rsidRDefault="00F071B7" w:rsidP="00F071B7">
      <w:pPr>
        <w:jc w:val="center"/>
        <w:rPr>
          <w:b/>
          <w:color w:val="314364" w:themeColor="text2"/>
          <w:sz w:val="32"/>
          <w:szCs w:val="32"/>
        </w:rPr>
      </w:pPr>
    </w:p>
    <w:p w14:paraId="0AE2ECA2" w14:textId="77777777" w:rsidR="00F071B7" w:rsidRPr="00F81151" w:rsidRDefault="00F81151" w:rsidP="00AD186F">
      <w:pPr>
        <w:tabs>
          <w:tab w:val="left" w:pos="3615"/>
          <w:tab w:val="center" w:pos="4535"/>
        </w:tabs>
        <w:rPr>
          <w:sz w:val="32"/>
          <w:szCs w:val="32"/>
        </w:rPr>
        <w:sectPr w:rsidR="00F071B7" w:rsidRPr="00F81151" w:rsidSect="00A9226D">
          <w:headerReference w:type="default" r:id="rId8"/>
          <w:footerReference w:type="default" r:id="rId9"/>
          <w:pgSz w:w="11906" w:h="16838" w:code="9"/>
          <w:pgMar w:top="1985" w:right="1418" w:bottom="1134" w:left="1418" w:header="0" w:footer="284" w:gutter="0"/>
          <w:cols w:space="708"/>
          <w:docGrid w:linePitch="360"/>
        </w:sectPr>
      </w:pPr>
      <w:r>
        <w:rPr>
          <w:sz w:val="32"/>
          <w:szCs w:val="32"/>
        </w:rPr>
        <w:tab/>
      </w:r>
    </w:p>
    <w:sdt>
      <w:sdtPr>
        <w:rPr>
          <w:rFonts w:eastAsiaTheme="minorHAnsi" w:cs="Segoe UI"/>
          <w:color w:val="auto"/>
          <w:sz w:val="20"/>
          <w:szCs w:val="22"/>
          <w:lang w:eastAsia="en-US"/>
        </w:rPr>
        <w:id w:val="1304823830"/>
        <w:docPartObj>
          <w:docPartGallery w:val="Table of Contents"/>
          <w:docPartUnique/>
        </w:docPartObj>
      </w:sdtPr>
      <w:sdtEndPr>
        <w:rPr>
          <w:rFonts w:cstheme="minorBidi"/>
          <w:b/>
          <w:bCs/>
        </w:rPr>
      </w:sdtEndPr>
      <w:sdtContent>
        <w:p w14:paraId="5C4FE225" w14:textId="77777777" w:rsidR="00F071B7" w:rsidRPr="0052700B" w:rsidRDefault="00F071B7" w:rsidP="00F071B7">
          <w:pPr>
            <w:pStyle w:val="Hlavikaobsahu"/>
            <w:rPr>
              <w:rFonts w:cs="Segoe UI"/>
            </w:rPr>
          </w:pPr>
          <w:r w:rsidRPr="0052700B">
            <w:rPr>
              <w:rFonts w:cs="Segoe UI"/>
            </w:rPr>
            <w:t>Obsah</w:t>
          </w:r>
        </w:p>
        <w:p w14:paraId="640D440B" w14:textId="083723F8" w:rsidR="0050544D" w:rsidRDefault="006C125B">
          <w:pPr>
            <w:pStyle w:val="Obsah1"/>
            <w:rPr>
              <w:rFonts w:eastAsiaTheme="minorEastAsia" w:cstheme="minorBidi"/>
              <w:b w:val="0"/>
              <w:bCs w:val="0"/>
              <w:caps w:val="0"/>
              <w:color w:val="auto"/>
              <w:kern w:val="2"/>
              <w:sz w:val="24"/>
              <w:szCs w:val="24"/>
              <w:lang w:eastAsia="sk-SK"/>
              <w14:ligatures w14:val="standardContextual"/>
            </w:rPr>
          </w:pPr>
          <w:r w:rsidRPr="0052700B">
            <w:rPr>
              <w:rFonts w:ascii="Segoe UI" w:hAnsi="Segoe UI" w:cs="Segoe UI"/>
            </w:rPr>
            <w:fldChar w:fldCharType="begin"/>
          </w:r>
          <w:r w:rsidRPr="0052700B">
            <w:rPr>
              <w:rFonts w:ascii="Segoe UI" w:hAnsi="Segoe UI" w:cs="Segoe UI"/>
            </w:rPr>
            <w:instrText xml:space="preserve"> TOC \o "1-3" \h \z \u </w:instrText>
          </w:r>
          <w:r w:rsidRPr="0052700B">
            <w:rPr>
              <w:rFonts w:ascii="Segoe UI" w:hAnsi="Segoe UI" w:cs="Segoe UI"/>
            </w:rPr>
            <w:fldChar w:fldCharType="separate"/>
          </w:r>
          <w:hyperlink w:anchor="_Toc211249071" w:history="1">
            <w:r w:rsidR="0050544D" w:rsidRPr="00A00326">
              <w:rPr>
                <w:rStyle w:val="Hypertextovprepojenie"/>
              </w:rPr>
              <w:t>Zhrnutie</w:t>
            </w:r>
            <w:r w:rsidR="0050544D">
              <w:rPr>
                <w:webHidden/>
              </w:rPr>
              <w:tab/>
            </w:r>
            <w:r w:rsidR="0050544D">
              <w:rPr>
                <w:webHidden/>
              </w:rPr>
              <w:fldChar w:fldCharType="begin"/>
            </w:r>
            <w:r w:rsidR="0050544D">
              <w:rPr>
                <w:webHidden/>
              </w:rPr>
              <w:instrText xml:space="preserve"> PAGEREF _Toc211249071 \h </w:instrText>
            </w:r>
            <w:r w:rsidR="0050544D">
              <w:rPr>
                <w:webHidden/>
              </w:rPr>
            </w:r>
            <w:r w:rsidR="0050544D">
              <w:rPr>
                <w:webHidden/>
              </w:rPr>
              <w:fldChar w:fldCharType="separate"/>
            </w:r>
            <w:r w:rsidR="003013A9">
              <w:rPr>
                <w:webHidden/>
              </w:rPr>
              <w:t>4</w:t>
            </w:r>
            <w:r w:rsidR="0050544D">
              <w:rPr>
                <w:webHidden/>
              </w:rPr>
              <w:fldChar w:fldCharType="end"/>
            </w:r>
          </w:hyperlink>
        </w:p>
        <w:p w14:paraId="6BF84225" w14:textId="269A28F3" w:rsidR="0050544D" w:rsidRDefault="0065645A">
          <w:pPr>
            <w:pStyle w:val="Obsah1"/>
            <w:rPr>
              <w:rFonts w:eastAsiaTheme="minorEastAsia" w:cstheme="minorBidi"/>
              <w:b w:val="0"/>
              <w:bCs w:val="0"/>
              <w:caps w:val="0"/>
              <w:color w:val="auto"/>
              <w:kern w:val="2"/>
              <w:sz w:val="24"/>
              <w:szCs w:val="24"/>
              <w:lang w:eastAsia="sk-SK"/>
              <w14:ligatures w14:val="standardContextual"/>
            </w:rPr>
          </w:pPr>
          <w:hyperlink w:anchor="_Toc211249072" w:history="1">
            <w:r w:rsidR="0050544D" w:rsidRPr="00A00326">
              <w:rPr>
                <w:rStyle w:val="Hypertextovprepojenie"/>
                <w:lang w:eastAsia="sk-SK"/>
              </w:rPr>
              <w:t>1</w:t>
            </w:r>
            <w:r w:rsidR="0050544D">
              <w:rPr>
                <w:rFonts w:eastAsiaTheme="minorEastAsia" w:cstheme="minorBidi"/>
                <w:b w:val="0"/>
                <w:bCs w:val="0"/>
                <w:caps w:val="0"/>
                <w:color w:val="auto"/>
                <w:kern w:val="2"/>
                <w:sz w:val="24"/>
                <w:szCs w:val="24"/>
                <w:lang w:eastAsia="sk-SK"/>
                <w14:ligatures w14:val="standardContextual"/>
              </w:rPr>
              <w:tab/>
            </w:r>
            <w:r w:rsidR="0050544D" w:rsidRPr="00A00326">
              <w:rPr>
                <w:rStyle w:val="Hypertextovprepojenie"/>
                <w:lang w:eastAsia="sk-SK"/>
              </w:rPr>
              <w:t>Hodnotenie procesu zostavenia rozpočtu</w:t>
            </w:r>
            <w:r w:rsidR="0050544D">
              <w:rPr>
                <w:webHidden/>
              </w:rPr>
              <w:tab/>
            </w:r>
            <w:r w:rsidR="0050544D">
              <w:rPr>
                <w:webHidden/>
              </w:rPr>
              <w:fldChar w:fldCharType="begin"/>
            </w:r>
            <w:r w:rsidR="0050544D">
              <w:rPr>
                <w:webHidden/>
              </w:rPr>
              <w:instrText xml:space="preserve"> PAGEREF _Toc211249072 \h </w:instrText>
            </w:r>
            <w:r w:rsidR="0050544D">
              <w:rPr>
                <w:webHidden/>
              </w:rPr>
            </w:r>
            <w:r w:rsidR="0050544D">
              <w:rPr>
                <w:webHidden/>
              </w:rPr>
              <w:fldChar w:fldCharType="separate"/>
            </w:r>
            <w:r w:rsidR="003013A9">
              <w:rPr>
                <w:webHidden/>
              </w:rPr>
              <w:t>7</w:t>
            </w:r>
            <w:r w:rsidR="0050544D">
              <w:rPr>
                <w:webHidden/>
              </w:rPr>
              <w:fldChar w:fldCharType="end"/>
            </w:r>
          </w:hyperlink>
        </w:p>
        <w:p w14:paraId="2E0E71B7" w14:textId="3DA705DD" w:rsidR="0050544D" w:rsidRDefault="0065645A">
          <w:pPr>
            <w:pStyle w:val="Obsah1"/>
            <w:rPr>
              <w:rFonts w:eastAsiaTheme="minorEastAsia" w:cstheme="minorBidi"/>
              <w:b w:val="0"/>
              <w:bCs w:val="0"/>
              <w:caps w:val="0"/>
              <w:color w:val="auto"/>
              <w:kern w:val="2"/>
              <w:sz w:val="24"/>
              <w:szCs w:val="24"/>
              <w:lang w:eastAsia="sk-SK"/>
              <w14:ligatures w14:val="standardContextual"/>
            </w:rPr>
          </w:pPr>
          <w:hyperlink w:anchor="_Toc211249073" w:history="1">
            <w:r w:rsidR="0050544D" w:rsidRPr="00A00326">
              <w:rPr>
                <w:rStyle w:val="Hypertextovprepojenie"/>
              </w:rPr>
              <w:t>2</w:t>
            </w:r>
            <w:r w:rsidR="0050544D">
              <w:rPr>
                <w:rFonts w:eastAsiaTheme="minorEastAsia" w:cstheme="minorBidi"/>
                <w:b w:val="0"/>
                <w:bCs w:val="0"/>
                <w:caps w:val="0"/>
                <w:color w:val="auto"/>
                <w:kern w:val="2"/>
                <w:sz w:val="24"/>
                <w:szCs w:val="24"/>
                <w:lang w:eastAsia="sk-SK"/>
                <w14:ligatures w14:val="standardContextual"/>
              </w:rPr>
              <w:tab/>
            </w:r>
            <w:r w:rsidR="0050544D" w:rsidRPr="00A00326">
              <w:rPr>
                <w:rStyle w:val="Hypertextovprepojenie"/>
              </w:rPr>
              <w:t>Makroekonomické predpoklady rozpočtu</w:t>
            </w:r>
            <w:r w:rsidR="0050544D">
              <w:rPr>
                <w:webHidden/>
              </w:rPr>
              <w:tab/>
            </w:r>
            <w:r w:rsidR="0050544D">
              <w:rPr>
                <w:webHidden/>
              </w:rPr>
              <w:fldChar w:fldCharType="begin"/>
            </w:r>
            <w:r w:rsidR="0050544D">
              <w:rPr>
                <w:webHidden/>
              </w:rPr>
              <w:instrText xml:space="preserve"> PAGEREF _Toc211249073 \h </w:instrText>
            </w:r>
            <w:r w:rsidR="0050544D">
              <w:rPr>
                <w:webHidden/>
              </w:rPr>
            </w:r>
            <w:r w:rsidR="0050544D">
              <w:rPr>
                <w:webHidden/>
              </w:rPr>
              <w:fldChar w:fldCharType="separate"/>
            </w:r>
            <w:r w:rsidR="003013A9">
              <w:rPr>
                <w:webHidden/>
              </w:rPr>
              <w:t>9</w:t>
            </w:r>
            <w:r w:rsidR="0050544D">
              <w:rPr>
                <w:webHidden/>
              </w:rPr>
              <w:fldChar w:fldCharType="end"/>
            </w:r>
          </w:hyperlink>
        </w:p>
        <w:p w14:paraId="7B2D3F16" w14:textId="3CF8F55D" w:rsidR="0050544D" w:rsidRDefault="0065645A">
          <w:pPr>
            <w:pStyle w:val="Obsah1"/>
            <w:rPr>
              <w:rFonts w:eastAsiaTheme="minorEastAsia" w:cstheme="minorBidi"/>
              <w:b w:val="0"/>
              <w:bCs w:val="0"/>
              <w:caps w:val="0"/>
              <w:color w:val="auto"/>
              <w:kern w:val="2"/>
              <w:sz w:val="24"/>
              <w:szCs w:val="24"/>
              <w:lang w:eastAsia="sk-SK"/>
              <w14:ligatures w14:val="standardContextual"/>
            </w:rPr>
          </w:pPr>
          <w:hyperlink w:anchor="_Toc211249074" w:history="1">
            <w:r w:rsidR="0050544D" w:rsidRPr="00A00326">
              <w:rPr>
                <w:rStyle w:val="Hypertextovprepojenie"/>
              </w:rPr>
              <w:t>3</w:t>
            </w:r>
            <w:r w:rsidR="0050544D">
              <w:rPr>
                <w:rFonts w:eastAsiaTheme="minorEastAsia" w:cstheme="minorBidi"/>
                <w:b w:val="0"/>
                <w:bCs w:val="0"/>
                <w:caps w:val="0"/>
                <w:color w:val="auto"/>
                <w:kern w:val="2"/>
                <w:sz w:val="24"/>
                <w:szCs w:val="24"/>
                <w:lang w:eastAsia="sk-SK"/>
                <w14:ligatures w14:val="standardContextual"/>
              </w:rPr>
              <w:tab/>
            </w:r>
            <w:r w:rsidR="0050544D" w:rsidRPr="00A00326">
              <w:rPr>
                <w:rStyle w:val="Hypertextovprepojenie"/>
              </w:rPr>
              <w:t>Východiskový rámec návrhu rozpočtu verejnej správy</w:t>
            </w:r>
            <w:r w:rsidR="0050544D">
              <w:rPr>
                <w:webHidden/>
              </w:rPr>
              <w:tab/>
            </w:r>
            <w:r w:rsidR="0050544D">
              <w:rPr>
                <w:webHidden/>
              </w:rPr>
              <w:fldChar w:fldCharType="begin"/>
            </w:r>
            <w:r w:rsidR="0050544D">
              <w:rPr>
                <w:webHidden/>
              </w:rPr>
              <w:instrText xml:space="preserve"> PAGEREF _Toc211249074 \h </w:instrText>
            </w:r>
            <w:r w:rsidR="0050544D">
              <w:rPr>
                <w:webHidden/>
              </w:rPr>
            </w:r>
            <w:r w:rsidR="0050544D">
              <w:rPr>
                <w:webHidden/>
              </w:rPr>
              <w:fldChar w:fldCharType="separate"/>
            </w:r>
            <w:r w:rsidR="003013A9">
              <w:rPr>
                <w:webHidden/>
              </w:rPr>
              <w:t>11</w:t>
            </w:r>
            <w:r w:rsidR="0050544D">
              <w:rPr>
                <w:webHidden/>
              </w:rPr>
              <w:fldChar w:fldCharType="end"/>
            </w:r>
          </w:hyperlink>
        </w:p>
        <w:p w14:paraId="11DA2562" w14:textId="656B29A8"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75" w:history="1">
            <w:r w:rsidR="0050544D" w:rsidRPr="00A00326">
              <w:rPr>
                <w:rStyle w:val="Hypertextovprepojenie"/>
                <w:noProof/>
              </w:rPr>
              <w:t>3.1</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Konsolidačné opatrenia 2025/2026</w:t>
            </w:r>
            <w:r w:rsidR="0050544D">
              <w:rPr>
                <w:noProof/>
                <w:webHidden/>
              </w:rPr>
              <w:tab/>
            </w:r>
            <w:r w:rsidR="0050544D">
              <w:rPr>
                <w:noProof/>
                <w:webHidden/>
              </w:rPr>
              <w:fldChar w:fldCharType="begin"/>
            </w:r>
            <w:r w:rsidR="0050544D">
              <w:rPr>
                <w:noProof/>
                <w:webHidden/>
              </w:rPr>
              <w:instrText xml:space="preserve"> PAGEREF _Toc211249075 \h </w:instrText>
            </w:r>
            <w:r w:rsidR="0050544D">
              <w:rPr>
                <w:noProof/>
                <w:webHidden/>
              </w:rPr>
            </w:r>
            <w:r w:rsidR="0050544D">
              <w:rPr>
                <w:noProof/>
                <w:webHidden/>
              </w:rPr>
              <w:fldChar w:fldCharType="separate"/>
            </w:r>
            <w:r w:rsidR="003013A9">
              <w:rPr>
                <w:noProof/>
                <w:webHidden/>
              </w:rPr>
              <w:t>11</w:t>
            </w:r>
            <w:r w:rsidR="0050544D">
              <w:rPr>
                <w:noProof/>
                <w:webHidden/>
              </w:rPr>
              <w:fldChar w:fldCharType="end"/>
            </w:r>
          </w:hyperlink>
        </w:p>
        <w:p w14:paraId="78D8D3C6" w14:textId="75753736"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76" w:history="1">
            <w:r w:rsidR="0050544D" w:rsidRPr="00A00326">
              <w:rPr>
                <w:rStyle w:val="Hypertextovprepojenie"/>
                <w:noProof/>
              </w:rPr>
              <w:t>3.2</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Daňové a odvodové príjmy verejnej správy</w:t>
            </w:r>
            <w:r w:rsidR="0050544D">
              <w:rPr>
                <w:noProof/>
                <w:webHidden/>
              </w:rPr>
              <w:tab/>
            </w:r>
            <w:r w:rsidR="0050544D">
              <w:rPr>
                <w:noProof/>
                <w:webHidden/>
              </w:rPr>
              <w:fldChar w:fldCharType="begin"/>
            </w:r>
            <w:r w:rsidR="0050544D">
              <w:rPr>
                <w:noProof/>
                <w:webHidden/>
              </w:rPr>
              <w:instrText xml:space="preserve"> PAGEREF _Toc211249076 \h </w:instrText>
            </w:r>
            <w:r w:rsidR="0050544D">
              <w:rPr>
                <w:noProof/>
                <w:webHidden/>
              </w:rPr>
            </w:r>
            <w:r w:rsidR="0050544D">
              <w:rPr>
                <w:noProof/>
                <w:webHidden/>
              </w:rPr>
              <w:fldChar w:fldCharType="separate"/>
            </w:r>
            <w:r w:rsidR="003013A9">
              <w:rPr>
                <w:noProof/>
                <w:webHidden/>
              </w:rPr>
              <w:t>15</w:t>
            </w:r>
            <w:r w:rsidR="0050544D">
              <w:rPr>
                <w:noProof/>
                <w:webHidden/>
              </w:rPr>
              <w:fldChar w:fldCharType="end"/>
            </w:r>
          </w:hyperlink>
        </w:p>
        <w:p w14:paraId="31415575" w14:textId="5D226836"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77" w:history="1">
            <w:r w:rsidR="0050544D" w:rsidRPr="00A00326">
              <w:rPr>
                <w:rStyle w:val="Hypertextovprepojenie"/>
                <w:noProof/>
              </w:rPr>
              <w:t>3.2.1</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Zdravotné odvody</w:t>
            </w:r>
            <w:r w:rsidR="0050544D">
              <w:rPr>
                <w:noProof/>
                <w:webHidden/>
              </w:rPr>
              <w:tab/>
            </w:r>
            <w:r w:rsidR="0050544D">
              <w:rPr>
                <w:noProof/>
                <w:webHidden/>
              </w:rPr>
              <w:fldChar w:fldCharType="begin"/>
            </w:r>
            <w:r w:rsidR="0050544D">
              <w:rPr>
                <w:noProof/>
                <w:webHidden/>
              </w:rPr>
              <w:instrText xml:space="preserve"> PAGEREF _Toc211249077 \h </w:instrText>
            </w:r>
            <w:r w:rsidR="0050544D">
              <w:rPr>
                <w:noProof/>
                <w:webHidden/>
              </w:rPr>
            </w:r>
            <w:r w:rsidR="0050544D">
              <w:rPr>
                <w:noProof/>
                <w:webHidden/>
              </w:rPr>
              <w:fldChar w:fldCharType="separate"/>
            </w:r>
            <w:r w:rsidR="003013A9">
              <w:rPr>
                <w:noProof/>
                <w:webHidden/>
              </w:rPr>
              <w:t>17</w:t>
            </w:r>
            <w:r w:rsidR="0050544D">
              <w:rPr>
                <w:noProof/>
                <w:webHidden/>
              </w:rPr>
              <w:fldChar w:fldCharType="end"/>
            </w:r>
          </w:hyperlink>
        </w:p>
        <w:p w14:paraId="32782D2A" w14:textId="2BE133F6"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78" w:history="1">
            <w:r w:rsidR="0050544D" w:rsidRPr="00A00326">
              <w:rPr>
                <w:rStyle w:val="Hypertextovprepojenie"/>
                <w:noProof/>
              </w:rPr>
              <w:t>3.3</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Vybrané výdavky verejnej správy</w:t>
            </w:r>
            <w:r w:rsidR="0050544D">
              <w:rPr>
                <w:noProof/>
                <w:webHidden/>
              </w:rPr>
              <w:tab/>
            </w:r>
            <w:r w:rsidR="0050544D">
              <w:rPr>
                <w:noProof/>
                <w:webHidden/>
              </w:rPr>
              <w:fldChar w:fldCharType="begin"/>
            </w:r>
            <w:r w:rsidR="0050544D">
              <w:rPr>
                <w:noProof/>
                <w:webHidden/>
              </w:rPr>
              <w:instrText xml:space="preserve"> PAGEREF _Toc211249078 \h </w:instrText>
            </w:r>
            <w:r w:rsidR="0050544D">
              <w:rPr>
                <w:noProof/>
                <w:webHidden/>
              </w:rPr>
            </w:r>
            <w:r w:rsidR="0050544D">
              <w:rPr>
                <w:noProof/>
                <w:webHidden/>
              </w:rPr>
              <w:fldChar w:fldCharType="separate"/>
            </w:r>
            <w:r w:rsidR="003013A9">
              <w:rPr>
                <w:noProof/>
                <w:webHidden/>
              </w:rPr>
              <w:t>18</w:t>
            </w:r>
            <w:r w:rsidR="0050544D">
              <w:rPr>
                <w:noProof/>
                <w:webHidden/>
              </w:rPr>
              <w:fldChar w:fldCharType="end"/>
            </w:r>
          </w:hyperlink>
        </w:p>
        <w:p w14:paraId="47697EEC" w14:textId="208FAB63"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79" w:history="1">
            <w:r w:rsidR="0050544D" w:rsidRPr="00A00326">
              <w:rPr>
                <w:rStyle w:val="Hypertextovprepojenie"/>
                <w:noProof/>
              </w:rPr>
              <w:t>3.3.1</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Výdavky na dôchodky</w:t>
            </w:r>
            <w:r w:rsidR="0050544D">
              <w:rPr>
                <w:noProof/>
                <w:webHidden/>
              </w:rPr>
              <w:tab/>
            </w:r>
            <w:r w:rsidR="0050544D">
              <w:rPr>
                <w:noProof/>
                <w:webHidden/>
              </w:rPr>
              <w:fldChar w:fldCharType="begin"/>
            </w:r>
            <w:r w:rsidR="0050544D">
              <w:rPr>
                <w:noProof/>
                <w:webHidden/>
              </w:rPr>
              <w:instrText xml:space="preserve"> PAGEREF _Toc211249079 \h </w:instrText>
            </w:r>
            <w:r w:rsidR="0050544D">
              <w:rPr>
                <w:noProof/>
                <w:webHidden/>
              </w:rPr>
            </w:r>
            <w:r w:rsidR="0050544D">
              <w:rPr>
                <w:noProof/>
                <w:webHidden/>
              </w:rPr>
              <w:fldChar w:fldCharType="separate"/>
            </w:r>
            <w:r w:rsidR="003013A9">
              <w:rPr>
                <w:noProof/>
                <w:webHidden/>
              </w:rPr>
              <w:t>19</w:t>
            </w:r>
            <w:r w:rsidR="0050544D">
              <w:rPr>
                <w:noProof/>
                <w:webHidden/>
              </w:rPr>
              <w:fldChar w:fldCharType="end"/>
            </w:r>
          </w:hyperlink>
        </w:p>
        <w:p w14:paraId="3536F555" w14:textId="41AEC6A7"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80" w:history="1">
            <w:r w:rsidR="0050544D" w:rsidRPr="00A00326">
              <w:rPr>
                <w:rStyle w:val="Hypertextovprepojenie"/>
                <w:noProof/>
              </w:rPr>
              <w:t>3.3.2</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Výdavky na fungovanie verejnej správy</w:t>
            </w:r>
            <w:r w:rsidR="0050544D">
              <w:rPr>
                <w:noProof/>
                <w:webHidden/>
              </w:rPr>
              <w:tab/>
            </w:r>
            <w:r w:rsidR="0050544D">
              <w:rPr>
                <w:noProof/>
                <w:webHidden/>
              </w:rPr>
              <w:fldChar w:fldCharType="begin"/>
            </w:r>
            <w:r w:rsidR="0050544D">
              <w:rPr>
                <w:noProof/>
                <w:webHidden/>
              </w:rPr>
              <w:instrText xml:space="preserve"> PAGEREF _Toc211249080 \h </w:instrText>
            </w:r>
            <w:r w:rsidR="0050544D">
              <w:rPr>
                <w:noProof/>
                <w:webHidden/>
              </w:rPr>
            </w:r>
            <w:r w:rsidR="0050544D">
              <w:rPr>
                <w:noProof/>
                <w:webHidden/>
              </w:rPr>
              <w:fldChar w:fldCharType="separate"/>
            </w:r>
            <w:r w:rsidR="003013A9">
              <w:rPr>
                <w:noProof/>
                <w:webHidden/>
              </w:rPr>
              <w:t>22</w:t>
            </w:r>
            <w:r w:rsidR="0050544D">
              <w:rPr>
                <w:noProof/>
                <w:webHidden/>
              </w:rPr>
              <w:fldChar w:fldCharType="end"/>
            </w:r>
          </w:hyperlink>
        </w:p>
        <w:p w14:paraId="186E904E" w14:textId="6D16D10D"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81" w:history="1">
            <w:r w:rsidR="0050544D" w:rsidRPr="00A00326">
              <w:rPr>
                <w:rStyle w:val="Hypertextovprepojenie"/>
                <w:noProof/>
              </w:rPr>
              <w:t>3.4</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Limit verejných výdavkov</w:t>
            </w:r>
            <w:r w:rsidR="0050544D">
              <w:rPr>
                <w:noProof/>
                <w:webHidden/>
              </w:rPr>
              <w:tab/>
            </w:r>
            <w:r w:rsidR="0050544D">
              <w:rPr>
                <w:noProof/>
                <w:webHidden/>
              </w:rPr>
              <w:fldChar w:fldCharType="begin"/>
            </w:r>
            <w:r w:rsidR="0050544D">
              <w:rPr>
                <w:noProof/>
                <w:webHidden/>
              </w:rPr>
              <w:instrText xml:space="preserve"> PAGEREF _Toc211249081 \h </w:instrText>
            </w:r>
            <w:r w:rsidR="0050544D">
              <w:rPr>
                <w:noProof/>
                <w:webHidden/>
              </w:rPr>
            </w:r>
            <w:r w:rsidR="0050544D">
              <w:rPr>
                <w:noProof/>
                <w:webHidden/>
              </w:rPr>
              <w:fldChar w:fldCharType="separate"/>
            </w:r>
            <w:r w:rsidR="003013A9">
              <w:rPr>
                <w:noProof/>
                <w:webHidden/>
              </w:rPr>
              <w:t>29</w:t>
            </w:r>
            <w:r w:rsidR="0050544D">
              <w:rPr>
                <w:noProof/>
                <w:webHidden/>
              </w:rPr>
              <w:fldChar w:fldCharType="end"/>
            </w:r>
          </w:hyperlink>
        </w:p>
        <w:p w14:paraId="64A2AC51" w14:textId="10F31033"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82" w:history="1">
            <w:r w:rsidR="0050544D" w:rsidRPr="00A00326">
              <w:rPr>
                <w:rStyle w:val="Hypertextovprepojenie"/>
                <w:noProof/>
              </w:rPr>
              <w:t>3.5</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Fiškálny rámec návrhu rozpočtu verejnej správy</w:t>
            </w:r>
            <w:r w:rsidR="0050544D">
              <w:rPr>
                <w:noProof/>
                <w:webHidden/>
              </w:rPr>
              <w:tab/>
            </w:r>
            <w:r w:rsidR="0050544D">
              <w:rPr>
                <w:noProof/>
                <w:webHidden/>
              </w:rPr>
              <w:fldChar w:fldCharType="begin"/>
            </w:r>
            <w:r w:rsidR="0050544D">
              <w:rPr>
                <w:noProof/>
                <w:webHidden/>
              </w:rPr>
              <w:instrText xml:space="preserve"> PAGEREF _Toc211249082 \h </w:instrText>
            </w:r>
            <w:r w:rsidR="0050544D">
              <w:rPr>
                <w:noProof/>
                <w:webHidden/>
              </w:rPr>
            </w:r>
            <w:r w:rsidR="0050544D">
              <w:rPr>
                <w:noProof/>
                <w:webHidden/>
              </w:rPr>
              <w:fldChar w:fldCharType="separate"/>
            </w:r>
            <w:r w:rsidR="003013A9">
              <w:rPr>
                <w:noProof/>
                <w:webHidden/>
              </w:rPr>
              <w:t>30</w:t>
            </w:r>
            <w:r w:rsidR="0050544D">
              <w:rPr>
                <w:noProof/>
                <w:webHidden/>
              </w:rPr>
              <w:fldChar w:fldCharType="end"/>
            </w:r>
          </w:hyperlink>
        </w:p>
        <w:p w14:paraId="4FB9912B" w14:textId="29001656"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83" w:history="1">
            <w:r w:rsidR="0050544D" w:rsidRPr="00A00326">
              <w:rPr>
                <w:rStyle w:val="Hypertextovprepojenie"/>
                <w:noProof/>
              </w:rPr>
              <w:t>3.6</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Prognóza hrubého dlhu verejnej správy</w:t>
            </w:r>
            <w:r w:rsidR="0050544D">
              <w:rPr>
                <w:noProof/>
                <w:webHidden/>
              </w:rPr>
              <w:tab/>
            </w:r>
            <w:r w:rsidR="0050544D">
              <w:rPr>
                <w:noProof/>
                <w:webHidden/>
              </w:rPr>
              <w:fldChar w:fldCharType="begin"/>
            </w:r>
            <w:r w:rsidR="0050544D">
              <w:rPr>
                <w:noProof/>
                <w:webHidden/>
              </w:rPr>
              <w:instrText xml:space="preserve"> PAGEREF _Toc211249083 \h </w:instrText>
            </w:r>
            <w:r w:rsidR="0050544D">
              <w:rPr>
                <w:noProof/>
                <w:webHidden/>
              </w:rPr>
            </w:r>
            <w:r w:rsidR="0050544D">
              <w:rPr>
                <w:noProof/>
                <w:webHidden/>
              </w:rPr>
              <w:fldChar w:fldCharType="separate"/>
            </w:r>
            <w:r w:rsidR="003013A9">
              <w:rPr>
                <w:noProof/>
                <w:webHidden/>
              </w:rPr>
              <w:t>31</w:t>
            </w:r>
            <w:r w:rsidR="0050544D">
              <w:rPr>
                <w:noProof/>
                <w:webHidden/>
              </w:rPr>
              <w:fldChar w:fldCharType="end"/>
            </w:r>
          </w:hyperlink>
        </w:p>
        <w:p w14:paraId="1D02EE1F" w14:textId="70624AD3" w:rsidR="0050544D" w:rsidRDefault="0065645A">
          <w:pPr>
            <w:pStyle w:val="Obsah1"/>
            <w:rPr>
              <w:rFonts w:eastAsiaTheme="minorEastAsia" w:cstheme="minorBidi"/>
              <w:b w:val="0"/>
              <w:bCs w:val="0"/>
              <w:caps w:val="0"/>
              <w:color w:val="auto"/>
              <w:kern w:val="2"/>
              <w:sz w:val="24"/>
              <w:szCs w:val="24"/>
              <w:lang w:eastAsia="sk-SK"/>
              <w14:ligatures w14:val="standardContextual"/>
            </w:rPr>
          </w:pPr>
          <w:hyperlink w:anchor="_Toc211249084" w:history="1">
            <w:r w:rsidR="0050544D" w:rsidRPr="00A00326">
              <w:rPr>
                <w:rStyle w:val="Hypertextovprepojenie"/>
              </w:rPr>
              <w:t>4</w:t>
            </w:r>
            <w:r w:rsidR="0050544D">
              <w:rPr>
                <w:rFonts w:eastAsiaTheme="minorEastAsia" w:cstheme="minorBidi"/>
                <w:b w:val="0"/>
                <w:bCs w:val="0"/>
                <w:caps w:val="0"/>
                <w:color w:val="auto"/>
                <w:kern w:val="2"/>
                <w:sz w:val="24"/>
                <w:szCs w:val="24"/>
                <w:lang w:eastAsia="sk-SK"/>
                <w14:ligatures w14:val="standardContextual"/>
              </w:rPr>
              <w:tab/>
            </w:r>
            <w:r w:rsidR="0050544D" w:rsidRPr="00A00326">
              <w:rPr>
                <w:rStyle w:val="Hypertextovprepojenie"/>
              </w:rPr>
              <w:t>Rozpočtové vzťahy Slovenska a Európskej únie</w:t>
            </w:r>
            <w:r w:rsidR="0050544D">
              <w:rPr>
                <w:webHidden/>
              </w:rPr>
              <w:tab/>
            </w:r>
            <w:r w:rsidR="0050544D">
              <w:rPr>
                <w:webHidden/>
              </w:rPr>
              <w:fldChar w:fldCharType="begin"/>
            </w:r>
            <w:r w:rsidR="0050544D">
              <w:rPr>
                <w:webHidden/>
              </w:rPr>
              <w:instrText xml:space="preserve"> PAGEREF _Toc211249084 \h </w:instrText>
            </w:r>
            <w:r w:rsidR="0050544D">
              <w:rPr>
                <w:webHidden/>
              </w:rPr>
            </w:r>
            <w:r w:rsidR="0050544D">
              <w:rPr>
                <w:webHidden/>
              </w:rPr>
              <w:fldChar w:fldCharType="separate"/>
            </w:r>
            <w:r w:rsidR="003013A9">
              <w:rPr>
                <w:webHidden/>
              </w:rPr>
              <w:t>34</w:t>
            </w:r>
            <w:r w:rsidR="0050544D">
              <w:rPr>
                <w:webHidden/>
              </w:rPr>
              <w:fldChar w:fldCharType="end"/>
            </w:r>
          </w:hyperlink>
        </w:p>
        <w:p w14:paraId="1475EA64" w14:textId="1C325411"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85" w:history="1">
            <w:r w:rsidR="0050544D" w:rsidRPr="00A00326">
              <w:rPr>
                <w:rStyle w:val="Hypertextovprepojenie"/>
                <w:noProof/>
              </w:rPr>
              <w:t>4.1</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Fondy EÚ programového obdobia 2021 – 2027</w:t>
            </w:r>
            <w:r w:rsidR="0050544D">
              <w:rPr>
                <w:noProof/>
                <w:webHidden/>
              </w:rPr>
              <w:tab/>
            </w:r>
            <w:r w:rsidR="0050544D">
              <w:rPr>
                <w:noProof/>
                <w:webHidden/>
              </w:rPr>
              <w:fldChar w:fldCharType="begin"/>
            </w:r>
            <w:r w:rsidR="0050544D">
              <w:rPr>
                <w:noProof/>
                <w:webHidden/>
              </w:rPr>
              <w:instrText xml:space="preserve"> PAGEREF _Toc211249085 \h </w:instrText>
            </w:r>
            <w:r w:rsidR="0050544D">
              <w:rPr>
                <w:noProof/>
                <w:webHidden/>
              </w:rPr>
            </w:r>
            <w:r w:rsidR="0050544D">
              <w:rPr>
                <w:noProof/>
                <w:webHidden/>
              </w:rPr>
              <w:fldChar w:fldCharType="separate"/>
            </w:r>
            <w:r w:rsidR="003013A9">
              <w:rPr>
                <w:noProof/>
                <w:webHidden/>
              </w:rPr>
              <w:t>34</w:t>
            </w:r>
            <w:r w:rsidR="0050544D">
              <w:rPr>
                <w:noProof/>
                <w:webHidden/>
              </w:rPr>
              <w:fldChar w:fldCharType="end"/>
            </w:r>
          </w:hyperlink>
        </w:p>
        <w:p w14:paraId="0AADAA9D" w14:textId="2BC54181"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86" w:history="1">
            <w:r w:rsidR="0050544D" w:rsidRPr="00A00326">
              <w:rPr>
                <w:rStyle w:val="Hypertextovprepojenie"/>
                <w:noProof/>
              </w:rPr>
              <w:t>4.2</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Plán obnovy a odolnosti</w:t>
            </w:r>
            <w:r w:rsidR="0050544D">
              <w:rPr>
                <w:noProof/>
                <w:webHidden/>
              </w:rPr>
              <w:tab/>
            </w:r>
            <w:r w:rsidR="0050544D">
              <w:rPr>
                <w:noProof/>
                <w:webHidden/>
              </w:rPr>
              <w:fldChar w:fldCharType="begin"/>
            </w:r>
            <w:r w:rsidR="0050544D">
              <w:rPr>
                <w:noProof/>
                <w:webHidden/>
              </w:rPr>
              <w:instrText xml:space="preserve"> PAGEREF _Toc211249086 \h </w:instrText>
            </w:r>
            <w:r w:rsidR="0050544D">
              <w:rPr>
                <w:noProof/>
                <w:webHidden/>
              </w:rPr>
            </w:r>
            <w:r w:rsidR="0050544D">
              <w:rPr>
                <w:noProof/>
                <w:webHidden/>
              </w:rPr>
              <w:fldChar w:fldCharType="separate"/>
            </w:r>
            <w:r w:rsidR="003013A9">
              <w:rPr>
                <w:noProof/>
                <w:webHidden/>
              </w:rPr>
              <w:t>37</w:t>
            </w:r>
            <w:r w:rsidR="0050544D">
              <w:rPr>
                <w:noProof/>
                <w:webHidden/>
              </w:rPr>
              <w:fldChar w:fldCharType="end"/>
            </w:r>
          </w:hyperlink>
        </w:p>
        <w:p w14:paraId="437709EC" w14:textId="37A10B8F" w:rsidR="0050544D" w:rsidRDefault="0065645A">
          <w:pPr>
            <w:pStyle w:val="Obsah1"/>
            <w:rPr>
              <w:rFonts w:eastAsiaTheme="minorEastAsia" w:cstheme="minorBidi"/>
              <w:b w:val="0"/>
              <w:bCs w:val="0"/>
              <w:caps w:val="0"/>
              <w:color w:val="auto"/>
              <w:kern w:val="2"/>
              <w:sz w:val="24"/>
              <w:szCs w:val="24"/>
              <w:lang w:eastAsia="sk-SK"/>
              <w14:ligatures w14:val="standardContextual"/>
            </w:rPr>
          </w:pPr>
          <w:hyperlink w:anchor="_Toc211249087" w:history="1">
            <w:r w:rsidR="0050544D" w:rsidRPr="00A00326">
              <w:rPr>
                <w:rStyle w:val="Hypertextovprepojenie"/>
              </w:rPr>
              <w:t>5</w:t>
            </w:r>
            <w:r w:rsidR="0050544D">
              <w:rPr>
                <w:rFonts w:eastAsiaTheme="minorEastAsia" w:cstheme="minorBidi"/>
                <w:b w:val="0"/>
                <w:bCs w:val="0"/>
                <w:caps w:val="0"/>
                <w:color w:val="auto"/>
                <w:kern w:val="2"/>
                <w:sz w:val="24"/>
                <w:szCs w:val="24"/>
                <w:lang w:eastAsia="sk-SK"/>
                <w14:ligatures w14:val="standardContextual"/>
              </w:rPr>
              <w:tab/>
            </w:r>
            <w:r w:rsidR="0050544D" w:rsidRPr="00A00326">
              <w:rPr>
                <w:rStyle w:val="Hypertextovprepojenie"/>
              </w:rPr>
              <w:t>Súhrnné riziká návrhu štátneho rozpočtu na rok 2026</w:t>
            </w:r>
            <w:r w:rsidR="0050544D">
              <w:rPr>
                <w:webHidden/>
              </w:rPr>
              <w:tab/>
            </w:r>
            <w:r w:rsidR="0050544D">
              <w:rPr>
                <w:webHidden/>
              </w:rPr>
              <w:fldChar w:fldCharType="begin"/>
            </w:r>
            <w:r w:rsidR="0050544D">
              <w:rPr>
                <w:webHidden/>
              </w:rPr>
              <w:instrText xml:space="preserve"> PAGEREF _Toc211249087 \h </w:instrText>
            </w:r>
            <w:r w:rsidR="0050544D">
              <w:rPr>
                <w:webHidden/>
              </w:rPr>
            </w:r>
            <w:r w:rsidR="0050544D">
              <w:rPr>
                <w:webHidden/>
              </w:rPr>
              <w:fldChar w:fldCharType="separate"/>
            </w:r>
            <w:r w:rsidR="003013A9">
              <w:rPr>
                <w:webHidden/>
              </w:rPr>
              <w:t>41</w:t>
            </w:r>
            <w:r w:rsidR="0050544D">
              <w:rPr>
                <w:webHidden/>
              </w:rPr>
              <w:fldChar w:fldCharType="end"/>
            </w:r>
          </w:hyperlink>
        </w:p>
        <w:p w14:paraId="48C4881D" w14:textId="53A2B199"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88" w:history="1">
            <w:r w:rsidR="0050544D" w:rsidRPr="00A00326">
              <w:rPr>
                <w:rStyle w:val="Hypertextovprepojenie"/>
                <w:rFonts w:eastAsia="Calibri"/>
                <w:noProof/>
              </w:rPr>
              <w:t>5.1</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rFonts w:eastAsia="Calibri"/>
                <w:noProof/>
              </w:rPr>
              <w:t>Rozpočtovanie kapitálových výdavkov</w:t>
            </w:r>
            <w:r w:rsidR="0050544D">
              <w:rPr>
                <w:noProof/>
                <w:webHidden/>
              </w:rPr>
              <w:tab/>
            </w:r>
            <w:r w:rsidR="0050544D">
              <w:rPr>
                <w:noProof/>
                <w:webHidden/>
              </w:rPr>
              <w:fldChar w:fldCharType="begin"/>
            </w:r>
            <w:r w:rsidR="0050544D">
              <w:rPr>
                <w:noProof/>
                <w:webHidden/>
              </w:rPr>
              <w:instrText xml:space="preserve"> PAGEREF _Toc211249088 \h </w:instrText>
            </w:r>
            <w:r w:rsidR="0050544D">
              <w:rPr>
                <w:noProof/>
                <w:webHidden/>
              </w:rPr>
            </w:r>
            <w:r w:rsidR="0050544D">
              <w:rPr>
                <w:noProof/>
                <w:webHidden/>
              </w:rPr>
              <w:fldChar w:fldCharType="separate"/>
            </w:r>
            <w:r w:rsidR="003013A9">
              <w:rPr>
                <w:noProof/>
                <w:webHidden/>
              </w:rPr>
              <w:t>42</w:t>
            </w:r>
            <w:r w:rsidR="0050544D">
              <w:rPr>
                <w:noProof/>
                <w:webHidden/>
              </w:rPr>
              <w:fldChar w:fldCharType="end"/>
            </w:r>
          </w:hyperlink>
        </w:p>
        <w:p w14:paraId="36A69129" w14:textId="1F6909E1"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89" w:history="1">
            <w:r w:rsidR="0050544D" w:rsidRPr="00A00326">
              <w:rPr>
                <w:rStyle w:val="Hypertextovprepojenie"/>
                <w:noProof/>
              </w:rPr>
              <w:t>5.2</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Rozpočtovanie rezerv</w:t>
            </w:r>
            <w:r w:rsidR="0050544D">
              <w:rPr>
                <w:noProof/>
                <w:webHidden/>
              </w:rPr>
              <w:tab/>
            </w:r>
            <w:r w:rsidR="0050544D">
              <w:rPr>
                <w:noProof/>
                <w:webHidden/>
              </w:rPr>
              <w:fldChar w:fldCharType="begin"/>
            </w:r>
            <w:r w:rsidR="0050544D">
              <w:rPr>
                <w:noProof/>
                <w:webHidden/>
              </w:rPr>
              <w:instrText xml:space="preserve"> PAGEREF _Toc211249089 \h </w:instrText>
            </w:r>
            <w:r w:rsidR="0050544D">
              <w:rPr>
                <w:noProof/>
                <w:webHidden/>
              </w:rPr>
            </w:r>
            <w:r w:rsidR="0050544D">
              <w:rPr>
                <w:noProof/>
                <w:webHidden/>
              </w:rPr>
              <w:fldChar w:fldCharType="separate"/>
            </w:r>
            <w:r w:rsidR="003013A9">
              <w:rPr>
                <w:noProof/>
                <w:webHidden/>
              </w:rPr>
              <w:t>43</w:t>
            </w:r>
            <w:r w:rsidR="0050544D">
              <w:rPr>
                <w:noProof/>
                <w:webHidden/>
              </w:rPr>
              <w:fldChar w:fldCharType="end"/>
            </w:r>
          </w:hyperlink>
        </w:p>
        <w:p w14:paraId="2F1B9675" w14:textId="4E077C16" w:rsidR="0050544D" w:rsidRDefault="0065645A">
          <w:pPr>
            <w:pStyle w:val="Obsah1"/>
            <w:rPr>
              <w:rFonts w:eastAsiaTheme="minorEastAsia" w:cstheme="minorBidi"/>
              <w:b w:val="0"/>
              <w:bCs w:val="0"/>
              <w:caps w:val="0"/>
              <w:color w:val="auto"/>
              <w:kern w:val="2"/>
              <w:sz w:val="24"/>
              <w:szCs w:val="24"/>
              <w:lang w:eastAsia="sk-SK"/>
              <w14:ligatures w14:val="standardContextual"/>
            </w:rPr>
          </w:pPr>
          <w:hyperlink w:anchor="_Toc211249090" w:history="1">
            <w:r w:rsidR="0050544D" w:rsidRPr="00A00326">
              <w:rPr>
                <w:rStyle w:val="Hypertextovprepojenie"/>
              </w:rPr>
              <w:t>6</w:t>
            </w:r>
            <w:r w:rsidR="0050544D">
              <w:rPr>
                <w:rFonts w:eastAsiaTheme="minorEastAsia" w:cstheme="minorBidi"/>
                <w:b w:val="0"/>
                <w:bCs w:val="0"/>
                <w:caps w:val="0"/>
                <w:color w:val="auto"/>
                <w:kern w:val="2"/>
                <w:sz w:val="24"/>
                <w:szCs w:val="24"/>
                <w:lang w:eastAsia="sk-SK"/>
                <w14:ligatures w14:val="standardContextual"/>
              </w:rPr>
              <w:tab/>
            </w:r>
            <w:r w:rsidR="0050544D" w:rsidRPr="00A00326">
              <w:rPr>
                <w:rStyle w:val="Hypertextovprepojenie"/>
              </w:rPr>
              <w:t>Riziká rozpočtovania pri dosahovaní najvýznamnejších cieľov</w:t>
            </w:r>
            <w:r w:rsidR="0050544D">
              <w:rPr>
                <w:webHidden/>
              </w:rPr>
              <w:tab/>
            </w:r>
            <w:r w:rsidR="0050544D">
              <w:rPr>
                <w:webHidden/>
              </w:rPr>
              <w:fldChar w:fldCharType="begin"/>
            </w:r>
            <w:r w:rsidR="0050544D">
              <w:rPr>
                <w:webHidden/>
              </w:rPr>
              <w:instrText xml:space="preserve"> PAGEREF _Toc211249090 \h </w:instrText>
            </w:r>
            <w:r w:rsidR="0050544D">
              <w:rPr>
                <w:webHidden/>
              </w:rPr>
            </w:r>
            <w:r w:rsidR="0050544D">
              <w:rPr>
                <w:webHidden/>
              </w:rPr>
              <w:fldChar w:fldCharType="separate"/>
            </w:r>
            <w:r w:rsidR="003013A9">
              <w:rPr>
                <w:webHidden/>
              </w:rPr>
              <w:t>45</w:t>
            </w:r>
            <w:r w:rsidR="0050544D">
              <w:rPr>
                <w:webHidden/>
              </w:rPr>
              <w:fldChar w:fldCharType="end"/>
            </w:r>
          </w:hyperlink>
        </w:p>
        <w:p w14:paraId="5067C1B2" w14:textId="2686CC70"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91" w:history="1">
            <w:r w:rsidR="0050544D" w:rsidRPr="00A00326">
              <w:rPr>
                <w:rStyle w:val="Hypertextovprepojenie"/>
                <w:noProof/>
              </w:rPr>
              <w:t>6.1</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Sociálne politiky</w:t>
            </w:r>
            <w:r w:rsidR="0050544D">
              <w:rPr>
                <w:noProof/>
                <w:webHidden/>
              </w:rPr>
              <w:tab/>
            </w:r>
            <w:r w:rsidR="0050544D">
              <w:rPr>
                <w:noProof/>
                <w:webHidden/>
              </w:rPr>
              <w:fldChar w:fldCharType="begin"/>
            </w:r>
            <w:r w:rsidR="0050544D">
              <w:rPr>
                <w:noProof/>
                <w:webHidden/>
              </w:rPr>
              <w:instrText xml:space="preserve"> PAGEREF _Toc211249091 \h </w:instrText>
            </w:r>
            <w:r w:rsidR="0050544D">
              <w:rPr>
                <w:noProof/>
                <w:webHidden/>
              </w:rPr>
            </w:r>
            <w:r w:rsidR="0050544D">
              <w:rPr>
                <w:noProof/>
                <w:webHidden/>
              </w:rPr>
              <w:fldChar w:fldCharType="separate"/>
            </w:r>
            <w:r w:rsidR="003013A9">
              <w:rPr>
                <w:noProof/>
                <w:webHidden/>
              </w:rPr>
              <w:t>45</w:t>
            </w:r>
            <w:r w:rsidR="0050544D">
              <w:rPr>
                <w:noProof/>
                <w:webHidden/>
              </w:rPr>
              <w:fldChar w:fldCharType="end"/>
            </w:r>
          </w:hyperlink>
        </w:p>
        <w:p w14:paraId="377EB689" w14:textId="4FDF5B31"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92" w:history="1">
            <w:r w:rsidR="0050544D" w:rsidRPr="00A00326">
              <w:rPr>
                <w:rStyle w:val="Hypertextovprepojenie"/>
                <w:noProof/>
              </w:rPr>
              <w:t>6.1.1</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Výdavky v sociálnej oblasti</w:t>
            </w:r>
            <w:r w:rsidR="0050544D">
              <w:rPr>
                <w:noProof/>
                <w:webHidden/>
              </w:rPr>
              <w:tab/>
            </w:r>
            <w:r w:rsidR="0050544D">
              <w:rPr>
                <w:noProof/>
                <w:webHidden/>
              </w:rPr>
              <w:fldChar w:fldCharType="begin"/>
            </w:r>
            <w:r w:rsidR="0050544D">
              <w:rPr>
                <w:noProof/>
                <w:webHidden/>
              </w:rPr>
              <w:instrText xml:space="preserve"> PAGEREF _Toc211249092 \h </w:instrText>
            </w:r>
            <w:r w:rsidR="0050544D">
              <w:rPr>
                <w:noProof/>
                <w:webHidden/>
              </w:rPr>
            </w:r>
            <w:r w:rsidR="0050544D">
              <w:rPr>
                <w:noProof/>
                <w:webHidden/>
              </w:rPr>
              <w:fldChar w:fldCharType="separate"/>
            </w:r>
            <w:r w:rsidR="003013A9">
              <w:rPr>
                <w:noProof/>
                <w:webHidden/>
              </w:rPr>
              <w:t>45</w:t>
            </w:r>
            <w:r w:rsidR="0050544D">
              <w:rPr>
                <w:noProof/>
                <w:webHidden/>
              </w:rPr>
              <w:fldChar w:fldCharType="end"/>
            </w:r>
          </w:hyperlink>
        </w:p>
        <w:p w14:paraId="132D7CB0" w14:textId="75D25CC5"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93" w:history="1">
            <w:r w:rsidR="0050544D" w:rsidRPr="00A00326">
              <w:rPr>
                <w:rStyle w:val="Hypertextovprepojenie"/>
                <w:noProof/>
              </w:rPr>
              <w:t>6.1.2</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Vybrané rizika sociálnych politík</w:t>
            </w:r>
            <w:r w:rsidR="0050544D">
              <w:rPr>
                <w:noProof/>
                <w:webHidden/>
              </w:rPr>
              <w:tab/>
            </w:r>
            <w:r w:rsidR="0050544D">
              <w:rPr>
                <w:noProof/>
                <w:webHidden/>
              </w:rPr>
              <w:fldChar w:fldCharType="begin"/>
            </w:r>
            <w:r w:rsidR="0050544D">
              <w:rPr>
                <w:noProof/>
                <w:webHidden/>
              </w:rPr>
              <w:instrText xml:space="preserve"> PAGEREF _Toc211249093 \h </w:instrText>
            </w:r>
            <w:r w:rsidR="0050544D">
              <w:rPr>
                <w:noProof/>
                <w:webHidden/>
              </w:rPr>
            </w:r>
            <w:r w:rsidR="0050544D">
              <w:rPr>
                <w:noProof/>
                <w:webHidden/>
              </w:rPr>
              <w:fldChar w:fldCharType="separate"/>
            </w:r>
            <w:r w:rsidR="003013A9">
              <w:rPr>
                <w:noProof/>
                <w:webHidden/>
              </w:rPr>
              <w:t>46</w:t>
            </w:r>
            <w:r w:rsidR="0050544D">
              <w:rPr>
                <w:noProof/>
                <w:webHidden/>
              </w:rPr>
              <w:fldChar w:fldCharType="end"/>
            </w:r>
          </w:hyperlink>
        </w:p>
        <w:p w14:paraId="53153A63" w14:textId="39CAAE6B"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94" w:history="1">
            <w:r w:rsidR="0050544D" w:rsidRPr="00A00326">
              <w:rPr>
                <w:rStyle w:val="Hypertextovprepojenie"/>
                <w:noProof/>
              </w:rPr>
              <w:t>6.2</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Zdravotníctvo</w:t>
            </w:r>
            <w:r w:rsidR="0050544D">
              <w:rPr>
                <w:noProof/>
                <w:webHidden/>
              </w:rPr>
              <w:tab/>
            </w:r>
            <w:r w:rsidR="0050544D">
              <w:rPr>
                <w:noProof/>
                <w:webHidden/>
              </w:rPr>
              <w:fldChar w:fldCharType="begin"/>
            </w:r>
            <w:r w:rsidR="0050544D">
              <w:rPr>
                <w:noProof/>
                <w:webHidden/>
              </w:rPr>
              <w:instrText xml:space="preserve"> PAGEREF _Toc211249094 \h </w:instrText>
            </w:r>
            <w:r w:rsidR="0050544D">
              <w:rPr>
                <w:noProof/>
                <w:webHidden/>
              </w:rPr>
            </w:r>
            <w:r w:rsidR="0050544D">
              <w:rPr>
                <w:noProof/>
                <w:webHidden/>
              </w:rPr>
              <w:fldChar w:fldCharType="separate"/>
            </w:r>
            <w:r w:rsidR="003013A9">
              <w:rPr>
                <w:noProof/>
                <w:webHidden/>
              </w:rPr>
              <w:t>47</w:t>
            </w:r>
            <w:r w:rsidR="0050544D">
              <w:rPr>
                <w:noProof/>
                <w:webHidden/>
              </w:rPr>
              <w:fldChar w:fldCharType="end"/>
            </w:r>
          </w:hyperlink>
        </w:p>
        <w:p w14:paraId="706DC89F" w14:textId="144EDE55"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95" w:history="1">
            <w:r w:rsidR="0050544D" w:rsidRPr="00A00326">
              <w:rPr>
                <w:rStyle w:val="Hypertextovprepojenie"/>
                <w:noProof/>
              </w:rPr>
              <w:t>6.2.1</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Výdavky verejného zdravotného poistenia</w:t>
            </w:r>
            <w:r w:rsidR="0050544D">
              <w:rPr>
                <w:noProof/>
                <w:webHidden/>
              </w:rPr>
              <w:tab/>
            </w:r>
            <w:r w:rsidR="0050544D">
              <w:rPr>
                <w:noProof/>
                <w:webHidden/>
              </w:rPr>
              <w:fldChar w:fldCharType="begin"/>
            </w:r>
            <w:r w:rsidR="0050544D">
              <w:rPr>
                <w:noProof/>
                <w:webHidden/>
              </w:rPr>
              <w:instrText xml:space="preserve"> PAGEREF _Toc211249095 \h </w:instrText>
            </w:r>
            <w:r w:rsidR="0050544D">
              <w:rPr>
                <w:noProof/>
                <w:webHidden/>
              </w:rPr>
            </w:r>
            <w:r w:rsidR="0050544D">
              <w:rPr>
                <w:noProof/>
                <w:webHidden/>
              </w:rPr>
              <w:fldChar w:fldCharType="separate"/>
            </w:r>
            <w:r w:rsidR="003013A9">
              <w:rPr>
                <w:noProof/>
                <w:webHidden/>
              </w:rPr>
              <w:t>48</w:t>
            </w:r>
            <w:r w:rsidR="0050544D">
              <w:rPr>
                <w:noProof/>
                <w:webHidden/>
              </w:rPr>
              <w:fldChar w:fldCharType="end"/>
            </w:r>
          </w:hyperlink>
        </w:p>
        <w:p w14:paraId="3EB661BD" w14:textId="0A963288"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96" w:history="1">
            <w:r w:rsidR="0050544D" w:rsidRPr="00A00326">
              <w:rPr>
                <w:rStyle w:val="Hypertextovprepojenie"/>
                <w:noProof/>
              </w:rPr>
              <w:t>6.2.2</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Posilňovanie spolupráce so zainteresovanými stranami</w:t>
            </w:r>
            <w:r w:rsidR="0050544D">
              <w:rPr>
                <w:noProof/>
                <w:webHidden/>
              </w:rPr>
              <w:tab/>
            </w:r>
            <w:r w:rsidR="0050544D">
              <w:rPr>
                <w:noProof/>
                <w:webHidden/>
              </w:rPr>
              <w:fldChar w:fldCharType="begin"/>
            </w:r>
            <w:r w:rsidR="0050544D">
              <w:rPr>
                <w:noProof/>
                <w:webHidden/>
              </w:rPr>
              <w:instrText xml:space="preserve"> PAGEREF _Toc211249096 \h </w:instrText>
            </w:r>
            <w:r w:rsidR="0050544D">
              <w:rPr>
                <w:noProof/>
                <w:webHidden/>
              </w:rPr>
            </w:r>
            <w:r w:rsidR="0050544D">
              <w:rPr>
                <w:noProof/>
                <w:webHidden/>
              </w:rPr>
              <w:fldChar w:fldCharType="separate"/>
            </w:r>
            <w:r w:rsidR="003013A9">
              <w:rPr>
                <w:noProof/>
                <w:webHidden/>
              </w:rPr>
              <w:t>49</w:t>
            </w:r>
            <w:r w:rsidR="0050544D">
              <w:rPr>
                <w:noProof/>
                <w:webHidden/>
              </w:rPr>
              <w:fldChar w:fldCharType="end"/>
            </w:r>
          </w:hyperlink>
        </w:p>
        <w:p w14:paraId="75D071BD" w14:textId="6163C5DD"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97" w:history="1">
            <w:r w:rsidR="0050544D" w:rsidRPr="00A00326">
              <w:rPr>
                <w:rStyle w:val="Hypertextovprepojenie"/>
                <w:noProof/>
              </w:rPr>
              <w:t>6.2.3</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Vybrané systémové riziká v sektore zdravotníctva</w:t>
            </w:r>
            <w:r w:rsidR="0050544D">
              <w:rPr>
                <w:noProof/>
                <w:webHidden/>
              </w:rPr>
              <w:tab/>
            </w:r>
            <w:r w:rsidR="0050544D">
              <w:rPr>
                <w:noProof/>
                <w:webHidden/>
              </w:rPr>
              <w:fldChar w:fldCharType="begin"/>
            </w:r>
            <w:r w:rsidR="0050544D">
              <w:rPr>
                <w:noProof/>
                <w:webHidden/>
              </w:rPr>
              <w:instrText xml:space="preserve"> PAGEREF _Toc211249097 \h </w:instrText>
            </w:r>
            <w:r w:rsidR="0050544D">
              <w:rPr>
                <w:noProof/>
                <w:webHidden/>
              </w:rPr>
            </w:r>
            <w:r w:rsidR="0050544D">
              <w:rPr>
                <w:noProof/>
                <w:webHidden/>
              </w:rPr>
              <w:fldChar w:fldCharType="separate"/>
            </w:r>
            <w:r w:rsidR="003013A9">
              <w:rPr>
                <w:noProof/>
                <w:webHidden/>
              </w:rPr>
              <w:t>50</w:t>
            </w:r>
            <w:r w:rsidR="0050544D">
              <w:rPr>
                <w:noProof/>
                <w:webHidden/>
              </w:rPr>
              <w:fldChar w:fldCharType="end"/>
            </w:r>
          </w:hyperlink>
        </w:p>
        <w:p w14:paraId="58A856F2" w14:textId="6CD08EF4"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098" w:history="1">
            <w:r w:rsidR="0050544D" w:rsidRPr="00A00326">
              <w:rPr>
                <w:rStyle w:val="Hypertextovprepojenie"/>
                <w:noProof/>
              </w:rPr>
              <w:t>6.3</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Obrana</w:t>
            </w:r>
            <w:r w:rsidR="0050544D">
              <w:rPr>
                <w:noProof/>
                <w:webHidden/>
              </w:rPr>
              <w:tab/>
            </w:r>
            <w:r w:rsidR="0050544D">
              <w:rPr>
                <w:noProof/>
                <w:webHidden/>
              </w:rPr>
              <w:fldChar w:fldCharType="begin"/>
            </w:r>
            <w:r w:rsidR="0050544D">
              <w:rPr>
                <w:noProof/>
                <w:webHidden/>
              </w:rPr>
              <w:instrText xml:space="preserve"> PAGEREF _Toc211249098 \h </w:instrText>
            </w:r>
            <w:r w:rsidR="0050544D">
              <w:rPr>
                <w:noProof/>
                <w:webHidden/>
              </w:rPr>
            </w:r>
            <w:r w:rsidR="0050544D">
              <w:rPr>
                <w:noProof/>
                <w:webHidden/>
              </w:rPr>
              <w:fldChar w:fldCharType="separate"/>
            </w:r>
            <w:r w:rsidR="003013A9">
              <w:rPr>
                <w:noProof/>
                <w:webHidden/>
              </w:rPr>
              <w:t>53</w:t>
            </w:r>
            <w:r w:rsidR="0050544D">
              <w:rPr>
                <w:noProof/>
                <w:webHidden/>
              </w:rPr>
              <w:fldChar w:fldCharType="end"/>
            </w:r>
          </w:hyperlink>
        </w:p>
        <w:p w14:paraId="4D1C6259" w14:textId="2E5B49E0"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099" w:history="1">
            <w:r w:rsidR="0050544D" w:rsidRPr="00A00326">
              <w:rPr>
                <w:rStyle w:val="Hypertextovprepojenie"/>
                <w:noProof/>
              </w:rPr>
              <w:t>6.3.1</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Vývoj rozpočtu a najväčšie investície</w:t>
            </w:r>
            <w:r w:rsidR="0050544D">
              <w:rPr>
                <w:noProof/>
                <w:webHidden/>
              </w:rPr>
              <w:tab/>
            </w:r>
            <w:r w:rsidR="0050544D">
              <w:rPr>
                <w:noProof/>
                <w:webHidden/>
              </w:rPr>
              <w:fldChar w:fldCharType="begin"/>
            </w:r>
            <w:r w:rsidR="0050544D">
              <w:rPr>
                <w:noProof/>
                <w:webHidden/>
              </w:rPr>
              <w:instrText xml:space="preserve"> PAGEREF _Toc211249099 \h </w:instrText>
            </w:r>
            <w:r w:rsidR="0050544D">
              <w:rPr>
                <w:noProof/>
                <w:webHidden/>
              </w:rPr>
            </w:r>
            <w:r w:rsidR="0050544D">
              <w:rPr>
                <w:noProof/>
                <w:webHidden/>
              </w:rPr>
              <w:fldChar w:fldCharType="separate"/>
            </w:r>
            <w:r w:rsidR="003013A9">
              <w:rPr>
                <w:noProof/>
                <w:webHidden/>
              </w:rPr>
              <w:t>55</w:t>
            </w:r>
            <w:r w:rsidR="0050544D">
              <w:rPr>
                <w:noProof/>
                <w:webHidden/>
              </w:rPr>
              <w:fldChar w:fldCharType="end"/>
            </w:r>
          </w:hyperlink>
        </w:p>
        <w:p w14:paraId="54F5C167" w14:textId="1DD2FD45" w:rsidR="0050544D" w:rsidRDefault="0065645A">
          <w:pPr>
            <w:pStyle w:val="Obsah3"/>
            <w:tabs>
              <w:tab w:val="left" w:pos="1200"/>
              <w:tab w:val="right" w:leader="dot" w:pos="9060"/>
            </w:tabs>
            <w:rPr>
              <w:rFonts w:eastAsiaTheme="minorEastAsia" w:cstheme="minorBidi"/>
              <w:i w:val="0"/>
              <w:iCs w:val="0"/>
              <w:noProof/>
              <w:kern w:val="2"/>
              <w:sz w:val="24"/>
              <w:szCs w:val="24"/>
              <w:lang w:eastAsia="sk-SK"/>
              <w14:ligatures w14:val="standardContextual"/>
            </w:rPr>
          </w:pPr>
          <w:hyperlink w:anchor="_Toc211249100" w:history="1">
            <w:r w:rsidR="0050544D" w:rsidRPr="00A00326">
              <w:rPr>
                <w:rStyle w:val="Hypertextovprepojenie"/>
                <w:noProof/>
              </w:rPr>
              <w:t>6.3.2</w:t>
            </w:r>
            <w:r w:rsidR="0050544D">
              <w:rPr>
                <w:rFonts w:eastAsiaTheme="minorEastAsia" w:cstheme="minorBidi"/>
                <w:i w:val="0"/>
                <w:iCs w:val="0"/>
                <w:noProof/>
                <w:kern w:val="2"/>
                <w:sz w:val="24"/>
                <w:szCs w:val="24"/>
                <w:lang w:eastAsia="sk-SK"/>
                <w14:ligatures w14:val="standardContextual"/>
              </w:rPr>
              <w:tab/>
            </w:r>
            <w:r w:rsidR="0050544D" w:rsidRPr="00A00326">
              <w:rPr>
                <w:rStyle w:val="Hypertextovprepojenie"/>
                <w:noProof/>
              </w:rPr>
              <w:t>Riziká neplnenia cieľov vlády</w:t>
            </w:r>
            <w:r w:rsidR="0050544D">
              <w:rPr>
                <w:noProof/>
                <w:webHidden/>
              </w:rPr>
              <w:tab/>
            </w:r>
            <w:r w:rsidR="0050544D">
              <w:rPr>
                <w:noProof/>
                <w:webHidden/>
              </w:rPr>
              <w:fldChar w:fldCharType="begin"/>
            </w:r>
            <w:r w:rsidR="0050544D">
              <w:rPr>
                <w:noProof/>
                <w:webHidden/>
              </w:rPr>
              <w:instrText xml:space="preserve"> PAGEREF _Toc211249100 \h </w:instrText>
            </w:r>
            <w:r w:rsidR="0050544D">
              <w:rPr>
                <w:noProof/>
                <w:webHidden/>
              </w:rPr>
            </w:r>
            <w:r w:rsidR="0050544D">
              <w:rPr>
                <w:noProof/>
                <w:webHidden/>
              </w:rPr>
              <w:fldChar w:fldCharType="separate"/>
            </w:r>
            <w:r w:rsidR="003013A9">
              <w:rPr>
                <w:noProof/>
                <w:webHidden/>
              </w:rPr>
              <w:t>57</w:t>
            </w:r>
            <w:r w:rsidR="0050544D">
              <w:rPr>
                <w:noProof/>
                <w:webHidden/>
              </w:rPr>
              <w:fldChar w:fldCharType="end"/>
            </w:r>
          </w:hyperlink>
        </w:p>
        <w:p w14:paraId="73097AC9" w14:textId="53D2061C" w:rsidR="0050544D" w:rsidRDefault="0065645A">
          <w:pPr>
            <w:pStyle w:val="Obsah2"/>
            <w:tabs>
              <w:tab w:val="left" w:pos="800"/>
              <w:tab w:val="right" w:leader="dot" w:pos="9060"/>
            </w:tabs>
            <w:rPr>
              <w:rFonts w:eastAsiaTheme="minorEastAsia" w:cstheme="minorBidi"/>
              <w:smallCaps w:val="0"/>
              <w:noProof/>
              <w:kern w:val="2"/>
              <w:sz w:val="24"/>
              <w:szCs w:val="24"/>
              <w:lang w:eastAsia="sk-SK"/>
              <w14:ligatures w14:val="standardContextual"/>
            </w:rPr>
          </w:pPr>
          <w:hyperlink w:anchor="_Toc211249101" w:history="1">
            <w:r w:rsidR="0050544D" w:rsidRPr="00A00326">
              <w:rPr>
                <w:rStyle w:val="Hypertextovprepojenie"/>
                <w:noProof/>
              </w:rPr>
              <w:t>6.4</w:t>
            </w:r>
            <w:r w:rsidR="0050544D">
              <w:rPr>
                <w:rFonts w:eastAsiaTheme="minorEastAsia" w:cstheme="minorBidi"/>
                <w:smallCaps w:val="0"/>
                <w:noProof/>
                <w:kern w:val="2"/>
                <w:sz w:val="24"/>
                <w:szCs w:val="24"/>
                <w:lang w:eastAsia="sk-SK"/>
                <w14:ligatures w14:val="standardContextual"/>
              </w:rPr>
              <w:tab/>
            </w:r>
            <w:r w:rsidR="0050544D" w:rsidRPr="00A00326">
              <w:rPr>
                <w:rStyle w:val="Hypertextovprepojenie"/>
                <w:noProof/>
              </w:rPr>
              <w:t>Životné prostredie</w:t>
            </w:r>
            <w:r w:rsidR="0050544D">
              <w:rPr>
                <w:noProof/>
                <w:webHidden/>
              </w:rPr>
              <w:tab/>
            </w:r>
            <w:r w:rsidR="0050544D">
              <w:rPr>
                <w:noProof/>
                <w:webHidden/>
              </w:rPr>
              <w:fldChar w:fldCharType="begin"/>
            </w:r>
            <w:r w:rsidR="0050544D">
              <w:rPr>
                <w:noProof/>
                <w:webHidden/>
              </w:rPr>
              <w:instrText xml:space="preserve"> PAGEREF _Toc211249101 \h </w:instrText>
            </w:r>
            <w:r w:rsidR="0050544D">
              <w:rPr>
                <w:noProof/>
                <w:webHidden/>
              </w:rPr>
            </w:r>
            <w:r w:rsidR="0050544D">
              <w:rPr>
                <w:noProof/>
                <w:webHidden/>
              </w:rPr>
              <w:fldChar w:fldCharType="separate"/>
            </w:r>
            <w:r w:rsidR="003013A9">
              <w:rPr>
                <w:noProof/>
                <w:webHidden/>
              </w:rPr>
              <w:t>57</w:t>
            </w:r>
            <w:r w:rsidR="0050544D">
              <w:rPr>
                <w:noProof/>
                <w:webHidden/>
              </w:rPr>
              <w:fldChar w:fldCharType="end"/>
            </w:r>
          </w:hyperlink>
        </w:p>
        <w:p w14:paraId="4DB86036" w14:textId="5380328D" w:rsidR="0050544D" w:rsidRDefault="0065645A">
          <w:pPr>
            <w:pStyle w:val="Obsah1"/>
            <w:rPr>
              <w:rFonts w:eastAsiaTheme="minorEastAsia" w:cstheme="minorBidi"/>
              <w:b w:val="0"/>
              <w:bCs w:val="0"/>
              <w:caps w:val="0"/>
              <w:color w:val="auto"/>
              <w:kern w:val="2"/>
              <w:sz w:val="24"/>
              <w:szCs w:val="24"/>
              <w:lang w:eastAsia="sk-SK"/>
              <w14:ligatures w14:val="standardContextual"/>
            </w:rPr>
          </w:pPr>
          <w:hyperlink w:anchor="_Toc211249102" w:history="1">
            <w:r w:rsidR="0050544D" w:rsidRPr="00A00326">
              <w:rPr>
                <w:rStyle w:val="Hypertextovprepojenie"/>
              </w:rPr>
              <w:t>7</w:t>
            </w:r>
            <w:r w:rsidR="0050544D">
              <w:rPr>
                <w:rFonts w:eastAsiaTheme="minorEastAsia" w:cstheme="minorBidi"/>
                <w:b w:val="0"/>
                <w:bCs w:val="0"/>
                <w:caps w:val="0"/>
                <w:color w:val="auto"/>
                <w:kern w:val="2"/>
                <w:sz w:val="24"/>
                <w:szCs w:val="24"/>
                <w:lang w:eastAsia="sk-SK"/>
                <w14:ligatures w14:val="standardContextual"/>
              </w:rPr>
              <w:tab/>
            </w:r>
            <w:r w:rsidR="0050544D" w:rsidRPr="00A00326">
              <w:rPr>
                <w:rStyle w:val="Hypertextovprepojenie"/>
              </w:rPr>
              <w:t>Príloha</w:t>
            </w:r>
            <w:r w:rsidR="0050544D">
              <w:rPr>
                <w:webHidden/>
              </w:rPr>
              <w:tab/>
            </w:r>
            <w:r w:rsidR="0050544D">
              <w:rPr>
                <w:webHidden/>
              </w:rPr>
              <w:fldChar w:fldCharType="begin"/>
            </w:r>
            <w:r w:rsidR="0050544D">
              <w:rPr>
                <w:webHidden/>
              </w:rPr>
              <w:instrText xml:space="preserve"> PAGEREF _Toc211249102 \h </w:instrText>
            </w:r>
            <w:r w:rsidR="0050544D">
              <w:rPr>
                <w:webHidden/>
              </w:rPr>
            </w:r>
            <w:r w:rsidR="0050544D">
              <w:rPr>
                <w:webHidden/>
              </w:rPr>
              <w:fldChar w:fldCharType="separate"/>
            </w:r>
            <w:r w:rsidR="003013A9">
              <w:rPr>
                <w:webHidden/>
              </w:rPr>
              <w:t>60</w:t>
            </w:r>
            <w:r w:rsidR="0050544D">
              <w:rPr>
                <w:webHidden/>
              </w:rPr>
              <w:fldChar w:fldCharType="end"/>
            </w:r>
          </w:hyperlink>
        </w:p>
        <w:p w14:paraId="2E728DDA" w14:textId="354FE6BD" w:rsidR="00F071B7" w:rsidRDefault="006C125B" w:rsidP="00A8666E">
          <w:pPr>
            <w:rPr>
              <w:b/>
              <w:bCs/>
            </w:rPr>
          </w:pPr>
          <w:r w:rsidRPr="0052700B">
            <w:rPr>
              <w:rFonts w:cs="Segoe UI"/>
              <w:b/>
              <w:bCs/>
              <w:color w:val="314364" w:themeColor="text2"/>
              <w:szCs w:val="20"/>
            </w:rPr>
            <w:fldChar w:fldCharType="end"/>
          </w:r>
        </w:p>
      </w:sdtContent>
    </w:sdt>
    <w:p w14:paraId="31073495" w14:textId="77777777" w:rsidR="00B829E1" w:rsidRDefault="00B829E1">
      <w:pPr>
        <w:spacing w:after="160" w:line="259" w:lineRule="auto"/>
        <w:jc w:val="left"/>
        <w:rPr>
          <w:color w:val="314364"/>
          <w:sz w:val="28"/>
        </w:rPr>
      </w:pPr>
      <w:bookmarkStart w:id="1" w:name="_Toc86396371"/>
      <w:bookmarkStart w:id="2" w:name="_Toc53475706"/>
      <w:r>
        <w:rPr>
          <w:b/>
          <w:sz w:val="28"/>
        </w:rPr>
        <w:br w:type="page"/>
      </w:r>
    </w:p>
    <w:p w14:paraId="1FFF7403" w14:textId="77777777" w:rsidR="00933176" w:rsidRDefault="00933176" w:rsidP="00933176">
      <w:pPr>
        <w:pStyle w:val="Zhrnutie"/>
        <w:rPr>
          <w:b w:val="0"/>
          <w:sz w:val="28"/>
        </w:rPr>
      </w:pPr>
      <w:r w:rsidRPr="003B352D">
        <w:rPr>
          <w:b w:val="0"/>
          <w:sz w:val="28"/>
        </w:rPr>
        <w:lastRenderedPageBreak/>
        <w:t>Zoznam</w:t>
      </w:r>
      <w:r w:rsidRPr="007816E8">
        <w:rPr>
          <w:b w:val="0"/>
          <w:sz w:val="28"/>
        </w:rPr>
        <w:t xml:space="preserve"> skratiek</w:t>
      </w:r>
    </w:p>
    <w:tbl>
      <w:tblPr>
        <w:tblStyle w:val="Mriekatabuky6"/>
        <w:tblW w:w="569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1116"/>
        <w:gridCol w:w="4360"/>
        <w:gridCol w:w="1175"/>
        <w:gridCol w:w="3671"/>
      </w:tblGrid>
      <w:tr w:rsidR="00933176" w:rsidRPr="00B52236" w14:paraId="3BA3761F" w14:textId="77777777" w:rsidTr="00BB314F">
        <w:trPr>
          <w:trHeight w:val="232"/>
          <w:jc w:val="center"/>
        </w:trPr>
        <w:tc>
          <w:tcPr>
            <w:tcW w:w="541" w:type="pct"/>
          </w:tcPr>
          <w:p w14:paraId="26125043"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APBP</w:t>
            </w:r>
          </w:p>
        </w:tc>
        <w:tc>
          <w:tcPr>
            <w:tcW w:w="2112" w:type="pct"/>
          </w:tcPr>
          <w:p w14:paraId="279DE485" w14:textId="77777777" w:rsidR="00933176" w:rsidRDefault="00933176" w:rsidP="00BB314F">
            <w:pPr>
              <w:tabs>
                <w:tab w:val="left" w:pos="3360"/>
              </w:tabs>
              <w:spacing w:after="0"/>
              <w:jc w:val="left"/>
              <w:rPr>
                <w:sz w:val="18"/>
                <w:szCs w:val="18"/>
              </w:rPr>
            </w:pPr>
            <w:r>
              <w:rPr>
                <w:sz w:val="18"/>
                <w:szCs w:val="18"/>
              </w:rPr>
              <w:t>Akčný plán boja proti daňovým podvodom</w:t>
            </w:r>
          </w:p>
        </w:tc>
        <w:tc>
          <w:tcPr>
            <w:tcW w:w="569" w:type="pct"/>
          </w:tcPr>
          <w:p w14:paraId="6F549569" w14:textId="77777777" w:rsidR="00933176" w:rsidRDefault="00933176" w:rsidP="00BB314F">
            <w:pPr>
              <w:tabs>
                <w:tab w:val="left" w:pos="3360"/>
              </w:tabs>
              <w:spacing w:after="0"/>
              <w:ind w:right="-12"/>
              <w:jc w:val="left"/>
              <w:rPr>
                <w:sz w:val="18"/>
                <w:szCs w:val="18"/>
              </w:rPr>
            </w:pPr>
            <w:r>
              <w:rPr>
                <w:color w:val="314364" w:themeColor="text2"/>
                <w:sz w:val="18"/>
                <w:szCs w:val="18"/>
              </w:rPr>
              <w:t>OS</w:t>
            </w:r>
          </w:p>
        </w:tc>
        <w:tc>
          <w:tcPr>
            <w:tcW w:w="1778" w:type="pct"/>
          </w:tcPr>
          <w:p w14:paraId="1AF4C7D8" w14:textId="77777777" w:rsidR="00933176" w:rsidRDefault="00933176" w:rsidP="00BB314F">
            <w:pPr>
              <w:tabs>
                <w:tab w:val="left" w:pos="3360"/>
              </w:tabs>
              <w:spacing w:after="0"/>
              <w:jc w:val="left"/>
              <w:rPr>
                <w:sz w:val="18"/>
                <w:szCs w:val="18"/>
              </w:rPr>
            </w:pPr>
            <w:r>
              <w:rPr>
                <w:sz w:val="18"/>
                <w:szCs w:val="18"/>
              </w:rPr>
              <w:t>očakávaná skutočnosť</w:t>
            </w:r>
          </w:p>
        </w:tc>
      </w:tr>
      <w:tr w:rsidR="00933176" w:rsidRPr="00B52236" w14:paraId="308E899C" w14:textId="77777777" w:rsidTr="00BB314F">
        <w:trPr>
          <w:trHeight w:val="232"/>
          <w:jc w:val="center"/>
        </w:trPr>
        <w:tc>
          <w:tcPr>
            <w:tcW w:w="541" w:type="pct"/>
          </w:tcPr>
          <w:p w14:paraId="08F75623"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ČR</w:t>
            </w:r>
          </w:p>
        </w:tc>
        <w:tc>
          <w:tcPr>
            <w:tcW w:w="2112" w:type="pct"/>
          </w:tcPr>
          <w:p w14:paraId="13B02C26" w14:textId="77777777" w:rsidR="00933176" w:rsidRDefault="00933176" w:rsidP="00BB314F">
            <w:pPr>
              <w:tabs>
                <w:tab w:val="left" w:pos="3360"/>
              </w:tabs>
              <w:spacing w:after="0"/>
              <w:jc w:val="left"/>
              <w:rPr>
                <w:sz w:val="18"/>
                <w:szCs w:val="18"/>
              </w:rPr>
            </w:pPr>
            <w:r>
              <w:rPr>
                <w:sz w:val="18"/>
                <w:szCs w:val="18"/>
              </w:rPr>
              <w:t>Česká republika</w:t>
            </w:r>
          </w:p>
        </w:tc>
        <w:tc>
          <w:tcPr>
            <w:tcW w:w="569" w:type="pct"/>
          </w:tcPr>
          <w:p w14:paraId="689A6074" w14:textId="77777777" w:rsidR="00933176" w:rsidRPr="000353E9" w:rsidRDefault="00933176" w:rsidP="00BB314F">
            <w:pPr>
              <w:tabs>
                <w:tab w:val="left" w:pos="3360"/>
              </w:tabs>
              <w:spacing w:after="0"/>
              <w:ind w:right="-12"/>
              <w:jc w:val="left"/>
              <w:rPr>
                <w:color w:val="314364" w:themeColor="text2"/>
                <w:sz w:val="18"/>
                <w:szCs w:val="18"/>
              </w:rPr>
            </w:pPr>
            <w:r w:rsidRPr="000371BA">
              <w:rPr>
                <w:color w:val="314364" w:themeColor="text2"/>
                <w:sz w:val="18"/>
                <w:szCs w:val="18"/>
              </w:rPr>
              <w:t>PMÚ SR</w:t>
            </w:r>
          </w:p>
        </w:tc>
        <w:tc>
          <w:tcPr>
            <w:tcW w:w="1778" w:type="pct"/>
          </w:tcPr>
          <w:p w14:paraId="05733A41" w14:textId="77777777" w:rsidR="00933176" w:rsidRDefault="00933176" w:rsidP="00BB314F">
            <w:pPr>
              <w:tabs>
                <w:tab w:val="left" w:pos="3360"/>
              </w:tabs>
              <w:spacing w:after="0"/>
              <w:jc w:val="left"/>
              <w:rPr>
                <w:sz w:val="18"/>
                <w:szCs w:val="18"/>
              </w:rPr>
            </w:pPr>
            <w:r w:rsidRPr="000371BA">
              <w:rPr>
                <w:sz w:val="18"/>
                <w:szCs w:val="18"/>
              </w:rPr>
              <w:t>Protimonopolný úrad Slovenskej republiky</w:t>
            </w:r>
          </w:p>
        </w:tc>
      </w:tr>
      <w:tr w:rsidR="00933176" w:rsidRPr="00B52236" w14:paraId="04F2F229" w14:textId="77777777" w:rsidTr="00BB314F">
        <w:trPr>
          <w:trHeight w:val="232"/>
          <w:jc w:val="center"/>
        </w:trPr>
        <w:tc>
          <w:tcPr>
            <w:tcW w:w="541" w:type="pct"/>
          </w:tcPr>
          <w:p w14:paraId="6741EFC6" w14:textId="77777777" w:rsidR="00933176" w:rsidRPr="000371BA" w:rsidRDefault="00933176" w:rsidP="00BB314F">
            <w:pPr>
              <w:spacing w:after="0"/>
              <w:ind w:right="-81"/>
              <w:jc w:val="left"/>
              <w:rPr>
                <w:color w:val="314364" w:themeColor="text2"/>
                <w:sz w:val="18"/>
                <w:szCs w:val="18"/>
              </w:rPr>
            </w:pPr>
            <w:r w:rsidRPr="000371BA">
              <w:rPr>
                <w:color w:val="314364" w:themeColor="text2"/>
                <w:sz w:val="18"/>
                <w:szCs w:val="18"/>
              </w:rPr>
              <w:t>DPFO</w:t>
            </w:r>
          </w:p>
        </w:tc>
        <w:tc>
          <w:tcPr>
            <w:tcW w:w="2112" w:type="pct"/>
          </w:tcPr>
          <w:p w14:paraId="6798716B" w14:textId="77777777" w:rsidR="00933176" w:rsidRPr="000371BA" w:rsidRDefault="00933176" w:rsidP="00BB314F">
            <w:pPr>
              <w:tabs>
                <w:tab w:val="left" w:pos="3360"/>
              </w:tabs>
              <w:spacing w:after="0"/>
              <w:jc w:val="left"/>
              <w:rPr>
                <w:sz w:val="18"/>
                <w:szCs w:val="18"/>
              </w:rPr>
            </w:pPr>
            <w:r w:rsidRPr="000371BA">
              <w:rPr>
                <w:sz w:val="18"/>
                <w:szCs w:val="18"/>
              </w:rPr>
              <w:t>daň z príjmov fyzických osôb</w:t>
            </w:r>
          </w:p>
        </w:tc>
        <w:tc>
          <w:tcPr>
            <w:tcW w:w="569" w:type="pct"/>
          </w:tcPr>
          <w:p w14:paraId="5E4404B0" w14:textId="77777777" w:rsidR="00933176" w:rsidRPr="000371BA" w:rsidRDefault="00933176" w:rsidP="00BB314F">
            <w:pPr>
              <w:tabs>
                <w:tab w:val="left" w:pos="3360"/>
              </w:tabs>
              <w:spacing w:after="0"/>
              <w:ind w:right="-12"/>
              <w:jc w:val="left"/>
              <w:rPr>
                <w:color w:val="314364" w:themeColor="text2"/>
                <w:sz w:val="18"/>
                <w:szCs w:val="18"/>
              </w:rPr>
            </w:pPr>
            <w:r>
              <w:rPr>
                <w:color w:val="314364" w:themeColor="text2"/>
                <w:sz w:val="18"/>
                <w:szCs w:val="18"/>
              </w:rPr>
              <w:t>PN</w:t>
            </w:r>
          </w:p>
        </w:tc>
        <w:tc>
          <w:tcPr>
            <w:tcW w:w="1778" w:type="pct"/>
          </w:tcPr>
          <w:p w14:paraId="7274C693" w14:textId="77777777" w:rsidR="00933176" w:rsidRPr="000371BA" w:rsidRDefault="00933176" w:rsidP="00BB314F">
            <w:pPr>
              <w:tabs>
                <w:tab w:val="left" w:pos="3360"/>
              </w:tabs>
              <w:spacing w:after="0"/>
              <w:jc w:val="left"/>
              <w:rPr>
                <w:sz w:val="18"/>
                <w:szCs w:val="18"/>
              </w:rPr>
            </w:pPr>
            <w:r>
              <w:rPr>
                <w:sz w:val="18"/>
                <w:szCs w:val="18"/>
              </w:rPr>
              <w:t>pracovná neschopnosť</w:t>
            </w:r>
          </w:p>
        </w:tc>
      </w:tr>
      <w:tr w:rsidR="00933176" w:rsidRPr="00B52236" w14:paraId="2D41FB2D" w14:textId="77777777" w:rsidTr="00BB314F">
        <w:trPr>
          <w:trHeight w:val="232"/>
          <w:jc w:val="center"/>
        </w:trPr>
        <w:tc>
          <w:tcPr>
            <w:tcW w:w="541" w:type="pct"/>
          </w:tcPr>
          <w:p w14:paraId="7740D300"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DPH</w:t>
            </w:r>
          </w:p>
        </w:tc>
        <w:tc>
          <w:tcPr>
            <w:tcW w:w="2112" w:type="pct"/>
          </w:tcPr>
          <w:p w14:paraId="0CEBAB7A" w14:textId="77777777" w:rsidR="00933176" w:rsidRDefault="00933176" w:rsidP="00BB314F">
            <w:pPr>
              <w:spacing w:after="0"/>
              <w:jc w:val="left"/>
              <w:rPr>
                <w:sz w:val="18"/>
                <w:szCs w:val="18"/>
              </w:rPr>
            </w:pPr>
            <w:r w:rsidRPr="00342619">
              <w:rPr>
                <w:sz w:val="18"/>
                <w:szCs w:val="18"/>
              </w:rPr>
              <w:t>daň z pridanej hodnoty</w:t>
            </w:r>
          </w:p>
        </w:tc>
        <w:tc>
          <w:tcPr>
            <w:tcW w:w="569" w:type="pct"/>
          </w:tcPr>
          <w:p w14:paraId="481E2031" w14:textId="77777777" w:rsidR="00933176" w:rsidRDefault="00933176" w:rsidP="00BB314F">
            <w:pPr>
              <w:spacing w:after="0"/>
              <w:ind w:right="-12"/>
              <w:jc w:val="left"/>
              <w:rPr>
                <w:sz w:val="18"/>
                <w:szCs w:val="18"/>
              </w:rPr>
            </w:pPr>
            <w:r w:rsidRPr="00342619">
              <w:rPr>
                <w:color w:val="314364" w:themeColor="text2"/>
                <w:sz w:val="18"/>
                <w:szCs w:val="18"/>
              </w:rPr>
              <w:t>PO</w:t>
            </w:r>
          </w:p>
        </w:tc>
        <w:tc>
          <w:tcPr>
            <w:tcW w:w="1778" w:type="pct"/>
          </w:tcPr>
          <w:p w14:paraId="46C5CC78" w14:textId="77777777" w:rsidR="00933176" w:rsidRDefault="00933176" w:rsidP="00BB314F">
            <w:pPr>
              <w:spacing w:after="0"/>
              <w:jc w:val="left"/>
              <w:rPr>
                <w:sz w:val="18"/>
                <w:szCs w:val="18"/>
              </w:rPr>
            </w:pPr>
            <w:r w:rsidRPr="00342619">
              <w:rPr>
                <w:sz w:val="18"/>
                <w:szCs w:val="18"/>
              </w:rPr>
              <w:t>programové obdobie</w:t>
            </w:r>
          </w:p>
        </w:tc>
      </w:tr>
      <w:tr w:rsidR="00933176" w:rsidRPr="00B52236" w14:paraId="3D15F69B" w14:textId="77777777" w:rsidTr="00BB314F">
        <w:trPr>
          <w:trHeight w:val="232"/>
          <w:jc w:val="center"/>
        </w:trPr>
        <w:tc>
          <w:tcPr>
            <w:tcW w:w="541" w:type="pct"/>
          </w:tcPr>
          <w:p w14:paraId="574DB02F"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DPPO</w:t>
            </w:r>
          </w:p>
        </w:tc>
        <w:tc>
          <w:tcPr>
            <w:tcW w:w="2112" w:type="pct"/>
          </w:tcPr>
          <w:p w14:paraId="5A6CD5D0" w14:textId="77777777" w:rsidR="00933176" w:rsidRDefault="00933176" w:rsidP="00BB314F">
            <w:pPr>
              <w:spacing w:after="0"/>
              <w:jc w:val="left"/>
              <w:rPr>
                <w:sz w:val="18"/>
                <w:szCs w:val="18"/>
              </w:rPr>
            </w:pPr>
            <w:r w:rsidRPr="00206F87">
              <w:rPr>
                <w:sz w:val="18"/>
                <w:szCs w:val="18"/>
              </w:rPr>
              <w:t>daň z príjmov právnických osôb</w:t>
            </w:r>
          </w:p>
        </w:tc>
        <w:tc>
          <w:tcPr>
            <w:tcW w:w="569" w:type="pct"/>
          </w:tcPr>
          <w:p w14:paraId="1C536521" w14:textId="77777777" w:rsidR="00933176" w:rsidRDefault="00933176" w:rsidP="00BB314F">
            <w:pPr>
              <w:spacing w:after="0"/>
              <w:ind w:right="-12"/>
              <w:jc w:val="left"/>
              <w:rPr>
                <w:sz w:val="18"/>
                <w:szCs w:val="18"/>
              </w:rPr>
            </w:pPr>
            <w:r w:rsidRPr="00342619">
              <w:rPr>
                <w:color w:val="314364" w:themeColor="text2"/>
                <w:sz w:val="18"/>
                <w:szCs w:val="18"/>
              </w:rPr>
              <w:t>POO</w:t>
            </w:r>
          </w:p>
        </w:tc>
        <w:tc>
          <w:tcPr>
            <w:tcW w:w="1778" w:type="pct"/>
          </w:tcPr>
          <w:p w14:paraId="465B714A" w14:textId="77777777" w:rsidR="00933176" w:rsidRDefault="00933176" w:rsidP="00BB314F">
            <w:pPr>
              <w:spacing w:after="0"/>
              <w:jc w:val="left"/>
              <w:rPr>
                <w:sz w:val="18"/>
                <w:szCs w:val="18"/>
              </w:rPr>
            </w:pPr>
            <w:r w:rsidRPr="00342619">
              <w:rPr>
                <w:sz w:val="18"/>
                <w:szCs w:val="18"/>
              </w:rPr>
              <w:t>Plán obnovy a odolnosti</w:t>
            </w:r>
          </w:p>
        </w:tc>
      </w:tr>
      <w:tr w:rsidR="00933176" w:rsidRPr="00B52236" w14:paraId="1FD6E12A" w14:textId="77777777" w:rsidTr="00BB314F">
        <w:trPr>
          <w:trHeight w:val="232"/>
          <w:jc w:val="center"/>
        </w:trPr>
        <w:tc>
          <w:tcPr>
            <w:tcW w:w="541" w:type="pct"/>
          </w:tcPr>
          <w:p w14:paraId="0EA2602B" w14:textId="77777777" w:rsidR="00933176" w:rsidRDefault="00933176" w:rsidP="00BB314F">
            <w:pPr>
              <w:spacing w:after="0"/>
              <w:ind w:right="-81"/>
              <w:jc w:val="left"/>
              <w:rPr>
                <w:color w:val="314364" w:themeColor="text2"/>
                <w:sz w:val="18"/>
                <w:szCs w:val="18"/>
              </w:rPr>
            </w:pPr>
            <w:r w:rsidRPr="000353E9">
              <w:rPr>
                <w:color w:val="314364" w:themeColor="text2"/>
                <w:sz w:val="18"/>
                <w:szCs w:val="18"/>
              </w:rPr>
              <w:t>EAO</w:t>
            </w:r>
          </w:p>
        </w:tc>
        <w:tc>
          <w:tcPr>
            <w:tcW w:w="2112" w:type="pct"/>
          </w:tcPr>
          <w:p w14:paraId="06500C85" w14:textId="77777777" w:rsidR="00933176" w:rsidRPr="00206F87" w:rsidRDefault="00933176" w:rsidP="00BB314F">
            <w:pPr>
              <w:spacing w:after="0"/>
              <w:jc w:val="left"/>
              <w:rPr>
                <w:sz w:val="18"/>
                <w:szCs w:val="18"/>
              </w:rPr>
            </w:pPr>
            <w:r>
              <w:rPr>
                <w:sz w:val="18"/>
                <w:szCs w:val="18"/>
              </w:rPr>
              <w:t>ekonomicky aktívne obyvateľstvo</w:t>
            </w:r>
          </w:p>
        </w:tc>
        <w:tc>
          <w:tcPr>
            <w:tcW w:w="569" w:type="pct"/>
          </w:tcPr>
          <w:p w14:paraId="47FCF4F3" w14:textId="77777777" w:rsidR="00933176" w:rsidRPr="000371BA" w:rsidRDefault="00933176" w:rsidP="00BB314F">
            <w:pPr>
              <w:spacing w:after="0"/>
              <w:ind w:right="-12"/>
              <w:jc w:val="left"/>
              <w:rPr>
                <w:color w:val="314364" w:themeColor="text2"/>
                <w:sz w:val="18"/>
                <w:szCs w:val="18"/>
              </w:rPr>
            </w:pPr>
            <w:r w:rsidRPr="00B90759">
              <w:rPr>
                <w:color w:val="314364" w:themeColor="text2"/>
                <w:sz w:val="18"/>
                <w:szCs w:val="18"/>
              </w:rPr>
              <w:t>PSD</w:t>
            </w:r>
          </w:p>
        </w:tc>
        <w:tc>
          <w:tcPr>
            <w:tcW w:w="1778" w:type="pct"/>
          </w:tcPr>
          <w:p w14:paraId="4E4DF5AE" w14:textId="77777777" w:rsidR="00933176" w:rsidRPr="000371BA" w:rsidRDefault="00933176" w:rsidP="00BB314F">
            <w:pPr>
              <w:spacing w:after="0"/>
              <w:jc w:val="left"/>
              <w:rPr>
                <w:sz w:val="18"/>
                <w:szCs w:val="18"/>
              </w:rPr>
            </w:pPr>
            <w:r w:rsidRPr="00B90759">
              <w:rPr>
                <w:sz w:val="18"/>
                <w:szCs w:val="18"/>
              </w:rPr>
              <w:t>predčasný starobný dôchodok</w:t>
            </w:r>
          </w:p>
        </w:tc>
      </w:tr>
      <w:tr w:rsidR="00933176" w:rsidRPr="00B52236" w14:paraId="2348EF36" w14:textId="77777777" w:rsidTr="00BB314F">
        <w:trPr>
          <w:trHeight w:val="232"/>
          <w:jc w:val="center"/>
        </w:trPr>
        <w:tc>
          <w:tcPr>
            <w:tcW w:w="541" w:type="pct"/>
          </w:tcPr>
          <w:p w14:paraId="1188D0A4"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EDP</w:t>
            </w:r>
          </w:p>
        </w:tc>
        <w:tc>
          <w:tcPr>
            <w:tcW w:w="2112" w:type="pct"/>
          </w:tcPr>
          <w:p w14:paraId="48B8E8E3" w14:textId="77777777" w:rsidR="00933176" w:rsidRPr="00342619" w:rsidRDefault="00933176" w:rsidP="00BB314F">
            <w:pPr>
              <w:spacing w:after="0"/>
              <w:jc w:val="left"/>
              <w:rPr>
                <w:sz w:val="18"/>
                <w:szCs w:val="18"/>
              </w:rPr>
            </w:pPr>
            <w:r>
              <w:rPr>
                <w:sz w:val="18"/>
                <w:szCs w:val="18"/>
              </w:rPr>
              <w:t>Procedúra nadmerného deficitu (</w:t>
            </w:r>
            <w:r w:rsidRPr="000C34BF">
              <w:rPr>
                <w:sz w:val="18"/>
                <w:szCs w:val="18"/>
              </w:rPr>
              <w:t>Excessive Deficit Procedure</w:t>
            </w:r>
            <w:r>
              <w:rPr>
                <w:sz w:val="18"/>
                <w:szCs w:val="18"/>
              </w:rPr>
              <w:t>)</w:t>
            </w:r>
          </w:p>
        </w:tc>
        <w:tc>
          <w:tcPr>
            <w:tcW w:w="569" w:type="pct"/>
          </w:tcPr>
          <w:p w14:paraId="78CB26FA" w14:textId="77777777" w:rsidR="00933176" w:rsidRPr="00342619" w:rsidRDefault="00933176" w:rsidP="00BB314F">
            <w:pPr>
              <w:spacing w:after="0"/>
              <w:ind w:right="-12"/>
              <w:jc w:val="left"/>
              <w:rPr>
                <w:color w:val="314364" w:themeColor="text2"/>
                <w:sz w:val="18"/>
                <w:szCs w:val="18"/>
              </w:rPr>
            </w:pPr>
            <w:r>
              <w:rPr>
                <w:color w:val="314364" w:themeColor="text2"/>
                <w:sz w:val="18"/>
                <w:szCs w:val="18"/>
              </w:rPr>
              <w:t>P SK</w:t>
            </w:r>
          </w:p>
        </w:tc>
        <w:tc>
          <w:tcPr>
            <w:tcW w:w="1778" w:type="pct"/>
          </w:tcPr>
          <w:p w14:paraId="24A32ED9" w14:textId="77777777" w:rsidR="00933176" w:rsidRPr="00342619" w:rsidRDefault="00933176" w:rsidP="00BB314F">
            <w:pPr>
              <w:spacing w:after="0"/>
              <w:jc w:val="left"/>
              <w:rPr>
                <w:sz w:val="18"/>
                <w:szCs w:val="18"/>
              </w:rPr>
            </w:pPr>
            <w:r w:rsidRPr="00BA3752">
              <w:rPr>
                <w:sz w:val="18"/>
                <w:szCs w:val="18"/>
              </w:rPr>
              <w:t>Program Slovensko</w:t>
            </w:r>
          </w:p>
        </w:tc>
      </w:tr>
      <w:tr w:rsidR="00933176" w:rsidRPr="00B52236" w14:paraId="045FBB06" w14:textId="77777777" w:rsidTr="00BB314F">
        <w:trPr>
          <w:trHeight w:val="232"/>
          <w:jc w:val="center"/>
        </w:trPr>
        <w:tc>
          <w:tcPr>
            <w:tcW w:w="541" w:type="pct"/>
          </w:tcPr>
          <w:p w14:paraId="400D9CD2"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EDS</w:t>
            </w:r>
          </w:p>
        </w:tc>
        <w:tc>
          <w:tcPr>
            <w:tcW w:w="2112" w:type="pct"/>
          </w:tcPr>
          <w:p w14:paraId="6545F296" w14:textId="77777777" w:rsidR="00933176" w:rsidRDefault="00933176" w:rsidP="00BB314F">
            <w:pPr>
              <w:spacing w:after="0"/>
              <w:jc w:val="left"/>
              <w:rPr>
                <w:sz w:val="18"/>
                <w:szCs w:val="18"/>
              </w:rPr>
            </w:pPr>
            <w:r>
              <w:rPr>
                <w:sz w:val="18"/>
                <w:szCs w:val="18"/>
              </w:rPr>
              <w:t>efektívna daňová sadzba</w:t>
            </w:r>
          </w:p>
        </w:tc>
        <w:tc>
          <w:tcPr>
            <w:tcW w:w="569" w:type="pct"/>
          </w:tcPr>
          <w:p w14:paraId="47785D94" w14:textId="77777777" w:rsidR="00933176" w:rsidRPr="00342619" w:rsidRDefault="00933176" w:rsidP="00BB314F">
            <w:pPr>
              <w:spacing w:after="0"/>
              <w:ind w:right="-12"/>
              <w:jc w:val="left"/>
              <w:rPr>
                <w:color w:val="314364" w:themeColor="text2"/>
                <w:sz w:val="18"/>
                <w:szCs w:val="18"/>
              </w:rPr>
            </w:pPr>
            <w:r>
              <w:rPr>
                <w:color w:val="314364" w:themeColor="text2"/>
                <w:sz w:val="18"/>
                <w:szCs w:val="18"/>
              </w:rPr>
              <w:t>PVV</w:t>
            </w:r>
          </w:p>
        </w:tc>
        <w:tc>
          <w:tcPr>
            <w:tcW w:w="1778" w:type="pct"/>
          </w:tcPr>
          <w:p w14:paraId="6FAABE9F" w14:textId="77777777" w:rsidR="00933176" w:rsidRPr="00342619" w:rsidRDefault="00933176" w:rsidP="00BB314F">
            <w:pPr>
              <w:spacing w:after="0"/>
              <w:jc w:val="left"/>
              <w:rPr>
                <w:sz w:val="18"/>
                <w:szCs w:val="18"/>
              </w:rPr>
            </w:pPr>
            <w:r>
              <w:rPr>
                <w:sz w:val="18"/>
                <w:szCs w:val="18"/>
              </w:rPr>
              <w:t>Programové vyhlásenie vlády</w:t>
            </w:r>
          </w:p>
        </w:tc>
      </w:tr>
      <w:tr w:rsidR="00933176" w:rsidRPr="00B52236" w14:paraId="6B53E10C" w14:textId="77777777" w:rsidTr="00BB314F">
        <w:trPr>
          <w:trHeight w:val="232"/>
          <w:jc w:val="center"/>
        </w:trPr>
        <w:tc>
          <w:tcPr>
            <w:tcW w:w="541" w:type="pct"/>
          </w:tcPr>
          <w:p w14:paraId="67967FF6" w14:textId="77777777" w:rsidR="00933176" w:rsidRDefault="00933176" w:rsidP="00BB314F">
            <w:pPr>
              <w:spacing w:after="0"/>
              <w:ind w:right="-81"/>
              <w:jc w:val="left"/>
              <w:rPr>
                <w:color w:val="314364" w:themeColor="text2"/>
                <w:sz w:val="18"/>
                <w:szCs w:val="18"/>
              </w:rPr>
            </w:pPr>
            <w:r w:rsidRPr="000353E9">
              <w:rPr>
                <w:color w:val="314364" w:themeColor="text2"/>
                <w:sz w:val="18"/>
                <w:szCs w:val="18"/>
              </w:rPr>
              <w:t>EK</w:t>
            </w:r>
          </w:p>
        </w:tc>
        <w:tc>
          <w:tcPr>
            <w:tcW w:w="2112" w:type="pct"/>
          </w:tcPr>
          <w:p w14:paraId="13B7F5B5" w14:textId="77777777" w:rsidR="00933176" w:rsidRDefault="00933176" w:rsidP="00BB314F">
            <w:pPr>
              <w:spacing w:after="0"/>
              <w:jc w:val="left"/>
              <w:rPr>
                <w:sz w:val="18"/>
                <w:szCs w:val="18"/>
              </w:rPr>
            </w:pPr>
            <w:r w:rsidRPr="00342619">
              <w:rPr>
                <w:sz w:val="18"/>
                <w:szCs w:val="18"/>
              </w:rPr>
              <w:t>Európska komisia</w:t>
            </w:r>
          </w:p>
        </w:tc>
        <w:tc>
          <w:tcPr>
            <w:tcW w:w="569" w:type="pct"/>
          </w:tcPr>
          <w:p w14:paraId="1359E577" w14:textId="77777777" w:rsidR="00933176" w:rsidRPr="00342619" w:rsidRDefault="00933176" w:rsidP="00BB314F">
            <w:pPr>
              <w:spacing w:after="0"/>
              <w:ind w:right="-12"/>
              <w:jc w:val="left"/>
              <w:rPr>
                <w:color w:val="314364" w:themeColor="text2"/>
                <w:sz w:val="18"/>
                <w:szCs w:val="18"/>
              </w:rPr>
            </w:pPr>
            <w:r w:rsidRPr="00342619">
              <w:rPr>
                <w:color w:val="314364" w:themeColor="text2"/>
                <w:sz w:val="18"/>
                <w:szCs w:val="18"/>
              </w:rPr>
              <w:t>R</w:t>
            </w:r>
          </w:p>
        </w:tc>
        <w:tc>
          <w:tcPr>
            <w:tcW w:w="1778" w:type="pct"/>
          </w:tcPr>
          <w:p w14:paraId="7AC4CF5B" w14:textId="77777777" w:rsidR="00933176" w:rsidRPr="00342619" w:rsidRDefault="00933176" w:rsidP="00BB314F">
            <w:pPr>
              <w:spacing w:after="0"/>
              <w:jc w:val="left"/>
              <w:rPr>
                <w:sz w:val="18"/>
                <w:szCs w:val="18"/>
              </w:rPr>
            </w:pPr>
            <w:r w:rsidRPr="00342619">
              <w:rPr>
                <w:sz w:val="18"/>
                <w:szCs w:val="18"/>
              </w:rPr>
              <w:t>Rozpočet</w:t>
            </w:r>
          </w:p>
        </w:tc>
      </w:tr>
      <w:tr w:rsidR="00933176" w:rsidRPr="00B52236" w14:paraId="334F4F35" w14:textId="77777777" w:rsidTr="00BB314F">
        <w:trPr>
          <w:trHeight w:val="232"/>
          <w:jc w:val="center"/>
        </w:trPr>
        <w:tc>
          <w:tcPr>
            <w:tcW w:w="541" w:type="pct"/>
          </w:tcPr>
          <w:p w14:paraId="0BED8778"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ESA 2010</w:t>
            </w:r>
          </w:p>
        </w:tc>
        <w:tc>
          <w:tcPr>
            <w:tcW w:w="2112" w:type="pct"/>
          </w:tcPr>
          <w:p w14:paraId="3272AEAE" w14:textId="77777777" w:rsidR="00933176" w:rsidRPr="00342619" w:rsidRDefault="00933176" w:rsidP="00BB314F">
            <w:pPr>
              <w:spacing w:after="0"/>
              <w:ind w:right="299"/>
              <w:jc w:val="left"/>
              <w:rPr>
                <w:sz w:val="18"/>
                <w:szCs w:val="18"/>
              </w:rPr>
            </w:pPr>
            <w:r>
              <w:rPr>
                <w:sz w:val="18"/>
                <w:szCs w:val="18"/>
              </w:rPr>
              <w:t>Európsky systém národných a regionálnych účtov</w:t>
            </w:r>
          </w:p>
        </w:tc>
        <w:tc>
          <w:tcPr>
            <w:tcW w:w="569" w:type="pct"/>
          </w:tcPr>
          <w:p w14:paraId="74A429DE" w14:textId="77777777" w:rsidR="00933176" w:rsidRPr="00342619" w:rsidRDefault="00933176" w:rsidP="00BB314F">
            <w:pPr>
              <w:spacing w:after="0"/>
              <w:ind w:right="-12"/>
              <w:jc w:val="left"/>
              <w:rPr>
                <w:sz w:val="18"/>
                <w:szCs w:val="18"/>
              </w:rPr>
            </w:pPr>
            <w:r>
              <w:rPr>
                <w:color w:val="314364" w:themeColor="text2"/>
                <w:sz w:val="18"/>
                <w:szCs w:val="18"/>
              </w:rPr>
              <w:t>RIS</w:t>
            </w:r>
          </w:p>
        </w:tc>
        <w:tc>
          <w:tcPr>
            <w:tcW w:w="1778" w:type="pct"/>
          </w:tcPr>
          <w:p w14:paraId="58E70FA0" w14:textId="77777777" w:rsidR="00933176" w:rsidRPr="00342619" w:rsidRDefault="00933176" w:rsidP="00BB314F">
            <w:pPr>
              <w:spacing w:after="0"/>
              <w:ind w:right="299"/>
              <w:jc w:val="left"/>
              <w:rPr>
                <w:sz w:val="18"/>
                <w:szCs w:val="18"/>
              </w:rPr>
            </w:pPr>
            <w:r>
              <w:rPr>
                <w:sz w:val="18"/>
                <w:szCs w:val="18"/>
              </w:rPr>
              <w:t>Rozpočtový informačný systém</w:t>
            </w:r>
          </w:p>
        </w:tc>
      </w:tr>
      <w:tr w:rsidR="00933176" w:rsidRPr="00B52236" w14:paraId="24B0CB62" w14:textId="77777777" w:rsidTr="00BB314F">
        <w:trPr>
          <w:trHeight w:val="232"/>
          <w:jc w:val="center"/>
        </w:trPr>
        <w:tc>
          <w:tcPr>
            <w:tcW w:w="541" w:type="pct"/>
          </w:tcPr>
          <w:p w14:paraId="049E752E"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EÚ</w:t>
            </w:r>
          </w:p>
        </w:tc>
        <w:tc>
          <w:tcPr>
            <w:tcW w:w="2112" w:type="pct"/>
          </w:tcPr>
          <w:p w14:paraId="4E021FC8" w14:textId="77777777" w:rsidR="00933176" w:rsidRPr="00342619" w:rsidRDefault="00933176" w:rsidP="00BB314F">
            <w:pPr>
              <w:spacing w:after="0"/>
              <w:ind w:right="299"/>
              <w:jc w:val="left"/>
              <w:rPr>
                <w:sz w:val="18"/>
                <w:szCs w:val="18"/>
              </w:rPr>
            </w:pPr>
            <w:r w:rsidRPr="00342619">
              <w:rPr>
                <w:sz w:val="18"/>
                <w:szCs w:val="18"/>
              </w:rPr>
              <w:t>Európska únia</w:t>
            </w:r>
          </w:p>
        </w:tc>
        <w:tc>
          <w:tcPr>
            <w:tcW w:w="569" w:type="pct"/>
          </w:tcPr>
          <w:p w14:paraId="428A0CBB" w14:textId="77777777" w:rsidR="00933176" w:rsidRDefault="00933176" w:rsidP="00BB314F">
            <w:pPr>
              <w:spacing w:after="0"/>
              <w:ind w:right="-12"/>
              <w:jc w:val="left"/>
              <w:rPr>
                <w:color w:val="314364" w:themeColor="text2"/>
                <w:sz w:val="18"/>
                <w:szCs w:val="18"/>
              </w:rPr>
            </w:pPr>
            <w:r w:rsidRPr="00342619">
              <w:rPr>
                <w:color w:val="314364" w:themeColor="text2"/>
                <w:sz w:val="18"/>
                <w:szCs w:val="18"/>
              </w:rPr>
              <w:t>RO</w:t>
            </w:r>
          </w:p>
        </w:tc>
        <w:tc>
          <w:tcPr>
            <w:tcW w:w="1778" w:type="pct"/>
          </w:tcPr>
          <w:p w14:paraId="451729F1" w14:textId="77777777" w:rsidR="00933176" w:rsidRPr="009A4F26" w:rsidRDefault="00933176" w:rsidP="00BB314F">
            <w:pPr>
              <w:spacing w:after="0"/>
              <w:ind w:right="299"/>
              <w:jc w:val="left"/>
              <w:rPr>
                <w:sz w:val="18"/>
                <w:szCs w:val="18"/>
              </w:rPr>
            </w:pPr>
            <w:r w:rsidRPr="00342619">
              <w:rPr>
                <w:rFonts w:cs="Segoe UI"/>
                <w:color w:val="000000"/>
                <w:sz w:val="18"/>
                <w:szCs w:val="18"/>
              </w:rPr>
              <w:t>rozpočtová organizácia</w:t>
            </w:r>
          </w:p>
        </w:tc>
      </w:tr>
      <w:tr w:rsidR="00933176" w:rsidRPr="00B52236" w14:paraId="343C19D2" w14:textId="77777777" w:rsidTr="00BB314F">
        <w:trPr>
          <w:trHeight w:val="232"/>
          <w:jc w:val="center"/>
        </w:trPr>
        <w:tc>
          <w:tcPr>
            <w:tcW w:w="541" w:type="pct"/>
          </w:tcPr>
          <w:p w14:paraId="2D77375C"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FN</w:t>
            </w:r>
          </w:p>
        </w:tc>
        <w:tc>
          <w:tcPr>
            <w:tcW w:w="2112" w:type="pct"/>
          </w:tcPr>
          <w:p w14:paraId="51938635" w14:textId="77777777" w:rsidR="00933176" w:rsidRPr="00342619" w:rsidRDefault="00933176" w:rsidP="00BB314F">
            <w:pPr>
              <w:spacing w:after="0"/>
              <w:jc w:val="left"/>
              <w:rPr>
                <w:sz w:val="18"/>
                <w:szCs w:val="18"/>
              </w:rPr>
            </w:pPr>
            <w:r>
              <w:rPr>
                <w:sz w:val="18"/>
                <w:szCs w:val="18"/>
              </w:rPr>
              <w:t>fakultná nemocnica</w:t>
            </w:r>
          </w:p>
        </w:tc>
        <w:tc>
          <w:tcPr>
            <w:tcW w:w="569" w:type="pct"/>
          </w:tcPr>
          <w:p w14:paraId="23908B87" w14:textId="77777777" w:rsidR="00933176" w:rsidRPr="00AF2F56" w:rsidRDefault="00933176" w:rsidP="00BB314F">
            <w:pPr>
              <w:spacing w:after="0"/>
              <w:ind w:right="-12"/>
              <w:jc w:val="left"/>
              <w:rPr>
                <w:b/>
                <w:sz w:val="18"/>
                <w:szCs w:val="18"/>
              </w:rPr>
            </w:pPr>
            <w:r w:rsidRPr="00342619">
              <w:rPr>
                <w:color w:val="314364" w:themeColor="text2"/>
                <w:sz w:val="18"/>
                <w:szCs w:val="18"/>
              </w:rPr>
              <w:t>RRZ</w:t>
            </w:r>
          </w:p>
        </w:tc>
        <w:tc>
          <w:tcPr>
            <w:tcW w:w="1778" w:type="pct"/>
          </w:tcPr>
          <w:p w14:paraId="7B457F93" w14:textId="77777777" w:rsidR="00933176" w:rsidRPr="00342619" w:rsidRDefault="00933176" w:rsidP="00BB314F">
            <w:pPr>
              <w:spacing w:after="0"/>
              <w:jc w:val="left"/>
              <w:rPr>
                <w:sz w:val="18"/>
                <w:szCs w:val="18"/>
              </w:rPr>
            </w:pPr>
            <w:r w:rsidRPr="00342619">
              <w:rPr>
                <w:rFonts w:cs="Segoe UI"/>
                <w:color w:val="000000"/>
                <w:sz w:val="18"/>
                <w:szCs w:val="18"/>
              </w:rPr>
              <w:t>Rada pre rozpočtovú zodpovednosť</w:t>
            </w:r>
          </w:p>
        </w:tc>
      </w:tr>
      <w:tr w:rsidR="00933176" w:rsidRPr="00B52236" w14:paraId="6792C2F0" w14:textId="77777777" w:rsidTr="00BB314F">
        <w:trPr>
          <w:trHeight w:val="232"/>
          <w:jc w:val="center"/>
        </w:trPr>
        <w:tc>
          <w:tcPr>
            <w:tcW w:w="541" w:type="pct"/>
          </w:tcPr>
          <w:p w14:paraId="00B76B07"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HDP</w:t>
            </w:r>
          </w:p>
        </w:tc>
        <w:tc>
          <w:tcPr>
            <w:tcW w:w="2112" w:type="pct"/>
          </w:tcPr>
          <w:p w14:paraId="1791A7F0" w14:textId="77777777" w:rsidR="00933176" w:rsidRPr="00342619" w:rsidRDefault="00933176" w:rsidP="00BB314F">
            <w:pPr>
              <w:spacing w:after="0"/>
              <w:jc w:val="left"/>
              <w:rPr>
                <w:sz w:val="18"/>
                <w:szCs w:val="18"/>
              </w:rPr>
            </w:pPr>
            <w:r w:rsidRPr="00342619">
              <w:rPr>
                <w:sz w:val="18"/>
                <w:szCs w:val="18"/>
              </w:rPr>
              <w:t>hrubý domáci produkt</w:t>
            </w:r>
          </w:p>
        </w:tc>
        <w:tc>
          <w:tcPr>
            <w:tcW w:w="569" w:type="pct"/>
          </w:tcPr>
          <w:p w14:paraId="49E46519" w14:textId="77777777" w:rsidR="00933176" w:rsidRPr="00B90759" w:rsidRDefault="00933176" w:rsidP="00BB314F">
            <w:pPr>
              <w:spacing w:after="0"/>
              <w:ind w:right="-12"/>
              <w:jc w:val="left"/>
              <w:rPr>
                <w:color w:val="314364" w:themeColor="text2"/>
                <w:sz w:val="18"/>
                <w:szCs w:val="18"/>
              </w:rPr>
            </w:pPr>
            <w:r w:rsidRPr="00342619">
              <w:rPr>
                <w:color w:val="314364" w:themeColor="text2"/>
                <w:sz w:val="18"/>
                <w:szCs w:val="18"/>
              </w:rPr>
              <w:t>RVS</w:t>
            </w:r>
          </w:p>
        </w:tc>
        <w:tc>
          <w:tcPr>
            <w:tcW w:w="1778" w:type="pct"/>
          </w:tcPr>
          <w:p w14:paraId="5A075D4A" w14:textId="77777777" w:rsidR="00933176" w:rsidRPr="00B90759" w:rsidRDefault="00933176" w:rsidP="00BB314F">
            <w:pPr>
              <w:spacing w:after="0"/>
              <w:jc w:val="left"/>
              <w:rPr>
                <w:sz w:val="18"/>
                <w:szCs w:val="18"/>
              </w:rPr>
            </w:pPr>
            <w:r w:rsidRPr="00342619">
              <w:rPr>
                <w:sz w:val="18"/>
                <w:szCs w:val="18"/>
              </w:rPr>
              <w:t>rozpočet verejnej správy</w:t>
            </w:r>
          </w:p>
        </w:tc>
      </w:tr>
      <w:tr w:rsidR="00933176" w:rsidRPr="00B52236" w14:paraId="7E75E6C3" w14:textId="77777777" w:rsidTr="00BB314F">
        <w:trPr>
          <w:trHeight w:val="232"/>
          <w:jc w:val="center"/>
        </w:trPr>
        <w:tc>
          <w:tcPr>
            <w:tcW w:w="541" w:type="pct"/>
          </w:tcPr>
          <w:p w14:paraId="044D4FFA"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IROP</w:t>
            </w:r>
          </w:p>
        </w:tc>
        <w:tc>
          <w:tcPr>
            <w:tcW w:w="2112" w:type="pct"/>
          </w:tcPr>
          <w:p w14:paraId="2501D4AE" w14:textId="77777777" w:rsidR="00933176" w:rsidRDefault="00933176" w:rsidP="00BB314F">
            <w:pPr>
              <w:spacing w:after="0"/>
              <w:jc w:val="left"/>
              <w:rPr>
                <w:sz w:val="18"/>
                <w:szCs w:val="18"/>
              </w:rPr>
            </w:pPr>
            <w:r w:rsidRPr="00FD1A33">
              <w:rPr>
                <w:sz w:val="18"/>
                <w:szCs w:val="18"/>
              </w:rPr>
              <w:t>Integrovaný regionálny operačný program</w:t>
            </w:r>
          </w:p>
        </w:tc>
        <w:tc>
          <w:tcPr>
            <w:tcW w:w="569" w:type="pct"/>
          </w:tcPr>
          <w:p w14:paraId="5248ED27" w14:textId="77777777" w:rsidR="00933176" w:rsidRDefault="00933176" w:rsidP="00BB314F">
            <w:pPr>
              <w:spacing w:after="0"/>
              <w:ind w:right="-12"/>
              <w:jc w:val="left"/>
              <w:rPr>
                <w:sz w:val="18"/>
                <w:szCs w:val="18"/>
              </w:rPr>
            </w:pPr>
            <w:r w:rsidRPr="00342619">
              <w:rPr>
                <w:color w:val="314364" w:themeColor="text2"/>
                <w:sz w:val="18"/>
                <w:szCs w:val="18"/>
              </w:rPr>
              <w:t>S</w:t>
            </w:r>
          </w:p>
        </w:tc>
        <w:tc>
          <w:tcPr>
            <w:tcW w:w="1778" w:type="pct"/>
          </w:tcPr>
          <w:p w14:paraId="52BED81E" w14:textId="77777777" w:rsidR="00933176" w:rsidRDefault="00933176" w:rsidP="00BB314F">
            <w:pPr>
              <w:spacing w:after="0"/>
              <w:jc w:val="left"/>
              <w:rPr>
                <w:sz w:val="18"/>
                <w:szCs w:val="18"/>
              </w:rPr>
            </w:pPr>
            <w:r w:rsidRPr="00342619">
              <w:rPr>
                <w:sz w:val="18"/>
                <w:szCs w:val="18"/>
              </w:rPr>
              <w:t>skutočnosť</w:t>
            </w:r>
          </w:p>
        </w:tc>
      </w:tr>
      <w:tr w:rsidR="00933176" w:rsidRPr="00B52236" w14:paraId="789FD678" w14:textId="77777777" w:rsidTr="00BB314F">
        <w:trPr>
          <w:trHeight w:val="232"/>
          <w:jc w:val="center"/>
        </w:trPr>
        <w:tc>
          <w:tcPr>
            <w:tcW w:w="541" w:type="pct"/>
          </w:tcPr>
          <w:p w14:paraId="0C22CE50"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IFP</w:t>
            </w:r>
          </w:p>
        </w:tc>
        <w:tc>
          <w:tcPr>
            <w:tcW w:w="2112" w:type="pct"/>
          </w:tcPr>
          <w:p w14:paraId="2E519620" w14:textId="77777777" w:rsidR="00933176" w:rsidRDefault="00933176" w:rsidP="00BB314F">
            <w:pPr>
              <w:spacing w:after="0"/>
              <w:jc w:val="left"/>
              <w:rPr>
                <w:sz w:val="18"/>
                <w:szCs w:val="18"/>
              </w:rPr>
            </w:pPr>
            <w:r w:rsidRPr="00342619">
              <w:rPr>
                <w:sz w:val="18"/>
                <w:szCs w:val="18"/>
              </w:rPr>
              <w:t>Inštitút finančnej politiky</w:t>
            </w:r>
          </w:p>
        </w:tc>
        <w:tc>
          <w:tcPr>
            <w:tcW w:w="569" w:type="pct"/>
          </w:tcPr>
          <w:p w14:paraId="0AF912E9" w14:textId="77777777" w:rsidR="00933176" w:rsidRPr="00342619" w:rsidRDefault="00933176" w:rsidP="00BB314F">
            <w:pPr>
              <w:spacing w:after="0"/>
              <w:ind w:right="-12"/>
              <w:jc w:val="left"/>
              <w:rPr>
                <w:color w:val="314364" w:themeColor="text2"/>
                <w:sz w:val="18"/>
                <w:szCs w:val="18"/>
              </w:rPr>
            </w:pPr>
            <w:r>
              <w:rPr>
                <w:color w:val="314364" w:themeColor="text2"/>
                <w:sz w:val="18"/>
                <w:szCs w:val="18"/>
              </w:rPr>
              <w:t>SD</w:t>
            </w:r>
          </w:p>
        </w:tc>
        <w:tc>
          <w:tcPr>
            <w:tcW w:w="1778" w:type="pct"/>
          </w:tcPr>
          <w:p w14:paraId="10571A7D" w14:textId="77777777" w:rsidR="00933176" w:rsidRPr="00342619" w:rsidRDefault="00933176" w:rsidP="00BB314F">
            <w:pPr>
              <w:spacing w:after="0"/>
              <w:jc w:val="left"/>
              <w:rPr>
                <w:sz w:val="18"/>
                <w:szCs w:val="18"/>
              </w:rPr>
            </w:pPr>
            <w:r w:rsidRPr="00206F87">
              <w:rPr>
                <w:sz w:val="18"/>
                <w:szCs w:val="18"/>
              </w:rPr>
              <w:t>starobný dôchodok</w:t>
            </w:r>
          </w:p>
        </w:tc>
      </w:tr>
      <w:tr w:rsidR="00933176" w:rsidRPr="00B52236" w14:paraId="239B971C" w14:textId="77777777" w:rsidTr="00BB314F">
        <w:trPr>
          <w:trHeight w:val="232"/>
          <w:jc w:val="center"/>
        </w:trPr>
        <w:tc>
          <w:tcPr>
            <w:tcW w:w="541" w:type="pct"/>
          </w:tcPr>
          <w:p w14:paraId="26F3A81D"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LVV</w:t>
            </w:r>
          </w:p>
        </w:tc>
        <w:tc>
          <w:tcPr>
            <w:tcW w:w="2112" w:type="pct"/>
          </w:tcPr>
          <w:p w14:paraId="6C853760" w14:textId="77777777" w:rsidR="00933176" w:rsidRPr="00342619" w:rsidRDefault="00933176" w:rsidP="00BB314F">
            <w:pPr>
              <w:spacing w:after="0"/>
              <w:jc w:val="left"/>
              <w:rPr>
                <w:sz w:val="18"/>
                <w:szCs w:val="18"/>
              </w:rPr>
            </w:pPr>
            <w:r w:rsidRPr="00342619">
              <w:rPr>
                <w:sz w:val="18"/>
                <w:szCs w:val="18"/>
              </w:rPr>
              <w:t>limit verejných výdavkov</w:t>
            </w:r>
          </w:p>
        </w:tc>
        <w:tc>
          <w:tcPr>
            <w:tcW w:w="569" w:type="pct"/>
          </w:tcPr>
          <w:p w14:paraId="4DAA4BB8" w14:textId="77777777" w:rsidR="00933176" w:rsidRPr="00342619" w:rsidRDefault="00933176" w:rsidP="00BB314F">
            <w:pPr>
              <w:spacing w:after="0"/>
              <w:ind w:right="-12"/>
              <w:jc w:val="left"/>
              <w:rPr>
                <w:sz w:val="18"/>
                <w:szCs w:val="18"/>
              </w:rPr>
            </w:pPr>
            <w:r>
              <w:rPr>
                <w:color w:val="314364" w:themeColor="text2"/>
                <w:sz w:val="18"/>
                <w:szCs w:val="18"/>
              </w:rPr>
              <w:t>SIEA</w:t>
            </w:r>
          </w:p>
        </w:tc>
        <w:tc>
          <w:tcPr>
            <w:tcW w:w="1778" w:type="pct"/>
          </w:tcPr>
          <w:p w14:paraId="1927B6C6" w14:textId="77777777" w:rsidR="00933176" w:rsidRPr="00342619" w:rsidRDefault="00933176" w:rsidP="00BB314F">
            <w:pPr>
              <w:spacing w:after="0"/>
              <w:jc w:val="left"/>
              <w:rPr>
                <w:sz w:val="18"/>
                <w:szCs w:val="18"/>
              </w:rPr>
            </w:pPr>
            <w:r w:rsidRPr="0024509F">
              <w:rPr>
                <w:sz w:val="18"/>
                <w:szCs w:val="18"/>
              </w:rPr>
              <w:t>Slovenská inovačná a energetická agentúra</w:t>
            </w:r>
          </w:p>
        </w:tc>
      </w:tr>
      <w:tr w:rsidR="00933176" w:rsidRPr="00B52236" w14:paraId="2A1DF311" w14:textId="77777777" w:rsidTr="00BB314F">
        <w:trPr>
          <w:trHeight w:val="232"/>
          <w:jc w:val="center"/>
        </w:trPr>
        <w:tc>
          <w:tcPr>
            <w:tcW w:w="541" w:type="pct"/>
          </w:tcPr>
          <w:p w14:paraId="2300C419"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MCRŠ SR</w:t>
            </w:r>
          </w:p>
        </w:tc>
        <w:tc>
          <w:tcPr>
            <w:tcW w:w="2112" w:type="pct"/>
          </w:tcPr>
          <w:p w14:paraId="6F6FAC06" w14:textId="77777777" w:rsidR="00933176" w:rsidRDefault="00933176" w:rsidP="00BB314F">
            <w:pPr>
              <w:tabs>
                <w:tab w:val="left" w:pos="501"/>
              </w:tabs>
              <w:spacing w:after="0"/>
              <w:jc w:val="left"/>
              <w:rPr>
                <w:sz w:val="18"/>
                <w:szCs w:val="18"/>
              </w:rPr>
            </w:pPr>
            <w:r w:rsidRPr="00BE0A19">
              <w:rPr>
                <w:sz w:val="18"/>
                <w:szCs w:val="18"/>
              </w:rPr>
              <w:t xml:space="preserve">Ministerstvo cestovného ruchu a športu </w:t>
            </w:r>
            <w:r>
              <w:rPr>
                <w:sz w:val="18"/>
                <w:szCs w:val="18"/>
              </w:rPr>
              <w:t>SR</w:t>
            </w:r>
          </w:p>
        </w:tc>
        <w:tc>
          <w:tcPr>
            <w:tcW w:w="569" w:type="pct"/>
          </w:tcPr>
          <w:p w14:paraId="2A27642F" w14:textId="77777777" w:rsidR="00933176" w:rsidRDefault="00933176" w:rsidP="00BB314F">
            <w:pPr>
              <w:tabs>
                <w:tab w:val="left" w:pos="501"/>
              </w:tabs>
              <w:spacing w:after="0"/>
              <w:ind w:right="-12"/>
              <w:jc w:val="left"/>
              <w:rPr>
                <w:sz w:val="18"/>
                <w:szCs w:val="18"/>
              </w:rPr>
            </w:pPr>
            <w:r>
              <w:rPr>
                <w:color w:val="314364" w:themeColor="text2"/>
                <w:sz w:val="18"/>
                <w:szCs w:val="18"/>
              </w:rPr>
              <w:t>SP</w:t>
            </w:r>
          </w:p>
        </w:tc>
        <w:tc>
          <w:tcPr>
            <w:tcW w:w="1778" w:type="pct"/>
          </w:tcPr>
          <w:p w14:paraId="443B183F" w14:textId="77777777" w:rsidR="00933176" w:rsidRDefault="00933176" w:rsidP="00BB314F">
            <w:pPr>
              <w:tabs>
                <w:tab w:val="left" w:pos="501"/>
              </w:tabs>
              <w:spacing w:after="0"/>
              <w:jc w:val="left"/>
              <w:rPr>
                <w:sz w:val="18"/>
                <w:szCs w:val="18"/>
              </w:rPr>
            </w:pPr>
            <w:r>
              <w:rPr>
                <w:sz w:val="18"/>
                <w:szCs w:val="18"/>
              </w:rPr>
              <w:t>Sociálna poisťovňa</w:t>
            </w:r>
          </w:p>
        </w:tc>
      </w:tr>
      <w:tr w:rsidR="00933176" w:rsidRPr="00B52236" w14:paraId="5E1473C1" w14:textId="77777777" w:rsidTr="00BB314F">
        <w:trPr>
          <w:trHeight w:val="232"/>
          <w:jc w:val="center"/>
        </w:trPr>
        <w:tc>
          <w:tcPr>
            <w:tcW w:w="541" w:type="pct"/>
          </w:tcPr>
          <w:p w14:paraId="5A02A645"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MD SR</w:t>
            </w:r>
          </w:p>
        </w:tc>
        <w:tc>
          <w:tcPr>
            <w:tcW w:w="2112" w:type="pct"/>
          </w:tcPr>
          <w:p w14:paraId="32B18FC4" w14:textId="77777777" w:rsidR="00933176" w:rsidRPr="00342619" w:rsidRDefault="00933176" w:rsidP="00BB314F">
            <w:pPr>
              <w:tabs>
                <w:tab w:val="left" w:pos="501"/>
              </w:tabs>
              <w:spacing w:after="0"/>
              <w:jc w:val="left"/>
              <w:rPr>
                <w:sz w:val="18"/>
                <w:szCs w:val="18"/>
              </w:rPr>
            </w:pPr>
            <w:r w:rsidRPr="00342619">
              <w:rPr>
                <w:sz w:val="18"/>
                <w:szCs w:val="18"/>
              </w:rPr>
              <w:t xml:space="preserve">Ministerstvo dopravy </w:t>
            </w:r>
            <w:r>
              <w:rPr>
                <w:sz w:val="18"/>
                <w:szCs w:val="18"/>
              </w:rPr>
              <w:t>SR</w:t>
            </w:r>
          </w:p>
        </w:tc>
        <w:tc>
          <w:tcPr>
            <w:tcW w:w="569" w:type="pct"/>
          </w:tcPr>
          <w:p w14:paraId="60E51EDA" w14:textId="77777777" w:rsidR="00933176" w:rsidRDefault="00933176" w:rsidP="00BB314F">
            <w:pPr>
              <w:tabs>
                <w:tab w:val="left" w:pos="501"/>
              </w:tabs>
              <w:spacing w:after="0"/>
              <w:ind w:right="-12"/>
              <w:jc w:val="left"/>
              <w:rPr>
                <w:color w:val="314364" w:themeColor="text2"/>
                <w:sz w:val="18"/>
                <w:szCs w:val="18"/>
              </w:rPr>
            </w:pPr>
            <w:r w:rsidRPr="00342619">
              <w:rPr>
                <w:color w:val="314364" w:themeColor="text2"/>
                <w:sz w:val="18"/>
                <w:szCs w:val="18"/>
              </w:rPr>
              <w:t>SR</w:t>
            </w:r>
          </w:p>
        </w:tc>
        <w:tc>
          <w:tcPr>
            <w:tcW w:w="1778" w:type="pct"/>
          </w:tcPr>
          <w:p w14:paraId="50DD8A6E" w14:textId="77777777" w:rsidR="00933176" w:rsidRDefault="00933176" w:rsidP="00BB314F">
            <w:pPr>
              <w:tabs>
                <w:tab w:val="left" w:pos="501"/>
              </w:tabs>
              <w:spacing w:after="0"/>
              <w:jc w:val="left"/>
              <w:rPr>
                <w:sz w:val="18"/>
                <w:szCs w:val="18"/>
              </w:rPr>
            </w:pPr>
            <w:r w:rsidRPr="00342619">
              <w:rPr>
                <w:sz w:val="18"/>
                <w:szCs w:val="18"/>
              </w:rPr>
              <w:t>Slovenská republika</w:t>
            </w:r>
          </w:p>
        </w:tc>
      </w:tr>
      <w:tr w:rsidR="00933176" w:rsidRPr="00B52236" w14:paraId="33130C96" w14:textId="77777777" w:rsidTr="00BB314F">
        <w:trPr>
          <w:trHeight w:val="232"/>
          <w:jc w:val="center"/>
        </w:trPr>
        <w:tc>
          <w:tcPr>
            <w:tcW w:w="541" w:type="pct"/>
          </w:tcPr>
          <w:p w14:paraId="51A98C21" w14:textId="77777777" w:rsidR="00933176" w:rsidRDefault="00933176" w:rsidP="00BB314F">
            <w:pPr>
              <w:spacing w:after="0"/>
              <w:ind w:right="-81"/>
              <w:jc w:val="left"/>
              <w:rPr>
                <w:color w:val="314364" w:themeColor="text2"/>
                <w:sz w:val="18"/>
                <w:szCs w:val="18"/>
              </w:rPr>
            </w:pPr>
            <w:r w:rsidRPr="000353E9">
              <w:rPr>
                <w:color w:val="314364" w:themeColor="text2"/>
                <w:sz w:val="18"/>
                <w:szCs w:val="18"/>
              </w:rPr>
              <w:t>MF SR</w:t>
            </w:r>
          </w:p>
        </w:tc>
        <w:tc>
          <w:tcPr>
            <w:tcW w:w="2112" w:type="pct"/>
          </w:tcPr>
          <w:p w14:paraId="70719FBB" w14:textId="77777777" w:rsidR="00933176" w:rsidRDefault="00933176" w:rsidP="00BB314F">
            <w:pPr>
              <w:tabs>
                <w:tab w:val="left" w:pos="501"/>
              </w:tabs>
              <w:spacing w:after="0"/>
              <w:jc w:val="left"/>
              <w:rPr>
                <w:sz w:val="18"/>
                <w:szCs w:val="18"/>
              </w:rPr>
            </w:pPr>
            <w:r w:rsidRPr="00342619">
              <w:rPr>
                <w:sz w:val="18"/>
                <w:szCs w:val="18"/>
              </w:rPr>
              <w:t xml:space="preserve">Ministerstvo financií </w:t>
            </w:r>
            <w:r>
              <w:rPr>
                <w:sz w:val="18"/>
                <w:szCs w:val="18"/>
              </w:rPr>
              <w:t>SR</w:t>
            </w:r>
          </w:p>
        </w:tc>
        <w:tc>
          <w:tcPr>
            <w:tcW w:w="569" w:type="pct"/>
          </w:tcPr>
          <w:p w14:paraId="5209CFA7" w14:textId="77777777" w:rsidR="00933176" w:rsidRDefault="00933176" w:rsidP="00BB314F">
            <w:pPr>
              <w:tabs>
                <w:tab w:val="left" w:pos="501"/>
              </w:tabs>
              <w:spacing w:after="0"/>
              <w:ind w:right="-12"/>
              <w:jc w:val="left"/>
              <w:rPr>
                <w:color w:val="314364" w:themeColor="text2"/>
                <w:sz w:val="18"/>
                <w:szCs w:val="18"/>
              </w:rPr>
            </w:pPr>
            <w:r>
              <w:rPr>
                <w:color w:val="314364" w:themeColor="text2"/>
                <w:sz w:val="18"/>
                <w:szCs w:val="18"/>
              </w:rPr>
              <w:t>SZČO</w:t>
            </w:r>
          </w:p>
        </w:tc>
        <w:tc>
          <w:tcPr>
            <w:tcW w:w="1778" w:type="pct"/>
          </w:tcPr>
          <w:p w14:paraId="5D702A49" w14:textId="77777777" w:rsidR="00933176" w:rsidRDefault="00933176" w:rsidP="00BB314F">
            <w:pPr>
              <w:tabs>
                <w:tab w:val="left" w:pos="501"/>
              </w:tabs>
              <w:spacing w:after="0"/>
              <w:jc w:val="left"/>
              <w:rPr>
                <w:sz w:val="18"/>
                <w:szCs w:val="18"/>
              </w:rPr>
            </w:pPr>
            <w:r>
              <w:rPr>
                <w:sz w:val="18"/>
                <w:szCs w:val="18"/>
              </w:rPr>
              <w:t>samostatne zárobkovo činná osoba</w:t>
            </w:r>
          </w:p>
        </w:tc>
      </w:tr>
      <w:tr w:rsidR="00933176" w:rsidRPr="00B52236" w14:paraId="3ECCBEE5" w14:textId="77777777" w:rsidTr="00BB314F">
        <w:trPr>
          <w:trHeight w:val="232"/>
          <w:jc w:val="center"/>
        </w:trPr>
        <w:tc>
          <w:tcPr>
            <w:tcW w:w="541" w:type="pct"/>
          </w:tcPr>
          <w:p w14:paraId="7CD696B4" w14:textId="77777777" w:rsidR="00933176" w:rsidRDefault="00933176" w:rsidP="00BB314F">
            <w:pPr>
              <w:spacing w:after="0"/>
              <w:ind w:right="-81"/>
              <w:jc w:val="left"/>
              <w:rPr>
                <w:color w:val="314364" w:themeColor="text2"/>
                <w:sz w:val="18"/>
                <w:szCs w:val="18"/>
              </w:rPr>
            </w:pPr>
            <w:r w:rsidRPr="000353E9">
              <w:rPr>
                <w:color w:val="314364" w:themeColor="text2"/>
                <w:sz w:val="18"/>
                <w:szCs w:val="18"/>
              </w:rPr>
              <w:t>MH SR</w:t>
            </w:r>
          </w:p>
        </w:tc>
        <w:tc>
          <w:tcPr>
            <w:tcW w:w="2112" w:type="pct"/>
          </w:tcPr>
          <w:p w14:paraId="4F606AC8" w14:textId="77777777" w:rsidR="00933176" w:rsidRDefault="00933176" w:rsidP="00BB314F">
            <w:pPr>
              <w:tabs>
                <w:tab w:val="left" w:pos="501"/>
              </w:tabs>
              <w:spacing w:after="0"/>
              <w:jc w:val="left"/>
              <w:rPr>
                <w:sz w:val="18"/>
                <w:szCs w:val="18"/>
              </w:rPr>
            </w:pPr>
            <w:r w:rsidRPr="00342619">
              <w:rPr>
                <w:sz w:val="18"/>
                <w:szCs w:val="18"/>
              </w:rPr>
              <w:t xml:space="preserve">Ministerstvo hospodárstva </w:t>
            </w:r>
            <w:r>
              <w:rPr>
                <w:sz w:val="18"/>
                <w:szCs w:val="18"/>
              </w:rPr>
              <w:t>SR</w:t>
            </w:r>
          </w:p>
        </w:tc>
        <w:tc>
          <w:tcPr>
            <w:tcW w:w="569" w:type="pct"/>
          </w:tcPr>
          <w:p w14:paraId="40ED4A01" w14:textId="77777777" w:rsidR="00933176" w:rsidRPr="00342619" w:rsidRDefault="00933176" w:rsidP="00BB314F">
            <w:pPr>
              <w:tabs>
                <w:tab w:val="left" w:pos="501"/>
              </w:tabs>
              <w:spacing w:after="0"/>
              <w:ind w:right="-12"/>
              <w:jc w:val="left"/>
              <w:rPr>
                <w:color w:val="314364" w:themeColor="text2"/>
                <w:sz w:val="18"/>
                <w:szCs w:val="18"/>
              </w:rPr>
            </w:pPr>
            <w:r>
              <w:rPr>
                <w:color w:val="314364" w:themeColor="text2"/>
                <w:sz w:val="18"/>
                <w:szCs w:val="18"/>
              </w:rPr>
              <w:t xml:space="preserve">š. p. </w:t>
            </w:r>
          </w:p>
        </w:tc>
        <w:tc>
          <w:tcPr>
            <w:tcW w:w="1778" w:type="pct"/>
          </w:tcPr>
          <w:p w14:paraId="6A3CEFE9" w14:textId="77777777" w:rsidR="00933176" w:rsidRPr="00342619" w:rsidRDefault="00933176" w:rsidP="00BB314F">
            <w:pPr>
              <w:tabs>
                <w:tab w:val="left" w:pos="501"/>
              </w:tabs>
              <w:spacing w:after="0"/>
              <w:jc w:val="left"/>
              <w:rPr>
                <w:rFonts w:cs="Segoe UI"/>
                <w:color w:val="000000"/>
                <w:sz w:val="18"/>
                <w:szCs w:val="18"/>
              </w:rPr>
            </w:pPr>
            <w:r w:rsidRPr="00342619">
              <w:rPr>
                <w:sz w:val="18"/>
                <w:szCs w:val="18"/>
              </w:rPr>
              <w:t xml:space="preserve">štátny </w:t>
            </w:r>
            <w:r>
              <w:rPr>
                <w:sz w:val="18"/>
                <w:szCs w:val="18"/>
              </w:rPr>
              <w:t>podnik</w:t>
            </w:r>
          </w:p>
        </w:tc>
      </w:tr>
      <w:tr w:rsidR="00933176" w:rsidRPr="00B52236" w14:paraId="7468BB96" w14:textId="77777777" w:rsidTr="00BB314F">
        <w:trPr>
          <w:trHeight w:val="232"/>
          <w:jc w:val="center"/>
        </w:trPr>
        <w:tc>
          <w:tcPr>
            <w:tcW w:w="541" w:type="pct"/>
          </w:tcPr>
          <w:p w14:paraId="4FC43DB1"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MIRRI SR</w:t>
            </w:r>
          </w:p>
        </w:tc>
        <w:tc>
          <w:tcPr>
            <w:tcW w:w="2112" w:type="pct"/>
          </w:tcPr>
          <w:p w14:paraId="367F9BB9" w14:textId="77777777" w:rsidR="00933176" w:rsidRPr="00342619" w:rsidRDefault="00933176" w:rsidP="00BB314F">
            <w:pPr>
              <w:tabs>
                <w:tab w:val="left" w:pos="501"/>
              </w:tabs>
              <w:spacing w:after="0"/>
              <w:jc w:val="left"/>
              <w:rPr>
                <w:sz w:val="18"/>
                <w:szCs w:val="18"/>
              </w:rPr>
            </w:pPr>
            <w:r w:rsidRPr="00342619">
              <w:rPr>
                <w:sz w:val="18"/>
                <w:szCs w:val="18"/>
              </w:rPr>
              <w:t xml:space="preserve">Ministerstvo investícií, regionálneho rozvoja a informatizácie </w:t>
            </w:r>
            <w:r>
              <w:rPr>
                <w:sz w:val="18"/>
                <w:szCs w:val="18"/>
              </w:rPr>
              <w:t>SR</w:t>
            </w:r>
          </w:p>
        </w:tc>
        <w:tc>
          <w:tcPr>
            <w:tcW w:w="569" w:type="pct"/>
          </w:tcPr>
          <w:p w14:paraId="5885DBAD" w14:textId="77777777" w:rsidR="00933176" w:rsidRDefault="00933176" w:rsidP="00BB314F">
            <w:pPr>
              <w:tabs>
                <w:tab w:val="left" w:pos="501"/>
              </w:tabs>
              <w:spacing w:after="0"/>
              <w:ind w:right="-12"/>
              <w:jc w:val="left"/>
              <w:rPr>
                <w:color w:val="314364" w:themeColor="text2"/>
                <w:sz w:val="18"/>
                <w:szCs w:val="18"/>
              </w:rPr>
            </w:pPr>
            <w:r w:rsidRPr="00342619">
              <w:rPr>
                <w:color w:val="314364" w:themeColor="text2"/>
                <w:sz w:val="18"/>
                <w:szCs w:val="18"/>
              </w:rPr>
              <w:t>ŠR</w:t>
            </w:r>
          </w:p>
        </w:tc>
        <w:tc>
          <w:tcPr>
            <w:tcW w:w="1778" w:type="pct"/>
          </w:tcPr>
          <w:p w14:paraId="22496307" w14:textId="77777777" w:rsidR="00933176" w:rsidRPr="00206F87" w:rsidRDefault="00933176" w:rsidP="00BB314F">
            <w:pPr>
              <w:tabs>
                <w:tab w:val="left" w:pos="501"/>
              </w:tabs>
              <w:spacing w:after="0"/>
              <w:jc w:val="left"/>
              <w:rPr>
                <w:sz w:val="18"/>
                <w:szCs w:val="18"/>
              </w:rPr>
            </w:pPr>
            <w:r w:rsidRPr="00342619">
              <w:rPr>
                <w:sz w:val="18"/>
                <w:szCs w:val="18"/>
              </w:rPr>
              <w:t>štátny rozpočet</w:t>
            </w:r>
          </w:p>
        </w:tc>
      </w:tr>
      <w:tr w:rsidR="00933176" w:rsidRPr="00B52236" w14:paraId="650E9BE3" w14:textId="77777777" w:rsidTr="00BB314F">
        <w:trPr>
          <w:trHeight w:val="232"/>
          <w:jc w:val="center"/>
        </w:trPr>
        <w:tc>
          <w:tcPr>
            <w:tcW w:w="541" w:type="pct"/>
          </w:tcPr>
          <w:p w14:paraId="70F16499"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MO SR</w:t>
            </w:r>
          </w:p>
        </w:tc>
        <w:tc>
          <w:tcPr>
            <w:tcW w:w="2112" w:type="pct"/>
          </w:tcPr>
          <w:p w14:paraId="77AD2C34" w14:textId="77777777" w:rsidR="00933176" w:rsidRDefault="00933176" w:rsidP="00BB314F">
            <w:pPr>
              <w:spacing w:after="0"/>
              <w:jc w:val="left"/>
              <w:rPr>
                <w:sz w:val="18"/>
                <w:szCs w:val="18"/>
              </w:rPr>
            </w:pPr>
            <w:r w:rsidRPr="00342619">
              <w:rPr>
                <w:sz w:val="18"/>
                <w:szCs w:val="18"/>
              </w:rPr>
              <w:t xml:space="preserve">Ministerstvo obrany </w:t>
            </w:r>
            <w:r>
              <w:rPr>
                <w:sz w:val="18"/>
                <w:szCs w:val="18"/>
              </w:rPr>
              <w:t>SR</w:t>
            </w:r>
          </w:p>
        </w:tc>
        <w:tc>
          <w:tcPr>
            <w:tcW w:w="569" w:type="pct"/>
          </w:tcPr>
          <w:p w14:paraId="4985B303" w14:textId="77777777" w:rsidR="00933176" w:rsidRDefault="00933176" w:rsidP="00BB314F">
            <w:pPr>
              <w:spacing w:after="0"/>
              <w:ind w:right="-12"/>
              <w:jc w:val="left"/>
              <w:rPr>
                <w:sz w:val="18"/>
                <w:szCs w:val="18"/>
              </w:rPr>
            </w:pPr>
            <w:r w:rsidRPr="00342619">
              <w:rPr>
                <w:color w:val="314364" w:themeColor="text2"/>
                <w:sz w:val="18"/>
                <w:szCs w:val="18"/>
              </w:rPr>
              <w:t>ŠÚ SR</w:t>
            </w:r>
          </w:p>
        </w:tc>
        <w:tc>
          <w:tcPr>
            <w:tcW w:w="1778" w:type="pct"/>
          </w:tcPr>
          <w:p w14:paraId="29315820" w14:textId="77777777" w:rsidR="00933176" w:rsidRDefault="00933176" w:rsidP="00BB314F">
            <w:pPr>
              <w:spacing w:after="0"/>
              <w:jc w:val="left"/>
              <w:rPr>
                <w:sz w:val="18"/>
                <w:szCs w:val="18"/>
              </w:rPr>
            </w:pPr>
            <w:r w:rsidRPr="00342619">
              <w:rPr>
                <w:sz w:val="18"/>
                <w:szCs w:val="18"/>
              </w:rPr>
              <w:t xml:space="preserve">Štatistický úrad </w:t>
            </w:r>
            <w:r>
              <w:rPr>
                <w:sz w:val="18"/>
                <w:szCs w:val="18"/>
              </w:rPr>
              <w:t>SR</w:t>
            </w:r>
          </w:p>
        </w:tc>
      </w:tr>
      <w:tr w:rsidR="00933176" w:rsidRPr="00B52236" w14:paraId="7505A322" w14:textId="77777777" w:rsidTr="00BB314F">
        <w:trPr>
          <w:trHeight w:val="232"/>
          <w:jc w:val="center"/>
        </w:trPr>
        <w:tc>
          <w:tcPr>
            <w:tcW w:w="541" w:type="pct"/>
          </w:tcPr>
          <w:p w14:paraId="7C7F529D"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MPRV SR</w:t>
            </w:r>
          </w:p>
        </w:tc>
        <w:tc>
          <w:tcPr>
            <w:tcW w:w="2112" w:type="pct"/>
          </w:tcPr>
          <w:p w14:paraId="3B915A9B" w14:textId="77777777" w:rsidR="00933176" w:rsidRDefault="00933176" w:rsidP="00BB314F">
            <w:pPr>
              <w:spacing w:after="0"/>
              <w:jc w:val="left"/>
              <w:rPr>
                <w:sz w:val="18"/>
                <w:szCs w:val="18"/>
              </w:rPr>
            </w:pPr>
            <w:r w:rsidRPr="00BE0A19">
              <w:rPr>
                <w:sz w:val="18"/>
                <w:szCs w:val="18"/>
              </w:rPr>
              <w:t>Ministerstvo pôdohospodárstva a rozvoja vidieka SR</w:t>
            </w:r>
          </w:p>
        </w:tc>
        <w:tc>
          <w:tcPr>
            <w:tcW w:w="569" w:type="pct"/>
          </w:tcPr>
          <w:p w14:paraId="524DB2AA" w14:textId="77777777" w:rsidR="00933176" w:rsidRDefault="00933176" w:rsidP="00BB314F">
            <w:pPr>
              <w:spacing w:after="0"/>
              <w:ind w:right="-12"/>
              <w:jc w:val="left"/>
              <w:rPr>
                <w:sz w:val="18"/>
                <w:szCs w:val="18"/>
              </w:rPr>
            </w:pPr>
            <w:r>
              <w:rPr>
                <w:color w:val="314364" w:themeColor="text2"/>
                <w:sz w:val="18"/>
                <w:szCs w:val="18"/>
              </w:rPr>
              <w:t>ŤZP</w:t>
            </w:r>
          </w:p>
        </w:tc>
        <w:tc>
          <w:tcPr>
            <w:tcW w:w="1778" w:type="pct"/>
          </w:tcPr>
          <w:p w14:paraId="09CC131B" w14:textId="77777777" w:rsidR="00933176" w:rsidRDefault="00933176" w:rsidP="00BB314F">
            <w:pPr>
              <w:spacing w:after="0"/>
              <w:jc w:val="left"/>
              <w:rPr>
                <w:sz w:val="18"/>
                <w:szCs w:val="18"/>
              </w:rPr>
            </w:pPr>
            <w:r w:rsidRPr="00D8515C">
              <w:rPr>
                <w:sz w:val="18"/>
                <w:szCs w:val="18"/>
              </w:rPr>
              <w:t>Ťažko zdravotne postihnutý</w:t>
            </w:r>
          </w:p>
        </w:tc>
      </w:tr>
      <w:tr w:rsidR="00933176" w:rsidRPr="00B52236" w14:paraId="75D1F28E" w14:textId="77777777" w:rsidTr="00BB314F">
        <w:trPr>
          <w:trHeight w:val="232"/>
          <w:jc w:val="center"/>
        </w:trPr>
        <w:tc>
          <w:tcPr>
            <w:tcW w:w="541" w:type="pct"/>
          </w:tcPr>
          <w:p w14:paraId="7450559F"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MPSVR SR</w:t>
            </w:r>
          </w:p>
        </w:tc>
        <w:tc>
          <w:tcPr>
            <w:tcW w:w="2112" w:type="pct"/>
          </w:tcPr>
          <w:p w14:paraId="48F1A1C8" w14:textId="77777777" w:rsidR="00933176" w:rsidRPr="00342619" w:rsidRDefault="00933176" w:rsidP="00BB314F">
            <w:pPr>
              <w:spacing w:after="0"/>
              <w:jc w:val="left"/>
              <w:rPr>
                <w:sz w:val="18"/>
                <w:szCs w:val="18"/>
              </w:rPr>
            </w:pPr>
            <w:r w:rsidRPr="00342619">
              <w:rPr>
                <w:sz w:val="18"/>
                <w:szCs w:val="18"/>
              </w:rPr>
              <w:t xml:space="preserve">Ministerstvo práce, sociálnych vecí a rodiny </w:t>
            </w:r>
            <w:r>
              <w:rPr>
                <w:sz w:val="18"/>
                <w:szCs w:val="18"/>
              </w:rPr>
              <w:t>SR</w:t>
            </w:r>
          </w:p>
        </w:tc>
        <w:tc>
          <w:tcPr>
            <w:tcW w:w="569" w:type="pct"/>
          </w:tcPr>
          <w:p w14:paraId="78D85A95" w14:textId="77777777" w:rsidR="00933176" w:rsidRPr="00342619" w:rsidRDefault="00933176" w:rsidP="00BB314F">
            <w:pPr>
              <w:spacing w:after="0"/>
              <w:ind w:right="-12"/>
              <w:jc w:val="left"/>
              <w:rPr>
                <w:sz w:val="18"/>
                <w:szCs w:val="18"/>
              </w:rPr>
            </w:pPr>
            <w:r>
              <w:rPr>
                <w:color w:val="314364" w:themeColor="text2"/>
                <w:sz w:val="18"/>
                <w:szCs w:val="18"/>
              </w:rPr>
              <w:t>UN</w:t>
            </w:r>
          </w:p>
        </w:tc>
        <w:tc>
          <w:tcPr>
            <w:tcW w:w="1778" w:type="pct"/>
          </w:tcPr>
          <w:p w14:paraId="1F17F9AC" w14:textId="77777777" w:rsidR="00933176" w:rsidRPr="00342619" w:rsidRDefault="00933176" w:rsidP="00BB314F">
            <w:pPr>
              <w:spacing w:after="0"/>
              <w:jc w:val="left"/>
              <w:rPr>
                <w:sz w:val="18"/>
                <w:szCs w:val="18"/>
              </w:rPr>
            </w:pPr>
            <w:r>
              <w:rPr>
                <w:sz w:val="18"/>
                <w:szCs w:val="18"/>
              </w:rPr>
              <w:t>univerzitná nemocnica</w:t>
            </w:r>
          </w:p>
        </w:tc>
      </w:tr>
      <w:tr w:rsidR="00933176" w:rsidRPr="00B52236" w14:paraId="172C02AA" w14:textId="77777777" w:rsidTr="00BB314F">
        <w:trPr>
          <w:trHeight w:val="232"/>
          <w:jc w:val="center"/>
        </w:trPr>
        <w:tc>
          <w:tcPr>
            <w:tcW w:w="541" w:type="pct"/>
          </w:tcPr>
          <w:p w14:paraId="12531ED6"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MS SR</w:t>
            </w:r>
          </w:p>
        </w:tc>
        <w:tc>
          <w:tcPr>
            <w:tcW w:w="2112" w:type="pct"/>
          </w:tcPr>
          <w:p w14:paraId="19D2A4ED" w14:textId="77777777" w:rsidR="00933176" w:rsidRPr="00342619" w:rsidRDefault="00933176" w:rsidP="00BB314F">
            <w:pPr>
              <w:spacing w:after="0"/>
              <w:jc w:val="left"/>
              <w:rPr>
                <w:sz w:val="18"/>
                <w:szCs w:val="18"/>
              </w:rPr>
            </w:pPr>
            <w:r w:rsidRPr="00342619">
              <w:rPr>
                <w:sz w:val="18"/>
                <w:szCs w:val="18"/>
              </w:rPr>
              <w:t xml:space="preserve">Ministerstvo spravodlivosti </w:t>
            </w:r>
            <w:r>
              <w:rPr>
                <w:sz w:val="18"/>
                <w:szCs w:val="18"/>
              </w:rPr>
              <w:t>SR</w:t>
            </w:r>
          </w:p>
        </w:tc>
        <w:tc>
          <w:tcPr>
            <w:tcW w:w="569" w:type="pct"/>
          </w:tcPr>
          <w:p w14:paraId="410DDFE1" w14:textId="77777777" w:rsidR="00933176" w:rsidRPr="00342619" w:rsidRDefault="00933176" w:rsidP="00BB314F">
            <w:pPr>
              <w:spacing w:after="0"/>
              <w:ind w:right="-12"/>
              <w:jc w:val="left"/>
              <w:rPr>
                <w:color w:val="314364" w:themeColor="text2"/>
                <w:sz w:val="18"/>
                <w:szCs w:val="18"/>
              </w:rPr>
            </w:pPr>
            <w:r>
              <w:rPr>
                <w:color w:val="314364" w:themeColor="text2"/>
                <w:sz w:val="18"/>
                <w:szCs w:val="18"/>
              </w:rPr>
              <w:t>ÚDZS</w:t>
            </w:r>
          </w:p>
        </w:tc>
        <w:tc>
          <w:tcPr>
            <w:tcW w:w="1778" w:type="pct"/>
          </w:tcPr>
          <w:p w14:paraId="4C529507" w14:textId="77777777" w:rsidR="00933176" w:rsidRPr="00342619" w:rsidRDefault="00933176" w:rsidP="00BB314F">
            <w:pPr>
              <w:spacing w:after="0"/>
              <w:jc w:val="left"/>
              <w:rPr>
                <w:sz w:val="18"/>
                <w:szCs w:val="18"/>
              </w:rPr>
            </w:pPr>
            <w:r>
              <w:rPr>
                <w:sz w:val="18"/>
                <w:szCs w:val="18"/>
              </w:rPr>
              <w:t>Úrad pre dohľad nad zdravotnou starostlivosťou</w:t>
            </w:r>
          </w:p>
        </w:tc>
      </w:tr>
      <w:tr w:rsidR="00933176" w:rsidRPr="00B52236" w14:paraId="3BFC4BA0" w14:textId="77777777" w:rsidTr="00BB314F">
        <w:trPr>
          <w:trHeight w:val="232"/>
          <w:jc w:val="center"/>
        </w:trPr>
        <w:tc>
          <w:tcPr>
            <w:tcW w:w="541" w:type="pct"/>
          </w:tcPr>
          <w:p w14:paraId="0E6EF46D" w14:textId="77777777" w:rsidR="00933176" w:rsidRPr="000353E9" w:rsidRDefault="00933176" w:rsidP="00BB314F">
            <w:pPr>
              <w:spacing w:after="0"/>
              <w:ind w:right="-81"/>
              <w:jc w:val="left"/>
              <w:rPr>
                <w:color w:val="314364" w:themeColor="text2"/>
                <w:sz w:val="18"/>
                <w:szCs w:val="18"/>
              </w:rPr>
            </w:pPr>
          </w:p>
        </w:tc>
        <w:tc>
          <w:tcPr>
            <w:tcW w:w="2112" w:type="pct"/>
          </w:tcPr>
          <w:p w14:paraId="51A3A3B5" w14:textId="77777777" w:rsidR="00933176" w:rsidRDefault="00933176" w:rsidP="00BB314F">
            <w:pPr>
              <w:tabs>
                <w:tab w:val="left" w:pos="3360"/>
              </w:tabs>
              <w:spacing w:after="0"/>
              <w:jc w:val="left"/>
              <w:rPr>
                <w:sz w:val="18"/>
                <w:szCs w:val="18"/>
              </w:rPr>
            </w:pPr>
          </w:p>
        </w:tc>
        <w:tc>
          <w:tcPr>
            <w:tcW w:w="569" w:type="pct"/>
          </w:tcPr>
          <w:p w14:paraId="0DCC33BE" w14:textId="77777777" w:rsidR="00933176" w:rsidRDefault="00933176" w:rsidP="00BB314F">
            <w:pPr>
              <w:tabs>
                <w:tab w:val="left" w:pos="3360"/>
              </w:tabs>
              <w:spacing w:after="0"/>
              <w:ind w:right="-12"/>
              <w:jc w:val="left"/>
              <w:rPr>
                <w:sz w:val="18"/>
                <w:szCs w:val="18"/>
              </w:rPr>
            </w:pPr>
            <w:r w:rsidRPr="00342619">
              <w:rPr>
                <w:color w:val="314364" w:themeColor="text2"/>
                <w:sz w:val="18"/>
                <w:szCs w:val="18"/>
              </w:rPr>
              <w:t>ÚHP</w:t>
            </w:r>
          </w:p>
        </w:tc>
        <w:tc>
          <w:tcPr>
            <w:tcW w:w="1778" w:type="pct"/>
          </w:tcPr>
          <w:p w14:paraId="6DE9C375" w14:textId="77777777" w:rsidR="00933176" w:rsidRDefault="00933176" w:rsidP="00BB314F">
            <w:pPr>
              <w:tabs>
                <w:tab w:val="left" w:pos="3360"/>
              </w:tabs>
              <w:spacing w:after="0"/>
              <w:jc w:val="left"/>
              <w:rPr>
                <w:sz w:val="18"/>
                <w:szCs w:val="18"/>
              </w:rPr>
            </w:pPr>
            <w:r w:rsidRPr="00342619">
              <w:rPr>
                <w:sz w:val="18"/>
                <w:szCs w:val="18"/>
              </w:rPr>
              <w:t>Útvar hodnoty za peniaze</w:t>
            </w:r>
          </w:p>
        </w:tc>
      </w:tr>
      <w:tr w:rsidR="00933176" w:rsidRPr="00B52236" w14:paraId="79E24803" w14:textId="77777777" w:rsidTr="00BB314F">
        <w:trPr>
          <w:trHeight w:val="232"/>
          <w:jc w:val="center"/>
        </w:trPr>
        <w:tc>
          <w:tcPr>
            <w:tcW w:w="541" w:type="pct"/>
          </w:tcPr>
          <w:p w14:paraId="58EE1729"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MŠVVM</w:t>
            </w:r>
            <w:r w:rsidRPr="000353E9">
              <w:rPr>
                <w:color w:val="314364" w:themeColor="text2"/>
                <w:sz w:val="18"/>
                <w:szCs w:val="18"/>
              </w:rPr>
              <w:t xml:space="preserve"> SR</w:t>
            </w:r>
          </w:p>
        </w:tc>
        <w:tc>
          <w:tcPr>
            <w:tcW w:w="2112" w:type="pct"/>
          </w:tcPr>
          <w:p w14:paraId="40FB5829" w14:textId="77777777" w:rsidR="00933176" w:rsidRDefault="00933176" w:rsidP="00BB314F">
            <w:pPr>
              <w:spacing w:after="0"/>
              <w:jc w:val="left"/>
              <w:rPr>
                <w:sz w:val="18"/>
                <w:szCs w:val="18"/>
              </w:rPr>
            </w:pPr>
            <w:r w:rsidRPr="00342619">
              <w:rPr>
                <w:sz w:val="18"/>
                <w:szCs w:val="18"/>
              </w:rPr>
              <w:t>Ministerstvo školstva, vedy, výskumu a </w:t>
            </w:r>
            <w:r>
              <w:rPr>
                <w:sz w:val="18"/>
                <w:szCs w:val="18"/>
              </w:rPr>
              <w:t>mládeže</w:t>
            </w:r>
            <w:r w:rsidRPr="00342619">
              <w:rPr>
                <w:sz w:val="18"/>
                <w:szCs w:val="18"/>
              </w:rPr>
              <w:t xml:space="preserve"> </w:t>
            </w:r>
            <w:r>
              <w:rPr>
                <w:sz w:val="18"/>
                <w:szCs w:val="18"/>
              </w:rPr>
              <w:t>SR</w:t>
            </w:r>
          </w:p>
        </w:tc>
        <w:tc>
          <w:tcPr>
            <w:tcW w:w="569" w:type="pct"/>
          </w:tcPr>
          <w:p w14:paraId="0571F5B0" w14:textId="77777777" w:rsidR="00933176" w:rsidRDefault="00933176" w:rsidP="00BB314F">
            <w:pPr>
              <w:spacing w:after="0"/>
              <w:ind w:right="-12"/>
              <w:jc w:val="left"/>
              <w:rPr>
                <w:sz w:val="18"/>
                <w:szCs w:val="18"/>
              </w:rPr>
            </w:pPr>
            <w:r>
              <w:rPr>
                <w:color w:val="314364" w:themeColor="text2"/>
                <w:sz w:val="18"/>
                <w:szCs w:val="18"/>
              </w:rPr>
              <w:t>ÚPVPOZE</w:t>
            </w:r>
          </w:p>
        </w:tc>
        <w:tc>
          <w:tcPr>
            <w:tcW w:w="1778" w:type="pct"/>
          </w:tcPr>
          <w:p w14:paraId="7FEB1DC7" w14:textId="77777777" w:rsidR="00933176" w:rsidRDefault="00933176" w:rsidP="00BB314F">
            <w:pPr>
              <w:spacing w:after="0"/>
              <w:jc w:val="left"/>
              <w:rPr>
                <w:sz w:val="18"/>
                <w:szCs w:val="18"/>
              </w:rPr>
            </w:pPr>
            <w:r w:rsidRPr="00D8515C">
              <w:rPr>
                <w:sz w:val="18"/>
                <w:szCs w:val="18"/>
              </w:rPr>
              <w:t>Úrad podpredsedu vlády SR pre Plán obnovy a znalostnú ekonomiku</w:t>
            </w:r>
          </w:p>
        </w:tc>
      </w:tr>
      <w:tr w:rsidR="00933176" w:rsidRPr="00B52236" w14:paraId="4EC58B5E" w14:textId="77777777" w:rsidTr="00BB314F">
        <w:trPr>
          <w:trHeight w:val="232"/>
          <w:jc w:val="center"/>
        </w:trPr>
        <w:tc>
          <w:tcPr>
            <w:tcW w:w="541" w:type="pct"/>
          </w:tcPr>
          <w:p w14:paraId="78F18A81"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MTP</w:t>
            </w:r>
          </w:p>
        </w:tc>
        <w:tc>
          <w:tcPr>
            <w:tcW w:w="2112" w:type="pct"/>
          </w:tcPr>
          <w:p w14:paraId="655B7AF6" w14:textId="77777777" w:rsidR="00933176" w:rsidRPr="00342619" w:rsidRDefault="00933176" w:rsidP="00BB314F">
            <w:pPr>
              <w:spacing w:after="0"/>
              <w:jc w:val="left"/>
              <w:rPr>
                <w:sz w:val="18"/>
                <w:szCs w:val="18"/>
              </w:rPr>
            </w:pPr>
            <w:r>
              <w:rPr>
                <w:sz w:val="18"/>
                <w:szCs w:val="18"/>
              </w:rPr>
              <w:t>Národný strednodobý fiškálno-štrukturálny plán</w:t>
            </w:r>
          </w:p>
        </w:tc>
        <w:tc>
          <w:tcPr>
            <w:tcW w:w="569" w:type="pct"/>
          </w:tcPr>
          <w:p w14:paraId="01891234" w14:textId="77777777" w:rsidR="00933176" w:rsidRPr="00342619" w:rsidRDefault="00933176" w:rsidP="00BB314F">
            <w:pPr>
              <w:spacing w:after="0"/>
              <w:ind w:right="-12"/>
              <w:jc w:val="left"/>
              <w:rPr>
                <w:color w:val="314364" w:themeColor="text2"/>
                <w:sz w:val="18"/>
                <w:szCs w:val="18"/>
              </w:rPr>
            </w:pPr>
            <w:r w:rsidRPr="005B58E1">
              <w:rPr>
                <w:color w:val="314364" w:themeColor="text2"/>
                <w:sz w:val="18"/>
                <w:szCs w:val="18"/>
              </w:rPr>
              <w:t>Ú</w:t>
            </w:r>
            <w:r>
              <w:rPr>
                <w:color w:val="314364" w:themeColor="text2"/>
                <w:sz w:val="18"/>
                <w:szCs w:val="18"/>
              </w:rPr>
              <w:t>PVS</w:t>
            </w:r>
          </w:p>
        </w:tc>
        <w:tc>
          <w:tcPr>
            <w:tcW w:w="1778" w:type="pct"/>
          </w:tcPr>
          <w:p w14:paraId="028BF869" w14:textId="77777777" w:rsidR="00933176" w:rsidRPr="00342619" w:rsidRDefault="00933176" w:rsidP="00BB314F">
            <w:pPr>
              <w:spacing w:after="0"/>
              <w:jc w:val="left"/>
              <w:rPr>
                <w:sz w:val="18"/>
                <w:szCs w:val="18"/>
              </w:rPr>
            </w:pPr>
            <w:r w:rsidRPr="005B58E1">
              <w:rPr>
                <w:sz w:val="18"/>
                <w:szCs w:val="18"/>
              </w:rPr>
              <w:t>Ústredný portál verejnej správy</w:t>
            </w:r>
          </w:p>
        </w:tc>
      </w:tr>
      <w:tr w:rsidR="00933176" w:rsidRPr="00B52236" w14:paraId="51717585" w14:textId="77777777" w:rsidTr="00BB314F">
        <w:trPr>
          <w:trHeight w:val="232"/>
          <w:jc w:val="center"/>
        </w:trPr>
        <w:tc>
          <w:tcPr>
            <w:tcW w:w="541" w:type="pct"/>
          </w:tcPr>
          <w:p w14:paraId="0B807578"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MV SR</w:t>
            </w:r>
          </w:p>
        </w:tc>
        <w:tc>
          <w:tcPr>
            <w:tcW w:w="2112" w:type="pct"/>
          </w:tcPr>
          <w:p w14:paraId="5A273F6E" w14:textId="77777777" w:rsidR="00933176" w:rsidRPr="00342619" w:rsidRDefault="00933176" w:rsidP="00BB314F">
            <w:pPr>
              <w:spacing w:after="0"/>
              <w:jc w:val="left"/>
              <w:rPr>
                <w:sz w:val="18"/>
                <w:szCs w:val="18"/>
              </w:rPr>
            </w:pPr>
            <w:r w:rsidRPr="00342619">
              <w:rPr>
                <w:sz w:val="18"/>
                <w:szCs w:val="18"/>
              </w:rPr>
              <w:t xml:space="preserve">Ministerstvo vnútra </w:t>
            </w:r>
            <w:r>
              <w:rPr>
                <w:sz w:val="18"/>
                <w:szCs w:val="18"/>
              </w:rPr>
              <w:t>SR</w:t>
            </w:r>
          </w:p>
        </w:tc>
        <w:tc>
          <w:tcPr>
            <w:tcW w:w="569" w:type="pct"/>
          </w:tcPr>
          <w:p w14:paraId="2EB939B3" w14:textId="77777777" w:rsidR="00933176" w:rsidRPr="00342619" w:rsidRDefault="00933176" w:rsidP="00BB314F">
            <w:pPr>
              <w:spacing w:after="0"/>
              <w:ind w:right="-12"/>
              <w:jc w:val="left"/>
              <w:rPr>
                <w:sz w:val="18"/>
                <w:szCs w:val="18"/>
              </w:rPr>
            </w:pPr>
            <w:r w:rsidRPr="00342619">
              <w:rPr>
                <w:color w:val="314364" w:themeColor="text2"/>
                <w:sz w:val="18"/>
                <w:szCs w:val="18"/>
              </w:rPr>
              <w:t>ÚV SR</w:t>
            </w:r>
          </w:p>
        </w:tc>
        <w:tc>
          <w:tcPr>
            <w:tcW w:w="1778" w:type="pct"/>
          </w:tcPr>
          <w:p w14:paraId="12E76098" w14:textId="77777777" w:rsidR="00933176" w:rsidRPr="00342619" w:rsidRDefault="00933176" w:rsidP="00BB314F">
            <w:pPr>
              <w:spacing w:after="0"/>
              <w:jc w:val="left"/>
              <w:rPr>
                <w:sz w:val="18"/>
                <w:szCs w:val="18"/>
              </w:rPr>
            </w:pPr>
            <w:r w:rsidRPr="00342619">
              <w:rPr>
                <w:sz w:val="18"/>
                <w:szCs w:val="18"/>
              </w:rPr>
              <w:t xml:space="preserve">Úrad vlády </w:t>
            </w:r>
            <w:r>
              <w:rPr>
                <w:sz w:val="18"/>
                <w:szCs w:val="18"/>
              </w:rPr>
              <w:t>SR</w:t>
            </w:r>
          </w:p>
        </w:tc>
      </w:tr>
      <w:tr w:rsidR="00933176" w:rsidRPr="00B52236" w14:paraId="17E5344D" w14:textId="77777777" w:rsidTr="00BB314F">
        <w:trPr>
          <w:trHeight w:val="232"/>
          <w:jc w:val="center"/>
        </w:trPr>
        <w:tc>
          <w:tcPr>
            <w:tcW w:w="541" w:type="pct"/>
          </w:tcPr>
          <w:p w14:paraId="08B6420A"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MZ SR</w:t>
            </w:r>
          </w:p>
        </w:tc>
        <w:tc>
          <w:tcPr>
            <w:tcW w:w="2112" w:type="pct"/>
          </w:tcPr>
          <w:p w14:paraId="5310417D" w14:textId="77777777" w:rsidR="00933176" w:rsidRDefault="00933176" w:rsidP="00BB314F">
            <w:pPr>
              <w:spacing w:after="0"/>
              <w:jc w:val="left"/>
              <w:rPr>
                <w:sz w:val="18"/>
                <w:szCs w:val="18"/>
              </w:rPr>
            </w:pPr>
            <w:r w:rsidRPr="00342619">
              <w:rPr>
                <w:sz w:val="18"/>
                <w:szCs w:val="18"/>
              </w:rPr>
              <w:t xml:space="preserve">Ministerstvo zdravotníctva </w:t>
            </w:r>
            <w:r>
              <w:rPr>
                <w:sz w:val="18"/>
                <w:szCs w:val="18"/>
              </w:rPr>
              <w:t>SR</w:t>
            </w:r>
          </w:p>
        </w:tc>
        <w:tc>
          <w:tcPr>
            <w:tcW w:w="569" w:type="pct"/>
          </w:tcPr>
          <w:p w14:paraId="31AD39AB" w14:textId="77777777" w:rsidR="00933176" w:rsidRPr="00342619" w:rsidRDefault="00933176" w:rsidP="00BB314F">
            <w:pPr>
              <w:spacing w:after="0"/>
              <w:ind w:right="-12"/>
              <w:jc w:val="left"/>
              <w:rPr>
                <w:color w:val="314364" w:themeColor="text2"/>
                <w:sz w:val="18"/>
                <w:szCs w:val="18"/>
              </w:rPr>
            </w:pPr>
            <w:r w:rsidRPr="00342619">
              <w:rPr>
                <w:color w:val="314364" w:themeColor="text2"/>
                <w:sz w:val="18"/>
                <w:szCs w:val="18"/>
              </w:rPr>
              <w:t>ÚVO</w:t>
            </w:r>
          </w:p>
        </w:tc>
        <w:tc>
          <w:tcPr>
            <w:tcW w:w="1778" w:type="pct"/>
          </w:tcPr>
          <w:p w14:paraId="5D8A261E" w14:textId="77777777" w:rsidR="00933176" w:rsidRPr="00342619" w:rsidRDefault="00933176" w:rsidP="00BB314F">
            <w:pPr>
              <w:spacing w:after="0"/>
              <w:jc w:val="left"/>
              <w:rPr>
                <w:sz w:val="18"/>
                <w:szCs w:val="18"/>
              </w:rPr>
            </w:pPr>
            <w:r w:rsidRPr="00342619">
              <w:rPr>
                <w:sz w:val="18"/>
                <w:szCs w:val="18"/>
              </w:rPr>
              <w:t>Úrad pre verejné obstarávanie</w:t>
            </w:r>
          </w:p>
        </w:tc>
      </w:tr>
      <w:tr w:rsidR="00933176" w:rsidRPr="00B52236" w14:paraId="46B6EC0B" w14:textId="77777777" w:rsidTr="00BB314F">
        <w:trPr>
          <w:trHeight w:val="232"/>
          <w:jc w:val="center"/>
        </w:trPr>
        <w:tc>
          <w:tcPr>
            <w:tcW w:w="541" w:type="pct"/>
          </w:tcPr>
          <w:p w14:paraId="4F143AEC"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MŽP SR</w:t>
            </w:r>
          </w:p>
        </w:tc>
        <w:tc>
          <w:tcPr>
            <w:tcW w:w="2112" w:type="pct"/>
          </w:tcPr>
          <w:p w14:paraId="56255E7A" w14:textId="77777777" w:rsidR="00933176" w:rsidRPr="00342619" w:rsidRDefault="00933176" w:rsidP="00BB314F">
            <w:pPr>
              <w:spacing w:after="0"/>
              <w:jc w:val="left"/>
              <w:rPr>
                <w:sz w:val="18"/>
                <w:szCs w:val="18"/>
              </w:rPr>
            </w:pPr>
            <w:r w:rsidRPr="00342619">
              <w:rPr>
                <w:sz w:val="18"/>
                <w:szCs w:val="18"/>
              </w:rPr>
              <w:t xml:space="preserve">Ministerstvo životného prostredia </w:t>
            </w:r>
            <w:r>
              <w:rPr>
                <w:sz w:val="18"/>
                <w:szCs w:val="18"/>
              </w:rPr>
              <w:t>SR</w:t>
            </w:r>
          </w:p>
        </w:tc>
        <w:tc>
          <w:tcPr>
            <w:tcW w:w="569" w:type="pct"/>
          </w:tcPr>
          <w:p w14:paraId="72A659FD" w14:textId="77777777" w:rsidR="00933176" w:rsidRPr="00342619" w:rsidRDefault="00933176" w:rsidP="00BB314F">
            <w:pPr>
              <w:spacing w:after="0"/>
              <w:ind w:right="-12"/>
              <w:jc w:val="left"/>
              <w:rPr>
                <w:sz w:val="18"/>
                <w:szCs w:val="18"/>
              </w:rPr>
            </w:pPr>
            <w:r>
              <w:rPr>
                <w:color w:val="314364" w:themeColor="text2"/>
                <w:sz w:val="18"/>
                <w:szCs w:val="18"/>
              </w:rPr>
              <w:t>VO</w:t>
            </w:r>
          </w:p>
        </w:tc>
        <w:tc>
          <w:tcPr>
            <w:tcW w:w="1778" w:type="pct"/>
          </w:tcPr>
          <w:p w14:paraId="72D73FC9" w14:textId="77777777" w:rsidR="00933176" w:rsidRPr="00342619" w:rsidRDefault="00933176" w:rsidP="00BB314F">
            <w:pPr>
              <w:spacing w:after="0"/>
              <w:jc w:val="left"/>
              <w:rPr>
                <w:sz w:val="18"/>
                <w:szCs w:val="18"/>
              </w:rPr>
            </w:pPr>
            <w:r>
              <w:rPr>
                <w:sz w:val="18"/>
                <w:szCs w:val="18"/>
              </w:rPr>
              <w:t xml:space="preserve">Verejné obstarávanie </w:t>
            </w:r>
          </w:p>
        </w:tc>
      </w:tr>
      <w:tr w:rsidR="00933176" w:rsidRPr="00B52236" w14:paraId="63192E9E" w14:textId="77777777" w:rsidTr="00BB314F">
        <w:trPr>
          <w:trHeight w:val="232"/>
          <w:jc w:val="center"/>
        </w:trPr>
        <w:tc>
          <w:tcPr>
            <w:tcW w:w="541" w:type="pct"/>
          </w:tcPr>
          <w:p w14:paraId="728A3CBB"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NATO</w:t>
            </w:r>
          </w:p>
        </w:tc>
        <w:tc>
          <w:tcPr>
            <w:tcW w:w="2112" w:type="pct"/>
          </w:tcPr>
          <w:p w14:paraId="3C48D0DD" w14:textId="77777777" w:rsidR="00933176" w:rsidRPr="00342619" w:rsidRDefault="00933176" w:rsidP="00BB314F">
            <w:pPr>
              <w:spacing w:after="0"/>
              <w:jc w:val="left"/>
              <w:rPr>
                <w:sz w:val="18"/>
                <w:szCs w:val="18"/>
              </w:rPr>
            </w:pPr>
            <w:r w:rsidRPr="00B224F9">
              <w:rPr>
                <w:sz w:val="18"/>
                <w:szCs w:val="18"/>
              </w:rPr>
              <w:t>Organizácia Severoatlantickej zmluvy</w:t>
            </w:r>
          </w:p>
        </w:tc>
        <w:tc>
          <w:tcPr>
            <w:tcW w:w="569" w:type="pct"/>
          </w:tcPr>
          <w:p w14:paraId="50817CBC" w14:textId="77777777" w:rsidR="00933176" w:rsidRPr="00342619" w:rsidRDefault="00933176" w:rsidP="00BB314F">
            <w:pPr>
              <w:spacing w:after="0"/>
              <w:ind w:right="-12"/>
              <w:jc w:val="left"/>
              <w:rPr>
                <w:color w:val="314364" w:themeColor="text2"/>
                <w:sz w:val="18"/>
                <w:szCs w:val="18"/>
              </w:rPr>
            </w:pPr>
            <w:r>
              <w:rPr>
                <w:color w:val="314364" w:themeColor="text2"/>
                <w:sz w:val="18"/>
                <w:szCs w:val="18"/>
              </w:rPr>
              <w:t>VpDP</w:t>
            </w:r>
          </w:p>
        </w:tc>
        <w:tc>
          <w:tcPr>
            <w:tcW w:w="1778" w:type="pct"/>
          </w:tcPr>
          <w:p w14:paraId="129B18F5" w14:textId="77777777" w:rsidR="00933176" w:rsidRPr="00342619" w:rsidRDefault="00933176" w:rsidP="00BB314F">
            <w:pPr>
              <w:spacing w:after="0"/>
              <w:jc w:val="left"/>
              <w:rPr>
                <w:sz w:val="18"/>
                <w:szCs w:val="18"/>
              </w:rPr>
            </w:pPr>
            <w:r>
              <w:rPr>
                <w:sz w:val="18"/>
                <w:szCs w:val="18"/>
              </w:rPr>
              <w:t>Výbor pre daňové prognózy</w:t>
            </w:r>
          </w:p>
        </w:tc>
      </w:tr>
      <w:tr w:rsidR="00933176" w:rsidRPr="00B52236" w14:paraId="0C438BB9" w14:textId="77777777" w:rsidTr="00BB314F">
        <w:trPr>
          <w:trHeight w:val="232"/>
          <w:jc w:val="center"/>
        </w:trPr>
        <w:tc>
          <w:tcPr>
            <w:tcW w:w="541" w:type="pct"/>
          </w:tcPr>
          <w:p w14:paraId="581E4567"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NBS</w:t>
            </w:r>
          </w:p>
        </w:tc>
        <w:tc>
          <w:tcPr>
            <w:tcW w:w="2112" w:type="pct"/>
          </w:tcPr>
          <w:p w14:paraId="1C5970BD" w14:textId="77777777" w:rsidR="00933176" w:rsidRPr="00342619" w:rsidRDefault="00933176" w:rsidP="00BB314F">
            <w:pPr>
              <w:spacing w:after="0"/>
              <w:jc w:val="left"/>
              <w:rPr>
                <w:sz w:val="18"/>
                <w:szCs w:val="18"/>
              </w:rPr>
            </w:pPr>
            <w:r>
              <w:rPr>
                <w:sz w:val="18"/>
                <w:szCs w:val="18"/>
              </w:rPr>
              <w:t>Národná banka Slovenska</w:t>
            </w:r>
          </w:p>
        </w:tc>
        <w:tc>
          <w:tcPr>
            <w:tcW w:w="569" w:type="pct"/>
          </w:tcPr>
          <w:p w14:paraId="2E46C0DA" w14:textId="77777777" w:rsidR="00933176" w:rsidRPr="00342619" w:rsidRDefault="00933176" w:rsidP="00BB314F">
            <w:pPr>
              <w:spacing w:after="0"/>
              <w:ind w:right="-12"/>
              <w:jc w:val="left"/>
              <w:rPr>
                <w:color w:val="314364" w:themeColor="text2"/>
                <w:sz w:val="18"/>
                <w:szCs w:val="18"/>
              </w:rPr>
            </w:pPr>
            <w:r w:rsidRPr="00342619">
              <w:rPr>
                <w:color w:val="314364" w:themeColor="text2"/>
                <w:sz w:val="18"/>
                <w:szCs w:val="18"/>
              </w:rPr>
              <w:t>VPS</w:t>
            </w:r>
          </w:p>
        </w:tc>
        <w:tc>
          <w:tcPr>
            <w:tcW w:w="1778" w:type="pct"/>
          </w:tcPr>
          <w:p w14:paraId="6B613BE4" w14:textId="77777777" w:rsidR="00933176" w:rsidRPr="00342619" w:rsidRDefault="00933176" w:rsidP="00BB314F">
            <w:pPr>
              <w:spacing w:after="0"/>
              <w:jc w:val="left"/>
              <w:rPr>
                <w:sz w:val="18"/>
                <w:szCs w:val="18"/>
              </w:rPr>
            </w:pPr>
            <w:r w:rsidRPr="00342619">
              <w:rPr>
                <w:sz w:val="18"/>
                <w:szCs w:val="18"/>
              </w:rPr>
              <w:t>Všeobecná pokladničná správa</w:t>
            </w:r>
          </w:p>
        </w:tc>
      </w:tr>
      <w:tr w:rsidR="00933176" w:rsidRPr="00B52236" w14:paraId="12338349" w14:textId="77777777" w:rsidTr="00BB314F">
        <w:trPr>
          <w:trHeight w:val="232"/>
          <w:jc w:val="center"/>
        </w:trPr>
        <w:tc>
          <w:tcPr>
            <w:tcW w:w="541" w:type="pct"/>
          </w:tcPr>
          <w:p w14:paraId="1653EF48"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NIKA</w:t>
            </w:r>
          </w:p>
        </w:tc>
        <w:tc>
          <w:tcPr>
            <w:tcW w:w="2112" w:type="pct"/>
          </w:tcPr>
          <w:p w14:paraId="2D0F640A" w14:textId="77777777" w:rsidR="00933176" w:rsidRPr="00342619" w:rsidRDefault="00933176" w:rsidP="00BB314F">
            <w:pPr>
              <w:spacing w:after="0"/>
              <w:jc w:val="left"/>
              <w:rPr>
                <w:sz w:val="18"/>
                <w:szCs w:val="18"/>
              </w:rPr>
            </w:pPr>
            <w:r w:rsidRPr="00B37408">
              <w:rPr>
                <w:sz w:val="18"/>
                <w:szCs w:val="18"/>
              </w:rPr>
              <w:t>Národná implementačná a koordinačná autorita</w:t>
            </w:r>
          </w:p>
        </w:tc>
        <w:tc>
          <w:tcPr>
            <w:tcW w:w="569" w:type="pct"/>
          </w:tcPr>
          <w:p w14:paraId="427DA707" w14:textId="77777777" w:rsidR="00933176" w:rsidRDefault="00933176" w:rsidP="00BB314F">
            <w:pPr>
              <w:spacing w:after="0"/>
              <w:ind w:right="-12"/>
              <w:jc w:val="left"/>
              <w:rPr>
                <w:color w:val="314364" w:themeColor="text2"/>
                <w:sz w:val="18"/>
                <w:szCs w:val="18"/>
              </w:rPr>
            </w:pPr>
            <w:r w:rsidRPr="00342619">
              <w:rPr>
                <w:color w:val="314364" w:themeColor="text2"/>
                <w:sz w:val="18"/>
                <w:szCs w:val="18"/>
              </w:rPr>
              <w:t>VS</w:t>
            </w:r>
          </w:p>
        </w:tc>
        <w:tc>
          <w:tcPr>
            <w:tcW w:w="1778" w:type="pct"/>
          </w:tcPr>
          <w:p w14:paraId="697D97C0" w14:textId="77777777" w:rsidR="00933176" w:rsidRDefault="00933176" w:rsidP="00BB314F">
            <w:pPr>
              <w:spacing w:after="0"/>
              <w:jc w:val="left"/>
              <w:rPr>
                <w:sz w:val="18"/>
                <w:szCs w:val="18"/>
              </w:rPr>
            </w:pPr>
            <w:r w:rsidRPr="00342619">
              <w:rPr>
                <w:sz w:val="18"/>
                <w:szCs w:val="18"/>
              </w:rPr>
              <w:t>verejná správa</w:t>
            </w:r>
          </w:p>
        </w:tc>
      </w:tr>
      <w:tr w:rsidR="00933176" w:rsidRPr="00B52236" w14:paraId="7D03BEEF" w14:textId="77777777" w:rsidTr="00BB314F">
        <w:trPr>
          <w:trHeight w:val="232"/>
          <w:jc w:val="center"/>
        </w:trPr>
        <w:tc>
          <w:tcPr>
            <w:tcW w:w="541" w:type="pct"/>
          </w:tcPr>
          <w:p w14:paraId="5D403586"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NKÚ SR</w:t>
            </w:r>
          </w:p>
        </w:tc>
        <w:tc>
          <w:tcPr>
            <w:tcW w:w="2112" w:type="pct"/>
          </w:tcPr>
          <w:p w14:paraId="035243C1" w14:textId="77777777" w:rsidR="00933176" w:rsidRPr="00342619" w:rsidRDefault="00933176" w:rsidP="00BB314F">
            <w:pPr>
              <w:spacing w:after="0"/>
              <w:jc w:val="left"/>
              <w:rPr>
                <w:sz w:val="18"/>
                <w:szCs w:val="18"/>
              </w:rPr>
            </w:pPr>
            <w:r w:rsidRPr="00342619">
              <w:rPr>
                <w:sz w:val="18"/>
                <w:szCs w:val="18"/>
              </w:rPr>
              <w:t xml:space="preserve">Najvyšší kontrolný úrad </w:t>
            </w:r>
            <w:r>
              <w:rPr>
                <w:sz w:val="18"/>
                <w:szCs w:val="18"/>
              </w:rPr>
              <w:t>SR</w:t>
            </w:r>
          </w:p>
        </w:tc>
        <w:tc>
          <w:tcPr>
            <w:tcW w:w="569" w:type="pct"/>
          </w:tcPr>
          <w:p w14:paraId="05FDF013" w14:textId="77777777" w:rsidR="00933176" w:rsidRDefault="00933176" w:rsidP="00BB314F">
            <w:pPr>
              <w:spacing w:after="0"/>
              <w:ind w:right="-12"/>
              <w:jc w:val="left"/>
              <w:rPr>
                <w:sz w:val="18"/>
                <w:szCs w:val="18"/>
              </w:rPr>
            </w:pPr>
            <w:r>
              <w:rPr>
                <w:color w:val="314364" w:themeColor="text2"/>
                <w:sz w:val="18"/>
                <w:szCs w:val="18"/>
              </w:rPr>
              <w:t>VÚC</w:t>
            </w:r>
          </w:p>
        </w:tc>
        <w:tc>
          <w:tcPr>
            <w:tcW w:w="1778" w:type="pct"/>
          </w:tcPr>
          <w:p w14:paraId="79EFBBC7" w14:textId="77777777" w:rsidR="00933176" w:rsidRDefault="00933176" w:rsidP="00BB314F">
            <w:pPr>
              <w:spacing w:after="0"/>
              <w:ind w:right="-72"/>
              <w:jc w:val="left"/>
              <w:rPr>
                <w:sz w:val="18"/>
                <w:szCs w:val="18"/>
              </w:rPr>
            </w:pPr>
            <w:r>
              <w:rPr>
                <w:sz w:val="18"/>
                <w:szCs w:val="18"/>
              </w:rPr>
              <w:t>vyšší územný celok</w:t>
            </w:r>
          </w:p>
        </w:tc>
      </w:tr>
      <w:tr w:rsidR="00933176" w:rsidRPr="00B52236" w14:paraId="40108735" w14:textId="77777777" w:rsidTr="00BB314F">
        <w:trPr>
          <w:trHeight w:val="232"/>
          <w:jc w:val="center"/>
        </w:trPr>
        <w:tc>
          <w:tcPr>
            <w:tcW w:w="541" w:type="pct"/>
          </w:tcPr>
          <w:p w14:paraId="13C0DF46"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NR SR</w:t>
            </w:r>
          </w:p>
        </w:tc>
        <w:tc>
          <w:tcPr>
            <w:tcW w:w="2112" w:type="pct"/>
          </w:tcPr>
          <w:p w14:paraId="69422B10" w14:textId="77777777" w:rsidR="00933176" w:rsidRPr="00342619" w:rsidRDefault="00933176" w:rsidP="00BB314F">
            <w:pPr>
              <w:spacing w:after="0"/>
              <w:jc w:val="left"/>
              <w:rPr>
                <w:sz w:val="18"/>
                <w:szCs w:val="18"/>
              </w:rPr>
            </w:pPr>
            <w:r w:rsidRPr="00342619">
              <w:rPr>
                <w:sz w:val="18"/>
                <w:szCs w:val="18"/>
              </w:rPr>
              <w:t xml:space="preserve">Národná rada </w:t>
            </w:r>
            <w:r>
              <w:rPr>
                <w:sz w:val="18"/>
                <w:szCs w:val="18"/>
              </w:rPr>
              <w:t>SR</w:t>
            </w:r>
          </w:p>
        </w:tc>
        <w:tc>
          <w:tcPr>
            <w:tcW w:w="569" w:type="pct"/>
          </w:tcPr>
          <w:p w14:paraId="2A7AEC37" w14:textId="77777777" w:rsidR="00933176" w:rsidRPr="00342619" w:rsidRDefault="00933176" w:rsidP="00BB314F">
            <w:pPr>
              <w:spacing w:after="0"/>
              <w:ind w:right="-12"/>
              <w:jc w:val="left"/>
              <w:rPr>
                <w:color w:val="314364" w:themeColor="text2"/>
                <w:sz w:val="18"/>
                <w:szCs w:val="18"/>
              </w:rPr>
            </w:pPr>
            <w:r>
              <w:rPr>
                <w:color w:val="314364" w:themeColor="text2"/>
                <w:sz w:val="18"/>
                <w:szCs w:val="18"/>
              </w:rPr>
              <w:t>VZP</w:t>
            </w:r>
          </w:p>
        </w:tc>
        <w:tc>
          <w:tcPr>
            <w:tcW w:w="1778" w:type="pct"/>
          </w:tcPr>
          <w:p w14:paraId="48C4C6EE" w14:textId="77777777" w:rsidR="00933176" w:rsidRPr="00342619" w:rsidRDefault="00933176" w:rsidP="00BB314F">
            <w:pPr>
              <w:spacing w:after="0"/>
              <w:ind w:right="-72"/>
              <w:jc w:val="left"/>
              <w:rPr>
                <w:sz w:val="18"/>
                <w:szCs w:val="18"/>
              </w:rPr>
            </w:pPr>
            <w:r>
              <w:rPr>
                <w:sz w:val="18"/>
                <w:szCs w:val="18"/>
              </w:rPr>
              <w:t>verejné zdravotné poistenie</w:t>
            </w:r>
          </w:p>
        </w:tc>
      </w:tr>
      <w:tr w:rsidR="00933176" w:rsidRPr="00B52236" w14:paraId="654F3D2F" w14:textId="77777777" w:rsidTr="00BB314F">
        <w:trPr>
          <w:trHeight w:val="232"/>
          <w:jc w:val="center"/>
        </w:trPr>
        <w:tc>
          <w:tcPr>
            <w:tcW w:w="541" w:type="pct"/>
          </w:tcPr>
          <w:p w14:paraId="551FC190"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NRVS</w:t>
            </w:r>
          </w:p>
        </w:tc>
        <w:tc>
          <w:tcPr>
            <w:tcW w:w="2112" w:type="pct"/>
          </w:tcPr>
          <w:p w14:paraId="3E518BD4" w14:textId="77777777" w:rsidR="00933176" w:rsidRDefault="00933176" w:rsidP="00BB314F">
            <w:pPr>
              <w:tabs>
                <w:tab w:val="left" w:pos="3360"/>
              </w:tabs>
              <w:spacing w:after="0"/>
              <w:jc w:val="left"/>
              <w:rPr>
                <w:sz w:val="18"/>
                <w:szCs w:val="18"/>
              </w:rPr>
            </w:pPr>
            <w:r w:rsidRPr="00342619">
              <w:rPr>
                <w:sz w:val="18"/>
                <w:szCs w:val="18"/>
              </w:rPr>
              <w:t>návrh rozpočtu</w:t>
            </w:r>
            <w:r>
              <w:rPr>
                <w:sz w:val="18"/>
                <w:szCs w:val="18"/>
              </w:rPr>
              <w:t xml:space="preserve"> verejnej správy</w:t>
            </w:r>
          </w:p>
        </w:tc>
        <w:tc>
          <w:tcPr>
            <w:tcW w:w="569" w:type="pct"/>
          </w:tcPr>
          <w:p w14:paraId="596E07AD" w14:textId="77777777" w:rsidR="00933176" w:rsidRDefault="00933176" w:rsidP="00BB314F">
            <w:pPr>
              <w:tabs>
                <w:tab w:val="left" w:pos="3360"/>
              </w:tabs>
              <w:spacing w:after="0"/>
              <w:ind w:right="-12"/>
              <w:jc w:val="left"/>
              <w:rPr>
                <w:sz w:val="18"/>
                <w:szCs w:val="18"/>
              </w:rPr>
            </w:pPr>
            <w:r>
              <w:rPr>
                <w:color w:val="314364" w:themeColor="text2"/>
                <w:sz w:val="18"/>
                <w:szCs w:val="18"/>
              </w:rPr>
              <w:t>V4</w:t>
            </w:r>
          </w:p>
        </w:tc>
        <w:tc>
          <w:tcPr>
            <w:tcW w:w="1778" w:type="pct"/>
          </w:tcPr>
          <w:p w14:paraId="6D295282" w14:textId="77777777" w:rsidR="00933176" w:rsidRDefault="00933176" w:rsidP="00BB314F">
            <w:pPr>
              <w:tabs>
                <w:tab w:val="left" w:pos="3360"/>
              </w:tabs>
              <w:spacing w:after="0"/>
              <w:jc w:val="left"/>
              <w:rPr>
                <w:sz w:val="18"/>
                <w:szCs w:val="18"/>
              </w:rPr>
            </w:pPr>
            <w:r w:rsidRPr="00206F87">
              <w:rPr>
                <w:sz w:val="18"/>
                <w:szCs w:val="18"/>
              </w:rPr>
              <w:t>Vyšehradská skupina</w:t>
            </w:r>
          </w:p>
        </w:tc>
      </w:tr>
      <w:tr w:rsidR="00933176" w:rsidRPr="00B52236" w14:paraId="6832FB5F" w14:textId="77777777" w:rsidTr="00BB314F">
        <w:trPr>
          <w:trHeight w:val="232"/>
          <w:jc w:val="center"/>
        </w:trPr>
        <w:tc>
          <w:tcPr>
            <w:tcW w:w="541" w:type="pct"/>
          </w:tcPr>
          <w:p w14:paraId="2BEB2CEF" w14:textId="77777777" w:rsidR="00933176" w:rsidRDefault="00933176" w:rsidP="00BB314F">
            <w:pPr>
              <w:spacing w:after="0"/>
              <w:ind w:right="-81"/>
              <w:jc w:val="left"/>
              <w:rPr>
                <w:color w:val="314364" w:themeColor="text2"/>
                <w:sz w:val="18"/>
                <w:szCs w:val="18"/>
              </w:rPr>
            </w:pPr>
            <w:r>
              <w:rPr>
                <w:color w:val="314364" w:themeColor="text2"/>
                <w:sz w:val="18"/>
                <w:szCs w:val="18"/>
              </w:rPr>
              <w:t>NTS SR</w:t>
            </w:r>
          </w:p>
        </w:tc>
        <w:tc>
          <w:tcPr>
            <w:tcW w:w="2112" w:type="pct"/>
          </w:tcPr>
          <w:p w14:paraId="7827A623" w14:textId="77777777" w:rsidR="00933176" w:rsidRPr="00B224F9" w:rsidRDefault="00933176" w:rsidP="00BB314F">
            <w:pPr>
              <w:tabs>
                <w:tab w:val="left" w:pos="3360"/>
              </w:tabs>
              <w:spacing w:after="0"/>
              <w:jc w:val="left"/>
              <w:rPr>
                <w:sz w:val="18"/>
                <w:szCs w:val="18"/>
              </w:rPr>
            </w:pPr>
            <w:r>
              <w:rPr>
                <w:sz w:val="18"/>
                <w:szCs w:val="18"/>
              </w:rPr>
              <w:t>Národná transfúzna služba</w:t>
            </w:r>
            <w:r w:rsidRPr="00BE0A19">
              <w:rPr>
                <w:sz w:val="18"/>
                <w:szCs w:val="18"/>
              </w:rPr>
              <w:t xml:space="preserve"> SR</w:t>
            </w:r>
          </w:p>
        </w:tc>
        <w:tc>
          <w:tcPr>
            <w:tcW w:w="569" w:type="pct"/>
          </w:tcPr>
          <w:p w14:paraId="241D7A56" w14:textId="77777777" w:rsidR="00933176" w:rsidRPr="00342619" w:rsidRDefault="00933176" w:rsidP="00BB314F">
            <w:pPr>
              <w:tabs>
                <w:tab w:val="left" w:pos="3360"/>
              </w:tabs>
              <w:spacing w:after="0"/>
              <w:ind w:right="-12"/>
              <w:jc w:val="left"/>
              <w:rPr>
                <w:color w:val="314364" w:themeColor="text2"/>
                <w:sz w:val="18"/>
                <w:szCs w:val="18"/>
              </w:rPr>
            </w:pPr>
            <w:r>
              <w:rPr>
                <w:color w:val="314364" w:themeColor="text2"/>
                <w:sz w:val="18"/>
                <w:szCs w:val="18"/>
              </w:rPr>
              <w:t>ZMOS</w:t>
            </w:r>
          </w:p>
        </w:tc>
        <w:tc>
          <w:tcPr>
            <w:tcW w:w="1778" w:type="pct"/>
          </w:tcPr>
          <w:p w14:paraId="19EB0531" w14:textId="77777777" w:rsidR="00933176" w:rsidRPr="00342619" w:rsidRDefault="00933176" w:rsidP="00BB314F">
            <w:pPr>
              <w:tabs>
                <w:tab w:val="left" w:pos="3360"/>
              </w:tabs>
              <w:spacing w:after="0"/>
              <w:jc w:val="left"/>
              <w:rPr>
                <w:sz w:val="18"/>
                <w:szCs w:val="18"/>
              </w:rPr>
            </w:pPr>
            <w:r w:rsidRPr="005B58E1">
              <w:rPr>
                <w:sz w:val="18"/>
                <w:szCs w:val="18"/>
              </w:rPr>
              <w:t>Združenie miest a obcí Slovenska</w:t>
            </w:r>
          </w:p>
        </w:tc>
      </w:tr>
      <w:tr w:rsidR="00933176" w:rsidRPr="00B52236" w14:paraId="4B3E7CE8" w14:textId="77777777" w:rsidTr="00BB314F">
        <w:trPr>
          <w:trHeight w:val="232"/>
          <w:jc w:val="center"/>
        </w:trPr>
        <w:tc>
          <w:tcPr>
            <w:tcW w:w="541" w:type="pct"/>
          </w:tcPr>
          <w:p w14:paraId="06E24BCC" w14:textId="77777777" w:rsidR="00933176" w:rsidRPr="000353E9" w:rsidRDefault="00933176" w:rsidP="00BB314F">
            <w:pPr>
              <w:spacing w:after="0"/>
              <w:ind w:right="-81"/>
              <w:jc w:val="left"/>
              <w:rPr>
                <w:color w:val="314364" w:themeColor="text2"/>
                <w:sz w:val="18"/>
                <w:szCs w:val="18"/>
              </w:rPr>
            </w:pPr>
            <w:r w:rsidRPr="000353E9">
              <w:rPr>
                <w:color w:val="314364" w:themeColor="text2"/>
                <w:sz w:val="18"/>
                <w:szCs w:val="18"/>
              </w:rPr>
              <w:t>OECD</w:t>
            </w:r>
          </w:p>
        </w:tc>
        <w:tc>
          <w:tcPr>
            <w:tcW w:w="2112" w:type="pct"/>
          </w:tcPr>
          <w:p w14:paraId="3282943F" w14:textId="77777777" w:rsidR="00933176" w:rsidRPr="00342619" w:rsidRDefault="00933176" w:rsidP="00BB314F">
            <w:pPr>
              <w:spacing w:after="0"/>
              <w:jc w:val="left"/>
              <w:rPr>
                <w:sz w:val="18"/>
                <w:szCs w:val="18"/>
              </w:rPr>
            </w:pPr>
            <w:r>
              <w:rPr>
                <w:sz w:val="18"/>
                <w:szCs w:val="18"/>
              </w:rPr>
              <w:t>Organizácia pre hospodársku spoluprácu a rozvoj</w:t>
            </w:r>
          </w:p>
        </w:tc>
        <w:tc>
          <w:tcPr>
            <w:tcW w:w="569" w:type="pct"/>
          </w:tcPr>
          <w:p w14:paraId="567E0522" w14:textId="77777777" w:rsidR="00933176" w:rsidRPr="00342619" w:rsidRDefault="00933176" w:rsidP="00BB314F">
            <w:pPr>
              <w:spacing w:after="0"/>
              <w:ind w:right="-12"/>
              <w:jc w:val="left"/>
              <w:rPr>
                <w:sz w:val="18"/>
                <w:szCs w:val="18"/>
              </w:rPr>
            </w:pPr>
            <w:r>
              <w:rPr>
                <w:color w:val="314364" w:themeColor="text2"/>
                <w:sz w:val="18"/>
                <w:szCs w:val="18"/>
              </w:rPr>
              <w:t>ZZ</w:t>
            </w:r>
          </w:p>
        </w:tc>
        <w:tc>
          <w:tcPr>
            <w:tcW w:w="1778" w:type="pct"/>
          </w:tcPr>
          <w:p w14:paraId="3B97D7CC" w14:textId="77777777" w:rsidR="00933176" w:rsidRPr="00342619" w:rsidRDefault="00933176" w:rsidP="00BB314F">
            <w:pPr>
              <w:spacing w:after="0"/>
              <w:ind w:right="-210"/>
              <w:jc w:val="left"/>
              <w:rPr>
                <w:sz w:val="18"/>
                <w:szCs w:val="18"/>
              </w:rPr>
            </w:pPr>
            <w:r w:rsidRPr="00206F87">
              <w:rPr>
                <w:sz w:val="18"/>
                <w:szCs w:val="18"/>
              </w:rPr>
              <w:t>zdravotnícke zariadenia</w:t>
            </w:r>
          </w:p>
        </w:tc>
      </w:tr>
      <w:tr w:rsidR="00933176" w:rsidRPr="00B52236" w14:paraId="77FC5281" w14:textId="77777777" w:rsidTr="00BB314F">
        <w:trPr>
          <w:trHeight w:val="232"/>
          <w:jc w:val="center"/>
        </w:trPr>
        <w:tc>
          <w:tcPr>
            <w:tcW w:w="541" w:type="pct"/>
          </w:tcPr>
          <w:p w14:paraId="374ABB48" w14:textId="77777777" w:rsidR="00933176" w:rsidRPr="000353E9" w:rsidRDefault="00933176" w:rsidP="00BB314F">
            <w:pPr>
              <w:spacing w:after="0"/>
              <w:ind w:right="-81"/>
              <w:jc w:val="left"/>
              <w:rPr>
                <w:color w:val="314364" w:themeColor="text2"/>
                <w:sz w:val="18"/>
                <w:szCs w:val="18"/>
              </w:rPr>
            </w:pPr>
            <w:r>
              <w:rPr>
                <w:color w:val="314364" w:themeColor="text2"/>
                <w:sz w:val="18"/>
                <w:szCs w:val="18"/>
              </w:rPr>
              <w:t>OP</w:t>
            </w:r>
          </w:p>
        </w:tc>
        <w:tc>
          <w:tcPr>
            <w:tcW w:w="2112" w:type="pct"/>
          </w:tcPr>
          <w:p w14:paraId="48FF7B51" w14:textId="77777777" w:rsidR="00933176" w:rsidRDefault="00933176" w:rsidP="00BB314F">
            <w:pPr>
              <w:spacing w:after="0"/>
              <w:jc w:val="left"/>
              <w:rPr>
                <w:sz w:val="18"/>
                <w:szCs w:val="18"/>
              </w:rPr>
            </w:pPr>
            <w:r>
              <w:rPr>
                <w:sz w:val="18"/>
                <w:szCs w:val="18"/>
              </w:rPr>
              <w:t>operačný program</w:t>
            </w:r>
          </w:p>
        </w:tc>
        <w:tc>
          <w:tcPr>
            <w:tcW w:w="569" w:type="pct"/>
          </w:tcPr>
          <w:p w14:paraId="0C2ABB2E" w14:textId="77777777" w:rsidR="00933176" w:rsidRPr="00342619" w:rsidRDefault="00933176" w:rsidP="00BB314F">
            <w:pPr>
              <w:spacing w:after="0"/>
              <w:ind w:right="-12"/>
              <w:jc w:val="left"/>
              <w:rPr>
                <w:color w:val="314364" w:themeColor="text2"/>
                <w:sz w:val="18"/>
                <w:szCs w:val="18"/>
              </w:rPr>
            </w:pPr>
          </w:p>
        </w:tc>
        <w:tc>
          <w:tcPr>
            <w:tcW w:w="1778" w:type="pct"/>
          </w:tcPr>
          <w:p w14:paraId="5E5B84A3" w14:textId="77777777" w:rsidR="00933176" w:rsidRPr="00342619" w:rsidRDefault="00933176" w:rsidP="00BB314F">
            <w:pPr>
              <w:spacing w:after="0"/>
              <w:ind w:right="-210"/>
              <w:jc w:val="left"/>
              <w:rPr>
                <w:sz w:val="18"/>
                <w:szCs w:val="18"/>
              </w:rPr>
            </w:pPr>
          </w:p>
        </w:tc>
      </w:tr>
    </w:tbl>
    <w:p w14:paraId="32A749DD" w14:textId="2269B69D" w:rsidR="0085401E" w:rsidRDefault="0085401E" w:rsidP="00277C8B">
      <w:pPr>
        <w:pStyle w:val="vodZverZhrnutie"/>
      </w:pPr>
    </w:p>
    <w:p w14:paraId="4C8F707D" w14:textId="77777777" w:rsidR="0085401E" w:rsidRDefault="0085401E">
      <w:pPr>
        <w:spacing w:after="160" w:line="259" w:lineRule="auto"/>
        <w:jc w:val="left"/>
        <w:rPr>
          <w:rFonts w:eastAsiaTheme="majorEastAsia" w:cstheme="majorBidi"/>
          <w:b/>
          <w:color w:val="314364"/>
          <w:position w:val="10"/>
          <w:sz w:val="32"/>
          <w:szCs w:val="32"/>
        </w:rPr>
      </w:pPr>
      <w:r>
        <w:br w:type="page"/>
      </w:r>
    </w:p>
    <w:p w14:paraId="03AADF1D" w14:textId="5634622D" w:rsidR="001609D9" w:rsidRDefault="001609D9" w:rsidP="00277C8B">
      <w:pPr>
        <w:pStyle w:val="vodZverZhrnutie"/>
      </w:pPr>
      <w:bookmarkStart w:id="3" w:name="_Toc211249071"/>
      <w:r>
        <w:lastRenderedPageBreak/>
        <w:t>Zhrnutie</w:t>
      </w:r>
      <w:bookmarkEnd w:id="1"/>
      <w:bookmarkEnd w:id="3"/>
    </w:p>
    <w:p w14:paraId="1196C7CD" w14:textId="28308BEA" w:rsidR="00FE0380" w:rsidRDefault="00FE0380" w:rsidP="00FE0380">
      <w:pPr>
        <w:rPr>
          <w:bCs/>
        </w:rPr>
      </w:pPr>
      <w:r w:rsidRPr="00FE0380">
        <w:rPr>
          <w:bCs/>
        </w:rPr>
        <w:t>Stanovisko NKÚ SR k návrhu štátneho rozpočtu na rok 2026 bolo vypracované v súlade s § 5 ods. 1 zákona o NKÚ SR na základe kontroly vykonanej na Ministerstve financií SR, ktoré podľa zákona o rozpočtových pravidlách VS zostavuje návrh rozpočtu verejnej správy za štátny rozpočet a súhrnné rozpočty ostatných subjektov VS</w:t>
      </w:r>
      <w:r w:rsidR="00494DFC">
        <w:rPr>
          <w:bCs/>
        </w:rPr>
        <w:t>.</w:t>
      </w:r>
      <w:r w:rsidR="009724F7">
        <w:rPr>
          <w:bCs/>
        </w:rPr>
        <w:t xml:space="preserve"> </w:t>
      </w:r>
      <w:r w:rsidRPr="00FE0380">
        <w:rPr>
          <w:bCs/>
        </w:rPr>
        <w:t>Na vypracovanie stanoviska mal NKÚ SR od predloženia návrhu štátneho rozpočtu na rok 2026 tri pracovné dni. MF SR neposkytlo NKÚ SR v rámci otvorenej kontroly žiadnu pracovnú verziu návrhu rozpočtu na rok 2026.</w:t>
      </w:r>
    </w:p>
    <w:p w14:paraId="2A945B14" w14:textId="09D57A1A" w:rsidR="00E1328A" w:rsidRPr="008E48C8" w:rsidRDefault="00E1328A" w:rsidP="00E1328A">
      <w:r w:rsidRPr="004426E3">
        <w:rPr>
          <w:bCs/>
          <w:szCs w:val="24"/>
        </w:rPr>
        <w:t xml:space="preserve">NKÚ SR </w:t>
      </w:r>
      <w:r>
        <w:rPr>
          <w:bCs/>
          <w:szCs w:val="24"/>
        </w:rPr>
        <w:t>upozorňuje</w:t>
      </w:r>
      <w:r w:rsidRPr="004426E3">
        <w:rPr>
          <w:bCs/>
          <w:szCs w:val="24"/>
        </w:rPr>
        <w:t xml:space="preserve"> na nedostatočn</w:t>
      </w:r>
      <w:r>
        <w:rPr>
          <w:bCs/>
          <w:szCs w:val="24"/>
        </w:rPr>
        <w:t>ú</w:t>
      </w:r>
      <w:r w:rsidRPr="004426E3">
        <w:rPr>
          <w:bCs/>
          <w:szCs w:val="24"/>
        </w:rPr>
        <w:t xml:space="preserve"> transparentnosť rozpočtového procesu.</w:t>
      </w:r>
      <w:r w:rsidRPr="0021660F">
        <w:rPr>
          <w:b/>
          <w:szCs w:val="24"/>
        </w:rPr>
        <w:t xml:space="preserve"> </w:t>
      </w:r>
      <w:r w:rsidRPr="0021660F">
        <w:rPr>
          <w:szCs w:val="24"/>
        </w:rPr>
        <w:t xml:space="preserve">Konsolidačné </w:t>
      </w:r>
      <w:r w:rsidR="00CD1070">
        <w:rPr>
          <w:szCs w:val="24"/>
        </w:rPr>
        <w:t>balíky,</w:t>
      </w:r>
      <w:r w:rsidRPr="0021660F">
        <w:rPr>
          <w:szCs w:val="24"/>
        </w:rPr>
        <w:t xml:space="preserve"> </w:t>
      </w:r>
      <w:r>
        <w:rPr>
          <w:szCs w:val="24"/>
        </w:rPr>
        <w:t xml:space="preserve">prijaté </w:t>
      </w:r>
      <w:r w:rsidRPr="0021660F">
        <w:rPr>
          <w:szCs w:val="24"/>
        </w:rPr>
        <w:t>od roku 2023, boli vládou schvaľované bez adekvátnej diskusie s</w:t>
      </w:r>
      <w:r>
        <w:rPr>
          <w:szCs w:val="24"/>
        </w:rPr>
        <w:t> </w:t>
      </w:r>
      <w:r w:rsidRPr="0021660F">
        <w:rPr>
          <w:szCs w:val="24"/>
        </w:rPr>
        <w:t xml:space="preserve">tripartitou či odbornou verejnosťou, často bez možnosti pripomienkovania a v skrátenom legislatívnom konaní v parlamente. </w:t>
      </w:r>
      <w:r w:rsidRPr="00564B2E">
        <w:t>NKÚ SR konštatuje, že aktuálny priebeh rozpočtového procesu na roky 2026 až 2028 nie je v súlade s</w:t>
      </w:r>
      <w:r>
        <w:t> </w:t>
      </w:r>
      <w:r w:rsidRPr="00564B2E">
        <w:t>odporúčaniami OECD pre rozpočtové riadenie</w:t>
      </w:r>
      <w:r w:rsidR="00640A47">
        <w:t>.</w:t>
      </w:r>
      <w:r>
        <w:t xml:space="preserve"> </w:t>
      </w:r>
      <w:r w:rsidRPr="0021660F">
        <w:rPr>
          <w:szCs w:val="24"/>
        </w:rPr>
        <w:t>Takýto prístup oslabuje dôveru v rozpočtové riadenie a znižuje efektívnosť prijatých opatrení na ozdravenie verejných financií.</w:t>
      </w:r>
    </w:p>
    <w:p w14:paraId="64FBFC3D" w14:textId="5F50E1C4" w:rsidR="00E1328A" w:rsidRDefault="00E1328A" w:rsidP="00E1328A">
      <w:r>
        <w:rPr>
          <w:bCs/>
        </w:rPr>
        <w:t>P</w:t>
      </w:r>
      <w:r w:rsidR="00A04CC6" w:rsidRPr="00A04CC6">
        <w:rPr>
          <w:bCs/>
        </w:rPr>
        <w:t xml:space="preserve">redložený </w:t>
      </w:r>
      <w:r>
        <w:rPr>
          <w:bCs/>
        </w:rPr>
        <w:t xml:space="preserve">návrh </w:t>
      </w:r>
      <w:r w:rsidR="00A04CC6" w:rsidRPr="00A04CC6">
        <w:rPr>
          <w:bCs/>
        </w:rPr>
        <w:t>rozpočt</w:t>
      </w:r>
      <w:r>
        <w:rPr>
          <w:bCs/>
        </w:rPr>
        <w:t>u</w:t>
      </w:r>
      <w:r w:rsidR="00A04CC6" w:rsidRPr="00A04CC6">
        <w:rPr>
          <w:bCs/>
        </w:rPr>
        <w:t xml:space="preserve"> prináša </w:t>
      </w:r>
      <w:r w:rsidR="00494DFC">
        <w:rPr>
          <w:bCs/>
        </w:rPr>
        <w:t xml:space="preserve">nevyhnutné </w:t>
      </w:r>
      <w:r w:rsidR="00A04CC6" w:rsidRPr="00A04CC6">
        <w:rPr>
          <w:bCs/>
        </w:rPr>
        <w:t>úsilie o ozdravenie verejných financií, avšak konsolidácia je z veľkej časti založená na dočasných a príjmových opatreniach</w:t>
      </w:r>
      <w:r w:rsidR="008E48C8">
        <w:rPr>
          <w:bCs/>
        </w:rPr>
        <w:t xml:space="preserve"> (viac v kapitole 3.5)</w:t>
      </w:r>
      <w:r w:rsidR="00A04CC6" w:rsidRPr="00A04CC6">
        <w:rPr>
          <w:bCs/>
        </w:rPr>
        <w:t xml:space="preserve">. </w:t>
      </w:r>
      <w:r w:rsidR="00676399" w:rsidRPr="00676399">
        <w:rPr>
          <w:bCs/>
        </w:rPr>
        <w:t xml:space="preserve">Tretí konsolidačný balík by mal podľa odhadov znížiť deficit </w:t>
      </w:r>
      <w:r>
        <w:rPr>
          <w:bCs/>
        </w:rPr>
        <w:t xml:space="preserve">verejnej správy </w:t>
      </w:r>
      <w:r w:rsidR="00676399" w:rsidRPr="00676399">
        <w:rPr>
          <w:bCs/>
        </w:rPr>
        <w:t xml:space="preserve">v roku 2026 na 4,1 % HDP, avšak </w:t>
      </w:r>
      <w:r w:rsidR="002260BB">
        <w:rPr>
          <w:bCs/>
        </w:rPr>
        <w:t xml:space="preserve">toto zníženie bude len dočasné, keďže </w:t>
      </w:r>
      <w:r w:rsidR="00676399">
        <w:rPr>
          <w:bCs/>
        </w:rPr>
        <w:t xml:space="preserve">v roku 2027 by mal deficit </w:t>
      </w:r>
      <w:r>
        <w:rPr>
          <w:bCs/>
        </w:rPr>
        <w:t>opäť presiahnuť</w:t>
      </w:r>
      <w:r w:rsidR="00676399">
        <w:rPr>
          <w:bCs/>
        </w:rPr>
        <w:t xml:space="preserve"> 5 % HDP.</w:t>
      </w:r>
      <w:r>
        <w:rPr>
          <w:bCs/>
        </w:rPr>
        <w:t xml:space="preserve"> </w:t>
      </w:r>
      <w:r w:rsidRPr="005B0ED7">
        <w:t xml:space="preserve">Príjmy </w:t>
      </w:r>
      <w:r>
        <w:t>štátneho rozpočtu</w:t>
      </w:r>
      <w:r w:rsidRPr="005B0ED7">
        <w:t xml:space="preserve"> </w:t>
      </w:r>
      <w:r>
        <w:t>sú na rok 2026</w:t>
      </w:r>
      <w:r w:rsidRPr="005B0ED7">
        <w:t xml:space="preserve"> vo výške 27,8 mld. eur, čo je približne na úrovni rozpočtu na 2025. Celkové výdavky </w:t>
      </w:r>
      <w:r>
        <w:t xml:space="preserve">štátneho rozpočtu </w:t>
      </w:r>
      <w:r w:rsidRPr="005B0ED7">
        <w:t>by mali medziročne klesnúť o 0,4 mld. eur na 33,5 mld. eur. Medziročne sa rozpočtuje aj nižší schodok rozpočtu o 0,5 mld. eur na úrovni 5,7 mld. eur.</w:t>
      </w:r>
    </w:p>
    <w:p w14:paraId="27BE1D86" w14:textId="45F40A5E" w:rsidR="00A04CC6" w:rsidRDefault="002D0F6B" w:rsidP="00A04CC6">
      <w:r w:rsidRPr="0043353C">
        <w:rPr>
          <w:bCs/>
        </w:rPr>
        <w:t xml:space="preserve">V roku 2026 </w:t>
      </w:r>
      <w:r w:rsidR="00B074FF">
        <w:rPr>
          <w:bCs/>
        </w:rPr>
        <w:t xml:space="preserve">sa </w:t>
      </w:r>
      <w:r w:rsidRPr="0043353C">
        <w:rPr>
          <w:bCs/>
        </w:rPr>
        <w:t xml:space="preserve">očakáva nárast hrubého dlhu na úroveň 62,8 % HDP v </w:t>
      </w:r>
      <w:r w:rsidR="008E48C8">
        <w:rPr>
          <w:bCs/>
        </w:rPr>
        <w:t>sume</w:t>
      </w:r>
      <w:r w:rsidRPr="0043353C">
        <w:rPr>
          <w:bCs/>
        </w:rPr>
        <w:t xml:space="preserve"> 90,5 mld. eur. NKÚ SR považuje doteraz prijaté konsolidačné opatrenia za nedostatočné a dôrazne vyzýva na stabilizáciu verejných financií, keďže hrubý dlh VS by mohol v roku 2028 atakovať hranicu takmer 100 mld. eur.</w:t>
      </w:r>
      <w:r>
        <w:rPr>
          <w:bCs/>
        </w:rPr>
        <w:t xml:space="preserve"> </w:t>
      </w:r>
      <w:r w:rsidR="005B6B04" w:rsidRPr="005B6B04">
        <w:rPr>
          <w:bCs/>
        </w:rPr>
        <w:t>Výdavky na riadenie dlhu majú od roku 2026 presahovať 2 mld. eur</w:t>
      </w:r>
      <w:r w:rsidR="005B6B04">
        <w:rPr>
          <w:bCs/>
        </w:rPr>
        <w:t>.</w:t>
      </w:r>
      <w:r w:rsidR="005B6B04" w:rsidRPr="005B6B04">
        <w:rPr>
          <w:bCs/>
        </w:rPr>
        <w:t xml:space="preserve"> </w:t>
      </w:r>
      <w:r w:rsidR="00A04CC6">
        <w:t xml:space="preserve">Trvalé zlepšenie fiškálnej pozície si bude vyžadovať hlbšie systémové reformy a vyššiu </w:t>
      </w:r>
      <w:r w:rsidR="00375581">
        <w:t>predvídateľnosť</w:t>
      </w:r>
      <w:r w:rsidR="00A04CC6">
        <w:t xml:space="preserve"> výdavkových úspor.</w:t>
      </w:r>
    </w:p>
    <w:p w14:paraId="08D8B912" w14:textId="68A4885E" w:rsidR="008277B0" w:rsidRDefault="00397E45" w:rsidP="008277B0">
      <w:pPr>
        <w:pStyle w:val="Textpoznmkypodiarou"/>
        <w:spacing w:after="120" w:line="276" w:lineRule="auto"/>
        <w:rPr>
          <w:sz w:val="20"/>
          <w:szCs w:val="24"/>
        </w:rPr>
      </w:pPr>
      <w:r>
        <w:rPr>
          <w:sz w:val="20"/>
          <w:szCs w:val="24"/>
        </w:rPr>
        <w:t>V</w:t>
      </w:r>
      <w:r w:rsidRPr="004426E3">
        <w:rPr>
          <w:sz w:val="20"/>
          <w:szCs w:val="24"/>
        </w:rPr>
        <w:t xml:space="preserve">láda si pre najväčší objem konsolidácie na príjmovej strane </w:t>
      </w:r>
      <w:r w:rsidR="00014991">
        <w:rPr>
          <w:sz w:val="20"/>
          <w:szCs w:val="24"/>
        </w:rPr>
        <w:t>zvolila</w:t>
      </w:r>
      <w:r w:rsidRPr="004426E3">
        <w:rPr>
          <w:sz w:val="20"/>
          <w:szCs w:val="24"/>
        </w:rPr>
        <w:t xml:space="preserve"> </w:t>
      </w:r>
      <w:r w:rsidR="00676399">
        <w:rPr>
          <w:sz w:val="20"/>
          <w:szCs w:val="24"/>
        </w:rPr>
        <w:t xml:space="preserve">znova </w:t>
      </w:r>
      <w:r w:rsidRPr="004426E3">
        <w:rPr>
          <w:sz w:val="20"/>
          <w:szCs w:val="24"/>
        </w:rPr>
        <w:t xml:space="preserve">opatrenia zamerané na zvýšenie zdanenia práce a príjmov, ktoré už dnes patria </w:t>
      </w:r>
      <w:r w:rsidR="00676399">
        <w:rPr>
          <w:sz w:val="20"/>
          <w:szCs w:val="24"/>
        </w:rPr>
        <w:t xml:space="preserve">na Slovensku </w:t>
      </w:r>
      <w:r w:rsidRPr="004426E3">
        <w:rPr>
          <w:sz w:val="20"/>
          <w:szCs w:val="24"/>
        </w:rPr>
        <w:t>v rámci EÚ k najvyšším.</w:t>
      </w:r>
      <w:r>
        <w:rPr>
          <w:sz w:val="20"/>
          <w:szCs w:val="24"/>
        </w:rPr>
        <w:t xml:space="preserve"> Viaceré doteraz prijaté konsolidačné opatrenia vytvárajú priestor na zväčšovanie šedej ekonomiky.</w:t>
      </w:r>
      <w:r w:rsidR="008277B0">
        <w:rPr>
          <w:sz w:val="20"/>
          <w:szCs w:val="24"/>
        </w:rPr>
        <w:t xml:space="preserve"> </w:t>
      </w:r>
      <w:r w:rsidR="00EF5648" w:rsidRPr="00EF5648">
        <w:rPr>
          <w:sz w:val="20"/>
          <w:szCs w:val="24"/>
        </w:rPr>
        <w:t>V rámci pr</w:t>
      </w:r>
      <w:r w:rsidR="002E1306">
        <w:rPr>
          <w:sz w:val="20"/>
          <w:szCs w:val="24"/>
        </w:rPr>
        <w:t>ijatého</w:t>
      </w:r>
      <w:r w:rsidR="00EF5648" w:rsidRPr="00EF5648">
        <w:rPr>
          <w:sz w:val="20"/>
          <w:szCs w:val="24"/>
        </w:rPr>
        <w:t xml:space="preserve"> tretieho konsolidačného balíka </w:t>
      </w:r>
      <w:r w:rsidR="008277B0">
        <w:rPr>
          <w:sz w:val="20"/>
          <w:szCs w:val="24"/>
        </w:rPr>
        <w:t xml:space="preserve">však </w:t>
      </w:r>
      <w:r w:rsidR="00EF5648" w:rsidRPr="00EF5648">
        <w:rPr>
          <w:sz w:val="20"/>
          <w:szCs w:val="24"/>
        </w:rPr>
        <w:t>chýbajú konkrétne opatrenia na výdavkovej strane, ktoré by bolo možné objektívne zhodnotiť z hľadiska ich realizovateľnosti a udržateľnosti.</w:t>
      </w:r>
    </w:p>
    <w:p w14:paraId="53954EAC" w14:textId="79AE4553" w:rsidR="002260BB" w:rsidRDefault="008E48C8" w:rsidP="008277B0">
      <w:pPr>
        <w:pStyle w:val="Textpoznmkypodiarou"/>
        <w:spacing w:after="120" w:line="276" w:lineRule="auto"/>
        <w:rPr>
          <w:sz w:val="20"/>
          <w:szCs w:val="24"/>
        </w:rPr>
      </w:pPr>
      <w:r>
        <w:rPr>
          <w:sz w:val="20"/>
          <w:szCs w:val="24"/>
        </w:rPr>
        <w:t xml:space="preserve">NKÚ SR upozorňuje na riziko spojené </w:t>
      </w:r>
      <w:r w:rsidR="00E1328A">
        <w:rPr>
          <w:sz w:val="20"/>
          <w:szCs w:val="24"/>
        </w:rPr>
        <w:t xml:space="preserve">napríklad </w:t>
      </w:r>
      <w:r>
        <w:rPr>
          <w:sz w:val="20"/>
          <w:szCs w:val="24"/>
        </w:rPr>
        <w:t>s</w:t>
      </w:r>
      <w:r w:rsidR="002260BB" w:rsidRPr="002260BB">
        <w:rPr>
          <w:sz w:val="20"/>
          <w:szCs w:val="24"/>
        </w:rPr>
        <w:t xml:space="preserve"> financovan</w:t>
      </w:r>
      <w:r>
        <w:rPr>
          <w:sz w:val="20"/>
          <w:szCs w:val="24"/>
        </w:rPr>
        <w:t>ím</w:t>
      </w:r>
      <w:r w:rsidR="002260BB" w:rsidRPr="002260BB">
        <w:rPr>
          <w:sz w:val="20"/>
          <w:szCs w:val="24"/>
        </w:rPr>
        <w:t xml:space="preserve"> tzv. energopomoci vo výške 420 mil. eur</w:t>
      </w:r>
      <w:r>
        <w:rPr>
          <w:sz w:val="20"/>
          <w:szCs w:val="24"/>
        </w:rPr>
        <w:t>, ktoré je zatiaľ naplánované</w:t>
      </w:r>
      <w:r w:rsidR="002260BB" w:rsidRPr="002260BB">
        <w:rPr>
          <w:sz w:val="20"/>
          <w:szCs w:val="24"/>
        </w:rPr>
        <w:t xml:space="preserve"> z</w:t>
      </w:r>
      <w:r>
        <w:rPr>
          <w:sz w:val="20"/>
          <w:szCs w:val="24"/>
        </w:rPr>
        <w:t xml:space="preserve"> fondov EÚ a v rámci konsolidačných opatrení predstavuje len </w:t>
      </w:r>
      <w:r w:rsidR="00BA6E74">
        <w:rPr>
          <w:sz w:val="20"/>
          <w:szCs w:val="24"/>
        </w:rPr>
        <w:t>„</w:t>
      </w:r>
      <w:r>
        <w:rPr>
          <w:sz w:val="20"/>
          <w:szCs w:val="24"/>
        </w:rPr>
        <w:t>kvázi</w:t>
      </w:r>
      <w:r w:rsidR="00BA6E74">
        <w:rPr>
          <w:sz w:val="20"/>
          <w:szCs w:val="24"/>
        </w:rPr>
        <w:t>“</w:t>
      </w:r>
      <w:r>
        <w:rPr>
          <w:sz w:val="20"/>
          <w:szCs w:val="24"/>
        </w:rPr>
        <w:t xml:space="preserve"> úsporu</w:t>
      </w:r>
      <w:r w:rsidR="002260BB" w:rsidRPr="002260BB">
        <w:rPr>
          <w:sz w:val="20"/>
          <w:szCs w:val="24"/>
        </w:rPr>
        <w:t xml:space="preserve">. </w:t>
      </w:r>
      <w:r w:rsidRPr="008E48C8">
        <w:rPr>
          <w:sz w:val="20"/>
          <w:szCs w:val="24"/>
        </w:rPr>
        <w:t xml:space="preserve">V prípade schválenia </w:t>
      </w:r>
      <w:r>
        <w:rPr>
          <w:sz w:val="20"/>
          <w:szCs w:val="24"/>
        </w:rPr>
        <w:t xml:space="preserve">presunu </w:t>
      </w:r>
      <w:r w:rsidR="00E1328A">
        <w:rPr>
          <w:sz w:val="20"/>
          <w:szCs w:val="24"/>
        </w:rPr>
        <w:t xml:space="preserve">financovania energopomoci </w:t>
      </w:r>
      <w:r>
        <w:rPr>
          <w:sz w:val="20"/>
          <w:szCs w:val="24"/>
        </w:rPr>
        <w:t xml:space="preserve">na národné zdroje sa zo zdrojov EÚ budú financovať </w:t>
      </w:r>
      <w:r w:rsidR="00E1328A">
        <w:rPr>
          <w:sz w:val="20"/>
          <w:szCs w:val="24"/>
        </w:rPr>
        <w:t>projekty, ktoré ešte nie sú vybrané</w:t>
      </w:r>
      <w:r w:rsidR="002260BB" w:rsidRPr="002260BB">
        <w:rPr>
          <w:sz w:val="20"/>
          <w:szCs w:val="24"/>
        </w:rPr>
        <w:t xml:space="preserve">. </w:t>
      </w:r>
      <w:r w:rsidR="00E1328A">
        <w:rPr>
          <w:sz w:val="20"/>
          <w:szCs w:val="24"/>
        </w:rPr>
        <w:t>E</w:t>
      </w:r>
      <w:r>
        <w:rPr>
          <w:sz w:val="20"/>
          <w:szCs w:val="24"/>
        </w:rPr>
        <w:t>xistuje</w:t>
      </w:r>
      <w:r w:rsidR="002260BB" w:rsidRPr="002260BB">
        <w:rPr>
          <w:sz w:val="20"/>
          <w:szCs w:val="24"/>
        </w:rPr>
        <w:t xml:space="preserve"> </w:t>
      </w:r>
      <w:r w:rsidR="00E1328A">
        <w:rPr>
          <w:sz w:val="20"/>
          <w:szCs w:val="24"/>
        </w:rPr>
        <w:t xml:space="preserve">tak </w:t>
      </w:r>
      <w:r w:rsidR="002260BB" w:rsidRPr="002260BB">
        <w:rPr>
          <w:sz w:val="20"/>
          <w:szCs w:val="24"/>
        </w:rPr>
        <w:t>riziko nevyčerpania všetkých takto plánovaných prostriedkov</w:t>
      </w:r>
      <w:r w:rsidR="004A4EAA">
        <w:rPr>
          <w:sz w:val="20"/>
          <w:szCs w:val="24"/>
        </w:rPr>
        <w:t>, ktoré by mali byť primárne použité na znižovanie regionálnych rozdielov</w:t>
      </w:r>
      <w:r w:rsidR="002260BB" w:rsidRPr="002260BB">
        <w:rPr>
          <w:sz w:val="20"/>
          <w:szCs w:val="24"/>
        </w:rPr>
        <w:t>.</w:t>
      </w:r>
    </w:p>
    <w:p w14:paraId="6DA0C26C" w14:textId="1C29D617" w:rsidR="00676399" w:rsidRPr="003B7772" w:rsidRDefault="007C2EB4" w:rsidP="00676399">
      <w:pPr>
        <w:pStyle w:val="Textpoznmkypodiarou"/>
        <w:spacing w:after="120" w:line="276" w:lineRule="auto"/>
        <w:rPr>
          <w:sz w:val="20"/>
          <w:szCs w:val="24"/>
        </w:rPr>
      </w:pPr>
      <w:r>
        <w:rPr>
          <w:sz w:val="20"/>
          <w:szCs w:val="24"/>
        </w:rPr>
        <w:t xml:space="preserve">Rozpočet predpokladá, že </w:t>
      </w:r>
      <w:r w:rsidR="00676399" w:rsidRPr="003B7772">
        <w:rPr>
          <w:sz w:val="20"/>
          <w:szCs w:val="24"/>
        </w:rPr>
        <w:t xml:space="preserve">vo verejnej správe bude </w:t>
      </w:r>
      <w:r>
        <w:rPr>
          <w:sz w:val="20"/>
          <w:szCs w:val="24"/>
        </w:rPr>
        <w:t xml:space="preserve">v roku 2026 </w:t>
      </w:r>
      <w:r w:rsidR="00676399" w:rsidRPr="003B7772">
        <w:rPr>
          <w:sz w:val="20"/>
          <w:szCs w:val="24"/>
        </w:rPr>
        <w:t>zamestnaných medziročne o 2 786 osôb viac s rastom osobných výdavkov o 4,3 %, čo predstavuje nárast o 595 mil. eur</w:t>
      </w:r>
      <w:r>
        <w:rPr>
          <w:sz w:val="20"/>
          <w:szCs w:val="24"/>
        </w:rPr>
        <w:t xml:space="preserve">. </w:t>
      </w:r>
      <w:r w:rsidR="00676399" w:rsidRPr="003B7772">
        <w:rPr>
          <w:sz w:val="20"/>
          <w:szCs w:val="24"/>
        </w:rPr>
        <w:t xml:space="preserve">Medziročný rast výdavkov v kategórii tovary a služby </w:t>
      </w:r>
      <w:r w:rsidR="002260BB">
        <w:rPr>
          <w:sz w:val="20"/>
          <w:szCs w:val="24"/>
        </w:rPr>
        <w:t xml:space="preserve">o </w:t>
      </w:r>
      <w:r w:rsidR="00676399" w:rsidRPr="003B7772">
        <w:rPr>
          <w:sz w:val="20"/>
          <w:szCs w:val="24"/>
        </w:rPr>
        <w:t xml:space="preserve">17,8 % naznačuje, že kapitoly </w:t>
      </w:r>
      <w:r w:rsidR="002260BB">
        <w:rPr>
          <w:sz w:val="20"/>
          <w:szCs w:val="24"/>
        </w:rPr>
        <w:t>štátneho rozpočtu</w:t>
      </w:r>
      <w:r w:rsidR="00676399" w:rsidRPr="003B7772">
        <w:rPr>
          <w:sz w:val="20"/>
          <w:szCs w:val="24"/>
        </w:rPr>
        <w:t xml:space="preserve"> zatiaľ nepristúpili k</w:t>
      </w:r>
      <w:r w:rsidR="001739F0">
        <w:rPr>
          <w:sz w:val="20"/>
          <w:szCs w:val="24"/>
        </w:rPr>
        <w:t> </w:t>
      </w:r>
      <w:r w:rsidR="00676399" w:rsidRPr="003B7772">
        <w:rPr>
          <w:sz w:val="20"/>
          <w:szCs w:val="24"/>
        </w:rPr>
        <w:t xml:space="preserve">zásadnejšej racionalizácii svojich vnútorných procesov ani k znižovaniu neefektívnych nákladov. Investičné výdavky </w:t>
      </w:r>
      <w:r w:rsidR="002260BB">
        <w:rPr>
          <w:sz w:val="20"/>
          <w:szCs w:val="24"/>
        </w:rPr>
        <w:t xml:space="preserve">však </w:t>
      </w:r>
      <w:r w:rsidR="00676399" w:rsidRPr="003B7772">
        <w:rPr>
          <w:sz w:val="20"/>
          <w:szCs w:val="24"/>
        </w:rPr>
        <w:t>zostávajú nízke</w:t>
      </w:r>
      <w:r w:rsidR="002260BB">
        <w:rPr>
          <w:sz w:val="20"/>
          <w:szCs w:val="24"/>
        </w:rPr>
        <w:t xml:space="preserve">, poklesnú medziročne o </w:t>
      </w:r>
      <w:r w:rsidR="00676399" w:rsidRPr="003B7772">
        <w:rPr>
          <w:sz w:val="20"/>
          <w:szCs w:val="24"/>
        </w:rPr>
        <w:t>16,1 %.</w:t>
      </w:r>
    </w:p>
    <w:p w14:paraId="2A08F483" w14:textId="6355216E" w:rsidR="007C2EB4" w:rsidRDefault="007C2EB4" w:rsidP="007C2EB4">
      <w:pPr>
        <w:pStyle w:val="Textpoznmkypodiarou"/>
        <w:spacing w:after="120" w:line="276" w:lineRule="auto"/>
        <w:rPr>
          <w:sz w:val="20"/>
          <w:szCs w:val="24"/>
        </w:rPr>
      </w:pPr>
      <w:r w:rsidRPr="003B7772">
        <w:rPr>
          <w:sz w:val="20"/>
          <w:szCs w:val="24"/>
        </w:rPr>
        <w:t xml:space="preserve">Napriek rozširujúcemu sa štátnemu aparátu a prebiehajúcej konsolidácii sa vo </w:t>
      </w:r>
      <w:r>
        <w:rPr>
          <w:sz w:val="20"/>
          <w:szCs w:val="24"/>
        </w:rPr>
        <w:t>verejnej správe</w:t>
      </w:r>
      <w:r w:rsidRPr="003B7772">
        <w:rPr>
          <w:sz w:val="20"/>
          <w:szCs w:val="24"/>
        </w:rPr>
        <w:t xml:space="preserve"> prejavuje duplicita kompetencií, nejasné rozdelenie zodpovednost</w:t>
      </w:r>
      <w:r>
        <w:rPr>
          <w:sz w:val="20"/>
          <w:szCs w:val="24"/>
        </w:rPr>
        <w:t>í</w:t>
      </w:r>
      <w:r w:rsidRPr="003B7772">
        <w:rPr>
          <w:sz w:val="20"/>
          <w:szCs w:val="24"/>
        </w:rPr>
        <w:t xml:space="preserve"> a riziko neefektívneho využívania verejných </w:t>
      </w:r>
      <w:r w:rsidRPr="003B7772">
        <w:rPr>
          <w:sz w:val="20"/>
          <w:szCs w:val="24"/>
        </w:rPr>
        <w:lastRenderedPageBreak/>
        <w:t>zdrojov.</w:t>
      </w:r>
      <w:r>
        <w:rPr>
          <w:sz w:val="20"/>
          <w:szCs w:val="24"/>
        </w:rPr>
        <w:t xml:space="preserve"> </w:t>
      </w:r>
      <w:r w:rsidRPr="003B7772">
        <w:rPr>
          <w:sz w:val="20"/>
          <w:szCs w:val="24"/>
        </w:rPr>
        <w:t xml:space="preserve">Celkové výdavky </w:t>
      </w:r>
      <w:r>
        <w:rPr>
          <w:sz w:val="20"/>
          <w:szCs w:val="24"/>
        </w:rPr>
        <w:t>verejnej správy</w:t>
      </w:r>
      <w:r w:rsidRPr="003B7772">
        <w:rPr>
          <w:sz w:val="20"/>
          <w:szCs w:val="24"/>
        </w:rPr>
        <w:t xml:space="preserve"> </w:t>
      </w:r>
      <w:r w:rsidR="00A05026">
        <w:rPr>
          <w:sz w:val="20"/>
          <w:szCs w:val="24"/>
        </w:rPr>
        <w:t xml:space="preserve">sa </w:t>
      </w:r>
      <w:r w:rsidRPr="003B7772">
        <w:rPr>
          <w:sz w:val="20"/>
          <w:szCs w:val="24"/>
        </w:rPr>
        <w:t>na rok 2026 rozpočtujú v objeme 67,9 mld. eur</w:t>
      </w:r>
      <w:r>
        <w:rPr>
          <w:sz w:val="20"/>
          <w:szCs w:val="24"/>
        </w:rPr>
        <w:t>,</w:t>
      </w:r>
      <w:r w:rsidRPr="003B7772">
        <w:rPr>
          <w:sz w:val="20"/>
          <w:szCs w:val="24"/>
        </w:rPr>
        <w:t xml:space="preserve"> pričom kapitálové výdavky zamerané na dlhodobé investície do majetku, rezerv alebo podpory projektov z nich tvoria iba 9,4 %, čo má v dlhodobom horizonte negatívne </w:t>
      </w:r>
      <w:r w:rsidR="005525D8">
        <w:rPr>
          <w:sz w:val="20"/>
          <w:szCs w:val="24"/>
        </w:rPr>
        <w:t>vplyvy</w:t>
      </w:r>
      <w:r w:rsidRPr="003B7772">
        <w:rPr>
          <w:sz w:val="20"/>
          <w:szCs w:val="24"/>
        </w:rPr>
        <w:t xml:space="preserve"> na modernizáciu infraštruktúry či podporu hospodárskeho rastu.</w:t>
      </w:r>
    </w:p>
    <w:p w14:paraId="17D9C0F9" w14:textId="48BAA208" w:rsidR="00A05026" w:rsidRPr="003B7772" w:rsidRDefault="00861694" w:rsidP="007C2EB4">
      <w:pPr>
        <w:pStyle w:val="Textpoznmkypodiarou"/>
        <w:spacing w:after="120" w:line="276" w:lineRule="auto"/>
        <w:rPr>
          <w:sz w:val="20"/>
          <w:szCs w:val="24"/>
        </w:rPr>
      </w:pPr>
      <w:r w:rsidRPr="00861694">
        <w:rPr>
          <w:sz w:val="20"/>
          <w:szCs w:val="24"/>
        </w:rPr>
        <w:t xml:space="preserve">Pri súčasnom čerpaní dostupných prostriedkov z EÚ existuje riziko, že financovanie niektorých investičných projektov bude potrebné zabezpečiť z vlastných zdrojov. Vláda SR by mala cielene podporovať investície vychádzajúce z vlastného ekonomického rastu, ktorý zároveň vytvára priaznivé podmienky na prilákanie zahraničných investorov. Stabilné podnikateľské prostredie, podpora výskumu a inovácií a zlepšenie kvalifikácie pracovnej sily sú pritom kľúčové pre rozvoj ekonomiky so zameraním na odvetvia s vyššou pridanou hodnotou. Podpora domácich investícií spolu so zahraničnými investíciami </w:t>
      </w:r>
      <w:r w:rsidR="00E0250C">
        <w:rPr>
          <w:sz w:val="20"/>
          <w:szCs w:val="24"/>
        </w:rPr>
        <w:t xml:space="preserve">by </w:t>
      </w:r>
      <w:r w:rsidRPr="00861694">
        <w:rPr>
          <w:sz w:val="20"/>
          <w:szCs w:val="24"/>
        </w:rPr>
        <w:t>posiln</w:t>
      </w:r>
      <w:r w:rsidR="00E0250C">
        <w:rPr>
          <w:sz w:val="20"/>
          <w:szCs w:val="24"/>
        </w:rPr>
        <w:t>ila</w:t>
      </w:r>
      <w:r w:rsidRPr="00861694">
        <w:rPr>
          <w:sz w:val="20"/>
          <w:szCs w:val="24"/>
        </w:rPr>
        <w:t xml:space="preserve"> finančnú stabilitu Slovenska a zabezpeč</w:t>
      </w:r>
      <w:r w:rsidR="00E0250C">
        <w:rPr>
          <w:sz w:val="20"/>
          <w:szCs w:val="24"/>
        </w:rPr>
        <w:t>ila</w:t>
      </w:r>
      <w:r w:rsidRPr="00861694">
        <w:rPr>
          <w:sz w:val="20"/>
          <w:szCs w:val="24"/>
        </w:rPr>
        <w:t xml:space="preserve"> udržateľný ekonomický rast.</w:t>
      </w:r>
    </w:p>
    <w:p w14:paraId="11129078" w14:textId="70618AC3" w:rsidR="001739F0" w:rsidRDefault="004A4EAA" w:rsidP="00676399">
      <w:pPr>
        <w:pStyle w:val="Textpoznmkypodiarou"/>
        <w:spacing w:after="120" w:line="276" w:lineRule="auto"/>
        <w:rPr>
          <w:sz w:val="20"/>
          <w:szCs w:val="24"/>
        </w:rPr>
      </w:pPr>
      <w:r>
        <w:rPr>
          <w:sz w:val="20"/>
          <w:szCs w:val="24"/>
        </w:rPr>
        <w:t>Pretrvávajúci v</w:t>
      </w:r>
      <w:r w:rsidR="00676399" w:rsidRPr="004A6B45">
        <w:rPr>
          <w:sz w:val="20"/>
          <w:szCs w:val="24"/>
        </w:rPr>
        <w:t>ysoký deficit Sociálnej poisťovne je zapríčinený kombináciou legislatívnych zmien (13. dôchodky, predčasné dôchodky po 40 odpracovaných rokoch) a valorizácie dôchodkov naviazanej na infláciu, ako aj zvyšovania priemernej mzdy, ktorá ovplyvňuje aktuálnu dôchodkovú hodnotu</w:t>
      </w:r>
      <w:r w:rsidR="00676399">
        <w:rPr>
          <w:sz w:val="20"/>
          <w:szCs w:val="24"/>
        </w:rPr>
        <w:t xml:space="preserve">. </w:t>
      </w:r>
      <w:r w:rsidR="00676399" w:rsidRPr="004A6B45">
        <w:rPr>
          <w:sz w:val="20"/>
          <w:szCs w:val="24"/>
        </w:rPr>
        <w:t>Pravidelné riešenie deficitu dôchodkového poistenia prostredníctvom transferu zo štátneho rozpočtu ohrozuje udržateľnosť verejných financií.</w:t>
      </w:r>
    </w:p>
    <w:p w14:paraId="5E1299AB" w14:textId="14008F4F" w:rsidR="00676399" w:rsidRPr="0016475A" w:rsidRDefault="00676399" w:rsidP="00676399">
      <w:pPr>
        <w:pStyle w:val="Textpoznmkypodiarou"/>
        <w:spacing w:after="120" w:line="276" w:lineRule="auto"/>
        <w:rPr>
          <w:strike/>
          <w:sz w:val="20"/>
          <w:szCs w:val="24"/>
        </w:rPr>
      </w:pPr>
      <w:r w:rsidRPr="004A6B45">
        <w:rPr>
          <w:sz w:val="20"/>
          <w:szCs w:val="24"/>
        </w:rPr>
        <w:t>Pozitívne je, že pre rok 2026 je transfer pre Sociálnu poisťovňu plánovaný vo výške 2,3 mld. eur, čo je medziročne o 405,8 mil. eur menej. Dôvodom sú zmeny v zákone o sociálnom poistení</w:t>
      </w:r>
      <w:r>
        <w:rPr>
          <w:sz w:val="20"/>
          <w:szCs w:val="24"/>
        </w:rPr>
        <w:t xml:space="preserve">, ktoré </w:t>
      </w:r>
      <w:r w:rsidRPr="004A6B45">
        <w:rPr>
          <w:sz w:val="20"/>
          <w:szCs w:val="24"/>
        </w:rPr>
        <w:t>upravili rodičovský dôchodok, sťažili prístup k</w:t>
      </w:r>
      <w:r w:rsidR="005B6B04">
        <w:rPr>
          <w:sz w:val="20"/>
          <w:szCs w:val="24"/>
        </w:rPr>
        <w:t> predčasných dôchodkom po odpracovaní 40 rokov</w:t>
      </w:r>
      <w:r w:rsidRPr="004A6B45">
        <w:rPr>
          <w:sz w:val="20"/>
          <w:szCs w:val="24"/>
        </w:rPr>
        <w:t xml:space="preserve"> a prijaté konsolidačné opatrenia, </w:t>
      </w:r>
      <w:r>
        <w:rPr>
          <w:sz w:val="20"/>
          <w:szCs w:val="24"/>
        </w:rPr>
        <w:t>ktoré</w:t>
      </w:r>
      <w:r w:rsidRPr="004A6B45">
        <w:rPr>
          <w:sz w:val="20"/>
          <w:szCs w:val="24"/>
        </w:rPr>
        <w:t xml:space="preserve"> zmrazili rast 13. dôchodku</w:t>
      </w:r>
      <w:r>
        <w:rPr>
          <w:sz w:val="20"/>
          <w:szCs w:val="24"/>
        </w:rPr>
        <w:t xml:space="preserve"> a zvýšili odvodové povinnosti </w:t>
      </w:r>
      <w:r w:rsidR="00B74166">
        <w:rPr>
          <w:sz w:val="20"/>
          <w:szCs w:val="24"/>
        </w:rPr>
        <w:t xml:space="preserve">živnostníkov </w:t>
      </w:r>
      <w:r>
        <w:rPr>
          <w:sz w:val="20"/>
          <w:szCs w:val="24"/>
        </w:rPr>
        <w:t>voči S</w:t>
      </w:r>
      <w:r w:rsidR="005B6B04">
        <w:rPr>
          <w:sz w:val="20"/>
          <w:szCs w:val="24"/>
        </w:rPr>
        <w:t>ociálnej poisťovni</w:t>
      </w:r>
      <w:r w:rsidRPr="004A6B45">
        <w:rPr>
          <w:sz w:val="20"/>
          <w:szCs w:val="24"/>
        </w:rPr>
        <w:t>.</w:t>
      </w:r>
      <w:r w:rsidR="001739F0" w:rsidRPr="001739F0">
        <w:t xml:space="preserve"> </w:t>
      </w:r>
      <w:r w:rsidR="001739F0" w:rsidRPr="001739F0">
        <w:rPr>
          <w:sz w:val="20"/>
          <w:szCs w:val="24"/>
        </w:rPr>
        <w:t>V tejto súvislosti NKÚ SR poukazuje aj na nepriaznivý demografický vývoj, ktorý dokumentuje okrem starnutia obyvateľstva aj vývoj hrubej miery živorodenosti.</w:t>
      </w:r>
    </w:p>
    <w:p w14:paraId="2DB93CFD" w14:textId="6244A3EF" w:rsidR="006F2D60" w:rsidRDefault="00F6204D" w:rsidP="00D34F87">
      <w:pPr>
        <w:pStyle w:val="Textpoznmkypodiarou"/>
        <w:spacing w:after="120" w:line="276" w:lineRule="auto"/>
        <w:rPr>
          <w:sz w:val="20"/>
          <w:szCs w:val="24"/>
        </w:rPr>
      </w:pPr>
      <w:r w:rsidRPr="00F6204D">
        <w:rPr>
          <w:sz w:val="20"/>
          <w:szCs w:val="24"/>
        </w:rPr>
        <w:t xml:space="preserve">Rezort zdravotníctva </w:t>
      </w:r>
      <w:r w:rsidR="004A4EAA">
        <w:rPr>
          <w:sz w:val="20"/>
          <w:szCs w:val="24"/>
        </w:rPr>
        <w:t>má</w:t>
      </w:r>
      <w:r w:rsidRPr="00F6204D">
        <w:rPr>
          <w:sz w:val="20"/>
          <w:szCs w:val="24"/>
        </w:rPr>
        <w:t xml:space="preserve"> dlhodobé problémy, ktoré sa nedarí eliminovať. Nepretržite rastie zadlženosť nemocníc, vo väčšine prípadov sa neplnia úsporné opatrenia v rezorte zdravotníctva, narastá riziko nedostupnosti poskytovaných služieb z dôvodu starnutia zdravotníckych pracovníkov</w:t>
      </w:r>
      <w:r w:rsidR="004A4EAA">
        <w:rPr>
          <w:sz w:val="20"/>
          <w:szCs w:val="24"/>
        </w:rPr>
        <w:t>, pričom však</w:t>
      </w:r>
      <w:r w:rsidRPr="00F6204D">
        <w:rPr>
          <w:sz w:val="20"/>
          <w:szCs w:val="24"/>
        </w:rPr>
        <w:t xml:space="preserve"> celkové výdavky </w:t>
      </w:r>
      <w:r>
        <w:rPr>
          <w:sz w:val="20"/>
          <w:szCs w:val="24"/>
        </w:rPr>
        <w:t>verejného zdravotného poistenia</w:t>
      </w:r>
      <w:r w:rsidRPr="00F6204D">
        <w:rPr>
          <w:sz w:val="20"/>
          <w:szCs w:val="24"/>
        </w:rPr>
        <w:t xml:space="preserve"> rastú rýchlejšie ako </w:t>
      </w:r>
      <w:r w:rsidR="00B74166">
        <w:rPr>
          <w:sz w:val="20"/>
          <w:szCs w:val="24"/>
        </w:rPr>
        <w:t>hrubý domáci produkt</w:t>
      </w:r>
      <w:r w:rsidRPr="00F6204D">
        <w:rPr>
          <w:sz w:val="20"/>
          <w:szCs w:val="24"/>
        </w:rPr>
        <w:t xml:space="preserve">. Akákoľvek zvýšená alokácia </w:t>
      </w:r>
      <w:r w:rsidR="004A4EAA">
        <w:rPr>
          <w:sz w:val="20"/>
          <w:szCs w:val="24"/>
        </w:rPr>
        <w:t xml:space="preserve">zdrojov </w:t>
      </w:r>
      <w:r w:rsidRPr="00F6204D">
        <w:rPr>
          <w:sz w:val="20"/>
          <w:szCs w:val="24"/>
        </w:rPr>
        <w:t xml:space="preserve">do systému </w:t>
      </w:r>
      <w:r>
        <w:rPr>
          <w:sz w:val="20"/>
          <w:szCs w:val="24"/>
        </w:rPr>
        <w:t>verejného zdravotného poistenia</w:t>
      </w:r>
      <w:r w:rsidRPr="00F6204D">
        <w:rPr>
          <w:sz w:val="20"/>
          <w:szCs w:val="24"/>
        </w:rPr>
        <w:t xml:space="preserve"> len prechádza systémom, no </w:t>
      </w:r>
      <w:r w:rsidR="004A4EAA">
        <w:rPr>
          <w:sz w:val="20"/>
          <w:szCs w:val="24"/>
        </w:rPr>
        <w:t>nevyužíva sa dostatočne efektívne</w:t>
      </w:r>
      <w:r w:rsidRPr="00F6204D">
        <w:rPr>
          <w:sz w:val="20"/>
          <w:szCs w:val="24"/>
        </w:rPr>
        <w:t>.</w:t>
      </w:r>
    </w:p>
    <w:p w14:paraId="028D4A70" w14:textId="435116B8" w:rsidR="006F2D60" w:rsidRPr="006F2D60" w:rsidRDefault="006F2D60" w:rsidP="006F2D60">
      <w:pPr>
        <w:pStyle w:val="Textpoznmkypodiarou"/>
        <w:spacing w:after="120" w:line="276" w:lineRule="auto"/>
        <w:rPr>
          <w:sz w:val="20"/>
          <w:szCs w:val="24"/>
        </w:rPr>
      </w:pPr>
      <w:r w:rsidRPr="006F2D60">
        <w:rPr>
          <w:sz w:val="20"/>
          <w:szCs w:val="24"/>
        </w:rPr>
        <w:t xml:space="preserve">Čerpanie </w:t>
      </w:r>
      <w:r w:rsidR="00861694">
        <w:rPr>
          <w:sz w:val="20"/>
          <w:szCs w:val="24"/>
        </w:rPr>
        <w:t xml:space="preserve">eurofondov </w:t>
      </w:r>
      <w:r>
        <w:rPr>
          <w:sz w:val="20"/>
          <w:szCs w:val="24"/>
        </w:rPr>
        <w:t>pro</w:t>
      </w:r>
      <w:r w:rsidR="003B7772">
        <w:rPr>
          <w:sz w:val="20"/>
          <w:szCs w:val="24"/>
        </w:rPr>
        <w:t>g</w:t>
      </w:r>
      <w:r>
        <w:rPr>
          <w:sz w:val="20"/>
          <w:szCs w:val="24"/>
        </w:rPr>
        <w:t>ramového</w:t>
      </w:r>
      <w:r w:rsidRPr="006F2D60">
        <w:rPr>
          <w:sz w:val="20"/>
          <w:szCs w:val="24"/>
        </w:rPr>
        <w:t xml:space="preserve"> obdobia 2021 – 2027 po viac ako polovici obdobia oprávnenosti dosahuje 10,3 % (1,3 mld. eur). </w:t>
      </w:r>
      <w:r>
        <w:rPr>
          <w:sz w:val="20"/>
          <w:szCs w:val="24"/>
        </w:rPr>
        <w:t>Z</w:t>
      </w:r>
      <w:r w:rsidRPr="006F2D60">
        <w:rPr>
          <w:sz w:val="20"/>
          <w:szCs w:val="24"/>
        </w:rPr>
        <w:t xml:space="preserve"> </w:t>
      </w:r>
      <w:r w:rsidR="00861694">
        <w:rPr>
          <w:sz w:val="20"/>
          <w:szCs w:val="24"/>
        </w:rPr>
        <w:t>P</w:t>
      </w:r>
      <w:r w:rsidRPr="006F2D60">
        <w:rPr>
          <w:sz w:val="20"/>
          <w:szCs w:val="24"/>
        </w:rPr>
        <w:t>rogramu Slovensko bude do konca roku 2026 potrebné vyčerpať takmer dvojnásobok doteraz čerpaných prostriedkov (2,3 mld. eur). Schválenie legislatívy E</w:t>
      </w:r>
      <w:r w:rsidR="00B74166">
        <w:rPr>
          <w:sz w:val="20"/>
          <w:szCs w:val="24"/>
        </w:rPr>
        <w:t>urópskej komisie</w:t>
      </w:r>
      <w:r w:rsidRPr="006F2D60">
        <w:rPr>
          <w:sz w:val="20"/>
          <w:szCs w:val="24"/>
        </w:rPr>
        <w:t xml:space="preserve"> k Modernizovanej kohéznej politike </w:t>
      </w:r>
      <w:r w:rsidR="00B74166">
        <w:rPr>
          <w:sz w:val="20"/>
          <w:szCs w:val="24"/>
        </w:rPr>
        <w:t xml:space="preserve">však </w:t>
      </w:r>
      <w:r w:rsidRPr="006F2D60">
        <w:rPr>
          <w:sz w:val="20"/>
          <w:szCs w:val="24"/>
        </w:rPr>
        <w:t xml:space="preserve">otvára možnosti nielen pre zvýšenie absorpcie </w:t>
      </w:r>
      <w:r w:rsidR="00B74166">
        <w:rPr>
          <w:sz w:val="20"/>
          <w:szCs w:val="24"/>
        </w:rPr>
        <w:t xml:space="preserve">týchto </w:t>
      </w:r>
      <w:r w:rsidRPr="006F2D60">
        <w:rPr>
          <w:sz w:val="20"/>
          <w:szCs w:val="24"/>
        </w:rPr>
        <w:t>prostriedkov</w:t>
      </w:r>
      <w:r>
        <w:rPr>
          <w:sz w:val="20"/>
          <w:szCs w:val="24"/>
        </w:rPr>
        <w:t>,</w:t>
      </w:r>
      <w:r w:rsidRPr="006F2D60">
        <w:rPr>
          <w:sz w:val="20"/>
          <w:szCs w:val="24"/>
        </w:rPr>
        <w:t xml:space="preserve"> ale aj pre zníženie časti alokácie, ktorú je potrebné vyčerpať do konca roka 2026.</w:t>
      </w:r>
    </w:p>
    <w:p w14:paraId="769A463F" w14:textId="5B1D32DA" w:rsidR="004A4EAA" w:rsidRDefault="006F2D60" w:rsidP="006F2D60">
      <w:pPr>
        <w:pStyle w:val="Textpoznmkypodiarou"/>
        <w:spacing w:after="120" w:line="276" w:lineRule="auto"/>
        <w:rPr>
          <w:sz w:val="20"/>
          <w:szCs w:val="24"/>
        </w:rPr>
      </w:pPr>
      <w:r w:rsidRPr="006F2D60">
        <w:rPr>
          <w:sz w:val="20"/>
          <w:szCs w:val="24"/>
        </w:rPr>
        <w:t xml:space="preserve">Ku koncu augusta 2026 uplynie lehota na splnenie všetkých 221 míľnikov a cieľov </w:t>
      </w:r>
      <w:r>
        <w:rPr>
          <w:sz w:val="20"/>
          <w:szCs w:val="24"/>
        </w:rPr>
        <w:t>plánu obnovy</w:t>
      </w:r>
      <w:r w:rsidRPr="006F2D60">
        <w:rPr>
          <w:sz w:val="20"/>
          <w:szCs w:val="24"/>
        </w:rPr>
        <w:t>, ku ktorým sa Slovensko zaviazalo. Ku koncu septembra 2025 miera plnenia dosahuje 42,1 % a v prípade pozitívneho stanoviska E</w:t>
      </w:r>
      <w:r w:rsidR="00B74166">
        <w:rPr>
          <w:sz w:val="20"/>
          <w:szCs w:val="24"/>
        </w:rPr>
        <w:t>urópskej komisie k</w:t>
      </w:r>
      <w:r w:rsidRPr="006F2D60">
        <w:rPr>
          <w:sz w:val="20"/>
          <w:szCs w:val="24"/>
        </w:rPr>
        <w:t xml:space="preserve"> </w:t>
      </w:r>
      <w:r w:rsidR="00861694">
        <w:rPr>
          <w:sz w:val="20"/>
          <w:szCs w:val="24"/>
        </w:rPr>
        <w:t>šiestej</w:t>
      </w:r>
      <w:r w:rsidRPr="006F2D60">
        <w:rPr>
          <w:sz w:val="20"/>
          <w:szCs w:val="24"/>
        </w:rPr>
        <w:t xml:space="preserve"> žiadosti o platbu sa navýši na 56,1 %. V rámci posledných troch žiadostí o platbu bude potrebné odpočtovať prevažne investície, kde pri viacerých dochádza k omeškaniu oproti harmonogramu. S</w:t>
      </w:r>
      <w:r w:rsidR="00861694">
        <w:rPr>
          <w:sz w:val="20"/>
          <w:szCs w:val="24"/>
        </w:rPr>
        <w:t>lovensko</w:t>
      </w:r>
      <w:r w:rsidRPr="006F2D60">
        <w:rPr>
          <w:sz w:val="20"/>
          <w:szCs w:val="24"/>
        </w:rPr>
        <w:t xml:space="preserve"> preto </w:t>
      </w:r>
      <w:r w:rsidR="00EC563F">
        <w:rPr>
          <w:sz w:val="20"/>
          <w:szCs w:val="24"/>
        </w:rPr>
        <w:t>preložilo</w:t>
      </w:r>
      <w:r w:rsidRPr="006F2D60">
        <w:rPr>
          <w:sz w:val="20"/>
          <w:szCs w:val="24"/>
        </w:rPr>
        <w:t xml:space="preserve"> návrh revízie</w:t>
      </w:r>
      <w:r>
        <w:rPr>
          <w:sz w:val="20"/>
          <w:szCs w:val="24"/>
        </w:rPr>
        <w:t>,</w:t>
      </w:r>
      <w:r w:rsidRPr="006F2D60">
        <w:rPr>
          <w:sz w:val="20"/>
          <w:szCs w:val="24"/>
        </w:rPr>
        <w:t xml:space="preserve"> v rámci ktorej navrhl</w:t>
      </w:r>
      <w:r w:rsidR="00861694">
        <w:rPr>
          <w:sz w:val="20"/>
          <w:szCs w:val="24"/>
        </w:rPr>
        <w:t>o</w:t>
      </w:r>
      <w:r w:rsidRPr="006F2D60">
        <w:rPr>
          <w:sz w:val="20"/>
          <w:szCs w:val="24"/>
        </w:rPr>
        <w:t xml:space="preserve"> úpravy aj nahradenie niektorých míľnikov a cieľov, pri ktorých hrozí riziko </w:t>
      </w:r>
      <w:r w:rsidR="00861694">
        <w:rPr>
          <w:sz w:val="20"/>
          <w:szCs w:val="24"/>
        </w:rPr>
        <w:t xml:space="preserve">ich </w:t>
      </w:r>
      <w:r w:rsidRPr="006F2D60">
        <w:rPr>
          <w:sz w:val="20"/>
          <w:szCs w:val="24"/>
        </w:rPr>
        <w:t>neplnenia.</w:t>
      </w:r>
    </w:p>
    <w:p w14:paraId="23BE2BD6" w14:textId="5CD98E64" w:rsidR="003013A9" w:rsidRDefault="004A4EAA" w:rsidP="006F2D60">
      <w:pPr>
        <w:pStyle w:val="Textpoznmkypodiarou"/>
        <w:spacing w:after="120" w:line="276" w:lineRule="auto"/>
        <w:rPr>
          <w:sz w:val="20"/>
          <w:szCs w:val="24"/>
        </w:rPr>
      </w:pPr>
      <w:r w:rsidRPr="004A4EAA">
        <w:rPr>
          <w:sz w:val="20"/>
          <w:szCs w:val="24"/>
        </w:rPr>
        <w:t xml:space="preserve">Na základe predloženého návrhu </w:t>
      </w:r>
      <w:r>
        <w:rPr>
          <w:sz w:val="20"/>
          <w:szCs w:val="24"/>
        </w:rPr>
        <w:t>š</w:t>
      </w:r>
      <w:r w:rsidRPr="004A4EAA">
        <w:rPr>
          <w:sz w:val="20"/>
          <w:szCs w:val="24"/>
        </w:rPr>
        <w:t>tátneho rozpočtu SR na rok 2026 NKÚ SR upozorňuje, že riziká naplnenia tohto návrhu sú vysoké na príjmovej i výdavkovej strane rozpočtu. Najväčší nedostatok vidí v tom, že rozpočet, ktorý má prívlastok „konsolidačný“ neplní dostatočným spôsobom túto funkciu. Zvýšené príjmy nesmerujú do znižovania deficitov verejných financií, ale ich zvyšujú.</w:t>
      </w:r>
    </w:p>
    <w:p w14:paraId="02464534" w14:textId="6D8511D0" w:rsidR="00441315" w:rsidRPr="000861DA" w:rsidRDefault="003013A9" w:rsidP="003013A9">
      <w:pPr>
        <w:spacing w:after="160" w:line="259" w:lineRule="auto"/>
        <w:jc w:val="left"/>
        <w:rPr>
          <w:szCs w:val="24"/>
        </w:rPr>
      </w:pPr>
      <w:r>
        <w:rPr>
          <w:noProof/>
          <w:szCs w:val="24"/>
          <w:lang w:eastAsia="sk-SK"/>
        </w:rPr>
        <w:lastRenderedPageBreak/>
        <w:drawing>
          <wp:inline distT="0" distB="0" distL="0" distR="0" wp14:anchorId="25094656" wp14:editId="7820219D">
            <wp:extent cx="5759450" cy="8146415"/>
            <wp:effectExtent l="0" t="0" r="0" b="6985"/>
            <wp:docPr id="1133525612" name="Obrázok 2" descr="Obrázok, na ktorom je text, snímka obrazovky, písmo, online reklam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25612" name="Obrázok 2" descr="Obrázok, na ktorom je text, snímka obrazovky, písmo, online reklama&#10;&#10;Obsah vygenerovaný pomocou AI môže byť nesprávny."/>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pic:spPr>
                </pic:pic>
              </a:graphicData>
            </a:graphic>
          </wp:inline>
        </w:drawing>
      </w:r>
      <w:r>
        <w:rPr>
          <w:szCs w:val="24"/>
        </w:rPr>
        <w:br w:type="page"/>
      </w:r>
    </w:p>
    <w:p w14:paraId="2BAF7B7D" w14:textId="7281F76E" w:rsidR="005414A2" w:rsidRDefault="005414A2" w:rsidP="005414A2">
      <w:pPr>
        <w:pStyle w:val="Nadpis1"/>
        <w:rPr>
          <w:lang w:eastAsia="sk-SK"/>
        </w:rPr>
      </w:pPr>
      <w:bookmarkStart w:id="4" w:name="_Toc211249072"/>
      <w:bookmarkStart w:id="5" w:name="_Toc86396372"/>
      <w:bookmarkStart w:id="6" w:name="_Toc53475707"/>
      <w:bookmarkEnd w:id="2"/>
      <w:r>
        <w:rPr>
          <w:lang w:eastAsia="sk-SK"/>
        </w:rPr>
        <w:lastRenderedPageBreak/>
        <w:t>Hodnotenie p</w:t>
      </w:r>
      <w:r w:rsidRPr="00331BFE">
        <w:rPr>
          <w:lang w:eastAsia="sk-SK"/>
        </w:rPr>
        <w:t>roces</w:t>
      </w:r>
      <w:r>
        <w:rPr>
          <w:lang w:eastAsia="sk-SK"/>
        </w:rPr>
        <w:t>u</w:t>
      </w:r>
      <w:r w:rsidRPr="00331BFE">
        <w:rPr>
          <w:lang w:eastAsia="sk-SK"/>
        </w:rPr>
        <w:t xml:space="preserve"> zostav</w:t>
      </w:r>
      <w:r>
        <w:rPr>
          <w:lang w:eastAsia="sk-SK"/>
        </w:rPr>
        <w:t>enia</w:t>
      </w:r>
      <w:r w:rsidRPr="00331BFE">
        <w:rPr>
          <w:lang w:eastAsia="sk-SK"/>
        </w:rPr>
        <w:t xml:space="preserve"> rozpočtu</w:t>
      </w:r>
      <w:bookmarkEnd w:id="4"/>
    </w:p>
    <w:p w14:paraId="7A30D9B7" w14:textId="18850102" w:rsidR="003074D7" w:rsidRDefault="003074D7" w:rsidP="003074D7">
      <w:pPr>
        <w:rPr>
          <w:rFonts w:eastAsia="Times New Roman" w:cs="Segoe UI"/>
          <w:szCs w:val="20"/>
        </w:rPr>
      </w:pPr>
      <w:r w:rsidRPr="00511188">
        <w:rPr>
          <w:rFonts w:eastAsia="Times New Roman" w:cs="Segoe UI"/>
          <w:b/>
          <w:bCs/>
          <w:szCs w:val="20"/>
        </w:rPr>
        <w:t>Proces zostav</w:t>
      </w:r>
      <w:r w:rsidR="005352FC">
        <w:rPr>
          <w:rFonts w:eastAsia="Times New Roman" w:cs="Segoe UI"/>
          <w:b/>
          <w:bCs/>
          <w:szCs w:val="20"/>
        </w:rPr>
        <w:t>enia</w:t>
      </w:r>
      <w:r w:rsidRPr="00511188">
        <w:rPr>
          <w:rFonts w:eastAsia="Times New Roman" w:cs="Segoe UI"/>
          <w:b/>
          <w:bCs/>
          <w:szCs w:val="20"/>
        </w:rPr>
        <w:t xml:space="preserve"> rozpočtu </w:t>
      </w:r>
      <w:r w:rsidR="007F0BFE">
        <w:rPr>
          <w:rFonts w:eastAsia="Times New Roman" w:cs="Segoe UI"/>
          <w:b/>
          <w:bCs/>
          <w:szCs w:val="20"/>
        </w:rPr>
        <w:t xml:space="preserve">verejnej správy </w:t>
      </w:r>
      <w:r w:rsidR="007F0BFE" w:rsidRPr="007F0BFE">
        <w:rPr>
          <w:rFonts w:eastAsia="Times New Roman" w:cs="Segoe UI"/>
          <w:szCs w:val="20"/>
        </w:rPr>
        <w:t>(RVS)</w:t>
      </w:r>
      <w:r w:rsidR="007F0BFE">
        <w:rPr>
          <w:rFonts w:eastAsia="Times New Roman" w:cs="Segoe UI"/>
          <w:b/>
          <w:bCs/>
          <w:szCs w:val="20"/>
        </w:rPr>
        <w:t xml:space="preserve"> </w:t>
      </w:r>
      <w:r w:rsidRPr="00511188">
        <w:rPr>
          <w:rFonts w:eastAsia="Times New Roman" w:cs="Segoe UI"/>
          <w:b/>
          <w:bCs/>
          <w:szCs w:val="20"/>
        </w:rPr>
        <w:t>predstavuje legislatívne ukotvený a dlhodobo zabehnutý postup, ktorý pri zostav</w:t>
      </w:r>
      <w:r w:rsidR="007F0BFE">
        <w:rPr>
          <w:rFonts w:eastAsia="Times New Roman" w:cs="Segoe UI"/>
          <w:b/>
          <w:bCs/>
          <w:szCs w:val="20"/>
        </w:rPr>
        <w:t>ení</w:t>
      </w:r>
      <w:r w:rsidR="005352FC">
        <w:rPr>
          <w:rFonts w:eastAsia="Times New Roman" w:cs="Segoe UI"/>
          <w:szCs w:val="20"/>
        </w:rPr>
        <w:t xml:space="preserve"> </w:t>
      </w:r>
      <w:r w:rsidR="005352FC">
        <w:rPr>
          <w:rFonts w:eastAsia="Times New Roman" w:cs="Segoe UI"/>
          <w:b/>
          <w:bCs/>
          <w:szCs w:val="20"/>
        </w:rPr>
        <w:t xml:space="preserve">na roky </w:t>
      </w:r>
      <w:r w:rsidRPr="00511188">
        <w:rPr>
          <w:rFonts w:eastAsia="Times New Roman" w:cs="Segoe UI"/>
          <w:b/>
          <w:bCs/>
          <w:szCs w:val="20"/>
        </w:rPr>
        <w:t>2026</w:t>
      </w:r>
      <w:r w:rsidR="00DC475B">
        <w:rPr>
          <w:rFonts w:eastAsia="Times New Roman" w:cs="Segoe UI"/>
          <w:b/>
          <w:bCs/>
          <w:szCs w:val="20"/>
        </w:rPr>
        <w:t xml:space="preserve"> </w:t>
      </w:r>
      <w:r w:rsidR="005352FC">
        <w:rPr>
          <w:rFonts w:eastAsia="Times New Roman" w:cs="Segoe UI"/>
          <w:b/>
          <w:bCs/>
          <w:szCs w:val="20"/>
        </w:rPr>
        <w:t>až</w:t>
      </w:r>
      <w:r w:rsidR="00DC475B">
        <w:rPr>
          <w:rFonts w:eastAsia="Times New Roman" w:cs="Segoe UI"/>
          <w:b/>
          <w:bCs/>
          <w:szCs w:val="20"/>
        </w:rPr>
        <w:t xml:space="preserve"> </w:t>
      </w:r>
      <w:r w:rsidRPr="00511188">
        <w:rPr>
          <w:rFonts w:eastAsia="Times New Roman" w:cs="Segoe UI"/>
          <w:b/>
          <w:bCs/>
          <w:szCs w:val="20"/>
        </w:rPr>
        <w:t xml:space="preserve">2028 </w:t>
      </w:r>
      <w:r>
        <w:rPr>
          <w:rFonts w:eastAsia="Times New Roman" w:cs="Segoe UI"/>
          <w:b/>
          <w:bCs/>
          <w:szCs w:val="20"/>
        </w:rPr>
        <w:t>musí</w:t>
      </w:r>
      <w:r w:rsidRPr="00511188">
        <w:rPr>
          <w:rFonts w:eastAsia="Times New Roman" w:cs="Segoe UI"/>
          <w:b/>
          <w:bCs/>
          <w:szCs w:val="20"/>
        </w:rPr>
        <w:t xml:space="preserve"> byť dodržaný, aj </w:t>
      </w:r>
      <w:r>
        <w:rPr>
          <w:rFonts w:eastAsia="Times New Roman" w:cs="Segoe UI"/>
          <w:b/>
          <w:bCs/>
          <w:szCs w:val="20"/>
        </w:rPr>
        <w:t>napriek napätým verejným financiám</w:t>
      </w:r>
      <w:r w:rsidRPr="00511188">
        <w:rPr>
          <w:rFonts w:eastAsia="Times New Roman" w:cs="Segoe UI"/>
          <w:b/>
          <w:bCs/>
          <w:szCs w:val="20"/>
        </w:rPr>
        <w:t xml:space="preserve">. </w:t>
      </w:r>
      <w:r>
        <w:rPr>
          <w:rFonts w:eastAsia="Times New Roman" w:cs="Segoe UI"/>
          <w:szCs w:val="20"/>
        </w:rPr>
        <w:t xml:space="preserve">MF SR mesiace vopred deklarovalo záujem schváliť </w:t>
      </w:r>
      <w:r w:rsidR="005352FC">
        <w:rPr>
          <w:rFonts w:eastAsia="Times New Roman" w:cs="Segoe UI"/>
          <w:szCs w:val="20"/>
        </w:rPr>
        <w:t>RVS</w:t>
      </w:r>
      <w:r>
        <w:rPr>
          <w:rFonts w:eastAsia="Times New Roman" w:cs="Segoe UI"/>
          <w:szCs w:val="20"/>
        </w:rPr>
        <w:t xml:space="preserve"> do 21. </w:t>
      </w:r>
      <w:r w:rsidR="00597B17">
        <w:rPr>
          <w:rFonts w:eastAsia="Times New Roman" w:cs="Segoe UI"/>
          <w:szCs w:val="20"/>
        </w:rPr>
        <w:t>11.</w:t>
      </w:r>
      <w:r>
        <w:rPr>
          <w:rFonts w:eastAsia="Times New Roman" w:cs="Segoe UI"/>
          <w:szCs w:val="20"/>
        </w:rPr>
        <w:t xml:space="preserve"> 2025, aby sa vláda vyhla povinnosti predložiť vyrovnaný rozpočet v zmysle dlhovej brzdy. </w:t>
      </w:r>
      <w:r w:rsidR="007F0BFE">
        <w:rPr>
          <w:rFonts w:eastAsia="Times New Roman" w:cs="Segoe UI"/>
          <w:szCs w:val="20"/>
        </w:rPr>
        <w:t>Tiež</w:t>
      </w:r>
      <w:r>
        <w:rPr>
          <w:rFonts w:eastAsia="Times New Roman" w:cs="Segoe UI"/>
          <w:szCs w:val="20"/>
        </w:rPr>
        <w:t xml:space="preserve"> bolo potrebné pokračovať v konsolidáci</w:t>
      </w:r>
      <w:r w:rsidR="00DC475B">
        <w:rPr>
          <w:rFonts w:eastAsia="Times New Roman" w:cs="Segoe UI"/>
          <w:szCs w:val="20"/>
        </w:rPr>
        <w:t>i</w:t>
      </w:r>
      <w:r>
        <w:rPr>
          <w:rFonts w:eastAsia="Times New Roman" w:cs="Segoe UI"/>
          <w:szCs w:val="20"/>
        </w:rPr>
        <w:t xml:space="preserve"> verejných financií, </w:t>
      </w:r>
      <w:r w:rsidR="00597B17">
        <w:rPr>
          <w:rFonts w:eastAsia="Times New Roman" w:cs="Segoe UI"/>
          <w:szCs w:val="20"/>
        </w:rPr>
        <w:t>a to</w:t>
      </w:r>
      <w:r>
        <w:rPr>
          <w:rFonts w:eastAsia="Times New Roman" w:cs="Segoe UI"/>
          <w:szCs w:val="20"/>
        </w:rPr>
        <w:t xml:space="preserve"> za dodržania cieľov pre deficit a dlh a plnení </w:t>
      </w:r>
      <w:r w:rsidR="00DF0672">
        <w:rPr>
          <w:rFonts w:eastAsia="Times New Roman" w:cs="Segoe UI"/>
          <w:szCs w:val="20"/>
        </w:rPr>
        <w:t>LVV</w:t>
      </w:r>
      <w:r>
        <w:rPr>
          <w:rFonts w:eastAsia="Times New Roman" w:cs="Segoe UI"/>
          <w:szCs w:val="20"/>
        </w:rPr>
        <w:t xml:space="preserve">. </w:t>
      </w:r>
    </w:p>
    <w:p w14:paraId="3F1D28BB" w14:textId="20D6CF7D" w:rsidR="003074D7" w:rsidRDefault="003074D7" w:rsidP="005352FC">
      <w:pPr>
        <w:rPr>
          <w:rFonts w:eastAsia="Times New Roman" w:cs="Segoe UI"/>
          <w:szCs w:val="20"/>
        </w:rPr>
      </w:pPr>
      <w:r w:rsidRPr="00862E92">
        <w:rPr>
          <w:rFonts w:eastAsia="Times New Roman" w:cs="Segoe UI"/>
          <w:b/>
          <w:bCs/>
          <w:szCs w:val="20"/>
        </w:rPr>
        <w:t>R</w:t>
      </w:r>
      <w:r w:rsidR="00DC475B">
        <w:rPr>
          <w:rFonts w:eastAsia="Times New Roman" w:cs="Segoe UI"/>
          <w:b/>
          <w:bCs/>
          <w:szCs w:val="20"/>
        </w:rPr>
        <w:t>VS</w:t>
      </w:r>
      <w:r w:rsidRPr="00862E92">
        <w:rPr>
          <w:rFonts w:eastAsia="Times New Roman" w:cs="Segoe UI"/>
          <w:b/>
          <w:bCs/>
          <w:szCs w:val="20"/>
        </w:rPr>
        <w:t xml:space="preserve"> zhmotňuje priority na obdobie nasledujúcich troch rokov, pričom jeho podmnožinou na hotovostnej báze je </w:t>
      </w:r>
      <w:r w:rsidR="00DC475B">
        <w:rPr>
          <w:rFonts w:eastAsia="Times New Roman" w:cs="Segoe UI"/>
          <w:b/>
          <w:bCs/>
          <w:szCs w:val="20"/>
        </w:rPr>
        <w:t xml:space="preserve">ŠR </w:t>
      </w:r>
      <w:r w:rsidRPr="00862E92">
        <w:rPr>
          <w:rFonts w:eastAsia="Times New Roman" w:cs="Segoe UI"/>
          <w:b/>
          <w:bCs/>
          <w:szCs w:val="20"/>
        </w:rPr>
        <w:t xml:space="preserve">na </w:t>
      </w:r>
      <w:r w:rsidR="00DC475B">
        <w:rPr>
          <w:rFonts w:eastAsia="Times New Roman" w:cs="Segoe UI"/>
          <w:b/>
          <w:bCs/>
          <w:szCs w:val="20"/>
        </w:rPr>
        <w:t>najbližší</w:t>
      </w:r>
      <w:r w:rsidRPr="00862E92">
        <w:rPr>
          <w:rFonts w:eastAsia="Times New Roman" w:cs="Segoe UI"/>
          <w:b/>
          <w:bCs/>
          <w:szCs w:val="20"/>
        </w:rPr>
        <w:t xml:space="preserve"> rok.</w:t>
      </w:r>
      <w:r>
        <w:rPr>
          <w:rFonts w:eastAsia="Times New Roman" w:cs="Segoe UI"/>
          <w:szCs w:val="20"/>
        </w:rPr>
        <w:t xml:space="preserve"> </w:t>
      </w:r>
      <w:r w:rsidRPr="00511188">
        <w:rPr>
          <w:rFonts w:eastAsia="Times New Roman" w:cs="Segoe UI"/>
          <w:szCs w:val="20"/>
        </w:rPr>
        <w:t>Základ</w:t>
      </w:r>
      <w:r w:rsidR="00DF0672">
        <w:rPr>
          <w:rFonts w:eastAsia="Times New Roman" w:cs="Segoe UI"/>
          <w:szCs w:val="20"/>
        </w:rPr>
        <w:t>o</w:t>
      </w:r>
      <w:r w:rsidRPr="00511188">
        <w:rPr>
          <w:rFonts w:eastAsia="Times New Roman" w:cs="Segoe UI"/>
          <w:szCs w:val="20"/>
        </w:rPr>
        <w:t xml:space="preserve">m legislatívnej úpravy rozpočtového procesu na Slovensku sú </w:t>
      </w:r>
      <w:r w:rsidR="005525D8" w:rsidRPr="006F2D60">
        <w:rPr>
          <w:szCs w:val="24"/>
        </w:rPr>
        <w:t>–</w:t>
      </w:r>
      <w:r w:rsidR="005525D8">
        <w:rPr>
          <w:szCs w:val="24"/>
        </w:rPr>
        <w:t xml:space="preserve"> </w:t>
      </w:r>
      <w:r w:rsidRPr="00511188">
        <w:rPr>
          <w:rFonts w:eastAsia="Times New Roman" w:cs="Segoe UI"/>
          <w:szCs w:val="20"/>
        </w:rPr>
        <w:t xml:space="preserve">Ústavný zákon č. 493/2011 Z. z. o rozpočtovej zodpovednosti, Zákon č. 523/2004 Z. z. o rozpočtových pravidlách </w:t>
      </w:r>
      <w:r w:rsidR="00DC475B">
        <w:rPr>
          <w:rFonts w:eastAsia="Times New Roman" w:cs="Segoe UI"/>
          <w:szCs w:val="20"/>
        </w:rPr>
        <w:t>VS</w:t>
      </w:r>
      <w:r w:rsidRPr="00511188">
        <w:rPr>
          <w:rFonts w:eastAsia="Times New Roman" w:cs="Segoe UI"/>
          <w:szCs w:val="20"/>
        </w:rPr>
        <w:t xml:space="preserve"> a Zákon č. 583/2004 Z. z. o rozpočtových pravidlách územnej samosprávy. MF SR každoročne usmerňuje rozpočtový proces prostredníctvom </w:t>
      </w:r>
      <w:r w:rsidR="00DC475B">
        <w:rPr>
          <w:rFonts w:eastAsia="Times New Roman" w:cs="Segoe UI"/>
          <w:szCs w:val="20"/>
        </w:rPr>
        <w:t>p</w:t>
      </w:r>
      <w:r w:rsidRPr="00511188">
        <w:rPr>
          <w:rFonts w:eastAsia="Times New Roman" w:cs="Segoe UI"/>
          <w:szCs w:val="20"/>
        </w:rPr>
        <w:t xml:space="preserve">ríručky na zostavenie návrhu </w:t>
      </w:r>
      <w:r w:rsidR="00DC475B">
        <w:rPr>
          <w:rFonts w:eastAsia="Times New Roman" w:cs="Segoe UI"/>
          <w:szCs w:val="20"/>
        </w:rPr>
        <w:t>RVS</w:t>
      </w:r>
      <w:r w:rsidRPr="00511188">
        <w:rPr>
          <w:rFonts w:eastAsia="Times New Roman" w:cs="Segoe UI"/>
          <w:szCs w:val="20"/>
        </w:rPr>
        <w:t>. Samotný rozpočtový proces pozostáva z množstva nadväzných a súbežných krokov</w:t>
      </w:r>
      <w:r>
        <w:rPr>
          <w:rFonts w:eastAsia="Times New Roman" w:cs="Segoe UI"/>
          <w:szCs w:val="20"/>
        </w:rPr>
        <w:t xml:space="preserve"> (tabuľka 1)</w:t>
      </w:r>
      <w:r>
        <w:rPr>
          <w:rStyle w:val="Odkaznapoznmkupodiarou"/>
          <w:rFonts w:eastAsia="Times New Roman" w:cs="Segoe UI"/>
          <w:szCs w:val="20"/>
        </w:rPr>
        <w:footnoteReference w:id="1"/>
      </w:r>
      <w:r>
        <w:rPr>
          <w:rFonts w:eastAsia="Times New Roman" w:cs="Segoe UI"/>
          <w:szCs w:val="20"/>
        </w:rPr>
        <w:t>.</w:t>
      </w:r>
    </w:p>
    <w:p w14:paraId="2B934A99" w14:textId="72E13E48" w:rsidR="007158C8" w:rsidRPr="00A91B7F" w:rsidRDefault="007158C8" w:rsidP="007158C8">
      <w:pPr>
        <w:pStyle w:val="Popis"/>
        <w:keepNext/>
        <w:rPr>
          <w:sz w:val="18"/>
          <w:szCs w:val="16"/>
        </w:rPr>
      </w:pPr>
      <w:r w:rsidRPr="00A91B7F">
        <w:rPr>
          <w:sz w:val="18"/>
          <w:szCs w:val="16"/>
        </w:rPr>
        <w:t xml:space="preserve">Tabuľka </w:t>
      </w:r>
      <w:r w:rsidRPr="00A91B7F">
        <w:rPr>
          <w:sz w:val="18"/>
          <w:szCs w:val="16"/>
        </w:rPr>
        <w:fldChar w:fldCharType="begin"/>
      </w:r>
      <w:r w:rsidRPr="00A91B7F">
        <w:rPr>
          <w:sz w:val="18"/>
          <w:szCs w:val="16"/>
        </w:rPr>
        <w:instrText xml:space="preserve"> SEQ Tabuľka \* ARABIC </w:instrText>
      </w:r>
      <w:r w:rsidRPr="00A91B7F">
        <w:rPr>
          <w:sz w:val="18"/>
          <w:szCs w:val="16"/>
        </w:rPr>
        <w:fldChar w:fldCharType="separate"/>
      </w:r>
      <w:r w:rsidR="00F312A9">
        <w:rPr>
          <w:noProof/>
          <w:sz w:val="18"/>
          <w:szCs w:val="16"/>
        </w:rPr>
        <w:t>1</w:t>
      </w:r>
      <w:r w:rsidRPr="00A91B7F">
        <w:rPr>
          <w:noProof/>
          <w:sz w:val="18"/>
          <w:szCs w:val="16"/>
        </w:rPr>
        <w:fldChar w:fldCharType="end"/>
      </w:r>
      <w:r w:rsidRPr="00A91B7F">
        <w:rPr>
          <w:sz w:val="18"/>
          <w:szCs w:val="16"/>
        </w:rPr>
        <w:t xml:space="preserve">: </w:t>
      </w:r>
      <w:r>
        <w:rPr>
          <w:sz w:val="18"/>
          <w:szCs w:val="16"/>
        </w:rPr>
        <w:t>Proces tvorby štátneho rozpočtu / rozpočtu verejnej správy</w:t>
      </w:r>
    </w:p>
    <w:tbl>
      <w:tblPr>
        <w:tblW w:w="5000" w:type="pct"/>
        <w:jc w:val="center"/>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1"/>
        <w:gridCol w:w="8109"/>
      </w:tblGrid>
      <w:tr w:rsidR="007158C8" w:rsidRPr="00BF374D" w14:paraId="3D8A824A" w14:textId="77777777" w:rsidTr="00BB314F">
        <w:trPr>
          <w:trHeight w:val="20"/>
          <w:jc w:val="center"/>
        </w:trPr>
        <w:tc>
          <w:tcPr>
            <w:tcW w:w="530" w:type="pct"/>
            <w:tcBorders>
              <w:top w:val="nil"/>
              <w:bottom w:val="single" w:sz="4" w:space="0" w:color="FFFFFF" w:themeColor="background1"/>
            </w:tcBorders>
            <w:shd w:val="clear" w:color="auto" w:fill="314364"/>
            <w:noWrap/>
            <w:vAlign w:val="center"/>
            <w:hideMark/>
          </w:tcPr>
          <w:p w14:paraId="4CA19484"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Február</w:t>
            </w:r>
          </w:p>
        </w:tc>
        <w:tc>
          <w:tcPr>
            <w:tcW w:w="4470" w:type="pct"/>
            <w:shd w:val="clear" w:color="auto" w:fill="EBF0FB" w:themeFill="background2" w:themeFillTint="33"/>
            <w:vAlign w:val="center"/>
            <w:hideMark/>
          </w:tcPr>
          <w:p w14:paraId="6DCB69FC" w14:textId="77777777" w:rsidR="007158C8" w:rsidRPr="00BF374D" w:rsidRDefault="007158C8" w:rsidP="00BB314F">
            <w:pPr>
              <w:spacing w:before="40" w:after="40"/>
              <w:jc w:val="center"/>
              <w:rPr>
                <w:rFonts w:cs="Segoe UI"/>
                <w:color w:val="000000"/>
                <w:sz w:val="16"/>
                <w:szCs w:val="16"/>
              </w:rPr>
            </w:pPr>
            <w:r w:rsidRPr="00BF374D">
              <w:rPr>
                <w:rFonts w:cs="Segoe UI"/>
                <w:b/>
                <w:bCs/>
                <w:color w:val="000000"/>
                <w:sz w:val="16"/>
                <w:szCs w:val="16"/>
              </w:rPr>
              <w:t>Makro</w:t>
            </w:r>
            <w:r>
              <w:rPr>
                <w:rFonts w:cs="Segoe UI"/>
                <w:b/>
                <w:bCs/>
                <w:color w:val="000000"/>
                <w:sz w:val="16"/>
                <w:szCs w:val="16"/>
              </w:rPr>
              <w:t>ekonomická</w:t>
            </w:r>
            <w:r w:rsidRPr="00BF374D">
              <w:rPr>
                <w:rFonts w:cs="Segoe UI"/>
                <w:b/>
                <w:bCs/>
                <w:color w:val="000000"/>
                <w:sz w:val="16"/>
                <w:szCs w:val="16"/>
              </w:rPr>
              <w:t xml:space="preserve"> prognóza</w:t>
            </w:r>
            <w:r>
              <w:rPr>
                <w:rFonts w:cs="Segoe UI"/>
                <w:b/>
                <w:bCs/>
                <w:color w:val="000000"/>
                <w:sz w:val="16"/>
                <w:szCs w:val="16"/>
              </w:rPr>
              <w:t xml:space="preserve"> (IFP MF SR)</w:t>
            </w:r>
            <w:r w:rsidRPr="00BF374D">
              <w:rPr>
                <w:rFonts w:cs="Segoe UI"/>
                <w:b/>
                <w:bCs/>
                <w:color w:val="000000"/>
                <w:sz w:val="16"/>
                <w:szCs w:val="16"/>
              </w:rPr>
              <w:t xml:space="preserve"> – </w:t>
            </w:r>
            <w:r w:rsidRPr="00BF374D">
              <w:rPr>
                <w:rFonts w:cs="Segoe UI"/>
                <w:color w:val="000000"/>
                <w:sz w:val="16"/>
                <w:szCs w:val="16"/>
              </w:rPr>
              <w:t>HDP, inflácia, miera nezamestnanosti, miera zamestnanosti</w:t>
            </w:r>
            <w:r>
              <w:rPr>
                <w:rFonts w:cs="Segoe UI"/>
                <w:color w:val="000000"/>
                <w:sz w:val="16"/>
                <w:szCs w:val="16"/>
              </w:rPr>
              <w:t xml:space="preserve"> atď. </w:t>
            </w:r>
          </w:p>
          <w:p w14:paraId="2FADE72D" w14:textId="77777777" w:rsidR="007158C8" w:rsidRPr="00BF374D" w:rsidRDefault="007158C8" w:rsidP="00BB314F">
            <w:pPr>
              <w:spacing w:before="40" w:after="40"/>
              <w:jc w:val="center"/>
              <w:rPr>
                <w:rFonts w:cs="Segoe UI"/>
                <w:color w:val="000000"/>
                <w:sz w:val="16"/>
                <w:szCs w:val="16"/>
              </w:rPr>
            </w:pPr>
            <w:r>
              <w:rPr>
                <w:rFonts w:cs="Segoe UI"/>
                <w:b/>
                <w:bCs/>
                <w:color w:val="000000"/>
                <w:sz w:val="16"/>
                <w:szCs w:val="16"/>
              </w:rPr>
              <w:t>Daňová prognóza (</w:t>
            </w:r>
            <w:r w:rsidRPr="00BF374D">
              <w:rPr>
                <w:rFonts w:cs="Segoe UI"/>
                <w:b/>
                <w:bCs/>
                <w:color w:val="000000"/>
                <w:sz w:val="16"/>
                <w:szCs w:val="16"/>
              </w:rPr>
              <w:t>IFP MF SR</w:t>
            </w:r>
            <w:r>
              <w:rPr>
                <w:rFonts w:cs="Segoe UI"/>
                <w:b/>
                <w:bCs/>
                <w:color w:val="000000"/>
                <w:sz w:val="16"/>
                <w:szCs w:val="16"/>
              </w:rPr>
              <w:t xml:space="preserve">) – </w:t>
            </w:r>
            <w:r w:rsidRPr="00BF374D">
              <w:rPr>
                <w:rFonts w:cs="Segoe UI"/>
                <w:color w:val="000000"/>
                <w:sz w:val="16"/>
                <w:szCs w:val="16"/>
              </w:rPr>
              <w:t>prognóza daňových príjmov, sociálnych a zdravotných odvodov</w:t>
            </w:r>
            <w:r>
              <w:rPr>
                <w:rFonts w:cs="Segoe UI"/>
                <w:color w:val="000000"/>
                <w:sz w:val="16"/>
                <w:szCs w:val="16"/>
              </w:rPr>
              <w:t xml:space="preserve">, atď. </w:t>
            </w:r>
          </w:p>
        </w:tc>
      </w:tr>
      <w:tr w:rsidR="007158C8" w:rsidRPr="00BF374D" w14:paraId="795B891A" w14:textId="77777777" w:rsidTr="00BB314F">
        <w:trPr>
          <w:trHeight w:val="20"/>
          <w:jc w:val="center"/>
        </w:trPr>
        <w:tc>
          <w:tcPr>
            <w:tcW w:w="530" w:type="pct"/>
            <w:tcBorders>
              <w:top w:val="single" w:sz="4" w:space="0" w:color="FFFFFF" w:themeColor="background1"/>
              <w:bottom w:val="single" w:sz="4" w:space="0" w:color="FFFFFF" w:themeColor="background1"/>
            </w:tcBorders>
            <w:shd w:val="clear" w:color="auto" w:fill="314364"/>
            <w:noWrap/>
            <w:vAlign w:val="center"/>
            <w:hideMark/>
          </w:tcPr>
          <w:p w14:paraId="05B51BAA"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Marec</w:t>
            </w:r>
          </w:p>
        </w:tc>
        <w:tc>
          <w:tcPr>
            <w:tcW w:w="4470" w:type="pct"/>
            <w:shd w:val="clear" w:color="auto" w:fill="EBF0FB" w:themeFill="background2" w:themeFillTint="33"/>
            <w:vAlign w:val="center"/>
            <w:hideMark/>
          </w:tcPr>
          <w:p w14:paraId="0FF306E0" w14:textId="77777777" w:rsidR="007158C8" w:rsidRPr="00402304" w:rsidRDefault="007158C8" w:rsidP="00BB314F">
            <w:pPr>
              <w:spacing w:before="40" w:after="40"/>
              <w:jc w:val="center"/>
              <w:rPr>
                <w:rFonts w:cs="Segoe UI"/>
                <w:color w:val="000000"/>
                <w:sz w:val="16"/>
                <w:szCs w:val="16"/>
              </w:rPr>
            </w:pPr>
            <w:r>
              <w:rPr>
                <w:rFonts w:cs="Segoe UI"/>
                <w:b/>
                <w:bCs/>
                <w:color w:val="000000"/>
                <w:sz w:val="16"/>
                <w:szCs w:val="16"/>
              </w:rPr>
              <w:t>Príprava jarnej EDP notifikácie (</w:t>
            </w:r>
            <w:r w:rsidRPr="00402304">
              <w:rPr>
                <w:rFonts w:cs="Segoe UI"/>
                <w:b/>
                <w:bCs/>
                <w:color w:val="000000"/>
                <w:sz w:val="16"/>
                <w:szCs w:val="16"/>
              </w:rPr>
              <w:t>MF SR</w:t>
            </w:r>
            <w:r>
              <w:rPr>
                <w:rFonts w:cs="Segoe UI"/>
                <w:b/>
                <w:bCs/>
                <w:color w:val="000000"/>
                <w:sz w:val="16"/>
                <w:szCs w:val="16"/>
              </w:rPr>
              <w:t>,</w:t>
            </w:r>
            <w:r w:rsidRPr="00402304">
              <w:rPr>
                <w:rFonts w:cs="Segoe UI"/>
                <w:b/>
                <w:bCs/>
                <w:color w:val="000000"/>
                <w:sz w:val="16"/>
                <w:szCs w:val="16"/>
              </w:rPr>
              <w:t xml:space="preserve"> ŠÚ SR</w:t>
            </w:r>
            <w:r>
              <w:rPr>
                <w:rFonts w:cs="Segoe UI"/>
                <w:b/>
                <w:bCs/>
                <w:color w:val="000000"/>
                <w:sz w:val="16"/>
                <w:szCs w:val="16"/>
              </w:rPr>
              <w:t>,</w:t>
            </w:r>
            <w:r w:rsidRPr="00402304">
              <w:rPr>
                <w:rFonts w:cs="Segoe UI"/>
                <w:b/>
                <w:bCs/>
                <w:color w:val="000000"/>
                <w:sz w:val="16"/>
                <w:szCs w:val="16"/>
              </w:rPr>
              <w:t xml:space="preserve"> NBS</w:t>
            </w:r>
            <w:r>
              <w:rPr>
                <w:rFonts w:cs="Segoe UI"/>
                <w:b/>
                <w:bCs/>
                <w:color w:val="000000"/>
                <w:sz w:val="16"/>
                <w:szCs w:val="16"/>
              </w:rPr>
              <w:t xml:space="preserve">) – </w:t>
            </w:r>
            <w:r>
              <w:rPr>
                <w:rFonts w:cs="Segoe UI"/>
                <w:color w:val="000000"/>
                <w:sz w:val="16"/>
                <w:szCs w:val="16"/>
              </w:rPr>
              <w:t xml:space="preserve">hodnoty deficitu/dlhu sa odosielajú EK do konca marca </w:t>
            </w:r>
          </w:p>
        </w:tc>
      </w:tr>
      <w:tr w:rsidR="007158C8" w:rsidRPr="00BF374D" w14:paraId="56530F28" w14:textId="77777777" w:rsidTr="00BB314F">
        <w:trPr>
          <w:trHeight w:val="20"/>
          <w:jc w:val="center"/>
        </w:trPr>
        <w:tc>
          <w:tcPr>
            <w:tcW w:w="530" w:type="pct"/>
            <w:tcBorders>
              <w:top w:val="single" w:sz="4" w:space="0" w:color="FFFFFF" w:themeColor="background1"/>
              <w:bottom w:val="single" w:sz="4" w:space="0" w:color="FFFFFF" w:themeColor="background1"/>
            </w:tcBorders>
            <w:shd w:val="clear" w:color="auto" w:fill="314364"/>
            <w:noWrap/>
            <w:vAlign w:val="center"/>
            <w:hideMark/>
          </w:tcPr>
          <w:p w14:paraId="47A7A075"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Apríl</w:t>
            </w:r>
          </w:p>
        </w:tc>
        <w:tc>
          <w:tcPr>
            <w:tcW w:w="4470" w:type="pct"/>
            <w:shd w:val="clear" w:color="auto" w:fill="EBF0FB" w:themeFill="background2" w:themeFillTint="33"/>
            <w:vAlign w:val="center"/>
            <w:hideMark/>
          </w:tcPr>
          <w:p w14:paraId="04C385A5" w14:textId="77777777" w:rsidR="007158C8" w:rsidRPr="008E1589" w:rsidRDefault="007158C8" w:rsidP="00BB314F">
            <w:pPr>
              <w:spacing w:before="40" w:after="40"/>
              <w:jc w:val="center"/>
              <w:rPr>
                <w:rFonts w:cs="Segoe UI"/>
                <w:color w:val="000000"/>
                <w:sz w:val="16"/>
                <w:szCs w:val="16"/>
              </w:rPr>
            </w:pPr>
            <w:r>
              <w:rPr>
                <w:rFonts w:cs="Segoe UI"/>
                <w:b/>
                <w:bCs/>
                <w:color w:val="000000"/>
                <w:sz w:val="16"/>
                <w:szCs w:val="16"/>
              </w:rPr>
              <w:t xml:space="preserve">Výročná správa o pokroku (MF SR) – </w:t>
            </w:r>
            <w:r>
              <w:rPr>
                <w:rFonts w:cs="Segoe UI"/>
                <w:color w:val="000000"/>
                <w:sz w:val="16"/>
                <w:szCs w:val="16"/>
              </w:rPr>
              <w:t xml:space="preserve">vláda schvaľuje správu o plnení </w:t>
            </w:r>
            <w:r w:rsidRPr="008E1589">
              <w:rPr>
                <w:rFonts w:cs="Segoe UI"/>
                <w:color w:val="000000"/>
                <w:sz w:val="16"/>
                <w:szCs w:val="16"/>
              </w:rPr>
              <w:t>Národného strednodobého fiškálno-štrukturálneho plánu SR na roky 2025 – 2028</w:t>
            </w:r>
            <w:r>
              <w:rPr>
                <w:rFonts w:cs="Segoe UI"/>
                <w:color w:val="000000"/>
                <w:sz w:val="16"/>
                <w:szCs w:val="16"/>
              </w:rPr>
              <w:t xml:space="preserve"> a do 30. 4. ju predkladá EK</w:t>
            </w:r>
          </w:p>
          <w:p w14:paraId="5BEAB5F3" w14:textId="77777777" w:rsidR="007158C8" w:rsidRPr="00BF374D" w:rsidRDefault="007158C8" w:rsidP="00BB314F">
            <w:pPr>
              <w:spacing w:before="40" w:after="40"/>
              <w:jc w:val="center"/>
              <w:rPr>
                <w:rFonts w:cs="Segoe UI"/>
                <w:color w:val="000000"/>
                <w:sz w:val="16"/>
                <w:szCs w:val="16"/>
              </w:rPr>
            </w:pPr>
            <w:r w:rsidRPr="00500517">
              <w:rPr>
                <w:rFonts w:cs="Segoe UI"/>
                <w:b/>
                <w:bCs/>
                <w:color w:val="000000"/>
                <w:sz w:val="16"/>
                <w:szCs w:val="16"/>
              </w:rPr>
              <w:t>Správa o</w:t>
            </w:r>
            <w:r>
              <w:rPr>
                <w:rFonts w:cs="Segoe UI"/>
                <w:b/>
                <w:bCs/>
                <w:color w:val="000000"/>
                <w:sz w:val="16"/>
                <w:szCs w:val="16"/>
              </w:rPr>
              <w:t> </w:t>
            </w:r>
            <w:r w:rsidRPr="00500517">
              <w:rPr>
                <w:rFonts w:cs="Segoe UI"/>
                <w:b/>
                <w:bCs/>
                <w:color w:val="000000"/>
                <w:sz w:val="16"/>
                <w:szCs w:val="16"/>
              </w:rPr>
              <w:t>dlhodobej</w:t>
            </w:r>
            <w:r>
              <w:rPr>
                <w:rFonts w:cs="Segoe UI"/>
                <w:b/>
                <w:bCs/>
                <w:color w:val="000000"/>
                <w:sz w:val="16"/>
                <w:szCs w:val="16"/>
              </w:rPr>
              <w:t xml:space="preserve"> </w:t>
            </w:r>
            <w:r w:rsidRPr="00500517">
              <w:rPr>
                <w:rFonts w:cs="Segoe UI"/>
                <w:b/>
                <w:bCs/>
                <w:color w:val="000000"/>
                <w:sz w:val="16"/>
                <w:szCs w:val="16"/>
              </w:rPr>
              <w:t>udržateľnosti verejných</w:t>
            </w:r>
            <w:r>
              <w:rPr>
                <w:rFonts w:cs="Segoe UI"/>
                <w:b/>
                <w:bCs/>
                <w:color w:val="000000"/>
                <w:sz w:val="16"/>
                <w:szCs w:val="16"/>
              </w:rPr>
              <w:t xml:space="preserve"> </w:t>
            </w:r>
            <w:r w:rsidRPr="00500517">
              <w:rPr>
                <w:rFonts w:cs="Segoe UI"/>
                <w:b/>
                <w:bCs/>
                <w:color w:val="000000"/>
                <w:sz w:val="16"/>
                <w:szCs w:val="16"/>
              </w:rPr>
              <w:t>financií</w:t>
            </w:r>
            <w:r>
              <w:rPr>
                <w:rFonts w:cs="Segoe UI"/>
                <w:b/>
                <w:bCs/>
                <w:color w:val="000000"/>
                <w:sz w:val="16"/>
                <w:szCs w:val="16"/>
              </w:rPr>
              <w:t xml:space="preserve"> (RRZ) - </w:t>
            </w:r>
            <w:r w:rsidRPr="003D349B">
              <w:rPr>
                <w:rFonts w:cs="Segoe UI"/>
                <w:color w:val="000000"/>
                <w:sz w:val="16"/>
                <w:szCs w:val="16"/>
              </w:rPr>
              <w:t>s</w:t>
            </w:r>
            <w:r w:rsidRPr="00402304">
              <w:rPr>
                <w:rFonts w:cs="Segoe UI"/>
                <w:color w:val="000000"/>
                <w:sz w:val="16"/>
                <w:szCs w:val="16"/>
              </w:rPr>
              <w:t>chopnosťou splácať finančné záväzky</w:t>
            </w:r>
            <w:r>
              <w:rPr>
                <w:rFonts w:cs="Segoe UI"/>
                <w:color w:val="000000"/>
                <w:sz w:val="16"/>
                <w:szCs w:val="16"/>
              </w:rPr>
              <w:t>,</w:t>
            </w:r>
            <w:r w:rsidRPr="00402304">
              <w:rPr>
                <w:rFonts w:cs="Segoe UI"/>
                <w:color w:val="000000"/>
                <w:sz w:val="16"/>
                <w:szCs w:val="16"/>
              </w:rPr>
              <w:t xml:space="preserve"> dlhodobý potenciál ekonomického rastu,</w:t>
            </w:r>
            <w:r>
              <w:rPr>
                <w:rFonts w:cs="Segoe UI"/>
                <w:color w:val="000000"/>
                <w:sz w:val="16"/>
                <w:szCs w:val="16"/>
              </w:rPr>
              <w:t xml:space="preserve"> </w:t>
            </w:r>
            <w:r w:rsidRPr="00402304">
              <w:rPr>
                <w:rFonts w:cs="Segoe UI"/>
                <w:color w:val="000000"/>
                <w:sz w:val="16"/>
                <w:szCs w:val="16"/>
              </w:rPr>
              <w:t>výkyvy v životnej úrovni</w:t>
            </w:r>
            <w:r>
              <w:rPr>
                <w:rFonts w:cs="Segoe UI"/>
                <w:color w:val="000000"/>
                <w:sz w:val="16"/>
                <w:szCs w:val="16"/>
              </w:rPr>
              <w:t xml:space="preserve">, presúvanie fin. bremena </w:t>
            </w:r>
            <w:r w:rsidRPr="00402304">
              <w:rPr>
                <w:rFonts w:cs="Segoe UI"/>
                <w:color w:val="000000"/>
                <w:sz w:val="16"/>
                <w:szCs w:val="16"/>
              </w:rPr>
              <w:t xml:space="preserve">na </w:t>
            </w:r>
            <w:r>
              <w:rPr>
                <w:rFonts w:cs="Segoe UI"/>
                <w:color w:val="000000"/>
                <w:sz w:val="16"/>
                <w:szCs w:val="16"/>
              </w:rPr>
              <w:t>ďalšie</w:t>
            </w:r>
            <w:r w:rsidRPr="00402304">
              <w:rPr>
                <w:rFonts w:cs="Segoe UI"/>
                <w:color w:val="000000"/>
                <w:sz w:val="16"/>
                <w:szCs w:val="16"/>
              </w:rPr>
              <w:t xml:space="preserve"> generácie</w:t>
            </w:r>
          </w:p>
        </w:tc>
      </w:tr>
      <w:tr w:rsidR="007158C8" w:rsidRPr="00BF374D" w14:paraId="7C1B49A2" w14:textId="77777777" w:rsidTr="00BB314F">
        <w:trPr>
          <w:trHeight w:val="20"/>
          <w:jc w:val="center"/>
        </w:trPr>
        <w:tc>
          <w:tcPr>
            <w:tcW w:w="530" w:type="pct"/>
            <w:tcBorders>
              <w:top w:val="single" w:sz="4" w:space="0" w:color="FFFFFF" w:themeColor="background1"/>
              <w:bottom w:val="single" w:sz="4" w:space="0" w:color="FFFFFF" w:themeColor="background1"/>
            </w:tcBorders>
            <w:shd w:val="clear" w:color="auto" w:fill="314364"/>
            <w:noWrap/>
            <w:vAlign w:val="center"/>
            <w:hideMark/>
          </w:tcPr>
          <w:p w14:paraId="4B79503E"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Máj</w:t>
            </w:r>
          </w:p>
        </w:tc>
        <w:tc>
          <w:tcPr>
            <w:tcW w:w="4470" w:type="pct"/>
            <w:shd w:val="clear" w:color="auto" w:fill="EBF0FB" w:themeFill="background2" w:themeFillTint="33"/>
            <w:vAlign w:val="center"/>
            <w:hideMark/>
          </w:tcPr>
          <w:p w14:paraId="080824C8" w14:textId="77777777" w:rsidR="007158C8" w:rsidRPr="0050614B" w:rsidRDefault="007158C8" w:rsidP="00BB314F">
            <w:pPr>
              <w:spacing w:before="40" w:after="40"/>
              <w:jc w:val="center"/>
              <w:rPr>
                <w:rFonts w:cs="Segoe UI"/>
                <w:color w:val="000000"/>
                <w:sz w:val="16"/>
                <w:szCs w:val="16"/>
              </w:rPr>
            </w:pPr>
            <w:r>
              <w:rPr>
                <w:rFonts w:cs="Segoe UI"/>
                <w:b/>
                <w:bCs/>
                <w:color w:val="000000"/>
                <w:sz w:val="16"/>
                <w:szCs w:val="16"/>
              </w:rPr>
              <w:t xml:space="preserve">Príprava rozpočtu v RISe (kapitoly a subjekty VS) – </w:t>
            </w:r>
            <w:r>
              <w:rPr>
                <w:rFonts w:cs="Segoe UI"/>
                <w:color w:val="000000"/>
                <w:sz w:val="16"/>
                <w:szCs w:val="16"/>
              </w:rPr>
              <w:t>prvý rozpis príjmov a výdavkov na ďalšie zosúlaďovanie</w:t>
            </w:r>
          </w:p>
          <w:p w14:paraId="3B77C05B" w14:textId="77777777" w:rsidR="007158C8" w:rsidRPr="00BF374D" w:rsidRDefault="007158C8" w:rsidP="00BB314F">
            <w:pPr>
              <w:spacing w:before="40" w:after="40"/>
              <w:jc w:val="center"/>
              <w:rPr>
                <w:rFonts w:cs="Segoe UI"/>
                <w:color w:val="000000"/>
                <w:sz w:val="16"/>
                <w:szCs w:val="16"/>
              </w:rPr>
            </w:pPr>
            <w:r>
              <w:rPr>
                <w:rFonts w:cs="Segoe UI"/>
                <w:b/>
                <w:bCs/>
                <w:color w:val="000000"/>
                <w:sz w:val="16"/>
                <w:szCs w:val="16"/>
              </w:rPr>
              <w:t xml:space="preserve">Revízie výdavkov (ÚHP MF SR) – </w:t>
            </w:r>
            <w:r>
              <w:rPr>
                <w:rFonts w:cs="Segoe UI"/>
                <w:color w:val="000000"/>
                <w:sz w:val="16"/>
                <w:szCs w:val="16"/>
              </w:rPr>
              <w:t>priebežne spracovávané tak, aby pokryli 50 % RVS za volebné obdobie</w:t>
            </w:r>
          </w:p>
        </w:tc>
      </w:tr>
      <w:tr w:rsidR="007158C8" w:rsidRPr="00BF374D" w14:paraId="2188AC08" w14:textId="77777777" w:rsidTr="00BB314F">
        <w:trPr>
          <w:trHeight w:val="20"/>
          <w:jc w:val="center"/>
        </w:trPr>
        <w:tc>
          <w:tcPr>
            <w:tcW w:w="530" w:type="pct"/>
            <w:tcBorders>
              <w:top w:val="single" w:sz="4" w:space="0" w:color="FFFFFF" w:themeColor="background1"/>
              <w:bottom w:val="single" w:sz="4" w:space="0" w:color="FFFFFF" w:themeColor="background1"/>
            </w:tcBorders>
            <w:shd w:val="clear" w:color="auto" w:fill="314364"/>
            <w:noWrap/>
            <w:vAlign w:val="center"/>
            <w:hideMark/>
          </w:tcPr>
          <w:p w14:paraId="3DE4BF3E"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Jún</w:t>
            </w:r>
          </w:p>
        </w:tc>
        <w:tc>
          <w:tcPr>
            <w:tcW w:w="4470" w:type="pct"/>
            <w:shd w:val="clear" w:color="auto" w:fill="EBF0FB" w:themeFill="background2" w:themeFillTint="33"/>
            <w:vAlign w:val="center"/>
            <w:hideMark/>
          </w:tcPr>
          <w:p w14:paraId="0B897CE0" w14:textId="77777777" w:rsidR="007158C8" w:rsidRPr="00BF374D" w:rsidRDefault="007158C8" w:rsidP="00BB314F">
            <w:pPr>
              <w:spacing w:before="40" w:after="40"/>
              <w:jc w:val="center"/>
              <w:rPr>
                <w:rFonts w:cs="Segoe UI"/>
                <w:color w:val="000000"/>
                <w:sz w:val="16"/>
                <w:szCs w:val="16"/>
              </w:rPr>
            </w:pPr>
            <w:r w:rsidRPr="00BF374D">
              <w:rPr>
                <w:rFonts w:cs="Segoe UI"/>
                <w:b/>
                <w:bCs/>
                <w:color w:val="000000"/>
                <w:sz w:val="16"/>
                <w:szCs w:val="16"/>
              </w:rPr>
              <w:t>Makro</w:t>
            </w:r>
            <w:r>
              <w:rPr>
                <w:rFonts w:cs="Segoe UI"/>
                <w:b/>
                <w:bCs/>
                <w:color w:val="000000"/>
                <w:sz w:val="16"/>
                <w:szCs w:val="16"/>
              </w:rPr>
              <w:t>ekonomická</w:t>
            </w:r>
            <w:r w:rsidRPr="00BF374D">
              <w:rPr>
                <w:rFonts w:cs="Segoe UI"/>
                <w:b/>
                <w:bCs/>
                <w:color w:val="000000"/>
                <w:sz w:val="16"/>
                <w:szCs w:val="16"/>
              </w:rPr>
              <w:t xml:space="preserve"> prognóza</w:t>
            </w:r>
            <w:r>
              <w:rPr>
                <w:rFonts w:cs="Segoe UI"/>
                <w:b/>
                <w:bCs/>
                <w:color w:val="000000"/>
                <w:sz w:val="16"/>
                <w:szCs w:val="16"/>
              </w:rPr>
              <w:t xml:space="preserve"> (IFP MF SR)</w:t>
            </w:r>
            <w:r w:rsidRPr="00BF374D">
              <w:rPr>
                <w:rFonts w:cs="Segoe UI"/>
                <w:b/>
                <w:bCs/>
                <w:color w:val="000000"/>
                <w:sz w:val="16"/>
                <w:szCs w:val="16"/>
              </w:rPr>
              <w:t xml:space="preserve"> – </w:t>
            </w:r>
            <w:r w:rsidRPr="00BF374D">
              <w:rPr>
                <w:rFonts w:cs="Segoe UI"/>
                <w:color w:val="000000"/>
                <w:sz w:val="16"/>
                <w:szCs w:val="16"/>
              </w:rPr>
              <w:t>HDP, inflácia, miera nezamestnanosti, miera zamestnanosti</w:t>
            </w:r>
            <w:r>
              <w:rPr>
                <w:rFonts w:cs="Segoe UI"/>
                <w:color w:val="000000"/>
                <w:sz w:val="16"/>
                <w:szCs w:val="16"/>
              </w:rPr>
              <w:t xml:space="preserve"> atď. </w:t>
            </w:r>
          </w:p>
          <w:p w14:paraId="34885E90" w14:textId="77777777" w:rsidR="007158C8" w:rsidRDefault="007158C8" w:rsidP="00BB314F">
            <w:pPr>
              <w:spacing w:before="40" w:after="40"/>
              <w:jc w:val="center"/>
              <w:rPr>
                <w:rFonts w:cs="Segoe UI"/>
                <w:color w:val="000000"/>
                <w:sz w:val="16"/>
                <w:szCs w:val="16"/>
              </w:rPr>
            </w:pPr>
            <w:r>
              <w:rPr>
                <w:rFonts w:cs="Segoe UI"/>
                <w:b/>
                <w:bCs/>
                <w:color w:val="000000"/>
                <w:sz w:val="16"/>
                <w:szCs w:val="16"/>
              </w:rPr>
              <w:t>Daňová prognóza (</w:t>
            </w:r>
            <w:r w:rsidRPr="00BF374D">
              <w:rPr>
                <w:rFonts w:cs="Segoe UI"/>
                <w:b/>
                <w:bCs/>
                <w:color w:val="000000"/>
                <w:sz w:val="16"/>
                <w:szCs w:val="16"/>
              </w:rPr>
              <w:t>IFP MF SR</w:t>
            </w:r>
            <w:r>
              <w:rPr>
                <w:rFonts w:cs="Segoe UI"/>
                <w:b/>
                <w:bCs/>
                <w:color w:val="000000"/>
                <w:sz w:val="16"/>
                <w:szCs w:val="16"/>
              </w:rPr>
              <w:t xml:space="preserve">) – </w:t>
            </w:r>
            <w:r w:rsidRPr="00BF374D">
              <w:rPr>
                <w:rFonts w:cs="Segoe UI"/>
                <w:color w:val="000000"/>
                <w:sz w:val="16"/>
                <w:szCs w:val="16"/>
              </w:rPr>
              <w:t>prognóza daňových príjmov, sociálnych a zdravotných odvodov</w:t>
            </w:r>
            <w:r>
              <w:rPr>
                <w:rFonts w:cs="Segoe UI"/>
                <w:color w:val="000000"/>
                <w:sz w:val="16"/>
                <w:szCs w:val="16"/>
              </w:rPr>
              <w:t xml:space="preserve"> atď.</w:t>
            </w:r>
          </w:p>
          <w:p w14:paraId="6EA09533" w14:textId="77777777" w:rsidR="007158C8" w:rsidRPr="00BF374D" w:rsidRDefault="007158C8" w:rsidP="00BB314F">
            <w:pPr>
              <w:spacing w:before="40" w:after="40"/>
              <w:jc w:val="center"/>
              <w:rPr>
                <w:rFonts w:cs="Segoe UI"/>
                <w:color w:val="000000"/>
                <w:sz w:val="16"/>
                <w:szCs w:val="16"/>
              </w:rPr>
            </w:pPr>
            <w:r>
              <w:rPr>
                <w:rFonts w:cs="Segoe UI"/>
                <w:b/>
                <w:bCs/>
                <w:color w:val="000000"/>
                <w:sz w:val="16"/>
                <w:szCs w:val="16"/>
              </w:rPr>
              <w:t xml:space="preserve">Odporúčania pre krajinu (EK) – </w:t>
            </w:r>
            <w:r>
              <w:rPr>
                <w:rFonts w:cs="Segoe UI"/>
                <w:color w:val="000000"/>
                <w:sz w:val="16"/>
                <w:szCs w:val="16"/>
              </w:rPr>
              <w:t xml:space="preserve">jarný balík odporúčaní členským štátom v rámci európskeho semestra </w:t>
            </w:r>
          </w:p>
        </w:tc>
      </w:tr>
      <w:tr w:rsidR="007158C8" w:rsidRPr="00BF374D" w14:paraId="2A34BAB5" w14:textId="77777777" w:rsidTr="00BB314F">
        <w:trPr>
          <w:trHeight w:val="20"/>
          <w:jc w:val="center"/>
        </w:trPr>
        <w:tc>
          <w:tcPr>
            <w:tcW w:w="530" w:type="pct"/>
            <w:tcBorders>
              <w:top w:val="single" w:sz="4" w:space="0" w:color="FFFFFF" w:themeColor="background1"/>
              <w:bottom w:val="single" w:sz="4" w:space="0" w:color="FFFFFF" w:themeColor="background1"/>
            </w:tcBorders>
            <w:shd w:val="clear" w:color="auto" w:fill="314364"/>
            <w:noWrap/>
            <w:vAlign w:val="center"/>
            <w:hideMark/>
          </w:tcPr>
          <w:p w14:paraId="133C74F8"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Júl</w:t>
            </w:r>
          </w:p>
        </w:tc>
        <w:tc>
          <w:tcPr>
            <w:tcW w:w="4470" w:type="pct"/>
            <w:shd w:val="clear" w:color="auto" w:fill="EBF0FB" w:themeFill="background2" w:themeFillTint="33"/>
            <w:vAlign w:val="center"/>
          </w:tcPr>
          <w:p w14:paraId="115FFB34" w14:textId="77777777" w:rsidR="007158C8" w:rsidRPr="00604285" w:rsidRDefault="007158C8" w:rsidP="00BB314F">
            <w:pPr>
              <w:spacing w:before="40" w:after="40"/>
              <w:jc w:val="center"/>
              <w:rPr>
                <w:rFonts w:cs="Segoe UI"/>
                <w:color w:val="000000"/>
                <w:sz w:val="16"/>
                <w:szCs w:val="16"/>
              </w:rPr>
            </w:pPr>
            <w:r w:rsidRPr="00604285">
              <w:rPr>
                <w:rFonts w:cs="Segoe UI"/>
                <w:b/>
                <w:bCs/>
                <w:color w:val="000000"/>
                <w:sz w:val="16"/>
                <w:szCs w:val="16"/>
              </w:rPr>
              <w:t>Strednodobý fiškálny výhľad</w:t>
            </w:r>
            <w:r>
              <w:rPr>
                <w:rFonts w:cs="Segoe UI"/>
                <w:b/>
                <w:bCs/>
                <w:color w:val="000000"/>
                <w:sz w:val="16"/>
                <w:szCs w:val="16"/>
              </w:rPr>
              <w:t xml:space="preserve"> (RRZ) – </w:t>
            </w:r>
            <w:r w:rsidRPr="00604285">
              <w:rPr>
                <w:rFonts w:cs="Segoe UI"/>
                <w:color w:val="000000"/>
                <w:sz w:val="16"/>
                <w:szCs w:val="16"/>
              </w:rPr>
              <w:t>súlad výsledku</w:t>
            </w:r>
            <w:r>
              <w:rPr>
                <w:rFonts w:cs="Segoe UI"/>
                <w:color w:val="000000"/>
                <w:sz w:val="16"/>
                <w:szCs w:val="16"/>
              </w:rPr>
              <w:t xml:space="preserve"> </w:t>
            </w:r>
            <w:r w:rsidRPr="00604285">
              <w:rPr>
                <w:rFonts w:cs="Segoe UI"/>
                <w:color w:val="000000"/>
                <w:sz w:val="16"/>
                <w:szCs w:val="16"/>
              </w:rPr>
              <w:t>rozpočtového hospodárenia s</w:t>
            </w:r>
            <w:r>
              <w:rPr>
                <w:rFonts w:cs="Segoe UI"/>
                <w:color w:val="000000"/>
                <w:sz w:val="16"/>
                <w:szCs w:val="16"/>
              </w:rPr>
              <w:t> LVV</w:t>
            </w:r>
          </w:p>
        </w:tc>
      </w:tr>
      <w:tr w:rsidR="007158C8" w:rsidRPr="00BF374D" w14:paraId="0DAC6A20" w14:textId="77777777" w:rsidTr="00BB314F">
        <w:trPr>
          <w:trHeight w:val="20"/>
          <w:jc w:val="center"/>
        </w:trPr>
        <w:tc>
          <w:tcPr>
            <w:tcW w:w="530" w:type="pct"/>
            <w:tcBorders>
              <w:top w:val="single" w:sz="4" w:space="0" w:color="FFFFFF" w:themeColor="background1"/>
              <w:bottom w:val="single" w:sz="4" w:space="0" w:color="FFFFFF" w:themeColor="background1"/>
            </w:tcBorders>
            <w:shd w:val="clear" w:color="auto" w:fill="314364"/>
            <w:noWrap/>
            <w:vAlign w:val="center"/>
            <w:hideMark/>
          </w:tcPr>
          <w:p w14:paraId="43EB69CD"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August</w:t>
            </w:r>
          </w:p>
        </w:tc>
        <w:tc>
          <w:tcPr>
            <w:tcW w:w="4470" w:type="pct"/>
            <w:shd w:val="clear" w:color="auto" w:fill="EBF0FB" w:themeFill="background2" w:themeFillTint="33"/>
            <w:vAlign w:val="center"/>
            <w:hideMark/>
          </w:tcPr>
          <w:p w14:paraId="3946B238" w14:textId="77777777" w:rsidR="007158C8" w:rsidRPr="0050614B" w:rsidRDefault="007158C8" w:rsidP="00BB314F">
            <w:pPr>
              <w:spacing w:before="40" w:after="40"/>
              <w:jc w:val="center"/>
              <w:rPr>
                <w:rFonts w:cs="Segoe UI"/>
                <w:color w:val="000000"/>
                <w:sz w:val="16"/>
                <w:szCs w:val="16"/>
              </w:rPr>
            </w:pPr>
            <w:r>
              <w:rPr>
                <w:rFonts w:cs="Segoe UI"/>
                <w:b/>
                <w:bCs/>
                <w:color w:val="000000"/>
                <w:sz w:val="16"/>
                <w:szCs w:val="16"/>
              </w:rPr>
              <w:t xml:space="preserve">Príprava rozpočtu v RISe (kapitoly a subjekty VS) – </w:t>
            </w:r>
            <w:r>
              <w:rPr>
                <w:rFonts w:cs="Segoe UI"/>
                <w:color w:val="000000"/>
                <w:sz w:val="16"/>
                <w:szCs w:val="16"/>
              </w:rPr>
              <w:t xml:space="preserve">priebežná komunikácia a koordinácia medzi MF SR a kapitolami </w:t>
            </w:r>
          </w:p>
          <w:p w14:paraId="682FD287" w14:textId="77777777" w:rsidR="007158C8" w:rsidRPr="0060429E" w:rsidRDefault="007158C8" w:rsidP="00BB314F">
            <w:pPr>
              <w:spacing w:before="40" w:after="40"/>
              <w:jc w:val="center"/>
              <w:rPr>
                <w:rFonts w:cs="Segoe UI"/>
                <w:i/>
                <w:iCs/>
                <w:color w:val="000000"/>
                <w:sz w:val="16"/>
                <w:szCs w:val="16"/>
              </w:rPr>
            </w:pPr>
            <w:r w:rsidRPr="0060429E">
              <w:rPr>
                <w:rFonts w:cs="Segoe UI"/>
                <w:i/>
                <w:iCs/>
                <w:color w:val="000000"/>
                <w:sz w:val="16"/>
                <w:szCs w:val="16"/>
              </w:rPr>
              <w:t xml:space="preserve">(v minulosti, do </w:t>
            </w:r>
            <w:r>
              <w:rPr>
                <w:rFonts w:cs="Segoe UI"/>
                <w:i/>
                <w:iCs/>
                <w:color w:val="000000"/>
                <w:sz w:val="16"/>
                <w:szCs w:val="16"/>
              </w:rPr>
              <w:t xml:space="preserve">roku </w:t>
            </w:r>
            <w:r w:rsidRPr="0060429E">
              <w:rPr>
                <w:rFonts w:cs="Segoe UI"/>
                <w:i/>
                <w:iCs/>
                <w:color w:val="000000"/>
                <w:sz w:val="16"/>
                <w:szCs w:val="16"/>
              </w:rPr>
              <w:t>2017, predkladalo MF SR návrh rozpočtu do 15.</w:t>
            </w:r>
            <w:r>
              <w:rPr>
                <w:rFonts w:cs="Segoe UI"/>
                <w:i/>
                <w:iCs/>
                <w:color w:val="000000"/>
                <w:sz w:val="16"/>
                <w:szCs w:val="16"/>
              </w:rPr>
              <w:t xml:space="preserve"> </w:t>
            </w:r>
            <w:r w:rsidRPr="0060429E">
              <w:rPr>
                <w:rFonts w:cs="Segoe UI"/>
                <w:i/>
                <w:iCs/>
                <w:color w:val="000000"/>
                <w:sz w:val="16"/>
                <w:szCs w:val="16"/>
              </w:rPr>
              <w:t xml:space="preserve">8. a vláda </w:t>
            </w:r>
            <w:r>
              <w:rPr>
                <w:rFonts w:cs="Segoe UI"/>
                <w:i/>
                <w:iCs/>
                <w:color w:val="000000"/>
                <w:sz w:val="16"/>
                <w:szCs w:val="16"/>
              </w:rPr>
              <w:t xml:space="preserve">ho </w:t>
            </w:r>
            <w:r w:rsidRPr="0060429E">
              <w:rPr>
                <w:rFonts w:cs="Segoe UI"/>
                <w:i/>
                <w:iCs/>
                <w:color w:val="000000"/>
                <w:sz w:val="16"/>
                <w:szCs w:val="16"/>
              </w:rPr>
              <w:t>schvaľovala spravidla do 30.</w:t>
            </w:r>
            <w:r>
              <w:rPr>
                <w:rFonts w:cs="Segoe UI"/>
                <w:i/>
                <w:iCs/>
                <w:color w:val="000000"/>
                <w:sz w:val="16"/>
                <w:szCs w:val="16"/>
              </w:rPr>
              <w:t xml:space="preserve"> </w:t>
            </w:r>
            <w:r w:rsidRPr="0060429E">
              <w:rPr>
                <w:rFonts w:cs="Segoe UI"/>
                <w:i/>
                <w:iCs/>
                <w:color w:val="000000"/>
                <w:sz w:val="16"/>
                <w:szCs w:val="16"/>
              </w:rPr>
              <w:t xml:space="preserve">9.)  </w:t>
            </w:r>
          </w:p>
        </w:tc>
      </w:tr>
      <w:tr w:rsidR="007158C8" w:rsidRPr="00BF374D" w14:paraId="6724F845" w14:textId="77777777" w:rsidTr="00BB314F">
        <w:trPr>
          <w:trHeight w:val="20"/>
          <w:jc w:val="center"/>
        </w:trPr>
        <w:tc>
          <w:tcPr>
            <w:tcW w:w="530" w:type="pct"/>
            <w:tcBorders>
              <w:top w:val="single" w:sz="4" w:space="0" w:color="FFFFFF" w:themeColor="background1"/>
              <w:bottom w:val="single" w:sz="4" w:space="0" w:color="auto"/>
            </w:tcBorders>
            <w:shd w:val="clear" w:color="auto" w:fill="314364"/>
            <w:noWrap/>
            <w:vAlign w:val="center"/>
            <w:hideMark/>
          </w:tcPr>
          <w:p w14:paraId="2A700260"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September</w:t>
            </w:r>
          </w:p>
        </w:tc>
        <w:tc>
          <w:tcPr>
            <w:tcW w:w="4470" w:type="pct"/>
            <w:shd w:val="clear" w:color="auto" w:fill="EBF0FB" w:themeFill="background2" w:themeFillTint="33"/>
            <w:vAlign w:val="center"/>
            <w:hideMark/>
          </w:tcPr>
          <w:p w14:paraId="2617F1EC" w14:textId="77777777" w:rsidR="007158C8" w:rsidRPr="00BF374D" w:rsidRDefault="007158C8" w:rsidP="00BB314F">
            <w:pPr>
              <w:spacing w:before="40" w:after="40"/>
              <w:jc w:val="center"/>
              <w:rPr>
                <w:rFonts w:cs="Segoe UI"/>
                <w:color w:val="000000"/>
                <w:sz w:val="16"/>
                <w:szCs w:val="16"/>
              </w:rPr>
            </w:pPr>
            <w:r w:rsidRPr="00BF374D">
              <w:rPr>
                <w:rFonts w:cs="Segoe UI"/>
                <w:b/>
                <w:bCs/>
                <w:color w:val="000000"/>
                <w:sz w:val="16"/>
                <w:szCs w:val="16"/>
              </w:rPr>
              <w:t>Makro</w:t>
            </w:r>
            <w:r>
              <w:rPr>
                <w:rFonts w:cs="Segoe UI"/>
                <w:b/>
                <w:bCs/>
                <w:color w:val="000000"/>
                <w:sz w:val="16"/>
                <w:szCs w:val="16"/>
              </w:rPr>
              <w:t>ekonomická</w:t>
            </w:r>
            <w:r w:rsidRPr="00BF374D">
              <w:rPr>
                <w:rFonts w:cs="Segoe UI"/>
                <w:b/>
                <w:bCs/>
                <w:color w:val="000000"/>
                <w:sz w:val="16"/>
                <w:szCs w:val="16"/>
              </w:rPr>
              <w:t xml:space="preserve"> prognóza</w:t>
            </w:r>
            <w:r>
              <w:rPr>
                <w:rFonts w:cs="Segoe UI"/>
                <w:b/>
                <w:bCs/>
                <w:color w:val="000000"/>
                <w:sz w:val="16"/>
                <w:szCs w:val="16"/>
              </w:rPr>
              <w:t xml:space="preserve"> (IFP MF SR)</w:t>
            </w:r>
            <w:r w:rsidRPr="00BF374D">
              <w:rPr>
                <w:rFonts w:cs="Segoe UI"/>
                <w:b/>
                <w:bCs/>
                <w:color w:val="000000"/>
                <w:sz w:val="16"/>
                <w:szCs w:val="16"/>
              </w:rPr>
              <w:t xml:space="preserve"> – </w:t>
            </w:r>
            <w:r w:rsidRPr="00BF374D">
              <w:rPr>
                <w:rFonts w:cs="Segoe UI"/>
                <w:color w:val="000000"/>
                <w:sz w:val="16"/>
                <w:szCs w:val="16"/>
              </w:rPr>
              <w:t>HDP, inflácia, miera nezamestnanosti, miera zamestnanosti</w:t>
            </w:r>
            <w:r>
              <w:rPr>
                <w:rFonts w:cs="Segoe UI"/>
                <w:color w:val="000000"/>
                <w:sz w:val="16"/>
                <w:szCs w:val="16"/>
              </w:rPr>
              <w:t xml:space="preserve"> atď. </w:t>
            </w:r>
          </w:p>
          <w:p w14:paraId="7FA8A46D" w14:textId="77777777" w:rsidR="007158C8" w:rsidRDefault="007158C8" w:rsidP="00BB314F">
            <w:pPr>
              <w:spacing w:before="40" w:after="40"/>
              <w:jc w:val="center"/>
              <w:rPr>
                <w:rFonts w:cs="Segoe UI"/>
                <w:color w:val="000000"/>
                <w:sz w:val="16"/>
                <w:szCs w:val="16"/>
              </w:rPr>
            </w:pPr>
            <w:r>
              <w:rPr>
                <w:rFonts w:cs="Segoe UI"/>
                <w:b/>
                <w:bCs/>
                <w:color w:val="000000"/>
                <w:sz w:val="16"/>
                <w:szCs w:val="16"/>
              </w:rPr>
              <w:t>Daňová prognóza (</w:t>
            </w:r>
            <w:r w:rsidRPr="00BF374D">
              <w:rPr>
                <w:rFonts w:cs="Segoe UI"/>
                <w:b/>
                <w:bCs/>
                <w:color w:val="000000"/>
                <w:sz w:val="16"/>
                <w:szCs w:val="16"/>
              </w:rPr>
              <w:t>IFP MF SR</w:t>
            </w:r>
            <w:r>
              <w:rPr>
                <w:rFonts w:cs="Segoe UI"/>
                <w:b/>
                <w:bCs/>
                <w:color w:val="000000"/>
                <w:sz w:val="16"/>
                <w:szCs w:val="16"/>
              </w:rPr>
              <w:t xml:space="preserve">) – </w:t>
            </w:r>
            <w:r w:rsidRPr="00BF374D">
              <w:rPr>
                <w:rFonts w:cs="Segoe UI"/>
                <w:color w:val="000000"/>
                <w:sz w:val="16"/>
                <w:szCs w:val="16"/>
              </w:rPr>
              <w:t>prognóza daňových príjmov, sociálnych a zdravotných odvodov</w:t>
            </w:r>
            <w:r>
              <w:rPr>
                <w:rFonts w:cs="Segoe UI"/>
                <w:color w:val="000000"/>
                <w:sz w:val="16"/>
                <w:szCs w:val="16"/>
              </w:rPr>
              <w:t xml:space="preserve"> atď.</w:t>
            </w:r>
          </w:p>
          <w:p w14:paraId="03B8E48F" w14:textId="77777777" w:rsidR="007158C8" w:rsidRPr="00BF374D" w:rsidRDefault="007158C8" w:rsidP="00BB314F">
            <w:pPr>
              <w:spacing w:before="40" w:after="40"/>
              <w:jc w:val="center"/>
              <w:rPr>
                <w:rFonts w:cs="Segoe UI"/>
                <w:color w:val="000000"/>
                <w:sz w:val="16"/>
                <w:szCs w:val="16"/>
              </w:rPr>
            </w:pPr>
            <w:r w:rsidRPr="0060429E">
              <w:rPr>
                <w:rFonts w:cs="Segoe UI"/>
                <w:b/>
                <w:bCs/>
                <w:color w:val="000000"/>
                <w:sz w:val="16"/>
                <w:szCs w:val="16"/>
              </w:rPr>
              <w:t>Príprava jesennej EDP notifikácie (MF SR</w:t>
            </w:r>
            <w:r>
              <w:rPr>
                <w:rFonts w:cs="Segoe UI"/>
                <w:b/>
                <w:bCs/>
                <w:color w:val="000000"/>
                <w:sz w:val="16"/>
                <w:szCs w:val="16"/>
              </w:rPr>
              <w:t>,</w:t>
            </w:r>
            <w:r w:rsidRPr="0060429E">
              <w:rPr>
                <w:rFonts w:cs="Segoe UI"/>
                <w:b/>
                <w:bCs/>
                <w:color w:val="000000"/>
                <w:sz w:val="16"/>
                <w:szCs w:val="16"/>
              </w:rPr>
              <w:t xml:space="preserve"> ŠÚ SR</w:t>
            </w:r>
            <w:r>
              <w:rPr>
                <w:rFonts w:cs="Segoe UI"/>
                <w:b/>
                <w:bCs/>
                <w:color w:val="000000"/>
                <w:sz w:val="16"/>
                <w:szCs w:val="16"/>
              </w:rPr>
              <w:t>,</w:t>
            </w:r>
            <w:r w:rsidRPr="0060429E">
              <w:rPr>
                <w:rFonts w:cs="Segoe UI"/>
                <w:b/>
                <w:bCs/>
                <w:color w:val="000000"/>
                <w:sz w:val="16"/>
                <w:szCs w:val="16"/>
              </w:rPr>
              <w:t xml:space="preserve"> NBS) –</w:t>
            </w:r>
            <w:r w:rsidRPr="0060429E">
              <w:rPr>
                <w:rFonts w:cs="Segoe UI"/>
                <w:color w:val="000000"/>
                <w:sz w:val="16"/>
                <w:szCs w:val="16"/>
              </w:rPr>
              <w:t xml:space="preserve"> hodnoty deficitu/dlhu sa odosielajú EK </w:t>
            </w:r>
            <w:r>
              <w:rPr>
                <w:rFonts w:cs="Segoe UI"/>
                <w:color w:val="000000"/>
                <w:sz w:val="16"/>
                <w:szCs w:val="16"/>
              </w:rPr>
              <w:t>v septembri</w:t>
            </w:r>
          </w:p>
        </w:tc>
      </w:tr>
      <w:tr w:rsidR="007158C8" w:rsidRPr="00BF374D" w14:paraId="3B13255C" w14:textId="77777777" w:rsidTr="00BB314F">
        <w:trPr>
          <w:trHeight w:val="20"/>
          <w:jc w:val="center"/>
        </w:trPr>
        <w:tc>
          <w:tcPr>
            <w:tcW w:w="530" w:type="pct"/>
            <w:tcBorders>
              <w:top w:val="single" w:sz="4" w:space="0" w:color="auto"/>
              <w:bottom w:val="single" w:sz="4" w:space="0" w:color="FFFFFF" w:themeColor="background1"/>
            </w:tcBorders>
            <w:shd w:val="clear" w:color="auto" w:fill="314364"/>
            <w:noWrap/>
            <w:vAlign w:val="center"/>
            <w:hideMark/>
          </w:tcPr>
          <w:p w14:paraId="1055635C"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Október</w:t>
            </w:r>
          </w:p>
        </w:tc>
        <w:tc>
          <w:tcPr>
            <w:tcW w:w="4470" w:type="pct"/>
            <w:shd w:val="clear" w:color="auto" w:fill="EBF0FB" w:themeFill="background2" w:themeFillTint="33"/>
            <w:vAlign w:val="center"/>
            <w:hideMark/>
          </w:tcPr>
          <w:p w14:paraId="36D1704D" w14:textId="04BDF5D3" w:rsidR="007158C8" w:rsidRPr="0060429E" w:rsidRDefault="007158C8" w:rsidP="00BB314F">
            <w:pPr>
              <w:spacing w:before="40" w:after="40"/>
              <w:jc w:val="center"/>
              <w:rPr>
                <w:rFonts w:cs="Segoe UI"/>
                <w:color w:val="000000"/>
                <w:sz w:val="16"/>
                <w:szCs w:val="16"/>
              </w:rPr>
            </w:pPr>
            <w:r>
              <w:rPr>
                <w:rFonts w:cs="Segoe UI"/>
                <w:b/>
                <w:bCs/>
                <w:color w:val="000000"/>
                <w:sz w:val="16"/>
                <w:szCs w:val="16"/>
              </w:rPr>
              <w:t xml:space="preserve">Stanovisko k návrhu ŠR/RVS (HSR) – </w:t>
            </w:r>
            <w:r>
              <w:rPr>
                <w:rFonts w:cs="Segoe UI"/>
                <w:color w:val="000000"/>
                <w:sz w:val="16"/>
                <w:szCs w:val="16"/>
              </w:rPr>
              <w:t>stanovisko tripartity by malo byť</w:t>
            </w:r>
            <w:r w:rsidR="005525D8">
              <w:rPr>
                <w:rFonts w:cs="Segoe UI"/>
                <w:color w:val="000000"/>
                <w:sz w:val="16"/>
                <w:szCs w:val="16"/>
              </w:rPr>
              <w:t xml:space="preserve"> prijaté</w:t>
            </w:r>
            <w:r>
              <w:rPr>
                <w:rFonts w:cs="Segoe UI"/>
                <w:color w:val="000000"/>
                <w:sz w:val="16"/>
                <w:szCs w:val="16"/>
              </w:rPr>
              <w:t xml:space="preserve"> pred vládou, aby sa pripomienky</w:t>
            </w:r>
            <w:r w:rsidR="005525D8">
              <w:rPr>
                <w:rFonts w:cs="Segoe UI"/>
                <w:color w:val="000000"/>
                <w:sz w:val="16"/>
                <w:szCs w:val="16"/>
              </w:rPr>
              <w:t xml:space="preserve"> dali </w:t>
            </w:r>
            <w:r>
              <w:rPr>
                <w:rFonts w:cs="Segoe UI"/>
                <w:color w:val="000000"/>
                <w:sz w:val="16"/>
                <w:szCs w:val="16"/>
              </w:rPr>
              <w:t>zapracova</w:t>
            </w:r>
            <w:r w:rsidR="005525D8">
              <w:rPr>
                <w:rFonts w:cs="Segoe UI"/>
                <w:color w:val="000000"/>
                <w:sz w:val="16"/>
                <w:szCs w:val="16"/>
              </w:rPr>
              <w:t>ť</w:t>
            </w:r>
          </w:p>
          <w:p w14:paraId="1BCE1670" w14:textId="77777777" w:rsidR="007158C8" w:rsidRPr="0060429E" w:rsidRDefault="007158C8" w:rsidP="00BB314F">
            <w:pPr>
              <w:spacing w:before="40" w:after="40"/>
              <w:jc w:val="center"/>
              <w:rPr>
                <w:rFonts w:cs="Segoe UI"/>
                <w:color w:val="000000"/>
                <w:sz w:val="16"/>
                <w:szCs w:val="16"/>
              </w:rPr>
            </w:pPr>
            <w:r>
              <w:rPr>
                <w:rFonts w:cs="Segoe UI"/>
                <w:b/>
                <w:bCs/>
                <w:color w:val="000000"/>
                <w:sz w:val="16"/>
                <w:szCs w:val="16"/>
              </w:rPr>
              <w:t xml:space="preserve">Návrh ŠR/RVS (MF SR) – </w:t>
            </w:r>
            <w:r>
              <w:rPr>
                <w:rFonts w:cs="Segoe UI"/>
                <w:color w:val="000000"/>
                <w:sz w:val="16"/>
                <w:szCs w:val="16"/>
              </w:rPr>
              <w:t xml:space="preserve">vláda schvaľuje a predkladá na rokovanie NR SR do 15. 10. </w:t>
            </w:r>
          </w:p>
          <w:p w14:paraId="4C3F7FB5" w14:textId="77777777" w:rsidR="007158C8" w:rsidRPr="00B908CD" w:rsidRDefault="007158C8" w:rsidP="00BB314F">
            <w:pPr>
              <w:spacing w:before="40" w:after="40"/>
              <w:jc w:val="center"/>
              <w:rPr>
                <w:rFonts w:cs="Segoe UI"/>
                <w:color w:val="000000"/>
                <w:sz w:val="16"/>
                <w:szCs w:val="16"/>
              </w:rPr>
            </w:pPr>
            <w:r>
              <w:rPr>
                <w:rFonts w:cs="Segoe UI"/>
                <w:b/>
                <w:bCs/>
                <w:color w:val="000000"/>
                <w:sz w:val="16"/>
                <w:szCs w:val="16"/>
              </w:rPr>
              <w:t xml:space="preserve">Návrh rozpočtového plánu (MF SR) – </w:t>
            </w:r>
            <w:r>
              <w:rPr>
                <w:rFonts w:cs="Segoe UI"/>
                <w:color w:val="000000"/>
                <w:sz w:val="16"/>
                <w:szCs w:val="16"/>
              </w:rPr>
              <w:t xml:space="preserve">vláda schvaľuje a predkladá EK do 15. 10. </w:t>
            </w:r>
          </w:p>
        </w:tc>
      </w:tr>
      <w:tr w:rsidR="007158C8" w:rsidRPr="00BF374D" w14:paraId="3519A1C7" w14:textId="77777777" w:rsidTr="00BB314F">
        <w:trPr>
          <w:trHeight w:val="20"/>
          <w:jc w:val="center"/>
        </w:trPr>
        <w:tc>
          <w:tcPr>
            <w:tcW w:w="530" w:type="pct"/>
            <w:tcBorders>
              <w:top w:val="single" w:sz="4" w:space="0" w:color="FFFFFF" w:themeColor="background1"/>
              <w:bottom w:val="single" w:sz="4" w:space="0" w:color="FFFFFF" w:themeColor="background1"/>
            </w:tcBorders>
            <w:shd w:val="clear" w:color="auto" w:fill="314364"/>
            <w:noWrap/>
            <w:vAlign w:val="center"/>
            <w:hideMark/>
          </w:tcPr>
          <w:p w14:paraId="688D15C2"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November</w:t>
            </w:r>
          </w:p>
        </w:tc>
        <w:tc>
          <w:tcPr>
            <w:tcW w:w="4470" w:type="pct"/>
            <w:shd w:val="clear" w:color="auto" w:fill="EBF0FB" w:themeFill="background2" w:themeFillTint="33"/>
            <w:vAlign w:val="center"/>
            <w:hideMark/>
          </w:tcPr>
          <w:p w14:paraId="07889D6E" w14:textId="77777777" w:rsidR="007158C8" w:rsidRPr="00B908CD" w:rsidRDefault="007158C8" w:rsidP="00BB314F">
            <w:pPr>
              <w:spacing w:before="40" w:after="40"/>
              <w:jc w:val="center"/>
              <w:rPr>
                <w:rFonts w:cs="Segoe UI"/>
                <w:color w:val="000000"/>
                <w:sz w:val="16"/>
                <w:szCs w:val="16"/>
              </w:rPr>
            </w:pPr>
            <w:r>
              <w:rPr>
                <w:rFonts w:cs="Segoe UI"/>
                <w:b/>
                <w:bCs/>
                <w:color w:val="000000"/>
                <w:sz w:val="16"/>
                <w:szCs w:val="16"/>
              </w:rPr>
              <w:t xml:space="preserve">Stanovisko k návrhu ŠR/RVS (NKÚ SR) – </w:t>
            </w:r>
            <w:r>
              <w:rPr>
                <w:rFonts w:cs="Segoe UI"/>
                <w:color w:val="000000"/>
                <w:sz w:val="16"/>
                <w:szCs w:val="16"/>
              </w:rPr>
              <w:t xml:space="preserve">komplexné hodnotenie návrhu rozpočtu predkladané na rokovanie gestorského výboru spolu s rozpočtom </w:t>
            </w:r>
          </w:p>
          <w:p w14:paraId="1F0C324B" w14:textId="77777777" w:rsidR="007158C8" w:rsidRPr="00FE170D" w:rsidRDefault="007158C8" w:rsidP="00BB314F">
            <w:pPr>
              <w:spacing w:before="40" w:after="40"/>
              <w:jc w:val="center"/>
              <w:rPr>
                <w:rFonts w:cs="Segoe UI"/>
                <w:color w:val="000000"/>
                <w:sz w:val="16"/>
                <w:szCs w:val="16"/>
              </w:rPr>
            </w:pPr>
            <w:r>
              <w:rPr>
                <w:rFonts w:cs="Segoe UI"/>
                <w:b/>
                <w:bCs/>
                <w:color w:val="000000"/>
                <w:sz w:val="16"/>
                <w:szCs w:val="16"/>
              </w:rPr>
              <w:t xml:space="preserve">Hodnotenie RVS (RRZ) – </w:t>
            </w:r>
            <w:r>
              <w:rPr>
                <w:rFonts w:cs="Segoe UI"/>
                <w:color w:val="000000"/>
                <w:sz w:val="16"/>
                <w:szCs w:val="16"/>
              </w:rPr>
              <w:t xml:space="preserve">stanovisko z hľadiska udržateľnosti a fiškálnych pravidiel </w:t>
            </w:r>
          </w:p>
          <w:p w14:paraId="31F23CF7" w14:textId="77777777" w:rsidR="007158C8" w:rsidRPr="00BF374D" w:rsidRDefault="007158C8" w:rsidP="00BB314F">
            <w:pPr>
              <w:spacing w:before="40" w:after="40"/>
              <w:jc w:val="center"/>
              <w:rPr>
                <w:rFonts w:cs="Segoe UI"/>
                <w:color w:val="000000"/>
                <w:sz w:val="16"/>
                <w:szCs w:val="16"/>
              </w:rPr>
            </w:pPr>
            <w:r>
              <w:rPr>
                <w:rFonts w:cs="Segoe UI"/>
                <w:i/>
                <w:iCs/>
                <w:color w:val="000000"/>
                <w:sz w:val="16"/>
                <w:szCs w:val="16"/>
              </w:rPr>
              <w:t xml:space="preserve">(22. 11. 2025 skončí úniková klauzula z dlhovej brzdy a dlh v najvyššom pásme znamená predloženie vyrovnaného rozpočtu) </w:t>
            </w:r>
          </w:p>
        </w:tc>
      </w:tr>
      <w:tr w:rsidR="007158C8" w:rsidRPr="00BF374D" w14:paraId="307D065E" w14:textId="77777777" w:rsidTr="00BB314F">
        <w:trPr>
          <w:trHeight w:val="20"/>
          <w:jc w:val="center"/>
        </w:trPr>
        <w:tc>
          <w:tcPr>
            <w:tcW w:w="530" w:type="pct"/>
            <w:tcBorders>
              <w:top w:val="single" w:sz="4" w:space="0" w:color="FFFFFF" w:themeColor="background1"/>
            </w:tcBorders>
            <w:shd w:val="clear" w:color="auto" w:fill="314364"/>
            <w:noWrap/>
            <w:vAlign w:val="center"/>
            <w:hideMark/>
          </w:tcPr>
          <w:p w14:paraId="33602529" w14:textId="77777777" w:rsidR="007158C8" w:rsidRPr="00BF374D" w:rsidRDefault="007158C8" w:rsidP="00BB314F">
            <w:pPr>
              <w:spacing w:before="40" w:after="40"/>
              <w:jc w:val="center"/>
              <w:rPr>
                <w:rFonts w:cs="Segoe UI"/>
                <w:b/>
                <w:bCs/>
                <w:color w:val="FFFFFF"/>
                <w:sz w:val="16"/>
                <w:szCs w:val="16"/>
              </w:rPr>
            </w:pPr>
            <w:r w:rsidRPr="00BF374D">
              <w:rPr>
                <w:rFonts w:cs="Segoe UI"/>
                <w:b/>
                <w:bCs/>
                <w:color w:val="FFFFFF"/>
                <w:sz w:val="16"/>
                <w:szCs w:val="16"/>
              </w:rPr>
              <w:t>December</w:t>
            </w:r>
          </w:p>
        </w:tc>
        <w:tc>
          <w:tcPr>
            <w:tcW w:w="4470" w:type="pct"/>
            <w:shd w:val="clear" w:color="auto" w:fill="EBF0FB" w:themeFill="background2" w:themeFillTint="33"/>
            <w:vAlign w:val="center"/>
            <w:hideMark/>
          </w:tcPr>
          <w:p w14:paraId="0A7E75E2" w14:textId="77777777" w:rsidR="007158C8" w:rsidRPr="00BF374D" w:rsidRDefault="007158C8" w:rsidP="00BB314F">
            <w:pPr>
              <w:spacing w:before="40" w:after="40"/>
              <w:jc w:val="center"/>
              <w:rPr>
                <w:rFonts w:cs="Segoe UI"/>
                <w:color w:val="000000"/>
                <w:sz w:val="16"/>
                <w:szCs w:val="16"/>
              </w:rPr>
            </w:pPr>
            <w:r>
              <w:rPr>
                <w:rFonts w:cs="Segoe UI"/>
                <w:b/>
                <w:bCs/>
                <w:color w:val="000000"/>
                <w:sz w:val="16"/>
                <w:szCs w:val="16"/>
              </w:rPr>
              <w:t xml:space="preserve">Schválenie ŠR/RVS (NR SR) – </w:t>
            </w:r>
            <w:r>
              <w:rPr>
                <w:rFonts w:cs="Segoe UI"/>
                <w:color w:val="000000"/>
                <w:sz w:val="16"/>
                <w:szCs w:val="16"/>
              </w:rPr>
              <w:t>v prípade neschválenia nastáva rozpočtové provizórium</w:t>
            </w:r>
          </w:p>
        </w:tc>
      </w:tr>
    </w:tbl>
    <w:p w14:paraId="4769FE84" w14:textId="77777777" w:rsidR="007158C8" w:rsidRPr="00DA34DE" w:rsidRDefault="007158C8" w:rsidP="007158C8">
      <w:pPr>
        <w:pStyle w:val="Zdroj"/>
      </w:pPr>
      <w:r w:rsidRPr="00DA34DE">
        <w:t>Zdroj: spracovanie NKÚ SR</w:t>
      </w:r>
      <w:r>
        <w:t>.</w:t>
      </w:r>
    </w:p>
    <w:p w14:paraId="67FDD3E4" w14:textId="7D1AFEBE" w:rsidR="003074D7" w:rsidRDefault="003074D7" w:rsidP="003074D7">
      <w:pPr>
        <w:rPr>
          <w:rFonts w:eastAsia="Times New Roman" w:cs="Segoe UI"/>
          <w:szCs w:val="20"/>
        </w:rPr>
      </w:pPr>
      <w:r w:rsidRPr="0098552D">
        <w:rPr>
          <w:rFonts w:eastAsia="Times New Roman" w:cs="Segoe UI"/>
          <w:b/>
          <w:bCs/>
          <w:szCs w:val="20"/>
        </w:rPr>
        <w:lastRenderedPageBreak/>
        <w:t xml:space="preserve">Príprava rozpočtu je priebežný, iteratívny proces, ktorého základom sú makroekonomické a daňové prognózy utvárajúce rámce pre príjmy a výdavky </w:t>
      </w:r>
      <w:r w:rsidR="00DA34DE">
        <w:rPr>
          <w:rFonts w:eastAsia="Times New Roman" w:cs="Segoe UI"/>
          <w:b/>
          <w:bCs/>
          <w:szCs w:val="20"/>
        </w:rPr>
        <w:t>VS</w:t>
      </w:r>
      <w:r w:rsidRPr="0098552D">
        <w:rPr>
          <w:rFonts w:eastAsia="Times New Roman" w:cs="Segoe UI"/>
          <w:b/>
          <w:bCs/>
          <w:szCs w:val="20"/>
        </w:rPr>
        <w:t>.</w:t>
      </w:r>
      <w:r>
        <w:rPr>
          <w:rFonts w:eastAsia="Times New Roman" w:cs="Segoe UI"/>
          <w:szCs w:val="20"/>
        </w:rPr>
        <w:t xml:space="preserve"> Počas roka sa </w:t>
      </w:r>
      <w:r w:rsidR="00DA34DE">
        <w:rPr>
          <w:rFonts w:eastAsia="Times New Roman" w:cs="Segoe UI"/>
          <w:szCs w:val="20"/>
        </w:rPr>
        <w:t xml:space="preserve">výbory pre makroekonomické prognózy a pre daňové prognózy </w:t>
      </w:r>
      <w:r>
        <w:rPr>
          <w:rFonts w:eastAsia="Times New Roman" w:cs="Segoe UI"/>
          <w:szCs w:val="20"/>
        </w:rPr>
        <w:t>uskutoč</w:t>
      </w:r>
      <w:r w:rsidR="003D349B">
        <w:rPr>
          <w:rFonts w:eastAsia="Times New Roman" w:cs="Segoe UI"/>
          <w:szCs w:val="20"/>
        </w:rPr>
        <w:t>ňujú</w:t>
      </w:r>
      <w:r>
        <w:rPr>
          <w:rFonts w:eastAsia="Times New Roman" w:cs="Segoe UI"/>
          <w:szCs w:val="20"/>
        </w:rPr>
        <w:t xml:space="preserve"> </w:t>
      </w:r>
      <w:r w:rsidR="00DA34DE">
        <w:rPr>
          <w:rFonts w:eastAsia="Times New Roman" w:cs="Segoe UI"/>
          <w:szCs w:val="20"/>
        </w:rPr>
        <w:t xml:space="preserve">spravidla </w:t>
      </w:r>
      <w:r>
        <w:rPr>
          <w:rFonts w:eastAsia="Times New Roman" w:cs="Segoe UI"/>
          <w:szCs w:val="20"/>
        </w:rPr>
        <w:t>vo februári, júni a septembri. Na výboroch sa diskutuje a hodnotí predstavená prognóza MF SR, ktorá sa po schválení stane východiskom rozpočtu. Druhým dôležitým východiskom rozpočtu sú EDP notifikácie pre hodnoty dlhu/deficitu, podľa ktorých sa stanovujú hlavné rozpočtové ukazovatele.</w:t>
      </w:r>
    </w:p>
    <w:p w14:paraId="0FB6C871" w14:textId="175DF8CF" w:rsidR="003074D7" w:rsidRDefault="003074D7" w:rsidP="003074D7">
      <w:pPr>
        <w:rPr>
          <w:rFonts w:eastAsia="Times New Roman" w:cs="Segoe UI"/>
          <w:szCs w:val="20"/>
        </w:rPr>
      </w:pPr>
      <w:r>
        <w:rPr>
          <w:rFonts w:eastAsia="Times New Roman" w:cs="Segoe UI"/>
          <w:b/>
          <w:bCs/>
          <w:szCs w:val="20"/>
        </w:rPr>
        <w:t xml:space="preserve">Počnúc rozpočtovým obdobím </w:t>
      </w:r>
      <w:r w:rsidRPr="00445C6A">
        <w:rPr>
          <w:rFonts w:eastAsia="Times New Roman" w:cs="Segoe UI"/>
          <w:b/>
          <w:bCs/>
          <w:szCs w:val="20"/>
        </w:rPr>
        <w:t>2025</w:t>
      </w:r>
      <w:r w:rsidR="00597B17">
        <w:rPr>
          <w:rFonts w:eastAsia="Times New Roman" w:cs="Segoe UI"/>
          <w:b/>
          <w:bCs/>
          <w:szCs w:val="20"/>
        </w:rPr>
        <w:t xml:space="preserve"> – </w:t>
      </w:r>
      <w:r w:rsidRPr="00445C6A">
        <w:rPr>
          <w:rFonts w:eastAsia="Times New Roman" w:cs="Segoe UI"/>
          <w:b/>
          <w:bCs/>
          <w:szCs w:val="20"/>
        </w:rPr>
        <w:t>2027 sa aplikujú novelizované pravidlá ako na národnej úrovni, tak na úrovni EÚ.</w:t>
      </w:r>
      <w:r>
        <w:rPr>
          <w:rFonts w:eastAsia="Times New Roman" w:cs="Segoe UI"/>
          <w:szCs w:val="20"/>
        </w:rPr>
        <w:t xml:space="preserve"> Podľa týchto pravidiel pripravuje slovenská vláda, obdobne ako vlády ostatných členských krajín, návrh </w:t>
      </w:r>
      <w:r w:rsidRPr="00445C6A">
        <w:rPr>
          <w:rFonts w:eastAsia="Times New Roman" w:cs="Segoe UI"/>
          <w:szCs w:val="20"/>
        </w:rPr>
        <w:t>Národného strednodobého fiškálno-štrukturálneho plánu SR na roky 2025 – 2028</w:t>
      </w:r>
      <w:r>
        <w:rPr>
          <w:rFonts w:eastAsia="Times New Roman" w:cs="Segoe UI"/>
          <w:szCs w:val="20"/>
        </w:rPr>
        <w:t xml:space="preserve">, čiže pokrývajúci nadchádzajúce volebné obdobie. Plnenie tohto plánu sa každoročne odpočtuje vo </w:t>
      </w:r>
      <w:r w:rsidR="003B0123">
        <w:rPr>
          <w:rFonts w:eastAsia="Times New Roman" w:cs="Segoe UI"/>
          <w:szCs w:val="20"/>
        </w:rPr>
        <w:t>v</w:t>
      </w:r>
      <w:r>
        <w:rPr>
          <w:rFonts w:eastAsia="Times New Roman" w:cs="Segoe UI"/>
          <w:szCs w:val="20"/>
        </w:rPr>
        <w:t>ýročnej správe o pokroku a zasiela EK do konca apríla. Podľa novelizovaných národných rozpočtových pravidiel RRZ vyprac</w:t>
      </w:r>
      <w:r w:rsidR="005525D8">
        <w:rPr>
          <w:rFonts w:eastAsia="Times New Roman" w:cs="Segoe UI"/>
          <w:szCs w:val="20"/>
        </w:rPr>
        <w:t>ú</w:t>
      </w:r>
      <w:r>
        <w:rPr>
          <w:rFonts w:eastAsia="Times New Roman" w:cs="Segoe UI"/>
          <w:szCs w:val="20"/>
        </w:rPr>
        <w:t xml:space="preserve">va a zverejňuje hodnotenie k tejto výročnej správe. Novelizované rozpočtové pravidlá zmenili aj výpočet LVV, ktorý sa priblížil európskym pravidlám a MF SR ho následne prepočítava, rozdeľuje medzi jednotlivé kapitoly a subjekty </w:t>
      </w:r>
      <w:r w:rsidR="003B0123">
        <w:rPr>
          <w:rFonts w:eastAsia="Times New Roman" w:cs="Segoe UI"/>
          <w:szCs w:val="20"/>
        </w:rPr>
        <w:t>VS</w:t>
      </w:r>
      <w:r>
        <w:rPr>
          <w:rFonts w:eastAsia="Times New Roman" w:cs="Segoe UI"/>
          <w:szCs w:val="20"/>
        </w:rPr>
        <w:t xml:space="preserve"> </w:t>
      </w:r>
      <w:r w:rsidRPr="003D349B">
        <w:rPr>
          <w:rFonts w:eastAsia="Times New Roman" w:cs="Segoe UI"/>
          <w:szCs w:val="20"/>
        </w:rPr>
        <w:t xml:space="preserve">(podrobnejšie </w:t>
      </w:r>
      <w:r w:rsidR="003D349B" w:rsidRPr="003D349B">
        <w:rPr>
          <w:rFonts w:eastAsia="Times New Roman" w:cs="Segoe UI"/>
          <w:szCs w:val="20"/>
        </w:rPr>
        <w:t>v kapitole 3.4</w:t>
      </w:r>
      <w:r w:rsidRPr="003D349B">
        <w:rPr>
          <w:rFonts w:eastAsia="Times New Roman" w:cs="Segoe UI"/>
          <w:szCs w:val="20"/>
        </w:rPr>
        <w:t>).</w:t>
      </w:r>
      <w:r>
        <w:rPr>
          <w:rFonts w:eastAsia="Times New Roman" w:cs="Segoe UI"/>
          <w:szCs w:val="20"/>
        </w:rPr>
        <w:t xml:space="preserve"> </w:t>
      </w:r>
    </w:p>
    <w:p w14:paraId="72345F21" w14:textId="24FA049B" w:rsidR="003074D7" w:rsidRDefault="003074D7" w:rsidP="003074D7">
      <w:pPr>
        <w:rPr>
          <w:rFonts w:eastAsia="Times New Roman" w:cs="Segoe UI"/>
          <w:szCs w:val="20"/>
        </w:rPr>
      </w:pPr>
      <w:r w:rsidRPr="0040499B">
        <w:rPr>
          <w:rFonts w:eastAsia="Times New Roman" w:cs="Segoe UI"/>
          <w:b/>
          <w:bCs/>
          <w:szCs w:val="20"/>
        </w:rPr>
        <w:t xml:space="preserve">Zostavovanie rozpočtu zastrešuje a koordinuje MF SR prostredníctvom Rozpočtového informačného systému </w:t>
      </w:r>
      <w:r w:rsidR="00837624" w:rsidRPr="00837624">
        <w:rPr>
          <w:rFonts w:eastAsia="Times New Roman" w:cs="Segoe UI"/>
          <w:szCs w:val="20"/>
        </w:rPr>
        <w:t>(</w:t>
      </w:r>
      <w:r w:rsidRPr="00837624">
        <w:rPr>
          <w:rFonts w:eastAsia="Times New Roman" w:cs="Segoe UI"/>
          <w:szCs w:val="20"/>
        </w:rPr>
        <w:t>RIS</w:t>
      </w:r>
      <w:r w:rsidR="00837624" w:rsidRPr="00837624">
        <w:rPr>
          <w:rFonts w:eastAsia="Times New Roman" w:cs="Segoe UI"/>
          <w:szCs w:val="20"/>
        </w:rPr>
        <w:t>)</w:t>
      </w:r>
      <w:r w:rsidRPr="0040499B">
        <w:rPr>
          <w:rFonts w:eastAsia="Times New Roman" w:cs="Segoe UI"/>
          <w:b/>
          <w:bCs/>
          <w:szCs w:val="20"/>
        </w:rPr>
        <w:t>.</w:t>
      </w:r>
      <w:r>
        <w:rPr>
          <w:rFonts w:eastAsia="Times New Roman" w:cs="Segoe UI"/>
          <w:szCs w:val="20"/>
        </w:rPr>
        <w:t xml:space="preserve"> MF SR oznámi kapitolám </w:t>
      </w:r>
      <w:r w:rsidR="00CD1070" w:rsidRPr="006F2D60">
        <w:rPr>
          <w:szCs w:val="24"/>
        </w:rPr>
        <w:t>–</w:t>
      </w:r>
      <w:r w:rsidR="00CD1070">
        <w:rPr>
          <w:szCs w:val="24"/>
        </w:rPr>
        <w:t xml:space="preserve"> </w:t>
      </w:r>
      <w:r>
        <w:rPr>
          <w:rFonts w:eastAsia="Times New Roman" w:cs="Segoe UI"/>
          <w:szCs w:val="20"/>
        </w:rPr>
        <w:t xml:space="preserve">v súlade s prognózou </w:t>
      </w:r>
      <w:r w:rsidR="00CD1070" w:rsidRPr="006F2D60">
        <w:rPr>
          <w:szCs w:val="24"/>
        </w:rPr>
        <w:t>–</w:t>
      </w:r>
      <w:r w:rsidR="00CD1070">
        <w:rPr>
          <w:szCs w:val="24"/>
        </w:rPr>
        <w:t xml:space="preserve"> </w:t>
      </w:r>
      <w:r>
        <w:rPr>
          <w:rFonts w:eastAsia="Times New Roman" w:cs="Segoe UI"/>
          <w:szCs w:val="20"/>
        </w:rPr>
        <w:t xml:space="preserve">limity výdavkov a predpokladané príjmy. Kapitoly </w:t>
      </w:r>
      <w:r w:rsidR="00837624">
        <w:rPr>
          <w:rFonts w:eastAsia="Times New Roman" w:cs="Segoe UI"/>
          <w:szCs w:val="20"/>
        </w:rPr>
        <w:t>ich</w:t>
      </w:r>
      <w:r>
        <w:rPr>
          <w:rFonts w:eastAsia="Times New Roman" w:cs="Segoe UI"/>
          <w:szCs w:val="20"/>
        </w:rPr>
        <w:t xml:space="preserve"> rozpíšu a následne komunikujú s MF SR </w:t>
      </w:r>
      <w:r w:rsidR="00837624">
        <w:rPr>
          <w:rFonts w:eastAsia="Times New Roman" w:cs="Segoe UI"/>
          <w:szCs w:val="20"/>
        </w:rPr>
        <w:t>do</w:t>
      </w:r>
      <w:r>
        <w:rPr>
          <w:rFonts w:eastAsia="Times New Roman" w:cs="Segoe UI"/>
          <w:szCs w:val="20"/>
        </w:rPr>
        <w:t>laden</w:t>
      </w:r>
      <w:r w:rsidR="00837624">
        <w:rPr>
          <w:rFonts w:eastAsia="Times New Roman" w:cs="Segoe UI"/>
          <w:szCs w:val="20"/>
        </w:rPr>
        <w:t>ie</w:t>
      </w:r>
      <w:r>
        <w:rPr>
          <w:rFonts w:eastAsia="Times New Roman" w:cs="Segoe UI"/>
          <w:szCs w:val="20"/>
        </w:rPr>
        <w:t xml:space="preserve"> </w:t>
      </w:r>
      <w:r w:rsidR="001739F0">
        <w:rPr>
          <w:rFonts w:eastAsia="Times New Roman" w:cs="Segoe UI"/>
          <w:szCs w:val="20"/>
        </w:rPr>
        <w:t>vybraných položiek</w:t>
      </w:r>
      <w:r>
        <w:rPr>
          <w:rFonts w:eastAsia="Times New Roman" w:cs="Segoe UI"/>
          <w:szCs w:val="20"/>
        </w:rPr>
        <w:t xml:space="preserve"> a dodržan</w:t>
      </w:r>
      <w:r w:rsidR="00837624">
        <w:rPr>
          <w:rFonts w:eastAsia="Times New Roman" w:cs="Segoe UI"/>
          <w:szCs w:val="20"/>
        </w:rPr>
        <w:t>ie</w:t>
      </w:r>
      <w:r>
        <w:rPr>
          <w:rFonts w:eastAsia="Times New Roman" w:cs="Segoe UI"/>
          <w:szCs w:val="20"/>
        </w:rPr>
        <w:t xml:space="preserve"> rozpočtových pravidiel a ďalších záväzkov. Uvedené sa týka aj subjektov </w:t>
      </w:r>
      <w:r w:rsidR="00837624">
        <w:rPr>
          <w:rFonts w:eastAsia="Times New Roman" w:cs="Segoe UI"/>
          <w:szCs w:val="20"/>
        </w:rPr>
        <w:t>VS</w:t>
      </w:r>
      <w:r>
        <w:rPr>
          <w:rFonts w:eastAsia="Times New Roman" w:cs="Segoe UI"/>
          <w:szCs w:val="20"/>
        </w:rPr>
        <w:t>, vrátane samospráv a VÚC. Výsledkom je návrh ŠR/RVS predložený do 15. </w:t>
      </w:r>
      <w:r w:rsidR="00E33317">
        <w:rPr>
          <w:rFonts w:eastAsia="Times New Roman" w:cs="Segoe UI"/>
          <w:szCs w:val="20"/>
        </w:rPr>
        <w:t>októbra</w:t>
      </w:r>
      <w:r>
        <w:rPr>
          <w:rFonts w:eastAsia="Times New Roman" w:cs="Segoe UI"/>
          <w:szCs w:val="20"/>
        </w:rPr>
        <w:t xml:space="preserve"> na rokovanie vlády. </w:t>
      </w:r>
    </w:p>
    <w:p w14:paraId="0FF06C74" w14:textId="69D91E4B" w:rsidR="00AE716B" w:rsidRPr="00BB314F" w:rsidRDefault="00AE716B" w:rsidP="00AE716B">
      <w:pPr>
        <w:rPr>
          <w:rFonts w:eastAsia="Times New Roman" w:cs="Segoe UI"/>
          <w:b/>
          <w:bCs/>
          <w:szCs w:val="20"/>
        </w:rPr>
      </w:pPr>
      <w:r w:rsidRPr="00AD7454">
        <w:rPr>
          <w:rFonts w:eastAsia="Times New Roman" w:cs="Segoe UI"/>
          <w:b/>
          <w:bCs/>
          <w:szCs w:val="20"/>
        </w:rPr>
        <w:t xml:space="preserve">Návrh RVS sa prerokúva aj so sociálnymi partnermi, </w:t>
      </w:r>
      <w:r>
        <w:rPr>
          <w:rFonts w:eastAsia="Times New Roman" w:cs="Segoe UI"/>
          <w:b/>
          <w:bCs/>
          <w:szCs w:val="20"/>
        </w:rPr>
        <w:t>pričom</w:t>
      </w:r>
      <w:r w:rsidRPr="00AD7454">
        <w:rPr>
          <w:rFonts w:eastAsia="Times New Roman" w:cs="Segoe UI"/>
          <w:b/>
          <w:bCs/>
          <w:szCs w:val="20"/>
        </w:rPr>
        <w:t xml:space="preserve"> v posledných rokoch na to nemajú </w:t>
      </w:r>
      <w:r>
        <w:rPr>
          <w:rFonts w:eastAsia="Times New Roman" w:cs="Segoe UI"/>
          <w:b/>
          <w:bCs/>
          <w:szCs w:val="20"/>
        </w:rPr>
        <w:t>adekvátny</w:t>
      </w:r>
      <w:r w:rsidRPr="00AD7454">
        <w:rPr>
          <w:rFonts w:eastAsia="Times New Roman" w:cs="Segoe UI"/>
          <w:b/>
          <w:bCs/>
          <w:szCs w:val="20"/>
        </w:rPr>
        <w:t xml:space="preserve"> časový priestor.</w:t>
      </w:r>
      <w:r w:rsidRPr="00AD7454">
        <w:rPr>
          <w:rFonts w:eastAsia="Times New Roman" w:cs="Segoe UI"/>
          <w:szCs w:val="20"/>
        </w:rPr>
        <w:t xml:space="preserve"> Hospodárska a sociálna rada vlády </w:t>
      </w:r>
      <w:r w:rsidR="000861DA">
        <w:rPr>
          <w:rFonts w:eastAsia="Times New Roman" w:cs="Segoe UI"/>
          <w:szCs w:val="20"/>
        </w:rPr>
        <w:t xml:space="preserve">(HSR) </w:t>
      </w:r>
      <w:r w:rsidRPr="00AD7454">
        <w:rPr>
          <w:rFonts w:eastAsia="Times New Roman" w:cs="Segoe UI"/>
          <w:szCs w:val="20"/>
        </w:rPr>
        <w:t>dohoduje stanoviská a odporúčania v oblasti ŠR</w:t>
      </w:r>
      <w:r w:rsidRPr="00AD7454">
        <w:rPr>
          <w:rStyle w:val="Odkaznapoznmkupodiarou"/>
          <w:rFonts w:eastAsia="Times New Roman" w:cs="Segoe UI"/>
          <w:szCs w:val="20"/>
        </w:rPr>
        <w:footnoteReference w:id="2"/>
      </w:r>
      <w:r w:rsidR="00CD1070">
        <w:rPr>
          <w:rFonts w:eastAsia="Times New Roman" w:cs="Segoe UI"/>
          <w:szCs w:val="20"/>
        </w:rPr>
        <w:t>, no</w:t>
      </w:r>
      <w:r w:rsidRPr="00AD7454">
        <w:rPr>
          <w:rFonts w:eastAsia="Times New Roman" w:cs="Segoe UI"/>
          <w:szCs w:val="20"/>
        </w:rPr>
        <w:t xml:space="preserve"> pri príprave posledných </w:t>
      </w:r>
      <w:r>
        <w:rPr>
          <w:rFonts w:eastAsia="Times New Roman" w:cs="Segoe UI"/>
          <w:szCs w:val="20"/>
        </w:rPr>
        <w:t>rozpočtov zasadnutia tripartity prebiehali tesne pred schvaľovaním rozpočtu vo vláde. Sociálnym partnerom tak nebol vytvorený primeraný priestor na vznesenie pripomienok a ich zapracovanie do rozpočtu</w:t>
      </w:r>
      <w:r w:rsidRPr="00AD7454">
        <w:rPr>
          <w:rFonts w:eastAsia="Times New Roman" w:cs="Segoe UI"/>
          <w:szCs w:val="20"/>
        </w:rPr>
        <w:t xml:space="preserve">. </w:t>
      </w:r>
      <w:r w:rsidRPr="00BB314F">
        <w:rPr>
          <w:rFonts w:eastAsia="Times New Roman" w:cs="Segoe UI"/>
          <w:b/>
          <w:bCs/>
          <w:szCs w:val="20"/>
        </w:rPr>
        <w:t xml:space="preserve">NKÚ SR konštatuje, že </w:t>
      </w:r>
      <w:r w:rsidR="00CA4E76">
        <w:rPr>
          <w:rFonts w:eastAsia="Times New Roman" w:cs="Segoe UI"/>
          <w:b/>
          <w:bCs/>
          <w:szCs w:val="20"/>
        </w:rPr>
        <w:t xml:space="preserve">len </w:t>
      </w:r>
      <w:r w:rsidRPr="00BB314F">
        <w:rPr>
          <w:rFonts w:eastAsia="Times New Roman" w:cs="Segoe UI"/>
          <w:b/>
          <w:bCs/>
          <w:szCs w:val="20"/>
        </w:rPr>
        <w:t>formáln</w:t>
      </w:r>
      <w:r w:rsidR="00CA4E76">
        <w:rPr>
          <w:rFonts w:eastAsia="Times New Roman" w:cs="Segoe UI"/>
          <w:b/>
          <w:bCs/>
          <w:szCs w:val="20"/>
        </w:rPr>
        <w:t>e</w:t>
      </w:r>
      <w:r w:rsidRPr="00BB314F">
        <w:rPr>
          <w:rFonts w:eastAsia="Times New Roman" w:cs="Segoe UI"/>
          <w:b/>
          <w:bCs/>
          <w:szCs w:val="20"/>
        </w:rPr>
        <w:t xml:space="preserve"> </w:t>
      </w:r>
      <w:r w:rsidR="00CA4E76">
        <w:rPr>
          <w:rFonts w:eastAsia="Times New Roman" w:cs="Segoe UI"/>
          <w:b/>
          <w:bCs/>
          <w:szCs w:val="20"/>
        </w:rPr>
        <w:t>dodržanie</w:t>
      </w:r>
      <w:r w:rsidR="007757CE">
        <w:rPr>
          <w:rFonts w:eastAsia="Times New Roman" w:cs="Segoe UI"/>
          <w:b/>
          <w:bCs/>
          <w:szCs w:val="20"/>
        </w:rPr>
        <w:t xml:space="preserve"> rozpočtového procesu </w:t>
      </w:r>
      <w:r w:rsidRPr="00BB314F">
        <w:rPr>
          <w:rFonts w:eastAsia="Times New Roman" w:cs="Segoe UI"/>
          <w:b/>
          <w:bCs/>
          <w:szCs w:val="20"/>
        </w:rPr>
        <w:t xml:space="preserve">narúša </w:t>
      </w:r>
      <w:r w:rsidR="007757CE">
        <w:rPr>
          <w:rFonts w:eastAsia="Times New Roman" w:cs="Segoe UI"/>
          <w:b/>
          <w:bCs/>
          <w:szCs w:val="20"/>
        </w:rPr>
        <w:t xml:space="preserve">jeho </w:t>
      </w:r>
      <w:r w:rsidRPr="00BB314F">
        <w:rPr>
          <w:rFonts w:eastAsia="Times New Roman" w:cs="Segoe UI"/>
          <w:b/>
          <w:bCs/>
          <w:szCs w:val="20"/>
        </w:rPr>
        <w:t>dôveryhodnosť a transparentnosť.</w:t>
      </w:r>
    </w:p>
    <w:p w14:paraId="07D231D6" w14:textId="47757E4F" w:rsidR="000861DA" w:rsidRDefault="003074D7" w:rsidP="00837624">
      <w:pPr>
        <w:rPr>
          <w:rFonts w:eastAsia="Times New Roman" w:cs="Segoe UI"/>
          <w:szCs w:val="20"/>
        </w:rPr>
      </w:pPr>
      <w:r w:rsidRPr="00765C43">
        <w:rPr>
          <w:rFonts w:eastAsia="Times New Roman" w:cs="Segoe UI"/>
          <w:b/>
          <w:bCs/>
          <w:szCs w:val="20"/>
        </w:rPr>
        <w:t>Aktuálna aplikačná prax rozpočtových pravidiel predstavuje výzvu aj pre NKÚ SR.</w:t>
      </w:r>
      <w:r>
        <w:rPr>
          <w:rFonts w:eastAsia="Times New Roman" w:cs="Segoe UI"/>
          <w:szCs w:val="20"/>
        </w:rPr>
        <w:t xml:space="preserve"> Do roku 2017 predkladalo MF SR návrh </w:t>
      </w:r>
      <w:r w:rsidR="00564B2E">
        <w:rPr>
          <w:rFonts w:eastAsia="Times New Roman" w:cs="Segoe UI"/>
          <w:szCs w:val="20"/>
        </w:rPr>
        <w:t>RVS</w:t>
      </w:r>
      <w:r>
        <w:rPr>
          <w:rFonts w:eastAsia="Times New Roman" w:cs="Segoe UI"/>
          <w:szCs w:val="20"/>
        </w:rPr>
        <w:t xml:space="preserve"> </w:t>
      </w:r>
      <w:r w:rsidR="00CD1070">
        <w:rPr>
          <w:rFonts w:eastAsia="Times New Roman" w:cs="Segoe UI"/>
          <w:szCs w:val="20"/>
        </w:rPr>
        <w:t>do</w:t>
      </w:r>
      <w:r>
        <w:rPr>
          <w:rFonts w:eastAsia="Times New Roman" w:cs="Segoe UI"/>
          <w:szCs w:val="20"/>
        </w:rPr>
        <w:t xml:space="preserve"> vlád</w:t>
      </w:r>
      <w:r w:rsidR="00CD1070">
        <w:rPr>
          <w:rFonts w:eastAsia="Times New Roman" w:cs="Segoe UI"/>
          <w:szCs w:val="20"/>
        </w:rPr>
        <w:t>y</w:t>
      </w:r>
      <w:r>
        <w:rPr>
          <w:rFonts w:eastAsia="Times New Roman" w:cs="Segoe UI"/>
          <w:szCs w:val="20"/>
        </w:rPr>
        <w:t xml:space="preserve"> do 15. </w:t>
      </w:r>
      <w:r w:rsidR="00E33317">
        <w:rPr>
          <w:rFonts w:eastAsia="Times New Roman" w:cs="Segoe UI"/>
          <w:szCs w:val="20"/>
        </w:rPr>
        <w:t>augusta</w:t>
      </w:r>
      <w:r>
        <w:rPr>
          <w:rFonts w:eastAsia="Times New Roman" w:cs="Segoe UI"/>
          <w:szCs w:val="20"/>
        </w:rPr>
        <w:t xml:space="preserve"> a tá ho schvaľovala do 30. </w:t>
      </w:r>
      <w:r w:rsidR="00E33317">
        <w:rPr>
          <w:rFonts w:eastAsia="Times New Roman" w:cs="Segoe UI"/>
          <w:szCs w:val="20"/>
        </w:rPr>
        <w:t>septembra</w:t>
      </w:r>
      <w:r>
        <w:rPr>
          <w:rFonts w:eastAsia="Times New Roman" w:cs="Segoe UI"/>
          <w:szCs w:val="20"/>
        </w:rPr>
        <w:t xml:space="preserve">, čo vytváralo primeraný časový rámec na spracovanie stanoviska NKÚ SR. Vo volebnom roku 2023 NKÚ SR pripravil dve stanoviská – prvé k návrhu vyrovnaného rozpočtu formálne predloženému úradníckou vládou a druhé v mimoriadne krátkom čase po schválení PVV na začiatku decembra 2023. Nasledujúci rok sa príprava druhého konsolidačného balíka predĺžila, čím vznikla časová tieseň aj pre tvorbu a schvaľovanie rozpočtu. Súčasná príprava </w:t>
      </w:r>
      <w:r w:rsidR="002055BD">
        <w:rPr>
          <w:rFonts w:eastAsia="Times New Roman" w:cs="Segoe UI"/>
          <w:szCs w:val="20"/>
        </w:rPr>
        <w:t>RVS</w:t>
      </w:r>
      <w:r>
        <w:rPr>
          <w:rFonts w:eastAsia="Times New Roman" w:cs="Segoe UI"/>
          <w:szCs w:val="20"/>
        </w:rPr>
        <w:t xml:space="preserve"> </w:t>
      </w:r>
      <w:r w:rsidR="00837624">
        <w:rPr>
          <w:rFonts w:eastAsia="Times New Roman" w:cs="Segoe UI"/>
          <w:szCs w:val="20"/>
        </w:rPr>
        <w:t>je</w:t>
      </w:r>
      <w:r>
        <w:rPr>
          <w:rFonts w:eastAsia="Times New Roman" w:cs="Segoe UI"/>
          <w:szCs w:val="20"/>
        </w:rPr>
        <w:t xml:space="preserve"> skr</w:t>
      </w:r>
      <w:r w:rsidR="00837624">
        <w:rPr>
          <w:rFonts w:eastAsia="Times New Roman" w:cs="Segoe UI"/>
          <w:szCs w:val="20"/>
        </w:rPr>
        <w:t>átená</w:t>
      </w:r>
      <w:r>
        <w:rPr>
          <w:rFonts w:eastAsia="Times New Roman" w:cs="Segoe UI"/>
          <w:szCs w:val="20"/>
        </w:rPr>
        <w:t xml:space="preserve"> tretím kolom konsolidácie a snahou schváliť rozpočet pred 21. </w:t>
      </w:r>
      <w:r w:rsidR="00E33317">
        <w:rPr>
          <w:rFonts w:eastAsia="Times New Roman" w:cs="Segoe UI"/>
          <w:szCs w:val="20"/>
        </w:rPr>
        <w:t>novembrom</w:t>
      </w:r>
      <w:r>
        <w:rPr>
          <w:rFonts w:eastAsia="Times New Roman" w:cs="Segoe UI"/>
          <w:szCs w:val="20"/>
        </w:rPr>
        <w:t> 2025, aby sa vláda vyhla najvyššiemu pásmu dlhovej brzdy. Pri očakávanej výške dlhu a nezmenených ďalších predpokladoch (nové PVV, predčasné voľby a pod.) n</w:t>
      </w:r>
      <w:r w:rsidRPr="00B11338">
        <w:rPr>
          <w:rFonts w:eastAsia="Times New Roman" w:cs="Segoe UI"/>
          <w:szCs w:val="20"/>
        </w:rPr>
        <w:t xml:space="preserve">esmie </w:t>
      </w:r>
      <w:r>
        <w:rPr>
          <w:rFonts w:eastAsia="Times New Roman" w:cs="Segoe UI"/>
          <w:szCs w:val="20"/>
        </w:rPr>
        <w:t xml:space="preserve">vláda </w:t>
      </w:r>
      <w:r w:rsidRPr="00B11338">
        <w:rPr>
          <w:rFonts w:eastAsia="Times New Roman" w:cs="Segoe UI"/>
          <w:szCs w:val="20"/>
        </w:rPr>
        <w:t xml:space="preserve">predložiť </w:t>
      </w:r>
      <w:r w:rsidR="00837624">
        <w:rPr>
          <w:rFonts w:eastAsia="Times New Roman" w:cs="Segoe UI"/>
          <w:szCs w:val="20"/>
        </w:rPr>
        <w:t>NR SR</w:t>
      </w:r>
      <w:r w:rsidRPr="00B11338">
        <w:rPr>
          <w:rFonts w:eastAsia="Times New Roman" w:cs="Segoe UI"/>
          <w:szCs w:val="20"/>
        </w:rPr>
        <w:t xml:space="preserve"> návrh </w:t>
      </w:r>
      <w:r w:rsidR="00837624">
        <w:rPr>
          <w:rFonts w:eastAsia="Times New Roman" w:cs="Segoe UI"/>
          <w:szCs w:val="20"/>
        </w:rPr>
        <w:t>RVS</w:t>
      </w:r>
      <w:r>
        <w:rPr>
          <w:rFonts w:eastAsia="Times New Roman" w:cs="Segoe UI"/>
          <w:szCs w:val="20"/>
        </w:rPr>
        <w:t xml:space="preserve"> na </w:t>
      </w:r>
      <w:r w:rsidR="00837624">
        <w:rPr>
          <w:rFonts w:eastAsia="Times New Roman" w:cs="Segoe UI"/>
          <w:szCs w:val="20"/>
        </w:rPr>
        <w:t xml:space="preserve">roky </w:t>
      </w:r>
      <w:r>
        <w:rPr>
          <w:rFonts w:eastAsia="Times New Roman" w:cs="Segoe UI"/>
          <w:szCs w:val="20"/>
        </w:rPr>
        <w:t>2027</w:t>
      </w:r>
      <w:r w:rsidR="00837624">
        <w:rPr>
          <w:rFonts w:eastAsia="Times New Roman" w:cs="Segoe UI"/>
          <w:szCs w:val="20"/>
        </w:rPr>
        <w:t xml:space="preserve"> až </w:t>
      </w:r>
      <w:r>
        <w:rPr>
          <w:rFonts w:eastAsia="Times New Roman" w:cs="Segoe UI"/>
          <w:szCs w:val="20"/>
        </w:rPr>
        <w:t>2029</w:t>
      </w:r>
      <w:r w:rsidRPr="00B11338">
        <w:rPr>
          <w:rFonts w:eastAsia="Times New Roman" w:cs="Segoe UI"/>
          <w:szCs w:val="20"/>
        </w:rPr>
        <w:t xml:space="preserve"> s</w:t>
      </w:r>
      <w:r>
        <w:rPr>
          <w:rFonts w:eastAsia="Times New Roman" w:cs="Segoe UI"/>
          <w:szCs w:val="20"/>
        </w:rPr>
        <w:t> </w:t>
      </w:r>
      <w:r w:rsidRPr="00B11338">
        <w:rPr>
          <w:rFonts w:eastAsia="Times New Roman" w:cs="Segoe UI"/>
          <w:szCs w:val="20"/>
        </w:rPr>
        <w:t xml:space="preserve">rozpočtovaným </w:t>
      </w:r>
      <w:r w:rsidRPr="00BA6E74">
        <w:rPr>
          <w:rFonts w:eastAsia="Times New Roman" w:cs="Segoe UI"/>
          <w:szCs w:val="20"/>
        </w:rPr>
        <w:t>schodkom</w:t>
      </w:r>
      <w:r w:rsidR="00564B2E" w:rsidRPr="00BA6E74">
        <w:rPr>
          <w:rFonts w:eastAsia="Times New Roman" w:cs="Segoe UI"/>
          <w:szCs w:val="20"/>
        </w:rPr>
        <w:t xml:space="preserve"> (viac v kapitole </w:t>
      </w:r>
      <w:r w:rsidR="00BA6E74" w:rsidRPr="00BA6E74">
        <w:rPr>
          <w:rFonts w:eastAsia="Times New Roman" w:cs="Segoe UI"/>
          <w:szCs w:val="20"/>
        </w:rPr>
        <w:t>3.6</w:t>
      </w:r>
      <w:r w:rsidR="00564B2E" w:rsidRPr="00BA6E74">
        <w:rPr>
          <w:rFonts w:eastAsia="Times New Roman" w:cs="Segoe UI"/>
          <w:szCs w:val="20"/>
        </w:rPr>
        <w:t>)</w:t>
      </w:r>
      <w:r w:rsidR="00BA6E74" w:rsidRPr="00BA6E74">
        <w:rPr>
          <w:rFonts w:eastAsia="Times New Roman" w:cs="Segoe UI"/>
          <w:szCs w:val="20"/>
        </w:rPr>
        <w:t>.</w:t>
      </w:r>
    </w:p>
    <w:p w14:paraId="005514FC" w14:textId="10661F87" w:rsidR="005414A2" w:rsidRPr="001739F0" w:rsidRDefault="000861DA" w:rsidP="00837624">
      <w:pPr>
        <w:rPr>
          <w:rFonts w:eastAsia="Times New Roman" w:cs="Segoe UI"/>
          <w:szCs w:val="20"/>
        </w:rPr>
      </w:pPr>
      <w:r w:rsidRPr="000861DA">
        <w:rPr>
          <w:b/>
          <w:bCs/>
          <w:lang w:eastAsia="sk-SK"/>
        </w:rPr>
        <w:t>NKÚ SR konštatuje, že aktuálny priebeh rozpočtového procesu na roky 2026 až 2028 nie je v</w:t>
      </w:r>
      <w:r>
        <w:rPr>
          <w:b/>
          <w:bCs/>
          <w:lang w:eastAsia="sk-SK"/>
        </w:rPr>
        <w:t> </w:t>
      </w:r>
      <w:r w:rsidRPr="000861DA">
        <w:rPr>
          <w:b/>
          <w:bCs/>
          <w:lang w:eastAsia="sk-SK"/>
        </w:rPr>
        <w:t>súlade s odporúčaniami OECD pre rozpočtové riadenie.</w:t>
      </w:r>
      <w:r w:rsidRPr="000861DA">
        <w:rPr>
          <w:rStyle w:val="Odkaznapoznmkupodiarou"/>
          <w:lang w:eastAsia="sk-SK"/>
        </w:rPr>
        <w:footnoteReference w:id="3"/>
      </w:r>
      <w:r w:rsidRPr="000861DA">
        <w:rPr>
          <w:lang w:eastAsia="sk-SK"/>
        </w:rPr>
        <w:t xml:space="preserve"> Štvrtý princíp sa zameriava na dostupnosť rozpočtových dokumentov, nielen formálnu, ale aj obsahovú, aby boli </w:t>
      </w:r>
      <w:r>
        <w:rPr>
          <w:lang w:eastAsia="sk-SK"/>
        </w:rPr>
        <w:t>zro</w:t>
      </w:r>
      <w:r w:rsidRPr="000861DA">
        <w:rPr>
          <w:lang w:eastAsia="sk-SK"/>
        </w:rPr>
        <w:t>zumiteľné aj pre širokú verejnosť. Piaty princíp na ňom stavia a zdôrazňuje potrebu reálneho zapojenia zainteresovaných strán do prípravy rozpočtu. Minimálne lehoty 2-3 pracovn</w:t>
      </w:r>
      <w:r>
        <w:rPr>
          <w:lang w:eastAsia="sk-SK"/>
        </w:rPr>
        <w:t>é</w:t>
      </w:r>
      <w:r w:rsidRPr="000861DA">
        <w:rPr>
          <w:lang w:eastAsia="sk-SK"/>
        </w:rPr>
        <w:t xml:space="preserve"> dn</w:t>
      </w:r>
      <w:r>
        <w:rPr>
          <w:lang w:eastAsia="sk-SK"/>
        </w:rPr>
        <w:t>i</w:t>
      </w:r>
      <w:r w:rsidRPr="000861DA">
        <w:rPr>
          <w:lang w:eastAsia="sk-SK"/>
        </w:rPr>
        <w:t xml:space="preserve"> medzi predložením návrhu rozpočtu a jeho prerokovaním na HSR či predložením stanoviska NKÚ SR idú priamo proti týmto princípom.</w:t>
      </w:r>
      <w:r w:rsidR="005414A2">
        <w:rPr>
          <w:lang w:eastAsia="sk-SK"/>
        </w:rPr>
        <w:br w:type="page"/>
      </w:r>
    </w:p>
    <w:p w14:paraId="1C6F03E5" w14:textId="578F17BF" w:rsidR="00B10EC5" w:rsidRDefault="00092577" w:rsidP="0011737A">
      <w:pPr>
        <w:pStyle w:val="Nadpis1"/>
      </w:pPr>
      <w:bookmarkStart w:id="7" w:name="_Toc211249073"/>
      <w:r>
        <w:lastRenderedPageBreak/>
        <w:t>Makroekonomick</w:t>
      </w:r>
      <w:r w:rsidR="00F36F51">
        <w:t>é predpoklady rozpočtu</w:t>
      </w:r>
      <w:bookmarkEnd w:id="5"/>
      <w:bookmarkEnd w:id="7"/>
    </w:p>
    <w:p w14:paraId="35FA4536" w14:textId="008AE6A7" w:rsidR="005F0391" w:rsidRPr="001D511F" w:rsidRDefault="005F0391" w:rsidP="005F0391">
      <w:r w:rsidRPr="003F6BD7">
        <w:rPr>
          <w:b/>
        </w:rPr>
        <w:t>Podľa makroekonomickej prognózy</w:t>
      </w:r>
      <w:r w:rsidRPr="003B099D">
        <w:rPr>
          <w:rStyle w:val="Odkaznapoznmkupodiarou"/>
        </w:rPr>
        <w:footnoteReference w:id="4"/>
      </w:r>
      <w:r w:rsidRPr="003B099D">
        <w:t xml:space="preserve"> </w:t>
      </w:r>
      <w:r w:rsidRPr="003F6BD7">
        <w:rPr>
          <w:b/>
        </w:rPr>
        <w:t xml:space="preserve">MF SR zo septembra 2025 sa </w:t>
      </w:r>
      <w:r w:rsidR="00BD661E">
        <w:rPr>
          <w:b/>
        </w:rPr>
        <w:t xml:space="preserve">reálny </w:t>
      </w:r>
      <w:r w:rsidRPr="003F6BD7">
        <w:rPr>
          <w:b/>
        </w:rPr>
        <w:t xml:space="preserve">rast </w:t>
      </w:r>
      <w:r w:rsidR="00BD661E">
        <w:rPr>
          <w:b/>
        </w:rPr>
        <w:t>slovenskej ekonomiky</w:t>
      </w:r>
      <w:r w:rsidRPr="003F6BD7">
        <w:rPr>
          <w:b/>
        </w:rPr>
        <w:t xml:space="preserve"> v roku 2025 spomalí na 0,8 %.</w:t>
      </w:r>
      <w:r>
        <w:t xml:space="preserve"> Dynamika </w:t>
      </w:r>
      <w:r w:rsidR="00BD661E">
        <w:t xml:space="preserve">rastu </w:t>
      </w:r>
      <w:r>
        <w:t xml:space="preserve">HDP zaostáva voči očakávaniam </w:t>
      </w:r>
      <w:r w:rsidR="00AF102F">
        <w:t xml:space="preserve">a </w:t>
      </w:r>
      <w:r>
        <w:t xml:space="preserve">aj voči </w:t>
      </w:r>
      <w:r w:rsidR="00BD661E">
        <w:t xml:space="preserve">hlavným </w:t>
      </w:r>
      <w:r>
        <w:t xml:space="preserve">obchodným partnerom, pričom stagnácia v eurozóne a pomalý rast u kľúčových krajín </w:t>
      </w:r>
      <w:r w:rsidR="00CD1070" w:rsidRPr="006F2D60">
        <w:rPr>
          <w:szCs w:val="24"/>
        </w:rPr>
        <w:t>–</w:t>
      </w:r>
      <w:r w:rsidR="00CD1070">
        <w:rPr>
          <w:szCs w:val="24"/>
        </w:rPr>
        <w:t xml:space="preserve"> </w:t>
      </w:r>
      <w:r>
        <w:t xml:space="preserve">ako </w:t>
      </w:r>
      <w:r w:rsidR="00295D0B">
        <w:t xml:space="preserve">sú </w:t>
      </w:r>
      <w:r>
        <w:t xml:space="preserve">Nemecko, Česko či Maďarsko prispievajú k utlmenému zahraničnému dopytu. Zamestnanosť </w:t>
      </w:r>
      <w:r w:rsidR="00295D0B">
        <w:t xml:space="preserve">má </w:t>
      </w:r>
      <w:r w:rsidR="00BD661E">
        <w:t>z</w:t>
      </w:r>
      <w:r>
        <w:t>osta</w:t>
      </w:r>
      <w:r w:rsidR="00295D0B">
        <w:t>ť</w:t>
      </w:r>
      <w:r>
        <w:t xml:space="preserve"> nezmenená a miera nezamestnanosti skonč</w:t>
      </w:r>
      <w:r w:rsidR="00295D0B">
        <w:t>iť</w:t>
      </w:r>
      <w:r>
        <w:t xml:space="preserve"> na úrovni 5,4 %, pričom konsolidácia verejných financií a demografické faktory obmedzujú tvorbu nových pracovných miest. Spotreba domácností </w:t>
      </w:r>
      <w:r w:rsidR="00BD661E">
        <w:t>má rásť</w:t>
      </w:r>
      <w:r>
        <w:t xml:space="preserve"> len mierne</w:t>
      </w:r>
      <w:r w:rsidR="00CD1070">
        <w:t xml:space="preserve"> </w:t>
      </w:r>
      <w:r w:rsidR="00CD1070" w:rsidRPr="006F2D60">
        <w:rPr>
          <w:szCs w:val="24"/>
        </w:rPr>
        <w:t>–</w:t>
      </w:r>
      <w:r>
        <w:t xml:space="preserve"> o 1,1 %, tlmená šetriacimi opatreniami a nižšou dôverou spotrebiteľov, zatiaľ čo investície podporuje čerpanie zdrojov z Plánu obnovy a odolnosti (POO). Inflácia </w:t>
      </w:r>
      <w:r w:rsidR="00BD661E">
        <w:t xml:space="preserve">má </w:t>
      </w:r>
      <w:r>
        <w:t>zrýchli</w:t>
      </w:r>
      <w:r w:rsidR="00BD661E">
        <w:t>ť</w:t>
      </w:r>
      <w:r>
        <w:t xml:space="preserve"> na 4,1 %, ovplyvnená januárovým zvýšením DPH a regulovanými cenami energií, kým nominálne mzdy </w:t>
      </w:r>
      <w:r w:rsidR="00BD661E">
        <w:t>by mali rásť</w:t>
      </w:r>
      <w:r>
        <w:t xml:space="preserve"> o 6,5 % a reálne o 2,3 %.</w:t>
      </w:r>
    </w:p>
    <w:p w14:paraId="5D3DEDD9" w14:textId="2E44071F" w:rsidR="005F0391" w:rsidRPr="00305A1B" w:rsidRDefault="005F0391" w:rsidP="005F0391">
      <w:r>
        <w:rPr>
          <w:b/>
        </w:rPr>
        <w:t xml:space="preserve">V roku 2026 </w:t>
      </w:r>
      <w:r w:rsidR="00295D0B">
        <w:rPr>
          <w:b/>
        </w:rPr>
        <w:t xml:space="preserve">sa očakáva zrýchlenie </w:t>
      </w:r>
      <w:r>
        <w:rPr>
          <w:b/>
        </w:rPr>
        <w:t>rast</w:t>
      </w:r>
      <w:r w:rsidR="00295D0B">
        <w:rPr>
          <w:b/>
        </w:rPr>
        <w:t>u</w:t>
      </w:r>
      <w:r>
        <w:rPr>
          <w:b/>
        </w:rPr>
        <w:t xml:space="preserve"> HDP </w:t>
      </w:r>
      <w:r w:rsidRPr="00305A1B">
        <w:rPr>
          <w:b/>
        </w:rPr>
        <w:t>na 1,</w:t>
      </w:r>
      <w:r w:rsidR="00AF102F">
        <w:rPr>
          <w:b/>
        </w:rPr>
        <w:t>3</w:t>
      </w:r>
      <w:r w:rsidRPr="00305A1B">
        <w:rPr>
          <w:b/>
        </w:rPr>
        <w:t xml:space="preserve"> %</w:t>
      </w:r>
      <w:r w:rsidR="00E1074F">
        <w:rPr>
          <w:bCs/>
        </w:rPr>
        <w:t xml:space="preserve"> (graf 1)</w:t>
      </w:r>
      <w:r>
        <w:rPr>
          <w:b/>
        </w:rPr>
        <w:t>, hoci vyššie clá na dovozy do USA a pretrvávajúca neistota v globálnom obchode budú tlmiť export, najmä v automobilovom sektore</w:t>
      </w:r>
      <w:r w:rsidRPr="00305A1B">
        <w:rPr>
          <w:b/>
        </w:rPr>
        <w:t>.</w:t>
      </w:r>
      <w:r>
        <w:rPr>
          <w:b/>
        </w:rPr>
        <w:t xml:space="preserve"> </w:t>
      </w:r>
      <w:r>
        <w:t>Ekonomiku podporí kulminácia čerpania prostriedkov z POO, čo potiahne investície. Ekonomik</w:t>
      </w:r>
      <w:r w:rsidR="00295D0B">
        <w:t>a</w:t>
      </w:r>
      <w:r>
        <w:t xml:space="preserve"> tiež dostane impulz od novej automobilky Volvo, ktorá </w:t>
      </w:r>
      <w:r w:rsidR="00AF102F">
        <w:t xml:space="preserve">má </w:t>
      </w:r>
      <w:r>
        <w:t>zač</w:t>
      </w:r>
      <w:r w:rsidR="00AF102F">
        <w:t>ať</w:t>
      </w:r>
      <w:r>
        <w:t xml:space="preserve"> v budúcom roku naplno využívať </w:t>
      </w:r>
      <w:r w:rsidR="00AF102F">
        <w:t xml:space="preserve">svoje </w:t>
      </w:r>
      <w:r>
        <w:t xml:space="preserve">kapacity. Zamestnanosť </w:t>
      </w:r>
      <w:r w:rsidR="00295D0B">
        <w:t>má klesnúť</w:t>
      </w:r>
      <w:r>
        <w:t xml:space="preserve"> o 0,2 %, s mierou nezamestnanosti na 5,6 %, tlmenou nedostatkom pracovnej sily a fiškálnou konsolidáciou. </w:t>
      </w:r>
      <w:r w:rsidR="00AF102F">
        <w:t xml:space="preserve">Aj nízka miera nezamestnanosti by mala tlačiť na </w:t>
      </w:r>
      <w:r>
        <w:t>zrýchl</w:t>
      </w:r>
      <w:r w:rsidR="00AF102F">
        <w:t>enie inflácie</w:t>
      </w:r>
      <w:r>
        <w:t xml:space="preserve"> na 4,4 %, </w:t>
      </w:r>
      <w:r w:rsidR="00AF102F">
        <w:t>do ktorej sa premietnu</w:t>
      </w:r>
      <w:r>
        <w:t xml:space="preserve"> regulovan</w:t>
      </w:r>
      <w:r w:rsidR="00AF102F">
        <w:t>é</w:t>
      </w:r>
      <w:r>
        <w:t xml:space="preserve"> cen</w:t>
      </w:r>
      <w:r w:rsidR="00AF102F">
        <w:t>y</w:t>
      </w:r>
      <w:r>
        <w:t xml:space="preserve"> energií a návrat k trhovým cenám plynu a tepla.</w:t>
      </w:r>
      <w:r w:rsidR="00AF102F" w:rsidRPr="00AF102F">
        <w:t xml:space="preserve"> </w:t>
      </w:r>
      <w:r w:rsidR="00AF102F">
        <w:t>Nominálne mzdy by mali stúpnuť o 5 %.</w:t>
      </w:r>
    </w:p>
    <w:p w14:paraId="4FD60641" w14:textId="27A27C97" w:rsidR="0021660F" w:rsidRPr="00987D5D" w:rsidRDefault="0021660F" w:rsidP="0021660F">
      <w:pPr>
        <w:pStyle w:val="Popis"/>
        <w:keepNext/>
        <w:rPr>
          <w:color w:val="314364"/>
        </w:rPr>
      </w:pPr>
      <w:r w:rsidRPr="00987D5D">
        <w:rPr>
          <w:color w:val="314364"/>
        </w:rPr>
        <w:t>Graf 1: Porovnanie prog</w:t>
      </w:r>
      <w:r>
        <w:rPr>
          <w:color w:val="314364"/>
        </w:rPr>
        <w:t>nóz vývoja ekonomiky v roku 202</w:t>
      </w:r>
      <w:r w:rsidR="00F40071">
        <w:rPr>
          <w:color w:val="314364"/>
        </w:rPr>
        <w:t>6</w:t>
      </w:r>
      <w:r w:rsidRPr="00987D5D">
        <w:rPr>
          <w:color w:val="314364"/>
        </w:rPr>
        <w:t xml:space="preserve"> (medziročná zmena, </w:t>
      </w:r>
      <w:r>
        <w:rPr>
          <w:color w:val="314364"/>
        </w:rPr>
        <w:t xml:space="preserve">v </w:t>
      </w:r>
      <w:r w:rsidRPr="00987D5D">
        <w:rPr>
          <w:color w:val="314364"/>
        </w:rPr>
        <w:t>%)</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21660F" w:rsidRPr="000F43AE" w14:paraId="78E23D0D" w14:textId="77777777" w:rsidTr="004839F2">
        <w:trPr>
          <w:trHeight w:val="3969"/>
        </w:trPr>
        <w:tc>
          <w:tcPr>
            <w:tcW w:w="9070" w:type="dxa"/>
            <w:tcBorders>
              <w:top w:val="single" w:sz="4" w:space="0" w:color="314364"/>
              <w:bottom w:val="single" w:sz="4" w:space="0" w:color="314364"/>
            </w:tcBorders>
            <w:vAlign w:val="center"/>
          </w:tcPr>
          <w:p w14:paraId="60BAC9F2" w14:textId="77777777" w:rsidR="0021660F" w:rsidRPr="000F43AE" w:rsidRDefault="0021660F" w:rsidP="004839F2">
            <w:pPr>
              <w:spacing w:after="0"/>
              <w:rPr>
                <w:b/>
                <w:color w:val="576431"/>
                <w:highlight w:val="yellow"/>
              </w:rPr>
            </w:pPr>
            <w:r>
              <w:rPr>
                <w:noProof/>
                <w:lang w:eastAsia="sk-SK"/>
              </w:rPr>
              <w:drawing>
                <wp:inline distT="0" distB="0" distL="0" distR="0" wp14:anchorId="225C09AD" wp14:editId="3FEBEA0B">
                  <wp:extent cx="5759450" cy="2526030"/>
                  <wp:effectExtent l="0" t="0" r="0" b="7620"/>
                  <wp:docPr id="8"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bl>
    <w:p w14:paraId="1A4D0A65" w14:textId="77777777" w:rsidR="0021660F" w:rsidRDefault="0021660F" w:rsidP="0021660F">
      <w:pPr>
        <w:pStyle w:val="Zdroj"/>
        <w:rPr>
          <w:highlight w:val="yellow"/>
        </w:rPr>
      </w:pPr>
      <w:r>
        <w:t>Zdroj: MF SR.</w:t>
      </w:r>
    </w:p>
    <w:p w14:paraId="0B91841A" w14:textId="722DD18B" w:rsidR="001A5615" w:rsidRPr="001D511F" w:rsidRDefault="00496CD0" w:rsidP="001A5615">
      <w:r>
        <w:rPr>
          <w:b/>
        </w:rPr>
        <w:t>Podobný vývoj prognózovala už</w:t>
      </w:r>
      <w:r w:rsidR="001A5615" w:rsidRPr="00305A1B">
        <w:rPr>
          <w:b/>
        </w:rPr>
        <w:t xml:space="preserve"> </w:t>
      </w:r>
      <w:r>
        <w:rPr>
          <w:b/>
        </w:rPr>
        <w:t>s</w:t>
      </w:r>
      <w:r w:rsidR="001A5615" w:rsidRPr="00305A1B">
        <w:rPr>
          <w:b/>
        </w:rPr>
        <w:t>práv</w:t>
      </w:r>
      <w:r>
        <w:rPr>
          <w:b/>
        </w:rPr>
        <w:t>a</w:t>
      </w:r>
      <w:r w:rsidR="001A5615" w:rsidRPr="00305A1B">
        <w:rPr>
          <w:b/>
        </w:rPr>
        <w:t xml:space="preserve"> o krajine</w:t>
      </w:r>
      <w:r w:rsidR="001A5615" w:rsidRPr="00295D0B">
        <w:rPr>
          <w:rStyle w:val="Odkaznapoznmkupodiarou"/>
        </w:rPr>
        <w:footnoteReference w:id="5"/>
      </w:r>
      <w:r w:rsidR="001A5615" w:rsidRPr="00305A1B">
        <w:rPr>
          <w:b/>
        </w:rPr>
        <w:t xml:space="preserve"> z júna 2025</w:t>
      </w:r>
      <w:r>
        <w:rPr>
          <w:b/>
        </w:rPr>
        <w:t>, podľa ktorej</w:t>
      </w:r>
      <w:r w:rsidR="001A5615" w:rsidRPr="00305A1B">
        <w:rPr>
          <w:b/>
        </w:rPr>
        <w:t xml:space="preserve"> porastie HDP v roku 2026 o 1,4 %, čo bude ovplyvnené oslabeným exportom, zvýšenou neistotou spôsobenou obchodným napätím a pretrvávajúcimi štrukturálnymi výzvami slovenskej ekonomiky.</w:t>
      </w:r>
      <w:r w:rsidR="001A5615">
        <w:t xml:space="preserve"> Komisia zdôrazňuje, že hospodársky výhľad je veľmi neistý a riziká sú vychýlené smerom nadol, najmä pre nízky rast produktivity práce, vysoké jednotkové náklady práce a klesajúci prílev priamych zahraničných investícií. Dodatočným rizikom je aj očakávané zrýchlenie inflácie na 4 % v roku 2025 po zavedení vyšších </w:t>
      </w:r>
      <w:r w:rsidR="001A5615">
        <w:lastRenderedPageBreak/>
        <w:t>daní. Tieto faktory zvyšujú zraniteľnosť slovenskej ekonomiky a môžu mať nepriaznivý vplyv aj na plnenie príjmov štátneho rozpočtu.</w:t>
      </w:r>
    </w:p>
    <w:p w14:paraId="260BC506" w14:textId="7BF614E8" w:rsidR="005F0391" w:rsidRPr="00225B81" w:rsidRDefault="005F0391" w:rsidP="005F0391">
      <w:pPr>
        <w:rPr>
          <w:b/>
        </w:rPr>
      </w:pPr>
      <w:r w:rsidRPr="00225B81">
        <w:rPr>
          <w:b/>
        </w:rPr>
        <w:t xml:space="preserve">Medzi kľúčové negatívne riziká </w:t>
      </w:r>
      <w:r w:rsidR="00295D0B">
        <w:rPr>
          <w:b/>
        </w:rPr>
        <w:t xml:space="preserve">makroekonomického vývoja v roku 2026 </w:t>
      </w:r>
      <w:r w:rsidRPr="00225B81">
        <w:rPr>
          <w:b/>
        </w:rPr>
        <w:t>patrí neistota v externom prostredí, vrátane geopolitických konfliktov, obchodných bariér a slabého zahraničného dopytu</w:t>
      </w:r>
      <w:r>
        <w:rPr>
          <w:b/>
        </w:rPr>
        <w:t>.</w:t>
      </w:r>
      <w:r w:rsidRPr="00225B81">
        <w:rPr>
          <w:b/>
        </w:rPr>
        <w:t xml:space="preserve"> </w:t>
      </w:r>
      <w:r>
        <w:t>Tieto faktory</w:t>
      </w:r>
      <w:r w:rsidRPr="00225B81">
        <w:t xml:space="preserve"> môž</w:t>
      </w:r>
      <w:r>
        <w:t>u</w:t>
      </w:r>
      <w:r w:rsidRPr="00225B81">
        <w:t xml:space="preserve"> oddialiť oživenie exportu a znížiť </w:t>
      </w:r>
      <w:r>
        <w:t xml:space="preserve">tak </w:t>
      </w:r>
      <w:r w:rsidRPr="00225B81">
        <w:t>celkový rast ekonomiky.</w:t>
      </w:r>
      <w:r>
        <w:t xml:space="preserve"> Ďalším dôležitým negatívnym faktorom sú napäté termíny, ktoré by mohli viesť k nedostatočnému čerpaniu prostriedkov z POO, čím by sa oslabila investičná aktivita a ekonomické impulzy. Naopak, pozitívum predstavuje fiškálny stimul v Nemecku, ktorý by mohol poskytnúť vzpruhu v dlhšom </w:t>
      </w:r>
      <w:r w:rsidR="00295D0B">
        <w:t xml:space="preserve">časovom </w:t>
      </w:r>
      <w:r>
        <w:t>horizonte, ako aj zvýšenie investícií do obrany, čo by podporilo ekonomiku v nasledujúcich rokoch.</w:t>
      </w:r>
    </w:p>
    <w:p w14:paraId="7AFFDAA9" w14:textId="5934FEA4" w:rsidR="00B829E1" w:rsidRDefault="005F0391" w:rsidP="005F0391">
      <w:pPr>
        <w:rPr>
          <w:bCs/>
          <w:highlight w:val="yellow"/>
        </w:rPr>
      </w:pPr>
      <w:r w:rsidRPr="005F0391">
        <w:rPr>
          <w:b/>
        </w:rPr>
        <w:t xml:space="preserve">NKÚ SR oceňuje zreálnenie makroekonomických predpokladov, ktoré sú dôležitou súčasťou návrhu </w:t>
      </w:r>
      <w:r w:rsidR="00295D0B">
        <w:rPr>
          <w:b/>
        </w:rPr>
        <w:t>RVS</w:t>
      </w:r>
      <w:r w:rsidRPr="005F0391">
        <w:rPr>
          <w:b/>
        </w:rPr>
        <w:t xml:space="preserve"> na nasledujúce roky.</w:t>
      </w:r>
      <w:r>
        <w:t xml:space="preserve"> Zároveň upozorňuje na prevládajúce negatívne riziká vrátane eskalácie protekcionizmu, oneskoreného čerpania eurofondov a geopolitického napätia, ktoré by mohli viesť k nižším daňovým príjmom a vyššej inflácii.</w:t>
      </w:r>
      <w:r w:rsidR="00B829E1">
        <w:rPr>
          <w:bCs/>
          <w:highlight w:val="yellow"/>
        </w:rPr>
        <w:br w:type="page"/>
      </w:r>
    </w:p>
    <w:p w14:paraId="59F546D8" w14:textId="247031E2" w:rsidR="00BD3507" w:rsidRDefault="00092577" w:rsidP="00BF2818">
      <w:pPr>
        <w:pStyle w:val="Nadpis1"/>
      </w:pPr>
      <w:bookmarkStart w:id="8" w:name="_Toc86396373"/>
      <w:bookmarkStart w:id="9" w:name="_Toc211249074"/>
      <w:bookmarkEnd w:id="6"/>
      <w:r>
        <w:lastRenderedPageBreak/>
        <w:t xml:space="preserve">Východiskový rámec návrhu </w:t>
      </w:r>
      <w:bookmarkEnd w:id="8"/>
      <w:r w:rsidR="005C18D1">
        <w:t>rozpočtu verejnej správy</w:t>
      </w:r>
      <w:bookmarkEnd w:id="9"/>
    </w:p>
    <w:p w14:paraId="4EB27E65" w14:textId="2E2AED6D" w:rsidR="004C5312" w:rsidRPr="004C5312" w:rsidRDefault="004C5312" w:rsidP="008277B0">
      <w:pPr>
        <w:rPr>
          <w:bCs/>
        </w:rPr>
      </w:pPr>
      <w:r>
        <w:rPr>
          <w:b/>
        </w:rPr>
        <w:t>Pri zostavovaní rozpočtu na rok 2026 bolo kľúčové predstavenie a prijatie konsolidačných opatrení.</w:t>
      </w:r>
      <w:r>
        <w:rPr>
          <w:bCs/>
        </w:rPr>
        <w:t xml:space="preserve"> Proces výberu opatrení však nebol dostatočne transparentný a neposkytol dostatočný časový priestor na posúdenie ich dopadov.</w:t>
      </w:r>
    </w:p>
    <w:p w14:paraId="4E8A61C9" w14:textId="3ED1B6F8" w:rsidR="008277B0" w:rsidRDefault="008277B0" w:rsidP="008277B0">
      <w:r w:rsidRPr="00C15BDE">
        <w:rPr>
          <w:b/>
        </w:rPr>
        <w:t>V čase, keď sa pripravovali prvé konsolidačné opatrenia v roku 2023, existoval dokument s návrhmi možných opatrení, ktorý zostavila úradnícka vláda.</w:t>
      </w:r>
      <w:r w:rsidRPr="00C15BDE">
        <w:rPr>
          <w:rStyle w:val="Odkaznapoznmkupodiarou"/>
        </w:rPr>
        <w:footnoteReference w:id="6"/>
      </w:r>
      <w:r>
        <w:t xml:space="preserve"> Tento dokument mal slúžiť ako otvorené portfólio, z ktorého si mohla nová vláda vybrať vlastnú kombináciu krokov. Hoci sa v politickej diskusii objavovala jeho kritika, viaceré opatrenia z tohto zoznamu boli nakoniec využité aj v rámci aktuálnych konsolidačných balíkov.</w:t>
      </w:r>
    </w:p>
    <w:p w14:paraId="6DA915D7" w14:textId="3C981CC8" w:rsidR="005414A2" w:rsidRDefault="00CD1070" w:rsidP="00440621">
      <w:pPr>
        <w:pStyle w:val="Nadpis2"/>
      </w:pPr>
      <w:bookmarkStart w:id="10" w:name="_Toc86919170"/>
      <w:bookmarkEnd w:id="10"/>
      <w:r>
        <w:t xml:space="preserve"> </w:t>
      </w:r>
      <w:bookmarkStart w:id="11" w:name="_Toc211249075"/>
      <w:r w:rsidR="005414A2">
        <w:t>Konsolidačné opatrenia</w:t>
      </w:r>
      <w:r w:rsidR="005C18D1">
        <w:t xml:space="preserve"> 2025/2026</w:t>
      </w:r>
      <w:bookmarkEnd w:id="11"/>
    </w:p>
    <w:p w14:paraId="755998B6" w14:textId="1351DFA1" w:rsidR="006A0462" w:rsidRDefault="006A0462" w:rsidP="004E2056">
      <w:r w:rsidRPr="008C3C44">
        <w:rPr>
          <w:b/>
        </w:rPr>
        <w:t xml:space="preserve">Vláda predstavila začiatkom septembra 2025 konsolidačné opatrenia </w:t>
      </w:r>
      <w:r>
        <w:rPr>
          <w:b/>
        </w:rPr>
        <w:t>n</w:t>
      </w:r>
      <w:r w:rsidRPr="008C3C44">
        <w:rPr>
          <w:b/>
        </w:rPr>
        <w:t>a rok 2026</w:t>
      </w:r>
      <w:r>
        <w:rPr>
          <w:b/>
        </w:rPr>
        <w:t xml:space="preserve"> </w:t>
      </w:r>
      <w:r w:rsidRPr="008C3C44">
        <w:rPr>
          <w:b/>
        </w:rPr>
        <w:t>v celkovej výške 2,7 mld. eur</w:t>
      </w:r>
      <w:r>
        <w:rPr>
          <w:b/>
        </w:rPr>
        <w:t>, pričom väčšia polovica z nich sa opäť sústreďuje na príjmovú stranu rozpočtu</w:t>
      </w:r>
      <w:r w:rsidRPr="008C3C44">
        <w:rPr>
          <w:b/>
        </w:rPr>
        <w:t xml:space="preserve">. </w:t>
      </w:r>
      <w:r>
        <w:t xml:space="preserve">Cieľom balíka je znížiť deficit verejných financií pod </w:t>
      </w:r>
      <w:r w:rsidR="00B04584" w:rsidRPr="00B04584">
        <w:t>3</w:t>
      </w:r>
      <w:r w:rsidRPr="00B04584">
        <w:t xml:space="preserve"> % HDP</w:t>
      </w:r>
      <w:r>
        <w:t>, avšak prijaté opatrenia majú prevažne krátkodobý a jednorazový charakter. Výdavkové opatrenia zostávajú obmedzené najmä na administratívne škrty a dočasné úspory, zatiaľ čo štrukturálne reformy s trvalejším dopadom na efektívnosť výdavkov chýbajú.</w:t>
      </w:r>
    </w:p>
    <w:p w14:paraId="4E4A0F22" w14:textId="31A56A70" w:rsidR="004E2056" w:rsidRPr="004426E3" w:rsidRDefault="004E2056" w:rsidP="004E2056">
      <w:pPr>
        <w:rPr>
          <w:b/>
        </w:rPr>
      </w:pPr>
      <w:r w:rsidRPr="007F6B8A">
        <w:rPr>
          <w:b/>
          <w:bCs/>
        </w:rPr>
        <w:t xml:space="preserve">Medzi opatreniami tretieho konsolidačného balíka majú najväčší fiškálny vplyv tri zmeny. </w:t>
      </w:r>
      <w:r>
        <w:rPr>
          <w:b/>
          <w:bCs/>
        </w:rPr>
        <w:t xml:space="preserve">Prvou je zvýšenie zdravotného odvodu zamestnanca o 1 p. b. (od roku 2026), ktorý prinesie približne 358 mil. eur v prvom roku, so stúpajúcim efektom v ďalších rokoch. </w:t>
      </w:r>
      <w:r>
        <w:rPr>
          <w:bCs/>
        </w:rPr>
        <w:t xml:space="preserve">Toto opatrenie má okamžitý výnos, no zároveň zvyšuje celkové </w:t>
      </w:r>
      <w:r w:rsidR="003C6D0A">
        <w:rPr>
          <w:bCs/>
        </w:rPr>
        <w:t>daňovo-odvodové zaťaženie</w:t>
      </w:r>
      <w:r>
        <w:rPr>
          <w:bCs/>
        </w:rPr>
        <w:t xml:space="preserve">, ktoré už dnes patrí na Slovensku medzi najvyššie v EÚ. Rizikom je negatívny dosah na konkurencieschopnosť ekonomiky, keďže rastúce daňovo-odvodové zaťaženie môže odrádzať kvalifikovanú pracovnú silu aj investorov. </w:t>
      </w:r>
      <w:r w:rsidRPr="004426E3">
        <w:rPr>
          <w:b/>
        </w:rPr>
        <w:t xml:space="preserve">NKÚ SR </w:t>
      </w:r>
      <w:r w:rsidR="00591A64">
        <w:rPr>
          <w:b/>
        </w:rPr>
        <w:t>opakovane odporúča, že by bolo</w:t>
      </w:r>
      <w:r w:rsidRPr="004426E3">
        <w:rPr>
          <w:b/>
        </w:rPr>
        <w:t xml:space="preserve"> vhodnejšie orientovať konsolidačné úsilie viac na dane z majetku a dane reflektujúce negatívne externality, kde je S</w:t>
      </w:r>
      <w:r w:rsidR="00591A64">
        <w:rPr>
          <w:b/>
        </w:rPr>
        <w:t>R</w:t>
      </w:r>
      <w:r w:rsidRPr="004426E3">
        <w:rPr>
          <w:b/>
        </w:rPr>
        <w:t xml:space="preserve"> v európskom kontexte</w:t>
      </w:r>
      <w:r w:rsidR="00CD1070">
        <w:rPr>
          <w:b/>
        </w:rPr>
        <w:t>,</w:t>
      </w:r>
      <w:r w:rsidRPr="004426E3">
        <w:rPr>
          <w:b/>
        </w:rPr>
        <w:t xml:space="preserve"> naopak</w:t>
      </w:r>
      <w:r w:rsidR="00CD1070">
        <w:rPr>
          <w:b/>
        </w:rPr>
        <w:t>,</w:t>
      </w:r>
      <w:r w:rsidRPr="004426E3">
        <w:rPr>
          <w:b/>
        </w:rPr>
        <w:t xml:space="preserve"> hlboko pod priemerom.</w:t>
      </w:r>
    </w:p>
    <w:p w14:paraId="0A335ADB" w14:textId="4FC201DE" w:rsidR="004E2056" w:rsidRDefault="004E2056" w:rsidP="004E2056">
      <w:pPr>
        <w:rPr>
          <w:bCs/>
        </w:rPr>
      </w:pPr>
      <w:r w:rsidRPr="00585DA2">
        <w:rPr>
          <w:b/>
          <w:bCs/>
        </w:rPr>
        <w:t>Druhou</w:t>
      </w:r>
      <w:r>
        <w:rPr>
          <w:b/>
          <w:bCs/>
        </w:rPr>
        <w:t xml:space="preserve">  zmenou</w:t>
      </w:r>
      <w:r w:rsidRPr="00585DA2">
        <w:rPr>
          <w:b/>
          <w:bCs/>
        </w:rPr>
        <w:t xml:space="preserve"> je zvýšenie progresivity dane z príjmov fyzických osôb so zavedením tretej </w:t>
      </w:r>
      <w:r w:rsidRPr="004426E3">
        <w:t>(30 %)</w:t>
      </w:r>
      <w:r w:rsidRPr="00585DA2">
        <w:rPr>
          <w:b/>
          <w:bCs/>
        </w:rPr>
        <w:t xml:space="preserve"> a štvrtej </w:t>
      </w:r>
      <w:r w:rsidRPr="004426E3">
        <w:t>(35 %)</w:t>
      </w:r>
      <w:r w:rsidRPr="00585DA2">
        <w:rPr>
          <w:b/>
          <w:bCs/>
        </w:rPr>
        <w:t xml:space="preserve"> sadzby dane, ktorá </w:t>
      </w:r>
      <w:r w:rsidR="00591A64">
        <w:rPr>
          <w:b/>
          <w:bCs/>
        </w:rPr>
        <w:t xml:space="preserve">má </w:t>
      </w:r>
      <w:r w:rsidRPr="00585DA2">
        <w:rPr>
          <w:b/>
          <w:bCs/>
        </w:rPr>
        <w:t>prinie</w:t>
      </w:r>
      <w:r w:rsidR="00591A64">
        <w:rPr>
          <w:b/>
          <w:bCs/>
        </w:rPr>
        <w:t>sť</w:t>
      </w:r>
      <w:r w:rsidRPr="00585DA2">
        <w:rPr>
          <w:b/>
          <w:bCs/>
        </w:rPr>
        <w:t xml:space="preserve"> približne 205 mil. eur ročne.</w:t>
      </w:r>
      <w:r>
        <w:rPr>
          <w:b/>
          <w:bCs/>
        </w:rPr>
        <w:t xml:space="preserve"> </w:t>
      </w:r>
      <w:r>
        <w:rPr>
          <w:bCs/>
        </w:rPr>
        <w:t>Mierne sa znižujú hranice pre aplikáciu druhej sadzby a dochádza k obmedzeniu nezdaniteľných častí základu dane. Opatrenie posilňuje redistribučnú funkciu dane a zvyšuje daňovú záťaž vyšších príjmových skupín. Rizikom je možné oslabenie motivácie k deklarovaniu príjmov u časti daňovníkov, no z pohľadu NKÚ SR ide o štandardný konsolidačný nástroj s predvídateľným výnosom.</w:t>
      </w:r>
    </w:p>
    <w:p w14:paraId="6F312C51" w14:textId="4CAA5260" w:rsidR="004E2056" w:rsidRDefault="004E2056" w:rsidP="004E2056">
      <w:pPr>
        <w:rPr>
          <w:bCs/>
        </w:rPr>
      </w:pPr>
      <w:r w:rsidRPr="00F447A9">
        <w:rPr>
          <w:b/>
          <w:bCs/>
        </w:rPr>
        <w:t>Treťou zmenou je zrušenie odvodových prázdnin a zavedenie povinného minimálneho odvodu pre SZČO, čo prinesie 1</w:t>
      </w:r>
      <w:r w:rsidR="00B04584">
        <w:rPr>
          <w:b/>
          <w:bCs/>
        </w:rPr>
        <w:t>24</w:t>
      </w:r>
      <w:r w:rsidRPr="00F447A9">
        <w:rPr>
          <w:b/>
          <w:bCs/>
        </w:rPr>
        <w:t xml:space="preserve"> mil. eur v roku 2026 a viac než 2</w:t>
      </w:r>
      <w:r w:rsidR="00B04584">
        <w:rPr>
          <w:b/>
          <w:bCs/>
        </w:rPr>
        <w:t>51</w:t>
      </w:r>
      <w:r w:rsidRPr="00F447A9">
        <w:rPr>
          <w:b/>
          <w:bCs/>
        </w:rPr>
        <w:t xml:space="preserve"> mil. eur v roku 2027.</w:t>
      </w:r>
      <w:r>
        <w:rPr>
          <w:b/>
          <w:bCs/>
        </w:rPr>
        <w:t xml:space="preserve"> </w:t>
      </w:r>
      <w:r>
        <w:rPr>
          <w:bCs/>
        </w:rPr>
        <w:t>Ide o zmenu, ktorá zasiahne veľký počet malých podnikateľov, keďže aj SZČO pod hranicou príjmu začnú platiť poistné vo výške 131 eur mesačne. Toto opatrenie zvyšuje spravodlivosť systému a eliminuje skupinu dlhodobo „neplatiacich“ živnostníkov, avšak je politicky citlivé a nesie riziko, že časť SZČO zareaguje odchodom do šedej ekonomiky alebo ukončením svojej činnosti.</w:t>
      </w:r>
    </w:p>
    <w:p w14:paraId="4C7E186F" w14:textId="3BD88AB1" w:rsidR="004E2056" w:rsidRPr="00276DBC" w:rsidRDefault="004E2056" w:rsidP="004E2056">
      <w:pPr>
        <w:rPr>
          <w:bCs/>
        </w:rPr>
      </w:pPr>
      <w:r w:rsidRPr="00276DBC">
        <w:rPr>
          <w:b/>
          <w:bCs/>
        </w:rPr>
        <w:t>Osobitnú pozornosť si zaslúži aj návrh na daňovú amnestiu, ktorá má priniesť jednorazový výnos približne 80 mil. eur.</w:t>
      </w:r>
      <w:r>
        <w:rPr>
          <w:b/>
          <w:bCs/>
        </w:rPr>
        <w:t xml:space="preserve"> </w:t>
      </w:r>
      <w:r>
        <w:rPr>
          <w:bCs/>
        </w:rPr>
        <w:t xml:space="preserve">Takýto krok však podľa NKÚ SR predstavuje riziko morálneho hazardu, ak štát v pravidelných intervaloch udeľuje amnestie. Vďaka tomu posilňuje očakávanie daňovníkov, že podobná možnosť sa objaví aj v budúcnosti. To môže viesť k vedomému neplneniu daňových povinností, </w:t>
      </w:r>
      <w:r>
        <w:rPr>
          <w:bCs/>
        </w:rPr>
        <w:lastRenderedPageBreak/>
        <w:t xml:space="preserve">odkladaniu platieb či k vyššej ochote vstupovať do </w:t>
      </w:r>
      <w:r w:rsidR="003C6D0A">
        <w:rPr>
          <w:bCs/>
        </w:rPr>
        <w:t>podvodných schém</w:t>
      </w:r>
      <w:r>
        <w:rPr>
          <w:bCs/>
        </w:rPr>
        <w:t>. Navyše, nejde o prvú daňovú amnestiu v histórii Slovenska, čo signalizuje slabosť vymáhateľnosti a predvídateľnosti daňového systému. Krátkodobý prínos opatrenia preto ne</w:t>
      </w:r>
      <w:r w:rsidR="003C6D0A">
        <w:rPr>
          <w:bCs/>
        </w:rPr>
        <w:t xml:space="preserve">musí </w:t>
      </w:r>
      <w:r>
        <w:rPr>
          <w:bCs/>
        </w:rPr>
        <w:t>vyváži</w:t>
      </w:r>
      <w:r w:rsidR="003C6D0A">
        <w:rPr>
          <w:bCs/>
        </w:rPr>
        <w:t>ť</w:t>
      </w:r>
      <w:r>
        <w:rPr>
          <w:bCs/>
        </w:rPr>
        <w:t xml:space="preserve"> jeho negatívny dlhodobý dosah na dôveru v pravidlá a spravodlivosť daňového systému.</w:t>
      </w:r>
    </w:p>
    <w:p w14:paraId="77BA5919" w14:textId="23EBA1B9" w:rsidR="00B04584" w:rsidRDefault="00B04584" w:rsidP="00B04584">
      <w:pPr>
        <w:rPr>
          <w:bCs/>
        </w:rPr>
      </w:pPr>
      <w:r w:rsidRPr="00F447A9">
        <w:rPr>
          <w:b/>
          <w:bCs/>
        </w:rPr>
        <w:t xml:space="preserve">Celkovo možno konštatovať, že </w:t>
      </w:r>
      <w:r>
        <w:rPr>
          <w:b/>
          <w:bCs/>
        </w:rPr>
        <w:t xml:space="preserve">väčšina </w:t>
      </w:r>
      <w:r w:rsidRPr="00F447A9">
        <w:rPr>
          <w:b/>
          <w:bCs/>
        </w:rPr>
        <w:t>opatren</w:t>
      </w:r>
      <w:r>
        <w:rPr>
          <w:b/>
          <w:bCs/>
        </w:rPr>
        <w:t>í</w:t>
      </w:r>
      <w:r w:rsidRPr="00F447A9">
        <w:rPr>
          <w:b/>
          <w:bCs/>
        </w:rPr>
        <w:t xml:space="preserve"> zv</w:t>
      </w:r>
      <w:r>
        <w:rPr>
          <w:b/>
          <w:bCs/>
        </w:rPr>
        <w:t>y</w:t>
      </w:r>
      <w:r w:rsidRPr="00F447A9">
        <w:rPr>
          <w:b/>
          <w:bCs/>
        </w:rPr>
        <w:t>š</w:t>
      </w:r>
      <w:r>
        <w:rPr>
          <w:b/>
          <w:bCs/>
        </w:rPr>
        <w:t>uje</w:t>
      </w:r>
      <w:r w:rsidRPr="00F447A9">
        <w:rPr>
          <w:b/>
          <w:bCs/>
        </w:rPr>
        <w:t xml:space="preserve"> </w:t>
      </w:r>
      <w:r>
        <w:rPr>
          <w:b/>
          <w:bCs/>
        </w:rPr>
        <w:t xml:space="preserve">daňovo-odvodové zaťaženie </w:t>
      </w:r>
      <w:r w:rsidRPr="00F447A9">
        <w:rPr>
          <w:b/>
          <w:bCs/>
        </w:rPr>
        <w:t>práce a </w:t>
      </w:r>
      <w:r>
        <w:rPr>
          <w:b/>
          <w:bCs/>
        </w:rPr>
        <w:t>podnikania</w:t>
      </w:r>
      <w:r w:rsidRPr="00F447A9">
        <w:rPr>
          <w:b/>
          <w:bCs/>
        </w:rPr>
        <w:t xml:space="preserve">, </w:t>
      </w:r>
      <w:r>
        <w:rPr>
          <w:b/>
          <w:bCs/>
        </w:rPr>
        <w:t xml:space="preserve">pričom to </w:t>
      </w:r>
      <w:r w:rsidRPr="00F447A9">
        <w:rPr>
          <w:b/>
          <w:bCs/>
        </w:rPr>
        <w:t xml:space="preserve">dnes </w:t>
      </w:r>
      <w:r>
        <w:rPr>
          <w:b/>
          <w:bCs/>
        </w:rPr>
        <w:t xml:space="preserve">na Slovensku </w:t>
      </w:r>
      <w:r w:rsidRPr="00F447A9">
        <w:rPr>
          <w:b/>
          <w:bCs/>
        </w:rPr>
        <w:t>patr</w:t>
      </w:r>
      <w:r>
        <w:rPr>
          <w:b/>
          <w:bCs/>
        </w:rPr>
        <w:t>í</w:t>
      </w:r>
      <w:r w:rsidRPr="00F447A9">
        <w:rPr>
          <w:b/>
          <w:bCs/>
        </w:rPr>
        <w:t xml:space="preserve"> v rámci EÚ k najvyšším.</w:t>
      </w:r>
      <w:r>
        <w:rPr>
          <w:bCs/>
        </w:rPr>
        <w:t xml:space="preserve"> Krátkodobo to síce prináša fiškálny efekt, no zároveň to môže mať negatívny dopad na zamestnanosť a konkurencieschopnosť ekonomiky</w:t>
      </w:r>
      <w:r w:rsidR="00691B67">
        <w:rPr>
          <w:bCs/>
        </w:rPr>
        <w:t xml:space="preserve"> a zhoršenie podnikateľského prostredia</w:t>
      </w:r>
      <w:r>
        <w:rPr>
          <w:bCs/>
        </w:rPr>
        <w:t xml:space="preserve">. Opatrenia sú trvalého charakteru a ich výnosy sa očakávajú už od roku 2026. </w:t>
      </w:r>
    </w:p>
    <w:p w14:paraId="604EB551" w14:textId="16F8C73F" w:rsidR="006A0462" w:rsidRDefault="006A0462" w:rsidP="006A0462">
      <w:r w:rsidRPr="00392A41">
        <w:rPr>
          <w:b/>
          <w:bCs/>
        </w:rPr>
        <w:t>Z celkovej sumy výdavkových opatrení vo výške 1 144,4 mil. eur</w:t>
      </w:r>
      <w:r w:rsidRPr="00392A41">
        <w:rPr>
          <w:b/>
        </w:rPr>
        <w:t xml:space="preserve"> je podrobne rozpracovaných len 375 mil. eur, ktoré predstavujú administratívne viazanie výdavkov jednotlivých kapitol ŠR.</w:t>
      </w:r>
      <w:r>
        <w:rPr>
          <w:b/>
        </w:rPr>
        <w:t xml:space="preserve"> </w:t>
      </w:r>
      <w:r>
        <w:t>Zvyšok balíka tvoria položky, ktorých úsporný efekt je buď dočasný, účtovný alebo len čiastočne preukázateľný. Takéto nastavenie výrazne sťažuje transparentnú kontrolu plnenia opatrení a predstavuje riziko, že plánovaný fiškálny efekt sa nenaplní.</w:t>
      </w:r>
    </w:p>
    <w:p w14:paraId="423BF264" w14:textId="333B323E" w:rsidR="00BA6E74" w:rsidRDefault="00BA6E74" w:rsidP="00BA6E74">
      <w:pPr>
        <w:pStyle w:val="Textpoznmkypodiarou"/>
        <w:spacing w:after="120" w:line="276" w:lineRule="auto"/>
        <w:rPr>
          <w:sz w:val="20"/>
          <w:szCs w:val="24"/>
        </w:rPr>
      </w:pPr>
      <w:r w:rsidRPr="00BA6E74">
        <w:rPr>
          <w:b/>
          <w:bCs/>
          <w:sz w:val="20"/>
          <w:szCs w:val="24"/>
        </w:rPr>
        <w:t xml:space="preserve">NKÚ SR upozorňuje na riziko spojené napríklad s financovaním tzv. energopomoci vo výške 420 mil. eur, ktoré je zatiaľ naplánované z fondov EÚ a v rámci konsolidačných opatrení  predstavuje len </w:t>
      </w:r>
      <w:r>
        <w:rPr>
          <w:b/>
          <w:bCs/>
          <w:sz w:val="20"/>
          <w:szCs w:val="24"/>
        </w:rPr>
        <w:t>„</w:t>
      </w:r>
      <w:r w:rsidRPr="00BA6E74">
        <w:rPr>
          <w:b/>
          <w:bCs/>
          <w:sz w:val="20"/>
          <w:szCs w:val="24"/>
        </w:rPr>
        <w:t>kvázi</w:t>
      </w:r>
      <w:r>
        <w:rPr>
          <w:b/>
          <w:bCs/>
          <w:sz w:val="20"/>
          <w:szCs w:val="24"/>
        </w:rPr>
        <w:t>“</w:t>
      </w:r>
      <w:r w:rsidRPr="00BA6E74">
        <w:rPr>
          <w:b/>
          <w:bCs/>
          <w:sz w:val="20"/>
          <w:szCs w:val="24"/>
        </w:rPr>
        <w:t xml:space="preserve"> úsporu.</w:t>
      </w:r>
      <w:r w:rsidRPr="002260BB">
        <w:rPr>
          <w:sz w:val="20"/>
          <w:szCs w:val="24"/>
        </w:rPr>
        <w:t xml:space="preserve"> </w:t>
      </w:r>
      <w:r w:rsidRPr="008E48C8">
        <w:rPr>
          <w:sz w:val="20"/>
          <w:szCs w:val="24"/>
        </w:rPr>
        <w:t xml:space="preserve">V prípade schválenia </w:t>
      </w:r>
      <w:r>
        <w:rPr>
          <w:sz w:val="20"/>
          <w:szCs w:val="24"/>
        </w:rPr>
        <w:t>presunu financovania energopomoci na národné zdroje sa zo zdrojov EÚ budú financovať projekty, ktoré ešte nie sú vybrané</w:t>
      </w:r>
      <w:r w:rsidRPr="002260BB">
        <w:rPr>
          <w:sz w:val="20"/>
          <w:szCs w:val="24"/>
        </w:rPr>
        <w:t xml:space="preserve">. </w:t>
      </w:r>
      <w:r>
        <w:rPr>
          <w:sz w:val="20"/>
          <w:szCs w:val="24"/>
        </w:rPr>
        <w:t>Existuje</w:t>
      </w:r>
      <w:r w:rsidRPr="002260BB">
        <w:rPr>
          <w:sz w:val="20"/>
          <w:szCs w:val="24"/>
        </w:rPr>
        <w:t xml:space="preserve"> </w:t>
      </w:r>
      <w:r>
        <w:rPr>
          <w:sz w:val="20"/>
          <w:szCs w:val="24"/>
        </w:rPr>
        <w:t xml:space="preserve">tak </w:t>
      </w:r>
      <w:r w:rsidRPr="002260BB">
        <w:rPr>
          <w:sz w:val="20"/>
          <w:szCs w:val="24"/>
        </w:rPr>
        <w:t>riziko nevyčerpania všetkých takto plánovaných prostriedkov</w:t>
      </w:r>
      <w:r>
        <w:rPr>
          <w:sz w:val="20"/>
          <w:szCs w:val="24"/>
        </w:rPr>
        <w:t>, ktoré by mali byť primárne použité na znižovanie regionálnych rozdielov</w:t>
      </w:r>
      <w:r w:rsidRPr="002260BB">
        <w:rPr>
          <w:sz w:val="20"/>
          <w:szCs w:val="24"/>
        </w:rPr>
        <w:t>.</w:t>
      </w:r>
    </w:p>
    <w:p w14:paraId="6D3187DB" w14:textId="549894AB" w:rsidR="006A0462" w:rsidRDefault="006A0462" w:rsidP="006A0462">
      <w:r w:rsidRPr="00392A41">
        <w:rPr>
          <w:b/>
        </w:rPr>
        <w:t>V prípade úspor na samosprávach</w:t>
      </w:r>
      <w:r>
        <w:rPr>
          <w:b/>
        </w:rPr>
        <w:t xml:space="preserve"> </w:t>
      </w:r>
      <w:r w:rsidRPr="006A0462">
        <w:rPr>
          <w:bCs/>
        </w:rPr>
        <w:t>(zníženie prevádzkových výdavkov obcí o 10 % a VÚC o 15 %)</w:t>
      </w:r>
      <w:r>
        <w:rPr>
          <w:b/>
        </w:rPr>
        <w:t xml:space="preserve"> </w:t>
      </w:r>
      <w:r w:rsidRPr="00392A41">
        <w:rPr>
          <w:b/>
        </w:rPr>
        <w:t xml:space="preserve"> ide o plošné opatrenia, ktoré nezohľadňujú rozdielnu finančnú situáciu jednotlivých územných celkov.</w:t>
      </w:r>
      <w:r>
        <w:t xml:space="preserve"> Tieto úspory prichádzajú po </w:t>
      </w:r>
      <w:r w:rsidR="00B074FF">
        <w:t>tom, ako výnosy podielových daní klesali už v roku 2024 a pokles sa očakáva aj v roku 2025.</w:t>
      </w:r>
      <w:r>
        <w:t xml:space="preserve"> </w:t>
      </w:r>
      <w:r w:rsidR="00B074FF">
        <w:t>T</w:t>
      </w:r>
      <w:r>
        <w:t>o môže mať negatívny dopad na prevádzku miest a obcí a na kvalitu poskytovaných verejných služieb.</w:t>
      </w:r>
    </w:p>
    <w:p w14:paraId="52028BD5" w14:textId="6BB12A9B" w:rsidR="00C96FC7" w:rsidRDefault="00C96FC7" w:rsidP="00C96FC7">
      <w:r w:rsidRPr="009E2DC5">
        <w:rPr>
          <w:b/>
        </w:rPr>
        <w:t xml:space="preserve">Obce v posledných dvoch rokoch problém s výpadkom príjmov riešili aj zvyšovaním daní z nehnuteľností. </w:t>
      </w:r>
      <w:r>
        <w:t>V</w:t>
      </w:r>
      <w:r w:rsidR="00B074FF">
        <w:t> </w:t>
      </w:r>
      <w:r>
        <w:t>rok</w:t>
      </w:r>
      <w:r w:rsidR="00B074FF">
        <w:t>och 2023 a</w:t>
      </w:r>
      <w:r>
        <w:t xml:space="preserve"> 2024 sa príjem dane z nehnuteľností zvýšil o</w:t>
      </w:r>
      <w:r w:rsidR="00B074FF">
        <w:t> 8,7 % a 24,6 %</w:t>
      </w:r>
      <w:r>
        <w:t xml:space="preserve">, pričom výška sadzieb daní z nehnuteľností </w:t>
      </w:r>
      <w:r w:rsidR="00B074FF">
        <w:t>naposledy výrazne stúpla v roku 2019, a to o 17,3 %</w:t>
      </w:r>
      <w:r>
        <w:t>. SR má v európskom priestore relatívne nízke dane z nehnuteľností. No vzhľadom na vysoký podiel vlastníctva nehnuteľností, v ktorej ľudia priamo bývajú, sa zvyšovanie týchto daní priamo dotkne aj nízkopríjmových skupín obyvateľov. Na potrebu reformy zdaňovania nehnuteľností upozorňujú viaceré relevantné medzinárodné inštitúcie. Analytici NBS zverejnili v roku 2024 komentár, v ktorom odporúčajú zaoberať sa touto témou na úrovni štátu</w:t>
      </w:r>
      <w:r>
        <w:rPr>
          <w:rStyle w:val="Odkaznapoznmkupodiarou"/>
        </w:rPr>
        <w:footnoteReference w:id="7"/>
      </w:r>
      <w:r>
        <w:t>.</w:t>
      </w:r>
    </w:p>
    <w:p w14:paraId="763D367D" w14:textId="7735F629" w:rsidR="00B074FF" w:rsidRPr="0059241B" w:rsidRDefault="00B074FF" w:rsidP="00B074FF">
      <w:r>
        <w:rPr>
          <w:b/>
        </w:rPr>
        <w:t>Ďa</w:t>
      </w:r>
      <w:r w:rsidR="00564B2E">
        <w:rPr>
          <w:b/>
        </w:rPr>
        <w:t>l</w:t>
      </w:r>
      <w:r>
        <w:rPr>
          <w:b/>
        </w:rPr>
        <w:t xml:space="preserve">šie znižovanie príjmov obcí z podielu na DPFO by malo byť vykonané reformou financovania obcí. </w:t>
      </w:r>
      <w:r w:rsidRPr="00BB314F">
        <w:t xml:space="preserve">Výpadok na príjmoch obcí z podielu DPFO štát od roku 2023 viackrát sanoval. </w:t>
      </w:r>
      <w:r w:rsidRPr="00DE24ED">
        <w:t>Dočasne sa o</w:t>
      </w:r>
      <w:r w:rsidRPr="00BB314F">
        <w:t>tvorila aj možnosť využiť prostriedky rezervného fond na bežné výdavky</w:t>
      </w:r>
      <w:r>
        <w:t>, ktoré pôvodne mohli byť použité len na kapitálové výdavky</w:t>
      </w:r>
      <w:r w:rsidRPr="00BB314F">
        <w:t>.</w:t>
      </w:r>
      <w:r>
        <w:t xml:space="preserve"> Príjem z podielu na DPFO sa v roku 2024 prvýkrát znížil pod 40 % príjmov bežného rozpočtu. V rokoch 2017 až 2022 tvoril podiel na DPFO priemerne 46 %. Zmeny v DPFO v roku 2023 a znižovanie podielu pre obce zhoršuje predvídateľnosť rozpočtových príjmov obcí a tým aj cielenie úsporných opatrení v rámci konsolidácie.</w:t>
      </w:r>
    </w:p>
    <w:p w14:paraId="0E713D90" w14:textId="77777777" w:rsidR="006A0462" w:rsidRPr="004C5312" w:rsidRDefault="006A0462" w:rsidP="006A0462">
      <w:pPr>
        <w:pStyle w:val="Popis"/>
        <w:keepNext/>
      </w:pPr>
      <w:r w:rsidRPr="004C5312">
        <w:lastRenderedPageBreak/>
        <w:t>Tabuľka 2: Konsolidačné opatrenia, ich očakávaný vplyv (v mil. eur) a identifikované riziká</w:t>
      </w:r>
    </w:p>
    <w:tbl>
      <w:tblPr>
        <w:tblW w:w="0" w:type="auto"/>
        <w:jc w:val="center"/>
        <w:tblBorders>
          <w:bottom w:val="single" w:sz="4" w:space="0" w:color="314364" w:themeColor="text2"/>
          <w:insideH w:val="single" w:sz="4" w:space="0" w:color="314364" w:themeColor="text2"/>
        </w:tblBorders>
        <w:tblLayout w:type="fixed"/>
        <w:tblCellMar>
          <w:left w:w="70" w:type="dxa"/>
          <w:right w:w="70" w:type="dxa"/>
        </w:tblCellMar>
        <w:tblLook w:val="04A0" w:firstRow="1" w:lastRow="0" w:firstColumn="1" w:lastColumn="0" w:noHBand="0" w:noVBand="1"/>
      </w:tblPr>
      <w:tblGrid>
        <w:gridCol w:w="2127"/>
        <w:gridCol w:w="835"/>
        <w:gridCol w:w="567"/>
        <w:gridCol w:w="567"/>
        <w:gridCol w:w="567"/>
        <w:gridCol w:w="567"/>
        <w:gridCol w:w="3810"/>
      </w:tblGrid>
      <w:tr w:rsidR="006A0462" w:rsidRPr="00CF32B8" w14:paraId="291E3707" w14:textId="77777777" w:rsidTr="005F560A">
        <w:trPr>
          <w:trHeight w:val="283"/>
          <w:tblHeader/>
          <w:jc w:val="center"/>
        </w:trPr>
        <w:tc>
          <w:tcPr>
            <w:tcW w:w="2127" w:type="dxa"/>
            <w:tcBorders>
              <w:top w:val="nil"/>
              <w:bottom w:val="nil"/>
              <w:right w:val="single" w:sz="4" w:space="0" w:color="FFFFFF" w:themeColor="background1"/>
            </w:tcBorders>
            <w:shd w:val="clear" w:color="auto" w:fill="314364" w:themeFill="text2"/>
            <w:vAlign w:val="center"/>
            <w:hideMark/>
          </w:tcPr>
          <w:p w14:paraId="29537F7A" w14:textId="77777777" w:rsidR="006A0462" w:rsidRPr="00392A41" w:rsidRDefault="006A0462" w:rsidP="00392A41">
            <w:pPr>
              <w:spacing w:after="0" w:line="240" w:lineRule="auto"/>
              <w:rPr>
                <w:rFonts w:eastAsia="Times New Roman" w:cs="Segoe UI"/>
                <w:b/>
                <w:bCs/>
                <w:color w:val="FFFFFF" w:themeColor="background1"/>
                <w:sz w:val="16"/>
                <w:szCs w:val="16"/>
                <w:lang w:eastAsia="sk-SK"/>
              </w:rPr>
            </w:pPr>
            <w:r w:rsidRPr="00392A41">
              <w:rPr>
                <w:rFonts w:eastAsia="Times New Roman" w:cs="Segoe UI"/>
                <w:b/>
                <w:bCs/>
                <w:color w:val="FFFFFF" w:themeColor="background1"/>
                <w:sz w:val="16"/>
                <w:szCs w:val="16"/>
                <w:lang w:eastAsia="sk-SK"/>
              </w:rPr>
              <w:t>Popis opatrenia</w:t>
            </w:r>
          </w:p>
        </w:tc>
        <w:tc>
          <w:tcPr>
            <w:tcW w:w="835" w:type="dxa"/>
            <w:tcBorders>
              <w:top w:val="nil"/>
              <w:left w:val="single" w:sz="4" w:space="0" w:color="FFFFFF" w:themeColor="background1"/>
              <w:bottom w:val="nil"/>
              <w:right w:val="single" w:sz="4" w:space="0" w:color="FFFFFF" w:themeColor="background1"/>
            </w:tcBorders>
            <w:shd w:val="clear" w:color="auto" w:fill="314364" w:themeFill="text2"/>
            <w:vAlign w:val="center"/>
            <w:hideMark/>
          </w:tcPr>
          <w:p w14:paraId="034E2DB6" w14:textId="77777777" w:rsidR="006A0462" w:rsidRPr="00392A41" w:rsidRDefault="006A0462" w:rsidP="00392A41">
            <w:pPr>
              <w:spacing w:after="0" w:line="240" w:lineRule="auto"/>
              <w:jc w:val="center"/>
              <w:rPr>
                <w:rFonts w:eastAsia="Times New Roman" w:cs="Segoe UI"/>
                <w:b/>
                <w:bCs/>
                <w:color w:val="FFFFFF" w:themeColor="background1"/>
                <w:sz w:val="16"/>
                <w:szCs w:val="16"/>
                <w:lang w:eastAsia="sk-SK"/>
              </w:rPr>
            </w:pPr>
            <w:r w:rsidRPr="00392A41">
              <w:rPr>
                <w:rFonts w:eastAsia="Times New Roman" w:cs="Segoe UI"/>
                <w:b/>
                <w:bCs/>
                <w:color w:val="FFFFFF" w:themeColor="background1"/>
                <w:sz w:val="16"/>
                <w:szCs w:val="16"/>
                <w:lang w:eastAsia="sk-SK"/>
              </w:rPr>
              <w:t>Typ</w:t>
            </w:r>
          </w:p>
        </w:tc>
        <w:tc>
          <w:tcPr>
            <w:tcW w:w="567" w:type="dxa"/>
            <w:tcBorders>
              <w:top w:val="nil"/>
              <w:left w:val="single" w:sz="4" w:space="0" w:color="FFFFFF" w:themeColor="background1"/>
              <w:bottom w:val="nil"/>
            </w:tcBorders>
            <w:shd w:val="clear" w:color="auto" w:fill="314364" w:themeFill="text2"/>
            <w:vAlign w:val="center"/>
            <w:hideMark/>
          </w:tcPr>
          <w:p w14:paraId="693C500B" w14:textId="77777777" w:rsidR="006A0462" w:rsidRPr="00392A41" w:rsidRDefault="006A0462" w:rsidP="00392A41">
            <w:pPr>
              <w:spacing w:after="0" w:line="240" w:lineRule="auto"/>
              <w:jc w:val="center"/>
              <w:rPr>
                <w:rFonts w:eastAsia="Times New Roman" w:cs="Segoe UI"/>
                <w:b/>
                <w:bCs/>
                <w:color w:val="FFFFFF" w:themeColor="background1"/>
                <w:sz w:val="16"/>
                <w:szCs w:val="16"/>
                <w:lang w:eastAsia="sk-SK"/>
              </w:rPr>
            </w:pPr>
            <w:r w:rsidRPr="00392A41">
              <w:rPr>
                <w:rFonts w:eastAsia="Times New Roman" w:cs="Segoe UI"/>
                <w:b/>
                <w:bCs/>
                <w:color w:val="FFFFFF" w:themeColor="background1"/>
                <w:sz w:val="16"/>
                <w:szCs w:val="16"/>
                <w:lang w:eastAsia="sk-SK"/>
              </w:rPr>
              <w:t>2026</w:t>
            </w:r>
          </w:p>
        </w:tc>
        <w:tc>
          <w:tcPr>
            <w:tcW w:w="567" w:type="dxa"/>
            <w:tcBorders>
              <w:top w:val="nil"/>
              <w:bottom w:val="nil"/>
            </w:tcBorders>
            <w:shd w:val="clear" w:color="auto" w:fill="314364" w:themeFill="text2"/>
            <w:vAlign w:val="center"/>
            <w:hideMark/>
          </w:tcPr>
          <w:p w14:paraId="49D7A74A" w14:textId="77777777" w:rsidR="006A0462" w:rsidRPr="00392A41" w:rsidRDefault="006A0462" w:rsidP="00392A41">
            <w:pPr>
              <w:spacing w:after="0" w:line="240" w:lineRule="auto"/>
              <w:jc w:val="center"/>
              <w:rPr>
                <w:rFonts w:eastAsia="Times New Roman" w:cs="Segoe UI"/>
                <w:b/>
                <w:bCs/>
                <w:color w:val="FFFFFF" w:themeColor="background1"/>
                <w:sz w:val="16"/>
                <w:szCs w:val="16"/>
                <w:lang w:eastAsia="sk-SK"/>
              </w:rPr>
            </w:pPr>
            <w:r w:rsidRPr="00392A41">
              <w:rPr>
                <w:rFonts w:eastAsia="Times New Roman" w:cs="Segoe UI"/>
                <w:b/>
                <w:bCs/>
                <w:color w:val="FFFFFF" w:themeColor="background1"/>
                <w:sz w:val="16"/>
                <w:szCs w:val="16"/>
                <w:lang w:eastAsia="sk-SK"/>
              </w:rPr>
              <w:t>2027</w:t>
            </w:r>
          </w:p>
        </w:tc>
        <w:tc>
          <w:tcPr>
            <w:tcW w:w="567" w:type="dxa"/>
            <w:tcBorders>
              <w:top w:val="nil"/>
              <w:bottom w:val="nil"/>
            </w:tcBorders>
            <w:shd w:val="clear" w:color="auto" w:fill="314364" w:themeFill="text2"/>
            <w:vAlign w:val="center"/>
            <w:hideMark/>
          </w:tcPr>
          <w:p w14:paraId="7139A4EF" w14:textId="77777777" w:rsidR="006A0462" w:rsidRPr="00392A41" w:rsidRDefault="006A0462" w:rsidP="00392A41">
            <w:pPr>
              <w:spacing w:after="0" w:line="240" w:lineRule="auto"/>
              <w:jc w:val="center"/>
              <w:rPr>
                <w:rFonts w:eastAsia="Times New Roman" w:cs="Segoe UI"/>
                <w:b/>
                <w:bCs/>
                <w:color w:val="FFFFFF" w:themeColor="background1"/>
                <w:sz w:val="16"/>
                <w:szCs w:val="16"/>
                <w:lang w:eastAsia="sk-SK"/>
              </w:rPr>
            </w:pPr>
            <w:r w:rsidRPr="00392A41">
              <w:rPr>
                <w:rFonts w:eastAsia="Times New Roman" w:cs="Segoe UI"/>
                <w:b/>
                <w:bCs/>
                <w:color w:val="FFFFFF" w:themeColor="background1"/>
                <w:sz w:val="16"/>
                <w:szCs w:val="16"/>
                <w:lang w:eastAsia="sk-SK"/>
              </w:rPr>
              <w:t>2028</w:t>
            </w:r>
          </w:p>
        </w:tc>
        <w:tc>
          <w:tcPr>
            <w:tcW w:w="567" w:type="dxa"/>
            <w:tcBorders>
              <w:top w:val="nil"/>
              <w:bottom w:val="nil"/>
              <w:right w:val="single" w:sz="4" w:space="0" w:color="FFFFFF" w:themeColor="background1"/>
            </w:tcBorders>
            <w:shd w:val="clear" w:color="auto" w:fill="314364" w:themeFill="text2"/>
            <w:vAlign w:val="center"/>
            <w:hideMark/>
          </w:tcPr>
          <w:p w14:paraId="4B7969F9" w14:textId="77777777" w:rsidR="006A0462" w:rsidRPr="00392A41" w:rsidRDefault="006A0462" w:rsidP="00392A41">
            <w:pPr>
              <w:spacing w:after="0" w:line="240" w:lineRule="auto"/>
              <w:jc w:val="center"/>
              <w:rPr>
                <w:rFonts w:eastAsia="Times New Roman" w:cs="Segoe UI"/>
                <w:b/>
                <w:bCs/>
                <w:color w:val="FFFFFF" w:themeColor="background1"/>
                <w:sz w:val="16"/>
                <w:szCs w:val="16"/>
                <w:lang w:eastAsia="sk-SK"/>
              </w:rPr>
            </w:pPr>
            <w:r w:rsidRPr="00392A41">
              <w:rPr>
                <w:rFonts w:eastAsia="Times New Roman" w:cs="Segoe UI"/>
                <w:b/>
                <w:bCs/>
                <w:color w:val="FFFFFF" w:themeColor="background1"/>
                <w:sz w:val="16"/>
                <w:szCs w:val="16"/>
                <w:lang w:eastAsia="sk-SK"/>
              </w:rPr>
              <w:t>2029</w:t>
            </w:r>
          </w:p>
        </w:tc>
        <w:tc>
          <w:tcPr>
            <w:tcW w:w="3810" w:type="dxa"/>
            <w:tcBorders>
              <w:top w:val="nil"/>
              <w:left w:val="single" w:sz="4" w:space="0" w:color="FFFFFF" w:themeColor="background1"/>
              <w:bottom w:val="nil"/>
            </w:tcBorders>
            <w:shd w:val="clear" w:color="auto" w:fill="314364" w:themeFill="text2"/>
            <w:vAlign w:val="center"/>
            <w:hideMark/>
          </w:tcPr>
          <w:p w14:paraId="0BE346C2" w14:textId="77777777" w:rsidR="006A0462" w:rsidRPr="00392A41" w:rsidRDefault="006A0462" w:rsidP="00392A41">
            <w:pPr>
              <w:spacing w:after="0" w:line="240" w:lineRule="auto"/>
              <w:rPr>
                <w:rFonts w:eastAsia="Times New Roman" w:cs="Segoe UI"/>
                <w:b/>
                <w:bCs/>
                <w:color w:val="FFFFFF" w:themeColor="background1"/>
                <w:sz w:val="16"/>
                <w:szCs w:val="16"/>
                <w:lang w:eastAsia="sk-SK"/>
              </w:rPr>
            </w:pPr>
            <w:r w:rsidRPr="00392A41">
              <w:rPr>
                <w:rFonts w:eastAsia="Times New Roman" w:cs="Segoe UI"/>
                <w:b/>
                <w:bCs/>
                <w:color w:val="FFFFFF" w:themeColor="background1"/>
                <w:sz w:val="16"/>
                <w:szCs w:val="16"/>
                <w:lang w:eastAsia="sk-SK"/>
              </w:rPr>
              <w:t>Popis rizika</w:t>
            </w:r>
          </w:p>
        </w:tc>
      </w:tr>
      <w:tr w:rsidR="005F560A" w:rsidRPr="00614DFC" w14:paraId="4899DE54" w14:textId="77777777" w:rsidTr="005F560A">
        <w:trPr>
          <w:trHeight w:val="283"/>
          <w:jc w:val="center"/>
        </w:trPr>
        <w:tc>
          <w:tcPr>
            <w:tcW w:w="2127" w:type="dxa"/>
            <w:tcBorders>
              <w:top w:val="nil"/>
              <w:right w:val="single" w:sz="4" w:space="0" w:color="314364" w:themeColor="text2"/>
            </w:tcBorders>
            <w:noWrap/>
            <w:vAlign w:val="center"/>
            <w:hideMark/>
          </w:tcPr>
          <w:p w14:paraId="0731C404" w14:textId="77777777" w:rsidR="005F560A" w:rsidRPr="00614DFC" w:rsidRDefault="005F560A" w:rsidP="005F560A">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 xml:space="preserve">Horizontálne šetrenie na výdavkoch </w:t>
            </w:r>
          </w:p>
        </w:tc>
        <w:tc>
          <w:tcPr>
            <w:tcW w:w="835" w:type="dxa"/>
            <w:tcBorders>
              <w:top w:val="nil"/>
              <w:left w:val="single" w:sz="4" w:space="0" w:color="314364" w:themeColor="text2"/>
              <w:right w:val="single" w:sz="4" w:space="0" w:color="314364" w:themeColor="text2"/>
            </w:tcBorders>
            <w:noWrap/>
            <w:vAlign w:val="center"/>
            <w:hideMark/>
          </w:tcPr>
          <w:p w14:paraId="1B3970F9" w14:textId="77777777" w:rsidR="005F560A" w:rsidRPr="00614DFC" w:rsidRDefault="005F560A" w:rsidP="005F560A">
            <w:pPr>
              <w:spacing w:after="0" w:line="240" w:lineRule="auto"/>
              <w:jc w:val="center"/>
              <w:rPr>
                <w:rFonts w:eastAsia="Times New Roman" w:cs="Segoe UI"/>
                <w:color w:val="000000"/>
                <w:sz w:val="16"/>
                <w:szCs w:val="16"/>
                <w:lang w:eastAsia="sk-SK"/>
              </w:rPr>
            </w:pPr>
            <w:r w:rsidRPr="00614DFC">
              <w:rPr>
                <w:rFonts w:eastAsia="Times New Roman" w:cs="Segoe UI"/>
                <w:color w:val="000000"/>
                <w:sz w:val="16"/>
                <w:szCs w:val="16"/>
                <w:lang w:eastAsia="sk-SK"/>
              </w:rPr>
              <w:t>výdavky</w:t>
            </w:r>
          </w:p>
        </w:tc>
        <w:tc>
          <w:tcPr>
            <w:tcW w:w="567" w:type="dxa"/>
            <w:tcBorders>
              <w:top w:val="nil"/>
              <w:left w:val="single" w:sz="4" w:space="0" w:color="314364" w:themeColor="text2"/>
            </w:tcBorders>
            <w:noWrap/>
            <w:vAlign w:val="center"/>
            <w:hideMark/>
          </w:tcPr>
          <w:p w14:paraId="05AFB7AF" w14:textId="77777777" w:rsidR="005F560A" w:rsidRPr="00614DFC" w:rsidRDefault="005F560A" w:rsidP="005F560A">
            <w:pPr>
              <w:spacing w:after="0" w:line="240" w:lineRule="auto"/>
              <w:jc w:val="center"/>
              <w:rPr>
                <w:rFonts w:eastAsia="Times New Roman" w:cs="Segoe UI"/>
                <w:b/>
                <w:bCs/>
                <w:color w:val="000000"/>
                <w:sz w:val="16"/>
                <w:szCs w:val="16"/>
                <w:lang w:eastAsia="sk-SK"/>
              </w:rPr>
            </w:pPr>
            <w:r w:rsidRPr="00614DFC">
              <w:rPr>
                <w:rFonts w:eastAsia="Times New Roman" w:cs="Segoe UI"/>
                <w:b/>
                <w:bCs/>
                <w:color w:val="000000"/>
                <w:sz w:val="16"/>
                <w:szCs w:val="16"/>
                <w:lang w:eastAsia="sk-SK"/>
              </w:rPr>
              <w:t>1 140</w:t>
            </w:r>
          </w:p>
        </w:tc>
        <w:tc>
          <w:tcPr>
            <w:tcW w:w="567" w:type="dxa"/>
            <w:tcBorders>
              <w:top w:val="nil"/>
            </w:tcBorders>
            <w:noWrap/>
            <w:vAlign w:val="center"/>
          </w:tcPr>
          <w:p w14:paraId="41266308" w14:textId="1A7EF7B8" w:rsidR="005F560A" w:rsidRPr="005F560A" w:rsidRDefault="005F560A" w:rsidP="005F560A">
            <w:pPr>
              <w:spacing w:after="0" w:line="240" w:lineRule="auto"/>
              <w:jc w:val="center"/>
              <w:rPr>
                <w:rFonts w:eastAsia="Times New Roman" w:cs="Segoe UI"/>
                <w:color w:val="000000"/>
                <w:sz w:val="16"/>
                <w:szCs w:val="16"/>
                <w:lang w:eastAsia="sk-SK"/>
              </w:rPr>
            </w:pPr>
            <w:r w:rsidRPr="005F560A">
              <w:rPr>
                <w:rFonts w:eastAsia="Times New Roman" w:cs="Segoe UI"/>
                <w:color w:val="000000"/>
                <w:sz w:val="16"/>
                <w:szCs w:val="16"/>
                <w:lang w:eastAsia="sk-SK"/>
              </w:rPr>
              <w:t xml:space="preserve">– </w:t>
            </w:r>
          </w:p>
        </w:tc>
        <w:tc>
          <w:tcPr>
            <w:tcW w:w="567" w:type="dxa"/>
            <w:tcBorders>
              <w:top w:val="nil"/>
            </w:tcBorders>
            <w:noWrap/>
            <w:vAlign w:val="center"/>
          </w:tcPr>
          <w:p w14:paraId="78B1F50E" w14:textId="13F1FFAD" w:rsidR="005F560A" w:rsidRPr="005F560A" w:rsidRDefault="005F560A" w:rsidP="005F560A">
            <w:pPr>
              <w:spacing w:after="0" w:line="240" w:lineRule="auto"/>
              <w:jc w:val="center"/>
              <w:rPr>
                <w:rFonts w:eastAsia="Times New Roman" w:cs="Segoe UI"/>
                <w:color w:val="000000"/>
                <w:sz w:val="16"/>
                <w:szCs w:val="16"/>
                <w:lang w:eastAsia="sk-SK"/>
              </w:rPr>
            </w:pPr>
            <w:r w:rsidRPr="005F560A">
              <w:rPr>
                <w:rFonts w:eastAsia="Times New Roman" w:cs="Segoe UI"/>
                <w:color w:val="000000"/>
                <w:sz w:val="16"/>
                <w:szCs w:val="16"/>
                <w:lang w:eastAsia="sk-SK"/>
              </w:rPr>
              <w:t xml:space="preserve">– </w:t>
            </w:r>
          </w:p>
        </w:tc>
        <w:tc>
          <w:tcPr>
            <w:tcW w:w="567" w:type="dxa"/>
            <w:tcBorders>
              <w:top w:val="nil"/>
              <w:right w:val="single" w:sz="4" w:space="0" w:color="314364" w:themeColor="text2"/>
            </w:tcBorders>
            <w:noWrap/>
            <w:vAlign w:val="center"/>
          </w:tcPr>
          <w:p w14:paraId="5E132168" w14:textId="45EA3B4E" w:rsidR="005F560A" w:rsidRPr="005F560A" w:rsidRDefault="005F560A" w:rsidP="005F560A">
            <w:pPr>
              <w:spacing w:after="0" w:line="240" w:lineRule="auto"/>
              <w:jc w:val="center"/>
              <w:rPr>
                <w:rFonts w:eastAsia="Times New Roman" w:cs="Segoe UI"/>
                <w:color w:val="000000"/>
                <w:sz w:val="16"/>
                <w:szCs w:val="16"/>
                <w:lang w:eastAsia="sk-SK"/>
              </w:rPr>
            </w:pPr>
            <w:r w:rsidRPr="005F560A">
              <w:rPr>
                <w:rFonts w:eastAsia="Times New Roman" w:cs="Segoe UI"/>
                <w:color w:val="000000"/>
                <w:sz w:val="16"/>
                <w:szCs w:val="16"/>
                <w:lang w:eastAsia="sk-SK"/>
              </w:rPr>
              <w:t xml:space="preserve">– </w:t>
            </w:r>
          </w:p>
        </w:tc>
        <w:tc>
          <w:tcPr>
            <w:tcW w:w="3810" w:type="dxa"/>
            <w:tcBorders>
              <w:top w:val="nil"/>
              <w:left w:val="single" w:sz="4" w:space="0" w:color="314364" w:themeColor="text2"/>
            </w:tcBorders>
            <w:vAlign w:val="center"/>
            <w:hideMark/>
          </w:tcPr>
          <w:p w14:paraId="1EF56E6C" w14:textId="16ADD6EC" w:rsidR="005F560A" w:rsidRPr="00614DFC" w:rsidRDefault="005F560A" w:rsidP="005F560A">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Plošné šetrenie bez adekvátnej analýzy ide proti efektívnosti a môže obmedziť poskytované služby, skutočné úspory môžu byť nižšie a prispôsobovať sa príjmom pri zachovaní cieleného deficitu</w:t>
            </w:r>
            <w:r>
              <w:rPr>
                <w:rFonts w:eastAsia="Times New Roman" w:cs="Segoe UI"/>
                <w:color w:val="000000"/>
                <w:sz w:val="16"/>
                <w:szCs w:val="16"/>
                <w:lang w:eastAsia="sk-SK"/>
              </w:rPr>
              <w:t>, neznámy rozsah v nasledujúcich rokoch</w:t>
            </w:r>
          </w:p>
        </w:tc>
      </w:tr>
      <w:tr w:rsidR="006A0462" w:rsidRPr="00614DFC" w14:paraId="70C3C917" w14:textId="77777777" w:rsidTr="005F560A">
        <w:trPr>
          <w:trHeight w:val="283"/>
          <w:jc w:val="center"/>
        </w:trPr>
        <w:tc>
          <w:tcPr>
            <w:tcW w:w="2127" w:type="dxa"/>
            <w:tcBorders>
              <w:right w:val="single" w:sz="4" w:space="0" w:color="314364" w:themeColor="text2"/>
            </w:tcBorders>
            <w:vAlign w:val="center"/>
            <w:hideMark/>
          </w:tcPr>
          <w:p w14:paraId="51F32617"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Zvýšenie zdravotného odvodu zamestnanca o 1 %</w:t>
            </w:r>
          </w:p>
        </w:tc>
        <w:tc>
          <w:tcPr>
            <w:tcW w:w="835" w:type="dxa"/>
            <w:tcBorders>
              <w:left w:val="single" w:sz="4" w:space="0" w:color="314364" w:themeColor="text2"/>
              <w:right w:val="single" w:sz="4" w:space="0" w:color="314364" w:themeColor="text2"/>
            </w:tcBorders>
            <w:vAlign w:val="center"/>
            <w:hideMark/>
          </w:tcPr>
          <w:p w14:paraId="78091792"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0FDA265E"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358</w:t>
            </w:r>
          </w:p>
        </w:tc>
        <w:tc>
          <w:tcPr>
            <w:tcW w:w="567" w:type="dxa"/>
            <w:vAlign w:val="center"/>
            <w:hideMark/>
          </w:tcPr>
          <w:p w14:paraId="3EFE8E09"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374</w:t>
            </w:r>
          </w:p>
        </w:tc>
        <w:tc>
          <w:tcPr>
            <w:tcW w:w="567" w:type="dxa"/>
            <w:vAlign w:val="center"/>
            <w:hideMark/>
          </w:tcPr>
          <w:p w14:paraId="469BB75A"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389</w:t>
            </w:r>
          </w:p>
        </w:tc>
        <w:tc>
          <w:tcPr>
            <w:tcW w:w="567" w:type="dxa"/>
            <w:tcBorders>
              <w:right w:val="single" w:sz="4" w:space="0" w:color="314364" w:themeColor="text2"/>
            </w:tcBorders>
            <w:vAlign w:val="center"/>
            <w:hideMark/>
          </w:tcPr>
          <w:p w14:paraId="5ED5C77E"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406</w:t>
            </w:r>
          </w:p>
        </w:tc>
        <w:tc>
          <w:tcPr>
            <w:tcW w:w="3810" w:type="dxa"/>
            <w:tcBorders>
              <w:left w:val="single" w:sz="4" w:space="0" w:color="314364" w:themeColor="text2"/>
            </w:tcBorders>
            <w:vAlign w:val="center"/>
            <w:hideMark/>
          </w:tcPr>
          <w:p w14:paraId="4A5317C5"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Dodatočné zvyšovanie odvodového zaťaženia práce a pokles čistej mzdy, dofinancovanie neefektívneho systému (morálny hazard)</w:t>
            </w:r>
          </w:p>
        </w:tc>
      </w:tr>
      <w:tr w:rsidR="006A0462" w:rsidRPr="00614DFC" w14:paraId="052880B8" w14:textId="77777777" w:rsidTr="005F560A">
        <w:trPr>
          <w:trHeight w:val="283"/>
          <w:jc w:val="center"/>
        </w:trPr>
        <w:tc>
          <w:tcPr>
            <w:tcW w:w="2127" w:type="dxa"/>
            <w:tcBorders>
              <w:right w:val="single" w:sz="4" w:space="0" w:color="314364" w:themeColor="text2"/>
            </w:tcBorders>
            <w:vAlign w:val="center"/>
            <w:hideMark/>
          </w:tcPr>
          <w:p w14:paraId="2206601B"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Zrušenie 3 štátnych sviatkov (2 dočasne, 1 trvalo)</w:t>
            </w:r>
          </w:p>
        </w:tc>
        <w:tc>
          <w:tcPr>
            <w:tcW w:w="835" w:type="dxa"/>
            <w:tcBorders>
              <w:left w:val="single" w:sz="4" w:space="0" w:color="314364" w:themeColor="text2"/>
              <w:right w:val="single" w:sz="4" w:space="0" w:color="314364" w:themeColor="text2"/>
            </w:tcBorders>
            <w:vAlign w:val="center"/>
            <w:hideMark/>
          </w:tcPr>
          <w:p w14:paraId="69A1C33F"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vplyv cez makro</w:t>
            </w:r>
          </w:p>
        </w:tc>
        <w:tc>
          <w:tcPr>
            <w:tcW w:w="567" w:type="dxa"/>
            <w:tcBorders>
              <w:left w:val="single" w:sz="4" w:space="0" w:color="314364" w:themeColor="text2"/>
            </w:tcBorders>
            <w:vAlign w:val="center"/>
            <w:hideMark/>
          </w:tcPr>
          <w:p w14:paraId="7DCC471D"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230</w:t>
            </w:r>
          </w:p>
        </w:tc>
        <w:tc>
          <w:tcPr>
            <w:tcW w:w="567" w:type="dxa"/>
            <w:vAlign w:val="center"/>
            <w:hideMark/>
          </w:tcPr>
          <w:p w14:paraId="20D10DB6"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130</w:t>
            </w:r>
          </w:p>
        </w:tc>
        <w:tc>
          <w:tcPr>
            <w:tcW w:w="567" w:type="dxa"/>
            <w:vAlign w:val="center"/>
            <w:hideMark/>
          </w:tcPr>
          <w:p w14:paraId="0F07C16F"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134</w:t>
            </w:r>
          </w:p>
        </w:tc>
        <w:tc>
          <w:tcPr>
            <w:tcW w:w="567" w:type="dxa"/>
            <w:tcBorders>
              <w:right w:val="single" w:sz="4" w:space="0" w:color="314364" w:themeColor="text2"/>
            </w:tcBorders>
            <w:vAlign w:val="center"/>
            <w:hideMark/>
          </w:tcPr>
          <w:p w14:paraId="37946949"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138</w:t>
            </w:r>
          </w:p>
        </w:tc>
        <w:tc>
          <w:tcPr>
            <w:tcW w:w="3810" w:type="dxa"/>
            <w:tcBorders>
              <w:left w:val="single" w:sz="4" w:space="0" w:color="314364" w:themeColor="text2"/>
            </w:tcBorders>
            <w:vAlign w:val="center"/>
            <w:hideMark/>
          </w:tcPr>
          <w:p w14:paraId="5397E491"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Podpora produkcie namiesto produktivity</w:t>
            </w:r>
            <w:r w:rsidRPr="00614DFC">
              <w:rPr>
                <w:rFonts w:eastAsia="Times New Roman" w:cs="Segoe UI"/>
                <w:color w:val="000000"/>
                <w:sz w:val="16"/>
                <w:szCs w:val="16"/>
                <w:lang w:eastAsia="sk-SK"/>
              </w:rPr>
              <w:br/>
              <w:t>reputačné riziko - nestabilné prostredie, časté úpravy</w:t>
            </w:r>
          </w:p>
        </w:tc>
      </w:tr>
      <w:tr w:rsidR="006A0462" w:rsidRPr="00614DFC" w14:paraId="5A56708B" w14:textId="77777777" w:rsidTr="005F560A">
        <w:trPr>
          <w:trHeight w:val="283"/>
          <w:jc w:val="center"/>
        </w:trPr>
        <w:tc>
          <w:tcPr>
            <w:tcW w:w="2127" w:type="dxa"/>
            <w:tcBorders>
              <w:right w:val="single" w:sz="4" w:space="0" w:color="314364" w:themeColor="text2"/>
            </w:tcBorders>
            <w:vAlign w:val="center"/>
            <w:hideMark/>
          </w:tcPr>
          <w:p w14:paraId="7DDED7D9"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Zvýšenie progresivity DPFO - zavedenie tretej a štvrtej sadzby dane</w:t>
            </w:r>
          </w:p>
        </w:tc>
        <w:tc>
          <w:tcPr>
            <w:tcW w:w="835" w:type="dxa"/>
            <w:tcBorders>
              <w:left w:val="single" w:sz="4" w:space="0" w:color="314364" w:themeColor="text2"/>
              <w:right w:val="single" w:sz="4" w:space="0" w:color="314364" w:themeColor="text2"/>
            </w:tcBorders>
            <w:vAlign w:val="center"/>
            <w:hideMark/>
          </w:tcPr>
          <w:p w14:paraId="690BAB32"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7FB397AB"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205</w:t>
            </w:r>
          </w:p>
        </w:tc>
        <w:tc>
          <w:tcPr>
            <w:tcW w:w="567" w:type="dxa"/>
            <w:vAlign w:val="center"/>
            <w:hideMark/>
          </w:tcPr>
          <w:p w14:paraId="27CE7AA7"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219</w:t>
            </w:r>
          </w:p>
        </w:tc>
        <w:tc>
          <w:tcPr>
            <w:tcW w:w="567" w:type="dxa"/>
            <w:vAlign w:val="center"/>
            <w:hideMark/>
          </w:tcPr>
          <w:p w14:paraId="37441224"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232</w:t>
            </w:r>
          </w:p>
        </w:tc>
        <w:tc>
          <w:tcPr>
            <w:tcW w:w="567" w:type="dxa"/>
            <w:tcBorders>
              <w:right w:val="single" w:sz="4" w:space="0" w:color="314364" w:themeColor="text2"/>
            </w:tcBorders>
            <w:vAlign w:val="center"/>
            <w:hideMark/>
          </w:tcPr>
          <w:p w14:paraId="4978AEC4"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251</w:t>
            </w:r>
          </w:p>
        </w:tc>
        <w:tc>
          <w:tcPr>
            <w:tcW w:w="3810" w:type="dxa"/>
            <w:tcBorders>
              <w:left w:val="single" w:sz="4" w:space="0" w:color="314364" w:themeColor="text2"/>
            </w:tcBorders>
            <w:vAlign w:val="center"/>
            <w:hideMark/>
          </w:tcPr>
          <w:p w14:paraId="35D57E2E" w14:textId="77777777" w:rsidR="006A0462" w:rsidRPr="00614DFC" w:rsidRDefault="006A0462" w:rsidP="00392A41">
            <w:pPr>
              <w:spacing w:after="0" w:line="240" w:lineRule="auto"/>
              <w:rPr>
                <w:rFonts w:eastAsia="Times New Roman" w:cs="Segoe UI"/>
                <w:color w:val="000000"/>
                <w:sz w:val="16"/>
                <w:szCs w:val="16"/>
                <w:lang w:eastAsia="sk-SK"/>
              </w:rPr>
            </w:pPr>
            <w:r>
              <w:rPr>
                <w:rFonts w:eastAsia="Times New Roman" w:cs="Segoe UI"/>
                <w:color w:val="000000"/>
                <w:sz w:val="16"/>
                <w:szCs w:val="16"/>
                <w:lang w:eastAsia="sk-SK"/>
              </w:rPr>
              <w:t>Z</w:t>
            </w:r>
            <w:r w:rsidRPr="00614DFC">
              <w:rPr>
                <w:rFonts w:eastAsia="Times New Roman" w:cs="Segoe UI"/>
                <w:color w:val="000000"/>
                <w:sz w:val="16"/>
                <w:szCs w:val="16"/>
                <w:lang w:eastAsia="sk-SK"/>
              </w:rPr>
              <w:t>výšenie osobných nákladov na pozície s vyššou pridanou hodnotou (toto je príčina/riziko a odliv mozgov je dôsledok), daňová optimalizácia, dobrovoľný presun k</w:t>
            </w:r>
            <w:r w:rsidRPr="00614DFC">
              <w:rPr>
                <w:rFonts w:eastAsia="Times New Roman" w:cs="Segoe UI"/>
                <w:b/>
                <w:bCs/>
                <w:color w:val="000000"/>
                <w:sz w:val="16"/>
                <w:szCs w:val="16"/>
                <w:lang w:eastAsia="sk-SK"/>
              </w:rPr>
              <w:t xml:space="preserve"> </w:t>
            </w:r>
            <w:r w:rsidRPr="00614DFC">
              <w:rPr>
                <w:rFonts w:eastAsia="Times New Roman" w:cs="Segoe UI"/>
                <w:color w:val="000000"/>
                <w:sz w:val="16"/>
                <w:szCs w:val="16"/>
                <w:lang w:eastAsia="sk-SK"/>
              </w:rPr>
              <w:t xml:space="preserve">fiktívnej živnosti </w:t>
            </w:r>
          </w:p>
        </w:tc>
      </w:tr>
      <w:tr w:rsidR="006A0462" w:rsidRPr="00614DFC" w14:paraId="7D722CD1" w14:textId="77777777" w:rsidTr="005F560A">
        <w:trPr>
          <w:trHeight w:val="283"/>
          <w:jc w:val="center"/>
        </w:trPr>
        <w:tc>
          <w:tcPr>
            <w:tcW w:w="2127" w:type="dxa"/>
            <w:tcBorders>
              <w:right w:val="single" w:sz="4" w:space="0" w:color="314364" w:themeColor="text2"/>
            </w:tcBorders>
            <w:vAlign w:val="center"/>
            <w:hideMark/>
          </w:tcPr>
          <w:p w14:paraId="4128696D"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Eliminovanie odvodových prázdnin u SZČO (max. 5 mesiacov) a povinný odvod (odvodová licencia 131 eur)</w:t>
            </w:r>
          </w:p>
        </w:tc>
        <w:tc>
          <w:tcPr>
            <w:tcW w:w="835" w:type="dxa"/>
            <w:tcBorders>
              <w:left w:val="single" w:sz="4" w:space="0" w:color="314364" w:themeColor="text2"/>
              <w:right w:val="single" w:sz="4" w:space="0" w:color="314364" w:themeColor="text2"/>
            </w:tcBorders>
            <w:vAlign w:val="center"/>
            <w:hideMark/>
          </w:tcPr>
          <w:p w14:paraId="466147C6"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1D0B5438"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119</w:t>
            </w:r>
          </w:p>
        </w:tc>
        <w:tc>
          <w:tcPr>
            <w:tcW w:w="567" w:type="dxa"/>
            <w:vAlign w:val="center"/>
            <w:hideMark/>
          </w:tcPr>
          <w:p w14:paraId="56AAA14A"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230</w:t>
            </w:r>
          </w:p>
        </w:tc>
        <w:tc>
          <w:tcPr>
            <w:tcW w:w="567" w:type="dxa"/>
            <w:vAlign w:val="center"/>
            <w:hideMark/>
          </w:tcPr>
          <w:p w14:paraId="6AFA6F85"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239</w:t>
            </w:r>
          </w:p>
        </w:tc>
        <w:tc>
          <w:tcPr>
            <w:tcW w:w="567" w:type="dxa"/>
            <w:tcBorders>
              <w:right w:val="single" w:sz="4" w:space="0" w:color="314364" w:themeColor="text2"/>
            </w:tcBorders>
            <w:vAlign w:val="center"/>
            <w:hideMark/>
          </w:tcPr>
          <w:p w14:paraId="249520C7"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251</w:t>
            </w:r>
          </w:p>
        </w:tc>
        <w:tc>
          <w:tcPr>
            <w:tcW w:w="3810" w:type="dxa"/>
            <w:tcBorders>
              <w:left w:val="single" w:sz="4" w:space="0" w:color="314364" w:themeColor="text2"/>
            </w:tcBorders>
            <w:vAlign w:val="center"/>
            <w:hideMark/>
          </w:tcPr>
          <w:p w14:paraId="081735A8" w14:textId="77777777" w:rsidR="006A0462" w:rsidRPr="00614DFC" w:rsidRDefault="006A0462" w:rsidP="00392A41">
            <w:pPr>
              <w:spacing w:after="0" w:line="240" w:lineRule="auto"/>
              <w:rPr>
                <w:rFonts w:eastAsia="Times New Roman" w:cs="Segoe UI"/>
                <w:color w:val="000000"/>
                <w:sz w:val="16"/>
                <w:szCs w:val="16"/>
                <w:lang w:eastAsia="sk-SK"/>
              </w:rPr>
            </w:pPr>
            <w:r>
              <w:rPr>
                <w:rFonts w:eastAsia="Times New Roman" w:cs="Segoe UI"/>
                <w:color w:val="000000"/>
                <w:sz w:val="16"/>
                <w:szCs w:val="16"/>
                <w:lang w:eastAsia="sk-SK"/>
              </w:rPr>
              <w:t>K</w:t>
            </w:r>
            <w:r w:rsidRPr="00614DFC">
              <w:rPr>
                <w:rFonts w:eastAsia="Times New Roman" w:cs="Segoe UI"/>
                <w:color w:val="000000"/>
                <w:sz w:val="16"/>
                <w:szCs w:val="16"/>
                <w:lang w:eastAsia="sk-SK"/>
              </w:rPr>
              <w:t>ratšie odvodové prázdniny môžu zhoršiť finančné toky na začiatku podnikania (vyššia bar</w:t>
            </w:r>
            <w:r>
              <w:rPr>
                <w:rFonts w:eastAsia="Times New Roman" w:cs="Segoe UI"/>
                <w:color w:val="000000"/>
                <w:sz w:val="16"/>
                <w:szCs w:val="16"/>
                <w:lang w:eastAsia="sk-SK"/>
              </w:rPr>
              <w:t>i</w:t>
            </w:r>
            <w:r w:rsidRPr="00614DFC">
              <w:rPr>
                <w:rFonts w:eastAsia="Times New Roman" w:cs="Segoe UI"/>
                <w:color w:val="000000"/>
                <w:sz w:val="16"/>
                <w:szCs w:val="16"/>
                <w:lang w:eastAsia="sk-SK"/>
              </w:rPr>
              <w:t>éra vstupu/začiatku), presun do iných foriem/zahraničia/šedej ekonomiky</w:t>
            </w:r>
            <w:r>
              <w:rPr>
                <w:rFonts w:eastAsia="Times New Roman" w:cs="Segoe UI"/>
                <w:color w:val="000000"/>
                <w:sz w:val="16"/>
                <w:szCs w:val="16"/>
                <w:lang w:val="en-US" w:eastAsia="sk-SK"/>
              </w:rPr>
              <w:t>; m</w:t>
            </w:r>
            <w:r w:rsidRPr="00614DFC">
              <w:rPr>
                <w:rFonts w:eastAsia="Times New Roman" w:cs="Segoe UI"/>
                <w:color w:val="000000"/>
                <w:sz w:val="16"/>
                <w:szCs w:val="16"/>
                <w:lang w:eastAsia="sk-SK"/>
              </w:rPr>
              <w:t>inimálny povinný odvod zvyšuje odvodové zaťaženie, na druhej strane potenciálne zlepšuje sociálne zabezpečenie v budúcnosti</w:t>
            </w:r>
          </w:p>
        </w:tc>
      </w:tr>
      <w:tr w:rsidR="006A0462" w:rsidRPr="00614DFC" w14:paraId="39B6A697" w14:textId="77777777" w:rsidTr="005F560A">
        <w:trPr>
          <w:trHeight w:val="283"/>
          <w:jc w:val="center"/>
        </w:trPr>
        <w:tc>
          <w:tcPr>
            <w:tcW w:w="2127" w:type="dxa"/>
            <w:tcBorders>
              <w:right w:val="single" w:sz="4" w:space="0" w:color="314364" w:themeColor="text2"/>
            </w:tcBorders>
            <w:vAlign w:val="center"/>
            <w:hideMark/>
          </w:tcPr>
          <w:p w14:paraId="202E565F" w14:textId="77777777" w:rsidR="006A0462" w:rsidRPr="00614DFC" w:rsidRDefault="006A0462" w:rsidP="00392A41">
            <w:pPr>
              <w:spacing w:after="0" w:line="240" w:lineRule="auto"/>
              <w:rPr>
                <w:rFonts w:eastAsia="Times New Roman" w:cs="Segoe UI"/>
                <w:color w:val="131D2B"/>
                <w:sz w:val="16"/>
                <w:szCs w:val="16"/>
                <w:lang w:eastAsia="sk-SK"/>
              </w:rPr>
            </w:pPr>
            <w:r>
              <w:rPr>
                <w:rFonts w:eastAsia="Times New Roman" w:cs="Segoe UI"/>
                <w:color w:val="131D2B"/>
                <w:sz w:val="16"/>
                <w:szCs w:val="16"/>
                <w:lang w:eastAsia="sk-SK"/>
              </w:rPr>
              <w:t>Z</w:t>
            </w:r>
            <w:r w:rsidRPr="00614DFC">
              <w:rPr>
                <w:rFonts w:eastAsia="Times New Roman" w:cs="Segoe UI"/>
                <w:color w:val="131D2B"/>
                <w:sz w:val="16"/>
                <w:szCs w:val="16"/>
                <w:lang w:eastAsia="sk-SK"/>
              </w:rPr>
              <w:t xml:space="preserve">výšenie minimálnych sociálnych odvodov </w:t>
            </w:r>
            <w:r>
              <w:rPr>
                <w:rFonts w:eastAsia="Times New Roman" w:cs="Segoe UI"/>
                <w:color w:val="131D2B"/>
                <w:sz w:val="16"/>
                <w:szCs w:val="16"/>
                <w:lang w:eastAsia="sk-SK"/>
              </w:rPr>
              <w:t xml:space="preserve">pre SZČO </w:t>
            </w:r>
            <w:r w:rsidRPr="00614DFC">
              <w:rPr>
                <w:rFonts w:eastAsia="Times New Roman" w:cs="Segoe UI"/>
                <w:color w:val="131D2B"/>
                <w:sz w:val="16"/>
                <w:szCs w:val="16"/>
                <w:lang w:eastAsia="sk-SK"/>
              </w:rPr>
              <w:t xml:space="preserve">o 20 % </w:t>
            </w:r>
            <w:r>
              <w:rPr>
                <w:rFonts w:eastAsia="Times New Roman" w:cs="Segoe UI"/>
                <w:color w:val="131D2B"/>
                <w:sz w:val="16"/>
                <w:szCs w:val="16"/>
                <w:lang w:eastAsia="sk-SK"/>
              </w:rPr>
              <w:t>(</w:t>
            </w:r>
            <w:r w:rsidRPr="00614DFC">
              <w:rPr>
                <w:rFonts w:eastAsia="Times New Roman" w:cs="Segoe UI"/>
                <w:color w:val="131D2B"/>
                <w:sz w:val="16"/>
                <w:szCs w:val="16"/>
                <w:lang w:eastAsia="sk-SK"/>
              </w:rPr>
              <w:t>50,66 €</w:t>
            </w:r>
            <w:r>
              <w:rPr>
                <w:rFonts w:eastAsia="Times New Roman" w:cs="Segoe UI"/>
                <w:color w:val="131D2B"/>
                <w:sz w:val="16"/>
                <w:szCs w:val="16"/>
                <w:lang w:eastAsia="sk-SK"/>
              </w:rPr>
              <w:t xml:space="preserve"> na </w:t>
            </w:r>
            <w:r w:rsidRPr="00614DFC">
              <w:rPr>
                <w:rFonts w:eastAsia="Times New Roman" w:cs="Segoe UI"/>
                <w:color w:val="131D2B"/>
                <w:sz w:val="16"/>
                <w:szCs w:val="16"/>
                <w:lang w:eastAsia="sk-SK"/>
              </w:rPr>
              <w:t>mesiac</w:t>
            </w:r>
            <w:r>
              <w:rPr>
                <w:rFonts w:eastAsia="Times New Roman" w:cs="Segoe UI"/>
                <w:color w:val="131D2B"/>
                <w:sz w:val="16"/>
                <w:szCs w:val="16"/>
                <w:lang w:eastAsia="sk-SK"/>
              </w:rPr>
              <w:t>) a</w:t>
            </w:r>
            <w:r w:rsidRPr="00614DFC">
              <w:rPr>
                <w:rFonts w:eastAsia="Times New Roman" w:cs="Segoe UI"/>
                <w:color w:val="131D2B"/>
                <w:sz w:val="16"/>
                <w:szCs w:val="16"/>
                <w:lang w:eastAsia="sk-SK"/>
              </w:rPr>
              <w:t xml:space="preserve"> zvýšenie min. VZ z 50 na 60 % priemernej mzdy</w:t>
            </w:r>
          </w:p>
        </w:tc>
        <w:tc>
          <w:tcPr>
            <w:tcW w:w="835" w:type="dxa"/>
            <w:tcBorders>
              <w:left w:val="single" w:sz="4" w:space="0" w:color="314364" w:themeColor="text2"/>
              <w:right w:val="single" w:sz="4" w:space="0" w:color="314364" w:themeColor="text2"/>
            </w:tcBorders>
            <w:vAlign w:val="center"/>
            <w:hideMark/>
          </w:tcPr>
          <w:p w14:paraId="2CB44B83"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1BC1A1A1"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102</w:t>
            </w:r>
          </w:p>
        </w:tc>
        <w:tc>
          <w:tcPr>
            <w:tcW w:w="567" w:type="dxa"/>
            <w:vAlign w:val="center"/>
            <w:hideMark/>
          </w:tcPr>
          <w:p w14:paraId="6E626A7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97</w:t>
            </w:r>
          </w:p>
        </w:tc>
        <w:tc>
          <w:tcPr>
            <w:tcW w:w="567" w:type="dxa"/>
            <w:vAlign w:val="center"/>
            <w:hideMark/>
          </w:tcPr>
          <w:p w14:paraId="509A396E"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101</w:t>
            </w:r>
          </w:p>
        </w:tc>
        <w:tc>
          <w:tcPr>
            <w:tcW w:w="567" w:type="dxa"/>
            <w:tcBorders>
              <w:right w:val="single" w:sz="4" w:space="0" w:color="314364" w:themeColor="text2"/>
            </w:tcBorders>
            <w:vAlign w:val="center"/>
            <w:hideMark/>
          </w:tcPr>
          <w:p w14:paraId="479A1CC8"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106</w:t>
            </w:r>
          </w:p>
        </w:tc>
        <w:tc>
          <w:tcPr>
            <w:tcW w:w="3810" w:type="dxa"/>
            <w:tcBorders>
              <w:left w:val="single" w:sz="4" w:space="0" w:color="314364" w:themeColor="text2"/>
            </w:tcBorders>
            <w:vAlign w:val="center"/>
            <w:hideMark/>
          </w:tcPr>
          <w:p w14:paraId="7E4F0D1A" w14:textId="77777777" w:rsidR="006A0462" w:rsidRPr="00614DFC" w:rsidRDefault="006A0462" w:rsidP="00392A41">
            <w:pPr>
              <w:spacing w:after="0" w:line="240" w:lineRule="auto"/>
              <w:rPr>
                <w:rFonts w:eastAsia="Times New Roman" w:cs="Segoe UI"/>
                <w:color w:val="000000"/>
                <w:sz w:val="16"/>
                <w:szCs w:val="16"/>
                <w:lang w:eastAsia="sk-SK"/>
              </w:rPr>
            </w:pPr>
            <w:r>
              <w:rPr>
                <w:rFonts w:eastAsia="Times New Roman" w:cs="Segoe UI"/>
                <w:color w:val="000000"/>
                <w:sz w:val="16"/>
                <w:szCs w:val="16"/>
                <w:lang w:eastAsia="sk-SK"/>
              </w:rPr>
              <w:t>Ú</w:t>
            </w:r>
            <w:r w:rsidRPr="00614DFC">
              <w:rPr>
                <w:rFonts w:eastAsia="Times New Roman" w:cs="Segoe UI"/>
                <w:color w:val="000000"/>
                <w:sz w:val="16"/>
                <w:szCs w:val="16"/>
                <w:lang w:eastAsia="sk-SK"/>
              </w:rPr>
              <w:t>prava minimálneho vymeriavacieho základu zvyšuje odvodové zaťaženie, na druhej strane potenciálne zlepšuje sociálne zabezpečenie v budúcnosti nižší čistý príjem, presun do iných foriem/zahraničia/šedej ekonomiky</w:t>
            </w:r>
          </w:p>
        </w:tc>
      </w:tr>
      <w:tr w:rsidR="00047809" w:rsidRPr="00614DFC" w14:paraId="79960EB8" w14:textId="77777777" w:rsidTr="005F560A">
        <w:trPr>
          <w:trHeight w:val="283"/>
          <w:jc w:val="center"/>
        </w:trPr>
        <w:tc>
          <w:tcPr>
            <w:tcW w:w="2127" w:type="dxa"/>
            <w:tcBorders>
              <w:right w:val="single" w:sz="4" w:space="0" w:color="314364" w:themeColor="text2"/>
            </w:tcBorders>
            <w:vAlign w:val="center"/>
            <w:hideMark/>
          </w:tcPr>
          <w:p w14:paraId="2F21CA58" w14:textId="77777777" w:rsidR="00047809" w:rsidRPr="00614DFC" w:rsidRDefault="00047809" w:rsidP="00047809">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Presun vybraných potravín (so zvýšeným obsahom cukru a soli), ktoré sú zdaňované zníženou sadzbou 19 % do základnej sadzby 23 %</w:t>
            </w:r>
          </w:p>
        </w:tc>
        <w:tc>
          <w:tcPr>
            <w:tcW w:w="835" w:type="dxa"/>
            <w:tcBorders>
              <w:left w:val="single" w:sz="4" w:space="0" w:color="314364" w:themeColor="text2"/>
              <w:right w:val="single" w:sz="4" w:space="0" w:color="314364" w:themeColor="text2"/>
            </w:tcBorders>
            <w:vAlign w:val="center"/>
            <w:hideMark/>
          </w:tcPr>
          <w:p w14:paraId="3E5C637E" w14:textId="77777777" w:rsidR="00047809" w:rsidRPr="00614DFC" w:rsidRDefault="00047809" w:rsidP="00047809">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7961A439" w14:textId="283D222B" w:rsidR="00047809" w:rsidRPr="00614DFC" w:rsidRDefault="00047809" w:rsidP="00047809">
            <w:pPr>
              <w:spacing w:after="0" w:line="240" w:lineRule="auto"/>
              <w:jc w:val="center"/>
              <w:rPr>
                <w:rFonts w:eastAsia="Times New Roman" w:cs="Segoe UI"/>
                <w:b/>
                <w:bCs/>
                <w:color w:val="131D2B"/>
                <w:sz w:val="16"/>
                <w:szCs w:val="16"/>
                <w:lang w:eastAsia="sk-SK"/>
              </w:rPr>
            </w:pPr>
            <w:r>
              <w:rPr>
                <w:rFonts w:eastAsia="Times New Roman" w:cs="Segoe UI"/>
                <w:b/>
                <w:bCs/>
                <w:color w:val="131D2B"/>
                <w:sz w:val="16"/>
                <w:szCs w:val="16"/>
                <w:lang w:eastAsia="sk-SK"/>
              </w:rPr>
              <w:t>97</w:t>
            </w:r>
          </w:p>
        </w:tc>
        <w:tc>
          <w:tcPr>
            <w:tcW w:w="567" w:type="dxa"/>
            <w:vAlign w:val="center"/>
            <w:hideMark/>
          </w:tcPr>
          <w:p w14:paraId="31E61B8A" w14:textId="4C548B89" w:rsidR="00047809" w:rsidRPr="00614DFC" w:rsidRDefault="00047809" w:rsidP="00047809">
            <w:pPr>
              <w:spacing w:after="0" w:line="240" w:lineRule="auto"/>
              <w:jc w:val="center"/>
              <w:rPr>
                <w:rFonts w:eastAsia="Times New Roman" w:cs="Segoe UI"/>
                <w:color w:val="131D2B"/>
                <w:sz w:val="16"/>
                <w:szCs w:val="16"/>
                <w:lang w:eastAsia="sk-SK"/>
              </w:rPr>
            </w:pPr>
            <w:r>
              <w:rPr>
                <w:rFonts w:eastAsia="Times New Roman" w:cs="Segoe UI"/>
                <w:color w:val="131D2B"/>
                <w:sz w:val="16"/>
                <w:szCs w:val="16"/>
                <w:lang w:eastAsia="sk-SK"/>
              </w:rPr>
              <w:t>101</w:t>
            </w:r>
          </w:p>
        </w:tc>
        <w:tc>
          <w:tcPr>
            <w:tcW w:w="567" w:type="dxa"/>
            <w:vAlign w:val="center"/>
            <w:hideMark/>
          </w:tcPr>
          <w:p w14:paraId="63BB4849" w14:textId="6279DE49" w:rsidR="00047809" w:rsidRPr="00614DFC" w:rsidRDefault="00047809" w:rsidP="00047809">
            <w:pPr>
              <w:spacing w:after="0" w:line="240" w:lineRule="auto"/>
              <w:jc w:val="center"/>
              <w:rPr>
                <w:rFonts w:eastAsia="Times New Roman" w:cs="Segoe UI"/>
                <w:color w:val="131D2B"/>
                <w:sz w:val="16"/>
                <w:szCs w:val="16"/>
                <w:lang w:eastAsia="sk-SK"/>
              </w:rPr>
            </w:pPr>
            <w:r>
              <w:rPr>
                <w:rFonts w:eastAsia="Times New Roman" w:cs="Segoe UI"/>
                <w:color w:val="131D2B"/>
                <w:sz w:val="16"/>
                <w:szCs w:val="16"/>
                <w:lang w:eastAsia="sk-SK"/>
              </w:rPr>
              <w:t>104</w:t>
            </w:r>
          </w:p>
        </w:tc>
        <w:tc>
          <w:tcPr>
            <w:tcW w:w="567" w:type="dxa"/>
            <w:tcBorders>
              <w:right w:val="single" w:sz="4" w:space="0" w:color="314364" w:themeColor="text2"/>
            </w:tcBorders>
            <w:vAlign w:val="center"/>
            <w:hideMark/>
          </w:tcPr>
          <w:p w14:paraId="22D0F97B" w14:textId="7851765A" w:rsidR="00047809" w:rsidRPr="00614DFC" w:rsidRDefault="00047809" w:rsidP="00047809">
            <w:pPr>
              <w:spacing w:after="0" w:line="240" w:lineRule="auto"/>
              <w:jc w:val="center"/>
              <w:rPr>
                <w:rFonts w:eastAsia="Times New Roman" w:cs="Segoe UI"/>
                <w:color w:val="131D2B"/>
                <w:sz w:val="16"/>
                <w:szCs w:val="16"/>
                <w:lang w:eastAsia="sk-SK"/>
              </w:rPr>
            </w:pPr>
            <w:r>
              <w:rPr>
                <w:rFonts w:eastAsia="Times New Roman" w:cs="Segoe UI"/>
                <w:color w:val="131D2B"/>
                <w:sz w:val="16"/>
                <w:szCs w:val="16"/>
                <w:lang w:eastAsia="sk-SK"/>
              </w:rPr>
              <w:t>107</w:t>
            </w:r>
          </w:p>
        </w:tc>
        <w:tc>
          <w:tcPr>
            <w:tcW w:w="3810" w:type="dxa"/>
            <w:tcBorders>
              <w:left w:val="single" w:sz="4" w:space="0" w:color="314364" w:themeColor="text2"/>
            </w:tcBorders>
            <w:vAlign w:val="center"/>
            <w:hideMark/>
          </w:tcPr>
          <w:p w14:paraId="45FF98CF" w14:textId="045EC884" w:rsidR="00047809" w:rsidRPr="00614DFC" w:rsidRDefault="00047809" w:rsidP="00047809">
            <w:pPr>
              <w:spacing w:after="0" w:line="240" w:lineRule="auto"/>
              <w:rPr>
                <w:rFonts w:eastAsia="Times New Roman" w:cs="Segoe UI"/>
                <w:color w:val="000000"/>
                <w:sz w:val="16"/>
                <w:szCs w:val="16"/>
                <w:lang w:eastAsia="sk-SK"/>
              </w:rPr>
            </w:pPr>
            <w:r>
              <w:rPr>
                <w:rFonts w:eastAsia="Times New Roman" w:cs="Segoe UI"/>
                <w:color w:val="000000"/>
                <w:sz w:val="16"/>
                <w:szCs w:val="16"/>
                <w:lang w:eastAsia="sk-SK"/>
              </w:rPr>
              <w:t>Z</w:t>
            </w:r>
            <w:r w:rsidRPr="00614DFC">
              <w:rPr>
                <w:rFonts w:eastAsia="Times New Roman" w:cs="Segoe UI"/>
                <w:color w:val="000000"/>
                <w:sz w:val="16"/>
                <w:szCs w:val="16"/>
                <w:lang w:eastAsia="sk-SK"/>
              </w:rPr>
              <w:t xml:space="preserve">níženie spotreby a nenaplnenie očakávaného vyššieho výnosu + prenos do inflácie cez zmenšovanie spotrebiteľských balení - rast jednotkovej ceny + platnosť od 1.1. </w:t>
            </w:r>
            <w:r>
              <w:rPr>
                <w:rFonts w:eastAsia="Times New Roman" w:cs="Segoe UI"/>
                <w:color w:val="000000"/>
                <w:sz w:val="16"/>
                <w:szCs w:val="16"/>
                <w:lang w:eastAsia="sk-SK"/>
              </w:rPr>
              <w:t>i</w:t>
            </w:r>
            <w:r w:rsidRPr="00614DFC">
              <w:rPr>
                <w:rFonts w:eastAsia="Times New Roman" w:cs="Segoe UI"/>
                <w:color w:val="000000"/>
                <w:sz w:val="16"/>
                <w:szCs w:val="16"/>
                <w:lang w:eastAsia="sk-SK"/>
              </w:rPr>
              <w:t>ndikuje možné predzásobenie cez Vianoce, vyšší dopad na nízkopríjmové domácnosti</w:t>
            </w:r>
          </w:p>
        </w:tc>
      </w:tr>
      <w:tr w:rsidR="006A0462" w:rsidRPr="00614DFC" w14:paraId="2F731E83" w14:textId="77777777" w:rsidTr="005F560A">
        <w:trPr>
          <w:trHeight w:val="283"/>
          <w:jc w:val="center"/>
        </w:trPr>
        <w:tc>
          <w:tcPr>
            <w:tcW w:w="2127" w:type="dxa"/>
            <w:tcBorders>
              <w:right w:val="single" w:sz="4" w:space="0" w:color="314364" w:themeColor="text2"/>
            </w:tcBorders>
            <w:vAlign w:val="center"/>
            <w:hideMark/>
          </w:tcPr>
          <w:p w14:paraId="0CBF9AAA"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 xml:space="preserve">Obmedzenie odpočtu DPH na autá, ktoré </w:t>
            </w:r>
            <w:r>
              <w:rPr>
                <w:rFonts w:eastAsia="Times New Roman" w:cs="Segoe UI"/>
                <w:color w:val="131D2B"/>
                <w:sz w:val="16"/>
                <w:szCs w:val="16"/>
                <w:lang w:eastAsia="sk-SK"/>
              </w:rPr>
              <w:t>p</w:t>
            </w:r>
            <w:r w:rsidRPr="00614DFC">
              <w:rPr>
                <w:rFonts w:eastAsia="Times New Roman" w:cs="Segoe UI"/>
                <w:color w:val="131D2B"/>
                <w:sz w:val="16"/>
                <w:szCs w:val="16"/>
                <w:lang w:eastAsia="sk-SK"/>
              </w:rPr>
              <w:t>odnikatelia využívajú aj na súkromné účely (boj proti daňovým únikom a jednoduchšia administrácia)</w:t>
            </w:r>
          </w:p>
        </w:tc>
        <w:tc>
          <w:tcPr>
            <w:tcW w:w="835" w:type="dxa"/>
            <w:tcBorders>
              <w:left w:val="single" w:sz="4" w:space="0" w:color="314364" w:themeColor="text2"/>
              <w:right w:val="single" w:sz="4" w:space="0" w:color="314364" w:themeColor="text2"/>
            </w:tcBorders>
            <w:vAlign w:val="center"/>
            <w:hideMark/>
          </w:tcPr>
          <w:p w14:paraId="2D9D1BF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7F459828"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86</w:t>
            </w:r>
          </w:p>
        </w:tc>
        <w:tc>
          <w:tcPr>
            <w:tcW w:w="567" w:type="dxa"/>
            <w:vAlign w:val="center"/>
            <w:hideMark/>
          </w:tcPr>
          <w:p w14:paraId="2BEB2BCC"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89</w:t>
            </w:r>
          </w:p>
        </w:tc>
        <w:tc>
          <w:tcPr>
            <w:tcW w:w="567" w:type="dxa"/>
            <w:vAlign w:val="center"/>
            <w:hideMark/>
          </w:tcPr>
          <w:p w14:paraId="77FBEEEC"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91</w:t>
            </w:r>
          </w:p>
        </w:tc>
        <w:tc>
          <w:tcPr>
            <w:tcW w:w="567" w:type="dxa"/>
            <w:tcBorders>
              <w:right w:val="single" w:sz="4" w:space="0" w:color="314364" w:themeColor="text2"/>
            </w:tcBorders>
            <w:vAlign w:val="center"/>
            <w:hideMark/>
          </w:tcPr>
          <w:p w14:paraId="1709CE52"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94</w:t>
            </w:r>
          </w:p>
        </w:tc>
        <w:tc>
          <w:tcPr>
            <w:tcW w:w="3810" w:type="dxa"/>
            <w:tcBorders>
              <w:left w:val="single" w:sz="4" w:space="0" w:color="314364" w:themeColor="text2"/>
            </w:tcBorders>
            <w:vAlign w:val="center"/>
            <w:hideMark/>
          </w:tcPr>
          <w:p w14:paraId="6E3CD98E"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Default bude na 50</w:t>
            </w:r>
            <w:r>
              <w:rPr>
                <w:rFonts w:eastAsia="Times New Roman" w:cs="Segoe UI"/>
                <w:color w:val="000000"/>
                <w:sz w:val="16"/>
                <w:szCs w:val="16"/>
                <w:lang w:eastAsia="sk-SK"/>
              </w:rPr>
              <w:t xml:space="preserve"> </w:t>
            </w:r>
            <w:r w:rsidRPr="00614DFC">
              <w:rPr>
                <w:rFonts w:eastAsia="Times New Roman" w:cs="Segoe UI"/>
                <w:color w:val="000000"/>
                <w:sz w:val="16"/>
                <w:szCs w:val="16"/>
                <w:lang w:eastAsia="sk-SK"/>
              </w:rPr>
              <w:t>% a pre 100</w:t>
            </w:r>
            <w:r>
              <w:rPr>
                <w:rFonts w:eastAsia="Times New Roman" w:cs="Segoe UI"/>
                <w:color w:val="000000"/>
                <w:sz w:val="16"/>
                <w:szCs w:val="16"/>
                <w:lang w:eastAsia="sk-SK"/>
              </w:rPr>
              <w:t xml:space="preserve"> </w:t>
            </w:r>
            <w:r w:rsidRPr="00614DFC">
              <w:rPr>
                <w:rFonts w:eastAsia="Times New Roman" w:cs="Segoe UI"/>
                <w:color w:val="000000"/>
                <w:sz w:val="16"/>
                <w:szCs w:val="16"/>
                <w:lang w:eastAsia="sk-SK"/>
              </w:rPr>
              <w:t>% bude treba mať elektronickú knihu jázd, predzásobenie a následné spomalenie obnovy</w:t>
            </w:r>
          </w:p>
        </w:tc>
      </w:tr>
      <w:tr w:rsidR="006A0462" w:rsidRPr="00614DFC" w14:paraId="3538D479" w14:textId="77777777" w:rsidTr="005F560A">
        <w:trPr>
          <w:trHeight w:val="283"/>
          <w:jc w:val="center"/>
        </w:trPr>
        <w:tc>
          <w:tcPr>
            <w:tcW w:w="2127" w:type="dxa"/>
            <w:tcBorders>
              <w:right w:val="single" w:sz="4" w:space="0" w:color="314364" w:themeColor="text2"/>
            </w:tcBorders>
            <w:vAlign w:val="center"/>
            <w:hideMark/>
          </w:tcPr>
          <w:p w14:paraId="6E66603A"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Daňová amnestia - generálny daňový pardon</w:t>
            </w:r>
          </w:p>
        </w:tc>
        <w:tc>
          <w:tcPr>
            <w:tcW w:w="835" w:type="dxa"/>
            <w:tcBorders>
              <w:left w:val="single" w:sz="4" w:space="0" w:color="314364" w:themeColor="text2"/>
              <w:right w:val="single" w:sz="4" w:space="0" w:color="314364" w:themeColor="text2"/>
            </w:tcBorders>
            <w:vAlign w:val="center"/>
            <w:hideMark/>
          </w:tcPr>
          <w:p w14:paraId="68868CB3"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0CD0A425"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81</w:t>
            </w:r>
          </w:p>
        </w:tc>
        <w:tc>
          <w:tcPr>
            <w:tcW w:w="567" w:type="dxa"/>
            <w:vAlign w:val="center"/>
            <w:hideMark/>
          </w:tcPr>
          <w:p w14:paraId="3B35CF3F"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0</w:t>
            </w:r>
          </w:p>
        </w:tc>
        <w:tc>
          <w:tcPr>
            <w:tcW w:w="567" w:type="dxa"/>
            <w:vAlign w:val="center"/>
            <w:hideMark/>
          </w:tcPr>
          <w:p w14:paraId="1A5C7962"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0</w:t>
            </w:r>
          </w:p>
        </w:tc>
        <w:tc>
          <w:tcPr>
            <w:tcW w:w="567" w:type="dxa"/>
            <w:tcBorders>
              <w:right w:val="single" w:sz="4" w:space="0" w:color="314364" w:themeColor="text2"/>
            </w:tcBorders>
            <w:vAlign w:val="center"/>
            <w:hideMark/>
          </w:tcPr>
          <w:p w14:paraId="68A961BE"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0</w:t>
            </w:r>
          </w:p>
        </w:tc>
        <w:tc>
          <w:tcPr>
            <w:tcW w:w="3810" w:type="dxa"/>
            <w:tcBorders>
              <w:left w:val="single" w:sz="4" w:space="0" w:color="314364" w:themeColor="text2"/>
            </w:tcBorders>
            <w:vAlign w:val="center"/>
            <w:hideMark/>
          </w:tcPr>
          <w:p w14:paraId="45179841"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 xml:space="preserve">Krátkodobá administratívna náročnosť, </w:t>
            </w:r>
            <w:r w:rsidRPr="00614DFC">
              <w:rPr>
                <w:rFonts w:eastAsia="Times New Roman" w:cs="Segoe UI"/>
                <w:color w:val="000000"/>
                <w:sz w:val="16"/>
                <w:szCs w:val="16"/>
                <w:lang w:eastAsia="sk-SK"/>
              </w:rPr>
              <w:br/>
              <w:t>zníženie dôveryhodnosti, že žiadny ďalší generálny pardon už nebude (morálny hazard)</w:t>
            </w:r>
          </w:p>
        </w:tc>
      </w:tr>
      <w:tr w:rsidR="006A0462" w:rsidRPr="00614DFC" w14:paraId="68141833" w14:textId="77777777" w:rsidTr="005F560A">
        <w:trPr>
          <w:trHeight w:val="283"/>
          <w:jc w:val="center"/>
        </w:trPr>
        <w:tc>
          <w:tcPr>
            <w:tcW w:w="2127" w:type="dxa"/>
            <w:tcBorders>
              <w:right w:val="single" w:sz="4" w:space="0" w:color="314364" w:themeColor="text2"/>
            </w:tcBorders>
            <w:vAlign w:val="center"/>
            <w:hideMark/>
          </w:tcPr>
          <w:p w14:paraId="603BFE25"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Zvýšenie zdanenia hazardu</w:t>
            </w:r>
          </w:p>
        </w:tc>
        <w:tc>
          <w:tcPr>
            <w:tcW w:w="835" w:type="dxa"/>
            <w:tcBorders>
              <w:left w:val="single" w:sz="4" w:space="0" w:color="314364" w:themeColor="text2"/>
              <w:right w:val="single" w:sz="4" w:space="0" w:color="314364" w:themeColor="text2"/>
            </w:tcBorders>
            <w:vAlign w:val="center"/>
            <w:hideMark/>
          </w:tcPr>
          <w:p w14:paraId="7891C9A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0BF0E674"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41</w:t>
            </w:r>
          </w:p>
        </w:tc>
        <w:tc>
          <w:tcPr>
            <w:tcW w:w="567" w:type="dxa"/>
            <w:vAlign w:val="center"/>
            <w:hideMark/>
          </w:tcPr>
          <w:p w14:paraId="33C5B633"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44</w:t>
            </w:r>
          </w:p>
        </w:tc>
        <w:tc>
          <w:tcPr>
            <w:tcW w:w="567" w:type="dxa"/>
            <w:vAlign w:val="center"/>
            <w:hideMark/>
          </w:tcPr>
          <w:p w14:paraId="42EB95FF"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46</w:t>
            </w:r>
          </w:p>
        </w:tc>
        <w:tc>
          <w:tcPr>
            <w:tcW w:w="567" w:type="dxa"/>
            <w:tcBorders>
              <w:right w:val="single" w:sz="4" w:space="0" w:color="314364" w:themeColor="text2"/>
            </w:tcBorders>
            <w:vAlign w:val="center"/>
            <w:hideMark/>
          </w:tcPr>
          <w:p w14:paraId="62E63ED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49</w:t>
            </w:r>
          </w:p>
        </w:tc>
        <w:tc>
          <w:tcPr>
            <w:tcW w:w="3810" w:type="dxa"/>
            <w:tcBorders>
              <w:left w:val="single" w:sz="4" w:space="0" w:color="314364" w:themeColor="text2"/>
            </w:tcBorders>
            <w:vAlign w:val="center"/>
            <w:hideMark/>
          </w:tcPr>
          <w:p w14:paraId="36048FF9" w14:textId="323D3BC5" w:rsidR="006A0462" w:rsidRPr="00614DFC" w:rsidRDefault="006A0462" w:rsidP="00392A41">
            <w:pPr>
              <w:spacing w:after="0" w:line="240" w:lineRule="auto"/>
              <w:rPr>
                <w:rFonts w:eastAsia="Times New Roman" w:cs="Segoe UI"/>
                <w:color w:val="000000"/>
                <w:sz w:val="16"/>
                <w:szCs w:val="16"/>
                <w:lang w:eastAsia="sk-SK"/>
              </w:rPr>
            </w:pPr>
            <w:r>
              <w:rPr>
                <w:rFonts w:eastAsia="Times New Roman" w:cs="Segoe UI"/>
                <w:color w:val="000000"/>
                <w:sz w:val="16"/>
                <w:szCs w:val="16"/>
                <w:lang w:eastAsia="sk-SK"/>
              </w:rPr>
              <w:t>S</w:t>
            </w:r>
            <w:r w:rsidRPr="00614DFC">
              <w:rPr>
                <w:rFonts w:eastAsia="Times New Roman" w:cs="Segoe UI"/>
                <w:color w:val="000000"/>
                <w:sz w:val="16"/>
                <w:szCs w:val="16"/>
                <w:lang w:eastAsia="sk-SK"/>
              </w:rPr>
              <w:t>pomalenie rastu z predchádzajúcich rokov a teda aj nižší než očakávaný výnos</w:t>
            </w:r>
            <w:r w:rsidR="00047809">
              <w:rPr>
                <w:rFonts w:eastAsia="Times New Roman" w:cs="Segoe UI"/>
                <w:color w:val="000000"/>
                <w:sz w:val="16"/>
                <w:szCs w:val="16"/>
                <w:lang w:eastAsia="sk-SK"/>
              </w:rPr>
              <w:t>, sadzby určuje nariadenie vlády</w:t>
            </w:r>
          </w:p>
        </w:tc>
      </w:tr>
      <w:tr w:rsidR="006A0462" w:rsidRPr="00614DFC" w14:paraId="497A56EA" w14:textId="77777777" w:rsidTr="005F560A">
        <w:trPr>
          <w:trHeight w:val="283"/>
          <w:jc w:val="center"/>
        </w:trPr>
        <w:tc>
          <w:tcPr>
            <w:tcW w:w="2127" w:type="dxa"/>
            <w:tcBorders>
              <w:right w:val="single" w:sz="4" w:space="0" w:color="314364" w:themeColor="text2"/>
            </w:tcBorders>
            <w:vAlign w:val="center"/>
            <w:hideMark/>
          </w:tcPr>
          <w:p w14:paraId="65F14713"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Zvýšenie sadzby dane z poistenia a odvodu z PZP z 8 % na 10 %</w:t>
            </w:r>
          </w:p>
        </w:tc>
        <w:tc>
          <w:tcPr>
            <w:tcW w:w="835" w:type="dxa"/>
            <w:tcBorders>
              <w:left w:val="single" w:sz="4" w:space="0" w:color="314364" w:themeColor="text2"/>
              <w:right w:val="single" w:sz="4" w:space="0" w:color="314364" w:themeColor="text2"/>
            </w:tcBorders>
            <w:vAlign w:val="center"/>
            <w:hideMark/>
          </w:tcPr>
          <w:p w14:paraId="744088FA"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6AD3E04B"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37</w:t>
            </w:r>
          </w:p>
        </w:tc>
        <w:tc>
          <w:tcPr>
            <w:tcW w:w="567" w:type="dxa"/>
            <w:vAlign w:val="center"/>
            <w:hideMark/>
          </w:tcPr>
          <w:p w14:paraId="5D5098A7"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44</w:t>
            </w:r>
          </w:p>
        </w:tc>
        <w:tc>
          <w:tcPr>
            <w:tcW w:w="567" w:type="dxa"/>
            <w:vAlign w:val="center"/>
            <w:hideMark/>
          </w:tcPr>
          <w:p w14:paraId="77FD1ECC"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45</w:t>
            </w:r>
          </w:p>
        </w:tc>
        <w:tc>
          <w:tcPr>
            <w:tcW w:w="567" w:type="dxa"/>
            <w:tcBorders>
              <w:right w:val="single" w:sz="4" w:space="0" w:color="314364" w:themeColor="text2"/>
            </w:tcBorders>
            <w:vAlign w:val="center"/>
            <w:hideMark/>
          </w:tcPr>
          <w:p w14:paraId="44937A09"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48</w:t>
            </w:r>
          </w:p>
        </w:tc>
        <w:tc>
          <w:tcPr>
            <w:tcW w:w="3810" w:type="dxa"/>
            <w:tcBorders>
              <w:left w:val="single" w:sz="4" w:space="0" w:color="314364" w:themeColor="text2"/>
            </w:tcBorders>
            <w:vAlign w:val="center"/>
            <w:hideMark/>
          </w:tcPr>
          <w:p w14:paraId="68BD83E8" w14:textId="378D80ED"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 xml:space="preserve">Zvýšenie počtu nepoistených udalostí a následného krytia zo ŠR/RVS napr. </w:t>
            </w:r>
            <w:r w:rsidR="0029155E">
              <w:rPr>
                <w:rFonts w:eastAsia="Times New Roman" w:cs="Segoe UI"/>
                <w:color w:val="000000"/>
                <w:sz w:val="16"/>
                <w:szCs w:val="16"/>
                <w:lang w:eastAsia="sk-SK"/>
              </w:rPr>
              <w:t>v</w:t>
            </w:r>
            <w:r w:rsidRPr="00614DFC">
              <w:rPr>
                <w:rFonts w:eastAsia="Times New Roman" w:cs="Segoe UI"/>
                <w:color w:val="000000"/>
                <w:sz w:val="16"/>
                <w:szCs w:val="16"/>
                <w:lang w:eastAsia="sk-SK"/>
              </w:rPr>
              <w:t xml:space="preserve"> prípade katastrof, zdraženie poistného pre zodpovedných</w:t>
            </w:r>
          </w:p>
        </w:tc>
      </w:tr>
      <w:tr w:rsidR="006A0462" w:rsidRPr="00614DFC" w14:paraId="65282BBD" w14:textId="77777777" w:rsidTr="005F560A">
        <w:trPr>
          <w:trHeight w:val="283"/>
          <w:jc w:val="center"/>
        </w:trPr>
        <w:tc>
          <w:tcPr>
            <w:tcW w:w="2127" w:type="dxa"/>
            <w:tcBorders>
              <w:right w:val="single" w:sz="4" w:space="0" w:color="314364" w:themeColor="text2"/>
            </w:tcBorders>
            <w:vAlign w:val="center"/>
            <w:hideMark/>
          </w:tcPr>
          <w:p w14:paraId="75651D9B"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Zmrazenie valorizácie 13. Dôchodku - ponechanie výšky 13. Dôchodku v roku 2025 na úrovni roka 2025</w:t>
            </w:r>
          </w:p>
        </w:tc>
        <w:tc>
          <w:tcPr>
            <w:tcW w:w="835" w:type="dxa"/>
            <w:tcBorders>
              <w:left w:val="single" w:sz="4" w:space="0" w:color="314364" w:themeColor="text2"/>
              <w:right w:val="single" w:sz="4" w:space="0" w:color="314364" w:themeColor="text2"/>
            </w:tcBorders>
            <w:vAlign w:val="center"/>
            <w:hideMark/>
          </w:tcPr>
          <w:p w14:paraId="432DB1E7"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výdavky</w:t>
            </w:r>
          </w:p>
        </w:tc>
        <w:tc>
          <w:tcPr>
            <w:tcW w:w="567" w:type="dxa"/>
            <w:tcBorders>
              <w:left w:val="single" w:sz="4" w:space="0" w:color="314364" w:themeColor="text2"/>
            </w:tcBorders>
            <w:vAlign w:val="center"/>
            <w:hideMark/>
          </w:tcPr>
          <w:p w14:paraId="4B0EC8A7"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34</w:t>
            </w:r>
          </w:p>
        </w:tc>
        <w:tc>
          <w:tcPr>
            <w:tcW w:w="567" w:type="dxa"/>
            <w:vAlign w:val="center"/>
            <w:hideMark/>
          </w:tcPr>
          <w:p w14:paraId="1134916D"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78</w:t>
            </w:r>
          </w:p>
        </w:tc>
        <w:tc>
          <w:tcPr>
            <w:tcW w:w="567" w:type="dxa"/>
            <w:vAlign w:val="center"/>
            <w:hideMark/>
          </w:tcPr>
          <w:p w14:paraId="28BBC583"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126</w:t>
            </w:r>
          </w:p>
        </w:tc>
        <w:tc>
          <w:tcPr>
            <w:tcW w:w="567" w:type="dxa"/>
            <w:tcBorders>
              <w:right w:val="single" w:sz="4" w:space="0" w:color="314364" w:themeColor="text2"/>
            </w:tcBorders>
            <w:vAlign w:val="center"/>
            <w:hideMark/>
          </w:tcPr>
          <w:p w14:paraId="4694EDEF"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0</w:t>
            </w:r>
          </w:p>
        </w:tc>
        <w:tc>
          <w:tcPr>
            <w:tcW w:w="3810" w:type="dxa"/>
            <w:tcBorders>
              <w:left w:val="single" w:sz="4" w:space="0" w:color="314364" w:themeColor="text2"/>
            </w:tcBorders>
            <w:vAlign w:val="center"/>
            <w:hideMark/>
          </w:tcPr>
          <w:p w14:paraId="5A78BE44" w14:textId="3CD9F7F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 xml:space="preserve">13. </w:t>
            </w:r>
            <w:r w:rsidR="0029155E">
              <w:rPr>
                <w:rFonts w:eastAsia="Times New Roman" w:cs="Segoe UI"/>
                <w:color w:val="000000"/>
                <w:sz w:val="16"/>
                <w:szCs w:val="16"/>
                <w:lang w:eastAsia="sk-SK"/>
              </w:rPr>
              <w:t>d</w:t>
            </w:r>
            <w:r w:rsidRPr="00614DFC">
              <w:rPr>
                <w:rFonts w:eastAsia="Times New Roman" w:cs="Segoe UI"/>
                <w:color w:val="000000"/>
                <w:sz w:val="16"/>
                <w:szCs w:val="16"/>
                <w:lang w:eastAsia="sk-SK"/>
              </w:rPr>
              <w:t xml:space="preserve">ôchodky sú nesystémové, SP </w:t>
            </w:r>
            <w:r>
              <w:rPr>
                <w:rFonts w:eastAsia="Times New Roman" w:cs="Segoe UI"/>
                <w:color w:val="000000"/>
                <w:sz w:val="16"/>
                <w:szCs w:val="16"/>
                <w:lang w:eastAsia="sk-SK"/>
              </w:rPr>
              <w:t xml:space="preserve">na ne </w:t>
            </w:r>
            <w:r w:rsidRPr="00614DFC">
              <w:rPr>
                <w:rFonts w:eastAsia="Times New Roman" w:cs="Segoe UI"/>
                <w:color w:val="000000"/>
                <w:sz w:val="16"/>
                <w:szCs w:val="16"/>
                <w:lang w:eastAsia="sk-SK"/>
              </w:rPr>
              <w:t>nemá zdroje z vybraného poistného (od ich zavedenia potrebuje transfer zo ŠR), toto predstavuje zmiernenie vplyvu na tri roky a presun zodpovednosti na ďalšiu vládu</w:t>
            </w:r>
          </w:p>
        </w:tc>
      </w:tr>
      <w:tr w:rsidR="006A0462" w:rsidRPr="00614DFC" w14:paraId="01D7ECF0" w14:textId="77777777" w:rsidTr="005F560A">
        <w:trPr>
          <w:trHeight w:val="283"/>
          <w:jc w:val="center"/>
        </w:trPr>
        <w:tc>
          <w:tcPr>
            <w:tcW w:w="2127" w:type="dxa"/>
            <w:tcBorders>
              <w:right w:val="single" w:sz="4" w:space="0" w:color="314364" w:themeColor="text2"/>
            </w:tcBorders>
            <w:vAlign w:val="center"/>
            <w:hideMark/>
          </w:tcPr>
          <w:p w14:paraId="5122E739"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Predĺženie obdobia, počas ktorého zamestnávateľ vypláca náhradu mzdy počas PN z 10 na 14 dní</w:t>
            </w:r>
          </w:p>
        </w:tc>
        <w:tc>
          <w:tcPr>
            <w:tcW w:w="835" w:type="dxa"/>
            <w:tcBorders>
              <w:left w:val="single" w:sz="4" w:space="0" w:color="314364" w:themeColor="text2"/>
              <w:right w:val="single" w:sz="4" w:space="0" w:color="314364" w:themeColor="text2"/>
            </w:tcBorders>
            <w:vAlign w:val="center"/>
            <w:hideMark/>
          </w:tcPr>
          <w:p w14:paraId="430D4F52"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výdavky</w:t>
            </w:r>
          </w:p>
        </w:tc>
        <w:tc>
          <w:tcPr>
            <w:tcW w:w="567" w:type="dxa"/>
            <w:tcBorders>
              <w:left w:val="single" w:sz="4" w:space="0" w:color="314364" w:themeColor="text2"/>
            </w:tcBorders>
            <w:vAlign w:val="center"/>
            <w:hideMark/>
          </w:tcPr>
          <w:p w14:paraId="70A8DFEB"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33</w:t>
            </w:r>
          </w:p>
        </w:tc>
        <w:tc>
          <w:tcPr>
            <w:tcW w:w="567" w:type="dxa"/>
            <w:vAlign w:val="center"/>
            <w:hideMark/>
          </w:tcPr>
          <w:p w14:paraId="19A3202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38</w:t>
            </w:r>
          </w:p>
        </w:tc>
        <w:tc>
          <w:tcPr>
            <w:tcW w:w="567" w:type="dxa"/>
            <w:vAlign w:val="center"/>
            <w:hideMark/>
          </w:tcPr>
          <w:p w14:paraId="221438E1"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40</w:t>
            </w:r>
          </w:p>
        </w:tc>
        <w:tc>
          <w:tcPr>
            <w:tcW w:w="567" w:type="dxa"/>
            <w:tcBorders>
              <w:right w:val="single" w:sz="4" w:space="0" w:color="314364" w:themeColor="text2"/>
            </w:tcBorders>
            <w:vAlign w:val="center"/>
            <w:hideMark/>
          </w:tcPr>
          <w:p w14:paraId="7CD6CDA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42</w:t>
            </w:r>
          </w:p>
        </w:tc>
        <w:tc>
          <w:tcPr>
            <w:tcW w:w="3810" w:type="dxa"/>
            <w:tcBorders>
              <w:left w:val="single" w:sz="4" w:space="0" w:color="314364" w:themeColor="text2"/>
            </w:tcBorders>
            <w:vAlign w:val="center"/>
            <w:hideMark/>
          </w:tcPr>
          <w:p w14:paraId="579B74AD"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Ďalšie zvyšovanie nákladov práce pre zamestnávateľov, podporuje fiktívne živnosti</w:t>
            </w:r>
            <w:r w:rsidRPr="00614DFC">
              <w:rPr>
                <w:rFonts w:eastAsia="Times New Roman" w:cs="Segoe UI"/>
                <w:b/>
                <w:bCs/>
                <w:color w:val="000000"/>
                <w:sz w:val="16"/>
                <w:szCs w:val="16"/>
                <w:lang w:eastAsia="sk-SK"/>
              </w:rPr>
              <w:t xml:space="preserve"> </w:t>
            </w:r>
            <w:r w:rsidRPr="00614DFC">
              <w:rPr>
                <w:rFonts w:eastAsia="Times New Roman" w:cs="Segoe UI"/>
                <w:color w:val="000000"/>
                <w:sz w:val="16"/>
                <w:szCs w:val="16"/>
                <w:lang w:eastAsia="sk-SK"/>
              </w:rPr>
              <w:t>(protiklad inému opatreniu)</w:t>
            </w:r>
          </w:p>
        </w:tc>
      </w:tr>
      <w:tr w:rsidR="006A0462" w:rsidRPr="00614DFC" w14:paraId="47D57137" w14:textId="77777777" w:rsidTr="005F560A">
        <w:trPr>
          <w:trHeight w:val="283"/>
          <w:jc w:val="center"/>
        </w:trPr>
        <w:tc>
          <w:tcPr>
            <w:tcW w:w="2127" w:type="dxa"/>
            <w:tcBorders>
              <w:right w:val="single" w:sz="4" w:space="0" w:color="314364" w:themeColor="text2"/>
            </w:tcBorders>
            <w:vAlign w:val="center"/>
            <w:hideMark/>
          </w:tcPr>
          <w:p w14:paraId="53A96FBB" w14:textId="4062C67F" w:rsidR="006A0462" w:rsidRPr="00614DFC" w:rsidRDefault="00007FAE" w:rsidP="00392A41">
            <w:pPr>
              <w:spacing w:after="0" w:line="240" w:lineRule="auto"/>
              <w:rPr>
                <w:rFonts w:eastAsia="Times New Roman" w:cs="Segoe UI"/>
                <w:color w:val="131D2B"/>
                <w:sz w:val="16"/>
                <w:szCs w:val="16"/>
                <w:lang w:eastAsia="sk-SK"/>
              </w:rPr>
            </w:pPr>
            <w:r>
              <w:rPr>
                <w:rFonts w:eastAsia="Times New Roman" w:cs="Segoe UI"/>
                <w:color w:val="131D2B"/>
                <w:sz w:val="16"/>
                <w:szCs w:val="16"/>
                <w:lang w:eastAsia="sk-SK"/>
              </w:rPr>
              <w:t>Odvody z </w:t>
            </w:r>
            <w:r w:rsidR="006A0462" w:rsidRPr="00614DFC">
              <w:rPr>
                <w:rFonts w:eastAsia="Times New Roman" w:cs="Segoe UI"/>
                <w:color w:val="131D2B"/>
                <w:sz w:val="16"/>
                <w:szCs w:val="16"/>
                <w:lang w:eastAsia="sk-SK"/>
              </w:rPr>
              <w:t>príjmu počas súčasného vylúčenia povinnosti platiť poistné (</w:t>
            </w:r>
            <w:r w:rsidR="00941FED">
              <w:rPr>
                <w:rFonts w:eastAsia="Times New Roman" w:cs="Segoe UI"/>
                <w:color w:val="131D2B"/>
                <w:sz w:val="16"/>
                <w:szCs w:val="16"/>
                <w:lang w:eastAsia="sk-SK"/>
              </w:rPr>
              <w:t>PN</w:t>
            </w:r>
            <w:r w:rsidR="006A0462" w:rsidRPr="00614DFC">
              <w:rPr>
                <w:rFonts w:eastAsia="Times New Roman" w:cs="Segoe UI"/>
                <w:color w:val="131D2B"/>
                <w:sz w:val="16"/>
                <w:szCs w:val="16"/>
                <w:lang w:eastAsia="sk-SK"/>
              </w:rPr>
              <w:t>, materské, ošetrovné)</w:t>
            </w:r>
          </w:p>
        </w:tc>
        <w:tc>
          <w:tcPr>
            <w:tcW w:w="835" w:type="dxa"/>
            <w:tcBorders>
              <w:left w:val="single" w:sz="4" w:space="0" w:color="314364" w:themeColor="text2"/>
              <w:right w:val="single" w:sz="4" w:space="0" w:color="314364" w:themeColor="text2"/>
            </w:tcBorders>
            <w:vAlign w:val="center"/>
            <w:hideMark/>
          </w:tcPr>
          <w:p w14:paraId="263029C9"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20BFCE20"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29</w:t>
            </w:r>
          </w:p>
        </w:tc>
        <w:tc>
          <w:tcPr>
            <w:tcW w:w="567" w:type="dxa"/>
            <w:vAlign w:val="center"/>
            <w:hideMark/>
          </w:tcPr>
          <w:p w14:paraId="79536DC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30</w:t>
            </w:r>
          </w:p>
        </w:tc>
        <w:tc>
          <w:tcPr>
            <w:tcW w:w="567" w:type="dxa"/>
            <w:vAlign w:val="center"/>
            <w:hideMark/>
          </w:tcPr>
          <w:p w14:paraId="10A64D92"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31</w:t>
            </w:r>
          </w:p>
        </w:tc>
        <w:tc>
          <w:tcPr>
            <w:tcW w:w="567" w:type="dxa"/>
            <w:tcBorders>
              <w:right w:val="single" w:sz="4" w:space="0" w:color="314364" w:themeColor="text2"/>
            </w:tcBorders>
            <w:vAlign w:val="center"/>
            <w:hideMark/>
          </w:tcPr>
          <w:p w14:paraId="56FAA664"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33</w:t>
            </w:r>
          </w:p>
        </w:tc>
        <w:tc>
          <w:tcPr>
            <w:tcW w:w="3810" w:type="dxa"/>
            <w:tcBorders>
              <w:left w:val="single" w:sz="4" w:space="0" w:color="314364" w:themeColor="text2"/>
            </w:tcBorders>
            <w:vAlign w:val="center"/>
            <w:hideMark/>
          </w:tcPr>
          <w:p w14:paraId="68CE27B0"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 xml:space="preserve">Riziko nižšieho než očakávaného výnosu pre potrebu posunutia účinnosti, riešenie hraničných situácií </w:t>
            </w:r>
          </w:p>
        </w:tc>
      </w:tr>
      <w:tr w:rsidR="006A0462" w:rsidRPr="00614DFC" w14:paraId="19FF6039" w14:textId="77777777" w:rsidTr="005F560A">
        <w:trPr>
          <w:trHeight w:val="283"/>
          <w:jc w:val="center"/>
        </w:trPr>
        <w:tc>
          <w:tcPr>
            <w:tcW w:w="2127" w:type="dxa"/>
            <w:tcBorders>
              <w:right w:val="single" w:sz="4" w:space="0" w:color="314364" w:themeColor="text2"/>
            </w:tcBorders>
            <w:vAlign w:val="center"/>
            <w:hideMark/>
          </w:tcPr>
          <w:p w14:paraId="6265227F" w14:textId="7EB73D65"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Postupn</w:t>
            </w:r>
            <w:r>
              <w:rPr>
                <w:rFonts w:eastAsia="Times New Roman" w:cs="Segoe UI"/>
                <w:color w:val="131D2B"/>
                <w:sz w:val="16"/>
                <w:szCs w:val="16"/>
                <w:lang w:eastAsia="sk-SK"/>
              </w:rPr>
              <w:t>ý pokles</w:t>
            </w:r>
            <w:r w:rsidRPr="00614DFC">
              <w:rPr>
                <w:rFonts w:eastAsia="Times New Roman" w:cs="Segoe UI"/>
                <w:color w:val="131D2B"/>
                <w:sz w:val="16"/>
                <w:szCs w:val="16"/>
                <w:lang w:eastAsia="sk-SK"/>
              </w:rPr>
              <w:t xml:space="preserve"> dávky v nezamestnanosti - </w:t>
            </w:r>
            <w:r w:rsidRPr="00614DFC">
              <w:rPr>
                <w:rFonts w:eastAsia="Times New Roman" w:cs="Segoe UI"/>
                <w:color w:val="131D2B"/>
                <w:sz w:val="16"/>
                <w:szCs w:val="16"/>
                <w:lang w:eastAsia="sk-SK"/>
              </w:rPr>
              <w:lastRenderedPageBreak/>
              <w:t xml:space="preserve">znižovanie miery náhrady od 4. </w:t>
            </w:r>
            <w:r w:rsidR="00941FED">
              <w:rPr>
                <w:rFonts w:eastAsia="Times New Roman" w:cs="Segoe UI"/>
                <w:color w:val="131D2B"/>
                <w:sz w:val="16"/>
                <w:szCs w:val="16"/>
                <w:lang w:eastAsia="sk-SK"/>
              </w:rPr>
              <w:t>d</w:t>
            </w:r>
            <w:r w:rsidRPr="00614DFC">
              <w:rPr>
                <w:rFonts w:eastAsia="Times New Roman" w:cs="Segoe UI"/>
                <w:color w:val="131D2B"/>
                <w:sz w:val="16"/>
                <w:szCs w:val="16"/>
                <w:lang w:eastAsia="sk-SK"/>
              </w:rPr>
              <w:t xml:space="preserve">o 6. </w:t>
            </w:r>
            <w:r w:rsidR="00941FED">
              <w:rPr>
                <w:rFonts w:eastAsia="Times New Roman" w:cs="Segoe UI"/>
                <w:color w:val="131D2B"/>
                <w:sz w:val="16"/>
                <w:szCs w:val="16"/>
                <w:lang w:eastAsia="sk-SK"/>
              </w:rPr>
              <w:t>m</w:t>
            </w:r>
            <w:r w:rsidRPr="00614DFC">
              <w:rPr>
                <w:rFonts w:eastAsia="Times New Roman" w:cs="Segoe UI"/>
                <w:color w:val="131D2B"/>
                <w:sz w:val="16"/>
                <w:szCs w:val="16"/>
                <w:lang w:eastAsia="sk-SK"/>
              </w:rPr>
              <w:t>esiaca o 10 %</w:t>
            </w:r>
          </w:p>
        </w:tc>
        <w:tc>
          <w:tcPr>
            <w:tcW w:w="835" w:type="dxa"/>
            <w:tcBorders>
              <w:left w:val="single" w:sz="4" w:space="0" w:color="314364" w:themeColor="text2"/>
              <w:right w:val="single" w:sz="4" w:space="0" w:color="314364" w:themeColor="text2"/>
            </w:tcBorders>
            <w:vAlign w:val="center"/>
            <w:hideMark/>
          </w:tcPr>
          <w:p w14:paraId="5CE941F8"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lastRenderedPageBreak/>
              <w:t>výdavky</w:t>
            </w:r>
          </w:p>
        </w:tc>
        <w:tc>
          <w:tcPr>
            <w:tcW w:w="567" w:type="dxa"/>
            <w:tcBorders>
              <w:left w:val="single" w:sz="4" w:space="0" w:color="314364" w:themeColor="text2"/>
            </w:tcBorders>
            <w:vAlign w:val="center"/>
            <w:hideMark/>
          </w:tcPr>
          <w:p w14:paraId="7B94AD25"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24</w:t>
            </w:r>
          </w:p>
        </w:tc>
        <w:tc>
          <w:tcPr>
            <w:tcW w:w="567" w:type="dxa"/>
            <w:vAlign w:val="center"/>
            <w:hideMark/>
          </w:tcPr>
          <w:p w14:paraId="11C34D6B"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34</w:t>
            </w:r>
          </w:p>
        </w:tc>
        <w:tc>
          <w:tcPr>
            <w:tcW w:w="567" w:type="dxa"/>
            <w:vAlign w:val="center"/>
            <w:hideMark/>
          </w:tcPr>
          <w:p w14:paraId="0C7DC7C8"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36</w:t>
            </w:r>
          </w:p>
        </w:tc>
        <w:tc>
          <w:tcPr>
            <w:tcW w:w="567" w:type="dxa"/>
            <w:tcBorders>
              <w:right w:val="single" w:sz="4" w:space="0" w:color="314364" w:themeColor="text2"/>
            </w:tcBorders>
            <w:vAlign w:val="center"/>
            <w:hideMark/>
          </w:tcPr>
          <w:p w14:paraId="5066093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36</w:t>
            </w:r>
          </w:p>
        </w:tc>
        <w:tc>
          <w:tcPr>
            <w:tcW w:w="3810" w:type="dxa"/>
            <w:tcBorders>
              <w:left w:val="single" w:sz="4" w:space="0" w:color="314364" w:themeColor="text2"/>
            </w:tcBorders>
            <w:vAlign w:val="center"/>
            <w:hideMark/>
          </w:tcPr>
          <w:p w14:paraId="757B65DA"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Domácnosti bez úspor môžu mať finančné problémy pri dlhšom hľadaní práce, presun do šedej ekonomiky</w:t>
            </w:r>
          </w:p>
        </w:tc>
      </w:tr>
      <w:tr w:rsidR="005F560A" w:rsidRPr="00614DFC" w14:paraId="387DA64A" w14:textId="77777777" w:rsidTr="005F560A">
        <w:trPr>
          <w:trHeight w:val="283"/>
          <w:jc w:val="center"/>
        </w:trPr>
        <w:tc>
          <w:tcPr>
            <w:tcW w:w="2127" w:type="dxa"/>
            <w:tcBorders>
              <w:right w:val="single" w:sz="4" w:space="0" w:color="314364" w:themeColor="text2"/>
            </w:tcBorders>
            <w:noWrap/>
            <w:vAlign w:val="center"/>
            <w:hideMark/>
          </w:tcPr>
          <w:p w14:paraId="751B2047" w14:textId="77777777" w:rsidR="005F560A" w:rsidRPr="00614DFC" w:rsidRDefault="005F560A" w:rsidP="005F560A">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Štrk - primárne stavebné materiály</w:t>
            </w:r>
          </w:p>
        </w:tc>
        <w:tc>
          <w:tcPr>
            <w:tcW w:w="835" w:type="dxa"/>
            <w:tcBorders>
              <w:left w:val="single" w:sz="4" w:space="0" w:color="314364" w:themeColor="text2"/>
              <w:right w:val="single" w:sz="4" w:space="0" w:color="314364" w:themeColor="text2"/>
            </w:tcBorders>
            <w:vAlign w:val="center"/>
            <w:hideMark/>
          </w:tcPr>
          <w:p w14:paraId="2CB23F20" w14:textId="77777777" w:rsidR="005F560A" w:rsidRPr="00614DFC" w:rsidRDefault="005F560A" w:rsidP="005F560A">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4D2C87DD" w14:textId="77777777" w:rsidR="005F560A" w:rsidRPr="00614DFC" w:rsidRDefault="005F560A" w:rsidP="005F560A">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24</w:t>
            </w:r>
          </w:p>
        </w:tc>
        <w:tc>
          <w:tcPr>
            <w:tcW w:w="567" w:type="dxa"/>
            <w:noWrap/>
            <w:vAlign w:val="center"/>
          </w:tcPr>
          <w:p w14:paraId="40650FF0" w14:textId="32508DCB" w:rsidR="005F560A" w:rsidRPr="005F560A" w:rsidRDefault="005F560A" w:rsidP="005F560A">
            <w:pPr>
              <w:spacing w:after="0" w:line="240" w:lineRule="auto"/>
              <w:jc w:val="center"/>
              <w:rPr>
                <w:rFonts w:eastAsia="Times New Roman" w:cs="Segoe UI"/>
                <w:color w:val="000000"/>
                <w:sz w:val="16"/>
                <w:szCs w:val="16"/>
                <w:lang w:eastAsia="sk-SK"/>
              </w:rPr>
            </w:pPr>
            <w:r w:rsidRPr="005F560A">
              <w:rPr>
                <w:rFonts w:eastAsia="Times New Roman" w:cs="Segoe UI"/>
                <w:color w:val="000000"/>
                <w:sz w:val="16"/>
                <w:szCs w:val="16"/>
                <w:lang w:eastAsia="sk-SK"/>
              </w:rPr>
              <w:t xml:space="preserve">– </w:t>
            </w:r>
          </w:p>
        </w:tc>
        <w:tc>
          <w:tcPr>
            <w:tcW w:w="567" w:type="dxa"/>
            <w:noWrap/>
            <w:vAlign w:val="center"/>
          </w:tcPr>
          <w:p w14:paraId="00213E30" w14:textId="0F12B8F7" w:rsidR="005F560A" w:rsidRPr="005F560A" w:rsidRDefault="005F560A" w:rsidP="005F560A">
            <w:pPr>
              <w:spacing w:after="0" w:line="240" w:lineRule="auto"/>
              <w:jc w:val="center"/>
              <w:rPr>
                <w:rFonts w:eastAsia="Times New Roman" w:cs="Segoe UI"/>
                <w:color w:val="000000"/>
                <w:sz w:val="16"/>
                <w:szCs w:val="16"/>
                <w:lang w:eastAsia="sk-SK"/>
              </w:rPr>
            </w:pPr>
            <w:r w:rsidRPr="005F560A">
              <w:rPr>
                <w:rFonts w:eastAsia="Times New Roman" w:cs="Segoe UI"/>
                <w:color w:val="000000"/>
                <w:sz w:val="16"/>
                <w:szCs w:val="16"/>
                <w:lang w:eastAsia="sk-SK"/>
              </w:rPr>
              <w:t xml:space="preserve">– </w:t>
            </w:r>
          </w:p>
        </w:tc>
        <w:tc>
          <w:tcPr>
            <w:tcW w:w="567" w:type="dxa"/>
            <w:tcBorders>
              <w:right w:val="single" w:sz="4" w:space="0" w:color="314364" w:themeColor="text2"/>
            </w:tcBorders>
            <w:noWrap/>
            <w:vAlign w:val="center"/>
          </w:tcPr>
          <w:p w14:paraId="165B5C4E" w14:textId="5D6DA4F7" w:rsidR="005F560A" w:rsidRPr="005F560A" w:rsidRDefault="005F560A" w:rsidP="005F560A">
            <w:pPr>
              <w:spacing w:after="0" w:line="240" w:lineRule="auto"/>
              <w:jc w:val="center"/>
              <w:rPr>
                <w:rFonts w:eastAsia="Times New Roman" w:cs="Segoe UI"/>
                <w:color w:val="000000"/>
                <w:sz w:val="16"/>
                <w:szCs w:val="16"/>
                <w:lang w:eastAsia="sk-SK"/>
              </w:rPr>
            </w:pPr>
            <w:r w:rsidRPr="005F560A">
              <w:rPr>
                <w:rFonts w:eastAsia="Times New Roman" w:cs="Segoe UI"/>
                <w:color w:val="000000"/>
                <w:sz w:val="16"/>
                <w:szCs w:val="16"/>
                <w:lang w:eastAsia="sk-SK"/>
              </w:rPr>
              <w:t xml:space="preserve">– </w:t>
            </w:r>
          </w:p>
        </w:tc>
        <w:tc>
          <w:tcPr>
            <w:tcW w:w="3810" w:type="dxa"/>
            <w:tcBorders>
              <w:left w:val="single" w:sz="4" w:space="0" w:color="314364" w:themeColor="text2"/>
            </w:tcBorders>
            <w:vAlign w:val="center"/>
            <w:hideMark/>
          </w:tcPr>
          <w:p w14:paraId="49F0DDE6" w14:textId="77777777" w:rsidR="005F560A" w:rsidRPr="00614DFC" w:rsidRDefault="005F560A" w:rsidP="005F560A">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Väčšina spotreby ide na infraštruktúrne projekty, navýšenie ceny, zvýšený import, potrebná podpora recyklácie</w:t>
            </w:r>
          </w:p>
        </w:tc>
      </w:tr>
      <w:tr w:rsidR="006A0462" w:rsidRPr="00614DFC" w14:paraId="25CA8195" w14:textId="77777777" w:rsidTr="005F560A">
        <w:trPr>
          <w:trHeight w:val="283"/>
          <w:jc w:val="center"/>
        </w:trPr>
        <w:tc>
          <w:tcPr>
            <w:tcW w:w="2127" w:type="dxa"/>
            <w:tcBorders>
              <w:right w:val="single" w:sz="4" w:space="0" w:color="314364" w:themeColor="text2"/>
            </w:tcBorders>
            <w:noWrap/>
            <w:vAlign w:val="center"/>
            <w:hideMark/>
          </w:tcPr>
          <w:p w14:paraId="476139DA" w14:textId="316DA27C"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Zavedenie QR kódu (boj proti daňovým únikom a jednoduchšia administrácia)</w:t>
            </w:r>
          </w:p>
        </w:tc>
        <w:tc>
          <w:tcPr>
            <w:tcW w:w="835" w:type="dxa"/>
            <w:tcBorders>
              <w:left w:val="single" w:sz="4" w:space="0" w:color="314364" w:themeColor="text2"/>
              <w:right w:val="single" w:sz="4" w:space="0" w:color="314364" w:themeColor="text2"/>
            </w:tcBorders>
            <w:noWrap/>
            <w:vAlign w:val="center"/>
            <w:hideMark/>
          </w:tcPr>
          <w:p w14:paraId="77F53948" w14:textId="77777777" w:rsidR="006A0462" w:rsidRPr="00614DFC" w:rsidRDefault="006A0462" w:rsidP="00392A41">
            <w:pPr>
              <w:spacing w:after="0" w:line="240" w:lineRule="auto"/>
              <w:jc w:val="center"/>
              <w:rPr>
                <w:rFonts w:eastAsia="Times New Roman" w:cs="Segoe UI"/>
                <w:color w:val="000000"/>
                <w:sz w:val="16"/>
                <w:szCs w:val="16"/>
                <w:lang w:eastAsia="sk-SK"/>
              </w:rPr>
            </w:pPr>
            <w:r w:rsidRPr="00614DFC">
              <w:rPr>
                <w:rFonts w:eastAsia="Times New Roman" w:cs="Segoe UI"/>
                <w:color w:val="000000"/>
                <w:sz w:val="16"/>
                <w:szCs w:val="16"/>
                <w:lang w:eastAsia="sk-SK"/>
              </w:rPr>
              <w:t>nie je súčasťou prognózy</w:t>
            </w:r>
          </w:p>
        </w:tc>
        <w:tc>
          <w:tcPr>
            <w:tcW w:w="567" w:type="dxa"/>
            <w:tcBorders>
              <w:left w:val="single" w:sz="4" w:space="0" w:color="314364" w:themeColor="text2"/>
            </w:tcBorders>
            <w:noWrap/>
            <w:vAlign w:val="center"/>
            <w:hideMark/>
          </w:tcPr>
          <w:p w14:paraId="15A37E3D" w14:textId="77777777" w:rsidR="006A0462" w:rsidRPr="00614DFC" w:rsidRDefault="006A0462" w:rsidP="00392A41">
            <w:pPr>
              <w:spacing w:after="0" w:line="240" w:lineRule="auto"/>
              <w:jc w:val="center"/>
              <w:rPr>
                <w:rFonts w:eastAsia="Times New Roman" w:cs="Segoe UI"/>
                <w:b/>
                <w:bCs/>
                <w:color w:val="000000"/>
                <w:sz w:val="16"/>
                <w:szCs w:val="16"/>
                <w:lang w:eastAsia="sk-SK"/>
              </w:rPr>
            </w:pPr>
            <w:r w:rsidRPr="00614DFC">
              <w:rPr>
                <w:rFonts w:eastAsia="Times New Roman" w:cs="Segoe UI"/>
                <w:b/>
                <w:bCs/>
                <w:color w:val="000000"/>
                <w:sz w:val="16"/>
                <w:szCs w:val="16"/>
                <w:lang w:eastAsia="sk-SK"/>
              </w:rPr>
              <w:t>14</w:t>
            </w:r>
          </w:p>
        </w:tc>
        <w:tc>
          <w:tcPr>
            <w:tcW w:w="567" w:type="dxa"/>
            <w:noWrap/>
            <w:vAlign w:val="center"/>
            <w:hideMark/>
          </w:tcPr>
          <w:p w14:paraId="3C2EA009" w14:textId="77777777" w:rsidR="006A0462" w:rsidRPr="00614DFC" w:rsidRDefault="006A0462" w:rsidP="00392A41">
            <w:pPr>
              <w:spacing w:after="0" w:line="240" w:lineRule="auto"/>
              <w:jc w:val="center"/>
              <w:rPr>
                <w:rFonts w:eastAsia="Times New Roman" w:cs="Segoe UI"/>
                <w:color w:val="000000"/>
                <w:sz w:val="16"/>
                <w:szCs w:val="16"/>
                <w:lang w:eastAsia="sk-SK"/>
              </w:rPr>
            </w:pPr>
            <w:r w:rsidRPr="00614DFC">
              <w:rPr>
                <w:rFonts w:eastAsia="Times New Roman" w:cs="Segoe UI"/>
                <w:color w:val="000000"/>
                <w:sz w:val="16"/>
                <w:szCs w:val="16"/>
                <w:lang w:eastAsia="sk-SK"/>
              </w:rPr>
              <w:t>36</w:t>
            </w:r>
          </w:p>
        </w:tc>
        <w:tc>
          <w:tcPr>
            <w:tcW w:w="567" w:type="dxa"/>
            <w:noWrap/>
            <w:vAlign w:val="center"/>
            <w:hideMark/>
          </w:tcPr>
          <w:p w14:paraId="63BE43BF" w14:textId="77777777" w:rsidR="006A0462" w:rsidRPr="00614DFC" w:rsidRDefault="006A0462" w:rsidP="00392A41">
            <w:pPr>
              <w:spacing w:after="0" w:line="240" w:lineRule="auto"/>
              <w:jc w:val="center"/>
              <w:rPr>
                <w:rFonts w:eastAsia="Times New Roman" w:cs="Segoe UI"/>
                <w:color w:val="000000"/>
                <w:sz w:val="16"/>
                <w:szCs w:val="16"/>
                <w:lang w:eastAsia="sk-SK"/>
              </w:rPr>
            </w:pPr>
            <w:r w:rsidRPr="00614DFC">
              <w:rPr>
                <w:rFonts w:eastAsia="Times New Roman" w:cs="Segoe UI"/>
                <w:color w:val="000000"/>
                <w:sz w:val="16"/>
                <w:szCs w:val="16"/>
                <w:lang w:eastAsia="sk-SK"/>
              </w:rPr>
              <w:t>59</w:t>
            </w:r>
          </w:p>
        </w:tc>
        <w:tc>
          <w:tcPr>
            <w:tcW w:w="567" w:type="dxa"/>
            <w:tcBorders>
              <w:right w:val="single" w:sz="4" w:space="0" w:color="314364" w:themeColor="text2"/>
            </w:tcBorders>
            <w:noWrap/>
            <w:vAlign w:val="center"/>
            <w:hideMark/>
          </w:tcPr>
          <w:p w14:paraId="1539E55C" w14:textId="77777777" w:rsidR="006A0462" w:rsidRPr="00614DFC" w:rsidRDefault="006A0462" w:rsidP="00392A41">
            <w:pPr>
              <w:spacing w:after="0" w:line="240" w:lineRule="auto"/>
              <w:jc w:val="center"/>
              <w:rPr>
                <w:rFonts w:eastAsia="Times New Roman" w:cs="Segoe UI"/>
                <w:color w:val="000000"/>
                <w:sz w:val="16"/>
                <w:szCs w:val="16"/>
                <w:lang w:eastAsia="sk-SK"/>
              </w:rPr>
            </w:pPr>
            <w:r w:rsidRPr="00614DFC">
              <w:rPr>
                <w:rFonts w:eastAsia="Times New Roman" w:cs="Segoe UI"/>
                <w:color w:val="000000"/>
                <w:sz w:val="16"/>
                <w:szCs w:val="16"/>
                <w:lang w:eastAsia="sk-SK"/>
              </w:rPr>
              <w:t>88</w:t>
            </w:r>
          </w:p>
        </w:tc>
        <w:tc>
          <w:tcPr>
            <w:tcW w:w="3810" w:type="dxa"/>
            <w:tcBorders>
              <w:left w:val="single" w:sz="4" w:space="0" w:color="314364" w:themeColor="text2"/>
            </w:tcBorders>
            <w:vAlign w:val="center"/>
            <w:hideMark/>
          </w:tcPr>
          <w:p w14:paraId="6920AE45" w14:textId="01A7E136"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 xml:space="preserve">Pozitívne riziko nad odhad </w:t>
            </w:r>
            <w:r w:rsidR="00941FED">
              <w:rPr>
                <w:rFonts w:eastAsia="Times New Roman" w:cs="Segoe UI"/>
                <w:color w:val="000000"/>
                <w:sz w:val="16"/>
                <w:szCs w:val="16"/>
                <w:lang w:eastAsia="sk-SK"/>
              </w:rPr>
              <w:t>V</w:t>
            </w:r>
            <w:r w:rsidRPr="00614DFC">
              <w:rPr>
                <w:rFonts w:eastAsia="Times New Roman" w:cs="Segoe UI"/>
                <w:color w:val="000000"/>
                <w:sz w:val="16"/>
                <w:szCs w:val="16"/>
                <w:lang w:eastAsia="sk-SK"/>
              </w:rPr>
              <w:t>p</w:t>
            </w:r>
            <w:r w:rsidR="00941FED">
              <w:rPr>
                <w:rFonts w:eastAsia="Times New Roman" w:cs="Segoe UI"/>
                <w:color w:val="000000"/>
                <w:sz w:val="16"/>
                <w:szCs w:val="16"/>
                <w:lang w:eastAsia="sk-SK"/>
              </w:rPr>
              <w:t>DP</w:t>
            </w:r>
            <w:r w:rsidRPr="00614DFC">
              <w:rPr>
                <w:rFonts w:eastAsia="Times New Roman" w:cs="Segoe UI"/>
                <w:color w:val="000000"/>
                <w:sz w:val="16"/>
                <w:szCs w:val="16"/>
                <w:lang w:eastAsia="sk-SK"/>
              </w:rPr>
              <w:t>, súčasť APBP</w:t>
            </w:r>
            <w:r w:rsidRPr="00614DFC">
              <w:rPr>
                <w:rFonts w:eastAsia="Times New Roman" w:cs="Segoe UI"/>
                <w:color w:val="000000"/>
                <w:sz w:val="16"/>
                <w:szCs w:val="16"/>
                <w:lang w:eastAsia="sk-SK"/>
              </w:rPr>
              <w:br/>
              <w:t>potrebné investície, potenciál na zníženie šedej ekonomiky a zníženia objemu hotovosti v obehu</w:t>
            </w:r>
          </w:p>
        </w:tc>
      </w:tr>
      <w:tr w:rsidR="006A0462" w:rsidRPr="00614DFC" w14:paraId="3C4D1C90" w14:textId="77777777" w:rsidTr="005F560A">
        <w:trPr>
          <w:trHeight w:val="283"/>
          <w:jc w:val="center"/>
        </w:trPr>
        <w:tc>
          <w:tcPr>
            <w:tcW w:w="2127" w:type="dxa"/>
            <w:tcBorders>
              <w:right w:val="single" w:sz="4" w:space="0" w:color="314364" w:themeColor="text2"/>
            </w:tcBorders>
            <w:vAlign w:val="center"/>
            <w:hideMark/>
          </w:tcPr>
          <w:p w14:paraId="64D9F5E9"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Upravenie sadzby DPPO na hráčske účty na 53</w:t>
            </w:r>
            <w:r>
              <w:rPr>
                <w:rFonts w:eastAsia="Times New Roman" w:cs="Segoe UI"/>
                <w:color w:val="131D2B"/>
                <w:sz w:val="16"/>
                <w:szCs w:val="16"/>
                <w:lang w:eastAsia="sk-SK"/>
              </w:rPr>
              <w:t xml:space="preserve"> </w:t>
            </w:r>
            <w:r w:rsidRPr="00614DFC">
              <w:rPr>
                <w:rFonts w:eastAsia="Times New Roman" w:cs="Segoe UI"/>
                <w:color w:val="131D2B"/>
                <w:sz w:val="16"/>
                <w:szCs w:val="16"/>
                <w:lang w:eastAsia="sk-SK"/>
              </w:rPr>
              <w:t>%</w:t>
            </w:r>
          </w:p>
        </w:tc>
        <w:tc>
          <w:tcPr>
            <w:tcW w:w="835" w:type="dxa"/>
            <w:tcBorders>
              <w:left w:val="single" w:sz="4" w:space="0" w:color="314364" w:themeColor="text2"/>
              <w:right w:val="single" w:sz="4" w:space="0" w:color="314364" w:themeColor="text2"/>
            </w:tcBorders>
            <w:vAlign w:val="center"/>
            <w:hideMark/>
          </w:tcPr>
          <w:p w14:paraId="18BBE21C"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7ADE0650"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13</w:t>
            </w:r>
          </w:p>
        </w:tc>
        <w:tc>
          <w:tcPr>
            <w:tcW w:w="567" w:type="dxa"/>
            <w:vAlign w:val="center"/>
            <w:hideMark/>
          </w:tcPr>
          <w:p w14:paraId="32A52978"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14</w:t>
            </w:r>
          </w:p>
        </w:tc>
        <w:tc>
          <w:tcPr>
            <w:tcW w:w="567" w:type="dxa"/>
            <w:vAlign w:val="center"/>
            <w:hideMark/>
          </w:tcPr>
          <w:p w14:paraId="0534A48F"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15</w:t>
            </w:r>
          </w:p>
        </w:tc>
        <w:tc>
          <w:tcPr>
            <w:tcW w:w="567" w:type="dxa"/>
            <w:tcBorders>
              <w:right w:val="single" w:sz="4" w:space="0" w:color="314364" w:themeColor="text2"/>
            </w:tcBorders>
            <w:vAlign w:val="center"/>
            <w:hideMark/>
          </w:tcPr>
          <w:p w14:paraId="4F99ABC2"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15</w:t>
            </w:r>
          </w:p>
        </w:tc>
        <w:tc>
          <w:tcPr>
            <w:tcW w:w="3810" w:type="dxa"/>
            <w:tcBorders>
              <w:left w:val="single" w:sz="4" w:space="0" w:color="314364" w:themeColor="text2"/>
            </w:tcBorders>
            <w:vAlign w:val="center"/>
            <w:hideMark/>
          </w:tcPr>
          <w:p w14:paraId="555F18F4" w14:textId="77777777" w:rsidR="006A0462" w:rsidRPr="00614DFC" w:rsidRDefault="006A0462" w:rsidP="00392A41">
            <w:pPr>
              <w:spacing w:after="0" w:line="240" w:lineRule="auto"/>
              <w:rPr>
                <w:rFonts w:eastAsia="Times New Roman" w:cs="Segoe UI"/>
                <w:color w:val="000000"/>
                <w:sz w:val="16"/>
                <w:szCs w:val="16"/>
                <w:lang w:eastAsia="sk-SK"/>
              </w:rPr>
            </w:pPr>
            <w:r>
              <w:rPr>
                <w:rFonts w:eastAsia="Times New Roman" w:cs="Segoe UI"/>
                <w:color w:val="000000"/>
                <w:sz w:val="16"/>
                <w:szCs w:val="16"/>
                <w:lang w:eastAsia="sk-SK"/>
              </w:rPr>
              <w:t>P</w:t>
            </w:r>
            <w:r w:rsidRPr="00614DFC">
              <w:rPr>
                <w:rFonts w:eastAsia="Times New Roman" w:cs="Segoe UI"/>
                <w:color w:val="000000"/>
                <w:sz w:val="16"/>
                <w:szCs w:val="16"/>
                <w:lang w:eastAsia="sk-SK"/>
              </w:rPr>
              <w:t>resun hráčov na alternatívne/neregulované platformy a nelegálny trh</w:t>
            </w:r>
          </w:p>
        </w:tc>
      </w:tr>
      <w:tr w:rsidR="006A0462" w:rsidRPr="00614DFC" w14:paraId="5268E1DC" w14:textId="77777777" w:rsidTr="005F560A">
        <w:trPr>
          <w:trHeight w:val="283"/>
          <w:jc w:val="center"/>
        </w:trPr>
        <w:tc>
          <w:tcPr>
            <w:tcW w:w="2127" w:type="dxa"/>
            <w:tcBorders>
              <w:right w:val="single" w:sz="4" w:space="0" w:color="314364" w:themeColor="text2"/>
            </w:tcBorders>
            <w:vAlign w:val="center"/>
            <w:hideMark/>
          </w:tcPr>
          <w:p w14:paraId="754D8492" w14:textId="171CA73B"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Lepšie zacielenie kontrolnej činnosti počas poberania PN</w:t>
            </w:r>
          </w:p>
        </w:tc>
        <w:tc>
          <w:tcPr>
            <w:tcW w:w="835" w:type="dxa"/>
            <w:tcBorders>
              <w:left w:val="single" w:sz="4" w:space="0" w:color="314364" w:themeColor="text2"/>
              <w:right w:val="single" w:sz="4" w:space="0" w:color="314364" w:themeColor="text2"/>
            </w:tcBorders>
            <w:vAlign w:val="center"/>
            <w:hideMark/>
          </w:tcPr>
          <w:p w14:paraId="39E3C116"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71734022"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13</w:t>
            </w:r>
          </w:p>
        </w:tc>
        <w:tc>
          <w:tcPr>
            <w:tcW w:w="567" w:type="dxa"/>
            <w:vAlign w:val="center"/>
            <w:hideMark/>
          </w:tcPr>
          <w:p w14:paraId="6D703BB4"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15</w:t>
            </w:r>
          </w:p>
        </w:tc>
        <w:tc>
          <w:tcPr>
            <w:tcW w:w="567" w:type="dxa"/>
            <w:vAlign w:val="center"/>
            <w:hideMark/>
          </w:tcPr>
          <w:p w14:paraId="05AF6334"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16</w:t>
            </w:r>
          </w:p>
        </w:tc>
        <w:tc>
          <w:tcPr>
            <w:tcW w:w="567" w:type="dxa"/>
            <w:tcBorders>
              <w:right w:val="single" w:sz="4" w:space="0" w:color="314364" w:themeColor="text2"/>
            </w:tcBorders>
            <w:vAlign w:val="center"/>
            <w:hideMark/>
          </w:tcPr>
          <w:p w14:paraId="347D6A47"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16</w:t>
            </w:r>
          </w:p>
        </w:tc>
        <w:tc>
          <w:tcPr>
            <w:tcW w:w="3810" w:type="dxa"/>
            <w:tcBorders>
              <w:left w:val="single" w:sz="4" w:space="0" w:color="314364" w:themeColor="text2"/>
            </w:tcBorders>
            <w:vAlign w:val="center"/>
            <w:hideMark/>
          </w:tcPr>
          <w:p w14:paraId="4A62FBF6" w14:textId="0DE594DC"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Možn</w:t>
            </w:r>
            <w:r w:rsidR="00CD1070">
              <w:rPr>
                <w:rFonts w:eastAsia="Times New Roman" w:cs="Segoe UI"/>
                <w:color w:val="000000"/>
                <w:sz w:val="16"/>
                <w:szCs w:val="16"/>
                <w:lang w:eastAsia="sk-SK"/>
              </w:rPr>
              <w:t>é</w:t>
            </w:r>
            <w:r w:rsidRPr="00614DFC">
              <w:rPr>
                <w:rFonts w:eastAsia="Times New Roman" w:cs="Segoe UI"/>
                <w:color w:val="000000"/>
                <w:sz w:val="16"/>
                <w:szCs w:val="16"/>
                <w:lang w:eastAsia="sk-SK"/>
              </w:rPr>
              <w:t xml:space="preserve"> prekry</w:t>
            </w:r>
            <w:r w:rsidR="00CD1070">
              <w:rPr>
                <w:rFonts w:eastAsia="Times New Roman" w:cs="Segoe UI"/>
                <w:color w:val="000000"/>
                <w:sz w:val="16"/>
                <w:szCs w:val="16"/>
                <w:lang w:eastAsia="sk-SK"/>
              </w:rPr>
              <w:t>tie</w:t>
            </w:r>
            <w:r w:rsidRPr="00614DFC">
              <w:rPr>
                <w:rFonts w:eastAsia="Times New Roman" w:cs="Segoe UI"/>
                <w:color w:val="000000"/>
                <w:sz w:val="16"/>
                <w:szCs w:val="16"/>
                <w:lang w:eastAsia="sk-SK"/>
              </w:rPr>
              <w:t xml:space="preserve"> s posunom vyplácania PN z 10 na 14 dní (nižší než očakávaný výnos), vyššie administratívne náklady</w:t>
            </w:r>
          </w:p>
        </w:tc>
      </w:tr>
      <w:tr w:rsidR="006A0462" w:rsidRPr="00614DFC" w14:paraId="32A1337C" w14:textId="77777777" w:rsidTr="005F560A">
        <w:trPr>
          <w:trHeight w:val="283"/>
          <w:jc w:val="center"/>
        </w:trPr>
        <w:tc>
          <w:tcPr>
            <w:tcW w:w="2127" w:type="dxa"/>
            <w:tcBorders>
              <w:right w:val="single" w:sz="4" w:space="0" w:color="314364" w:themeColor="text2"/>
            </w:tcBorders>
            <w:vAlign w:val="center"/>
            <w:hideMark/>
          </w:tcPr>
          <w:p w14:paraId="1CAD986E" w14:textId="5E04D0CA" w:rsidR="006A0462" w:rsidRPr="00614DFC" w:rsidRDefault="006A0462" w:rsidP="00392A41">
            <w:pPr>
              <w:spacing w:after="0" w:line="240" w:lineRule="auto"/>
              <w:rPr>
                <w:rFonts w:eastAsia="Times New Roman" w:cs="Segoe UI"/>
                <w:color w:val="131D2B"/>
                <w:sz w:val="16"/>
                <w:szCs w:val="16"/>
                <w:lang w:eastAsia="sk-SK"/>
              </w:rPr>
            </w:pPr>
            <w:r>
              <w:rPr>
                <w:rFonts w:eastAsia="Times New Roman" w:cs="Segoe UI"/>
                <w:color w:val="131D2B"/>
                <w:sz w:val="16"/>
                <w:szCs w:val="16"/>
                <w:lang w:eastAsia="sk-SK"/>
              </w:rPr>
              <w:t>N</w:t>
            </w:r>
            <w:r w:rsidRPr="00614DFC">
              <w:rPr>
                <w:rFonts w:eastAsia="Times New Roman" w:cs="Segoe UI"/>
                <w:color w:val="131D2B"/>
                <w:sz w:val="16"/>
                <w:szCs w:val="16"/>
                <w:lang w:eastAsia="sk-SK"/>
              </w:rPr>
              <w:t xml:space="preserve">ové pásmo daňovej licencie pre najväčšie firmy so zdaniteľným príjmom nad 5 mil. </w:t>
            </w:r>
            <w:r w:rsidR="0029155E">
              <w:rPr>
                <w:rFonts w:eastAsia="Times New Roman" w:cs="Segoe UI"/>
                <w:color w:val="131D2B"/>
                <w:sz w:val="16"/>
                <w:szCs w:val="16"/>
                <w:lang w:eastAsia="sk-SK"/>
              </w:rPr>
              <w:t>e</w:t>
            </w:r>
            <w:r w:rsidRPr="00614DFC">
              <w:rPr>
                <w:rFonts w:eastAsia="Times New Roman" w:cs="Segoe UI"/>
                <w:color w:val="131D2B"/>
                <w:sz w:val="16"/>
                <w:szCs w:val="16"/>
                <w:lang w:eastAsia="sk-SK"/>
              </w:rPr>
              <w:t xml:space="preserve">ur - vo výške 11 520 </w:t>
            </w:r>
            <w:r>
              <w:rPr>
                <w:rFonts w:eastAsia="Times New Roman" w:cs="Segoe UI"/>
                <w:color w:val="131D2B"/>
                <w:sz w:val="16"/>
                <w:szCs w:val="16"/>
                <w:lang w:eastAsia="sk-SK"/>
              </w:rPr>
              <w:t>eur</w:t>
            </w:r>
            <w:r w:rsidRPr="00614DFC">
              <w:rPr>
                <w:rFonts w:eastAsia="Times New Roman" w:cs="Segoe UI"/>
                <w:color w:val="131D2B"/>
                <w:sz w:val="16"/>
                <w:szCs w:val="16"/>
                <w:lang w:eastAsia="sk-SK"/>
              </w:rPr>
              <w:t xml:space="preserve"> (</w:t>
            </w:r>
            <w:r>
              <w:rPr>
                <w:rFonts w:eastAsia="Times New Roman" w:cs="Segoe UI"/>
                <w:color w:val="131D2B"/>
                <w:sz w:val="16"/>
                <w:szCs w:val="16"/>
                <w:lang w:eastAsia="sk-SK"/>
              </w:rPr>
              <w:t>troj</w:t>
            </w:r>
            <w:r w:rsidRPr="00614DFC">
              <w:rPr>
                <w:rFonts w:eastAsia="Times New Roman" w:cs="Segoe UI"/>
                <w:color w:val="131D2B"/>
                <w:sz w:val="16"/>
                <w:szCs w:val="16"/>
                <w:lang w:eastAsia="sk-SK"/>
              </w:rPr>
              <w:t>násobok súčasného maxima)</w:t>
            </w:r>
          </w:p>
        </w:tc>
        <w:tc>
          <w:tcPr>
            <w:tcW w:w="835" w:type="dxa"/>
            <w:tcBorders>
              <w:left w:val="single" w:sz="4" w:space="0" w:color="314364" w:themeColor="text2"/>
              <w:right w:val="single" w:sz="4" w:space="0" w:color="314364" w:themeColor="text2"/>
            </w:tcBorders>
            <w:vAlign w:val="center"/>
            <w:hideMark/>
          </w:tcPr>
          <w:p w14:paraId="4ABD6FD4"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6077F6E0"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10</w:t>
            </w:r>
          </w:p>
        </w:tc>
        <w:tc>
          <w:tcPr>
            <w:tcW w:w="567" w:type="dxa"/>
            <w:vAlign w:val="center"/>
            <w:hideMark/>
          </w:tcPr>
          <w:p w14:paraId="7546C79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8</w:t>
            </w:r>
          </w:p>
        </w:tc>
        <w:tc>
          <w:tcPr>
            <w:tcW w:w="567" w:type="dxa"/>
            <w:vAlign w:val="center"/>
            <w:hideMark/>
          </w:tcPr>
          <w:p w14:paraId="3762D78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8</w:t>
            </w:r>
          </w:p>
        </w:tc>
        <w:tc>
          <w:tcPr>
            <w:tcW w:w="567" w:type="dxa"/>
            <w:tcBorders>
              <w:right w:val="single" w:sz="4" w:space="0" w:color="314364" w:themeColor="text2"/>
            </w:tcBorders>
            <w:vAlign w:val="center"/>
            <w:hideMark/>
          </w:tcPr>
          <w:p w14:paraId="65F20A76"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8</w:t>
            </w:r>
          </w:p>
        </w:tc>
        <w:tc>
          <w:tcPr>
            <w:tcW w:w="3810" w:type="dxa"/>
            <w:tcBorders>
              <w:left w:val="single" w:sz="4" w:space="0" w:color="314364" w:themeColor="text2"/>
            </w:tcBorders>
            <w:vAlign w:val="center"/>
            <w:hideMark/>
          </w:tcPr>
          <w:p w14:paraId="11883D37"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Nutnosť platiť aj v investičnom roku s nízkou DPPO, pri daňovej strate, zlom roku (vplyv na cash-flow)</w:t>
            </w:r>
            <w:r w:rsidRPr="00614DFC">
              <w:rPr>
                <w:rFonts w:eastAsia="Times New Roman" w:cs="Segoe UI"/>
                <w:color w:val="000000"/>
                <w:sz w:val="16"/>
                <w:szCs w:val="16"/>
                <w:lang w:eastAsia="sk-SK"/>
              </w:rPr>
              <w:br/>
              <w:t>ďalšie zhoršovanie podnikateľského prostredia a konkurencieschopnosti (cyklické odvetvia)</w:t>
            </w:r>
          </w:p>
        </w:tc>
      </w:tr>
      <w:tr w:rsidR="006A0462" w:rsidRPr="00614DFC" w14:paraId="0623DE8B" w14:textId="77777777" w:rsidTr="005F560A">
        <w:trPr>
          <w:trHeight w:val="283"/>
          <w:jc w:val="center"/>
        </w:trPr>
        <w:tc>
          <w:tcPr>
            <w:tcW w:w="2127" w:type="dxa"/>
            <w:tcBorders>
              <w:right w:val="single" w:sz="4" w:space="0" w:color="314364" w:themeColor="text2"/>
            </w:tcBorders>
            <w:vAlign w:val="center"/>
            <w:hideMark/>
          </w:tcPr>
          <w:p w14:paraId="6D40E0FA"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Zvýšenie sadzby osobitného odvodu z podnikania v regulovaných odvetviach pre firmy v oblasti kolektívneho investovania na 15 %</w:t>
            </w:r>
          </w:p>
        </w:tc>
        <w:tc>
          <w:tcPr>
            <w:tcW w:w="835" w:type="dxa"/>
            <w:tcBorders>
              <w:left w:val="single" w:sz="4" w:space="0" w:color="314364" w:themeColor="text2"/>
              <w:right w:val="single" w:sz="4" w:space="0" w:color="314364" w:themeColor="text2"/>
            </w:tcBorders>
            <w:vAlign w:val="center"/>
            <w:hideMark/>
          </w:tcPr>
          <w:p w14:paraId="6D03DB37"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47FDCBAF"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5</w:t>
            </w:r>
          </w:p>
        </w:tc>
        <w:tc>
          <w:tcPr>
            <w:tcW w:w="567" w:type="dxa"/>
            <w:vAlign w:val="center"/>
            <w:hideMark/>
          </w:tcPr>
          <w:p w14:paraId="6E7BD868"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5</w:t>
            </w:r>
          </w:p>
        </w:tc>
        <w:tc>
          <w:tcPr>
            <w:tcW w:w="567" w:type="dxa"/>
            <w:vAlign w:val="center"/>
            <w:hideMark/>
          </w:tcPr>
          <w:p w14:paraId="2029F3D6"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5</w:t>
            </w:r>
          </w:p>
        </w:tc>
        <w:tc>
          <w:tcPr>
            <w:tcW w:w="567" w:type="dxa"/>
            <w:tcBorders>
              <w:right w:val="single" w:sz="4" w:space="0" w:color="314364" w:themeColor="text2"/>
            </w:tcBorders>
            <w:vAlign w:val="center"/>
            <w:hideMark/>
          </w:tcPr>
          <w:p w14:paraId="047C1B82"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5</w:t>
            </w:r>
          </w:p>
        </w:tc>
        <w:tc>
          <w:tcPr>
            <w:tcW w:w="3810" w:type="dxa"/>
            <w:tcBorders>
              <w:left w:val="single" w:sz="4" w:space="0" w:color="314364" w:themeColor="text2"/>
            </w:tcBorders>
            <w:vAlign w:val="center"/>
            <w:hideMark/>
          </w:tcPr>
          <w:p w14:paraId="2837F7A3"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 xml:space="preserve">Potenciálna kompenzácia cez poplatky investorov (sporiteľov), znižovanie atraktivity domáceho kapitálového trhu </w:t>
            </w:r>
          </w:p>
        </w:tc>
      </w:tr>
      <w:tr w:rsidR="006A0462" w:rsidRPr="00614DFC" w14:paraId="7948630E" w14:textId="77777777" w:rsidTr="005F560A">
        <w:trPr>
          <w:trHeight w:val="283"/>
          <w:jc w:val="center"/>
        </w:trPr>
        <w:tc>
          <w:tcPr>
            <w:tcW w:w="2127" w:type="dxa"/>
            <w:tcBorders>
              <w:right w:val="single" w:sz="4" w:space="0" w:color="314364" w:themeColor="text2"/>
            </w:tcBorders>
            <w:vAlign w:val="center"/>
            <w:hideMark/>
          </w:tcPr>
          <w:p w14:paraId="291D220F"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Predĺženie odpočtu na investíciu do tzv. Priemyslu 4.0 do roku 2030</w:t>
            </w:r>
          </w:p>
        </w:tc>
        <w:tc>
          <w:tcPr>
            <w:tcW w:w="835" w:type="dxa"/>
            <w:tcBorders>
              <w:left w:val="single" w:sz="4" w:space="0" w:color="314364" w:themeColor="text2"/>
              <w:right w:val="single" w:sz="4" w:space="0" w:color="314364" w:themeColor="text2"/>
            </w:tcBorders>
            <w:vAlign w:val="center"/>
            <w:hideMark/>
          </w:tcPr>
          <w:p w14:paraId="5DB06FB1"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daňové výdavky</w:t>
            </w:r>
          </w:p>
        </w:tc>
        <w:tc>
          <w:tcPr>
            <w:tcW w:w="567" w:type="dxa"/>
            <w:tcBorders>
              <w:left w:val="single" w:sz="4" w:space="0" w:color="314364" w:themeColor="text2"/>
            </w:tcBorders>
            <w:vAlign w:val="center"/>
            <w:hideMark/>
          </w:tcPr>
          <w:p w14:paraId="54B9B5C3"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0</w:t>
            </w:r>
          </w:p>
        </w:tc>
        <w:tc>
          <w:tcPr>
            <w:tcW w:w="567" w:type="dxa"/>
            <w:vAlign w:val="center"/>
            <w:hideMark/>
          </w:tcPr>
          <w:p w14:paraId="737ED939"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0</w:t>
            </w:r>
          </w:p>
        </w:tc>
        <w:tc>
          <w:tcPr>
            <w:tcW w:w="567" w:type="dxa"/>
            <w:vAlign w:val="center"/>
            <w:hideMark/>
          </w:tcPr>
          <w:p w14:paraId="64604250"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1</w:t>
            </w:r>
          </w:p>
        </w:tc>
        <w:tc>
          <w:tcPr>
            <w:tcW w:w="567" w:type="dxa"/>
            <w:tcBorders>
              <w:right w:val="single" w:sz="4" w:space="0" w:color="314364" w:themeColor="text2"/>
            </w:tcBorders>
            <w:vAlign w:val="center"/>
            <w:hideMark/>
          </w:tcPr>
          <w:p w14:paraId="5BDCD266"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w:t>
            </w:r>
          </w:p>
        </w:tc>
        <w:tc>
          <w:tcPr>
            <w:tcW w:w="3810" w:type="dxa"/>
            <w:tcBorders>
              <w:left w:val="single" w:sz="4" w:space="0" w:color="314364" w:themeColor="text2"/>
            </w:tcBorders>
            <w:vAlign w:val="center"/>
            <w:hideMark/>
          </w:tcPr>
          <w:p w14:paraId="41807D01"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 xml:space="preserve">Vykazovanie investícií sem nespadajúcich, príliš dlhý horizont môže byť kontraproduktívny (technológie z prvého roku budú v poslednom </w:t>
            </w:r>
            <w:r>
              <w:rPr>
                <w:rFonts w:eastAsia="Times New Roman" w:cs="Segoe UI"/>
                <w:color w:val="000000"/>
                <w:sz w:val="16"/>
                <w:szCs w:val="16"/>
                <w:lang w:eastAsia="sk-SK"/>
              </w:rPr>
              <w:t xml:space="preserve">roku </w:t>
            </w:r>
            <w:r w:rsidRPr="00614DFC">
              <w:rPr>
                <w:rFonts w:eastAsia="Times New Roman" w:cs="Segoe UI"/>
                <w:color w:val="000000"/>
                <w:sz w:val="16"/>
                <w:szCs w:val="16"/>
                <w:lang w:eastAsia="sk-SK"/>
              </w:rPr>
              <w:t>zastaralé)</w:t>
            </w:r>
          </w:p>
        </w:tc>
      </w:tr>
      <w:tr w:rsidR="006A0462" w:rsidRPr="00614DFC" w14:paraId="5EAB32B4" w14:textId="77777777" w:rsidTr="005F560A">
        <w:trPr>
          <w:trHeight w:val="283"/>
          <w:jc w:val="center"/>
        </w:trPr>
        <w:tc>
          <w:tcPr>
            <w:tcW w:w="2127" w:type="dxa"/>
            <w:tcBorders>
              <w:right w:val="single" w:sz="4" w:space="0" w:color="314364" w:themeColor="text2"/>
            </w:tcBorders>
            <w:vAlign w:val="center"/>
            <w:hideMark/>
          </w:tcPr>
          <w:p w14:paraId="690D0C2A"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Osobitná sadzba pre ústavných činiteľov z 5 na 10</w:t>
            </w:r>
            <w:r>
              <w:rPr>
                <w:rFonts w:eastAsia="Times New Roman" w:cs="Segoe UI"/>
                <w:color w:val="131D2B"/>
                <w:sz w:val="16"/>
                <w:szCs w:val="16"/>
                <w:lang w:eastAsia="sk-SK"/>
              </w:rPr>
              <w:t xml:space="preserve"> </w:t>
            </w:r>
            <w:r w:rsidRPr="00614DFC">
              <w:rPr>
                <w:rFonts w:eastAsia="Times New Roman" w:cs="Segoe UI"/>
                <w:color w:val="131D2B"/>
                <w:sz w:val="16"/>
                <w:szCs w:val="16"/>
                <w:lang w:eastAsia="sk-SK"/>
              </w:rPr>
              <w:t>%</w:t>
            </w:r>
          </w:p>
        </w:tc>
        <w:tc>
          <w:tcPr>
            <w:tcW w:w="835" w:type="dxa"/>
            <w:tcBorders>
              <w:left w:val="single" w:sz="4" w:space="0" w:color="314364" w:themeColor="text2"/>
              <w:right w:val="single" w:sz="4" w:space="0" w:color="314364" w:themeColor="text2"/>
            </w:tcBorders>
            <w:vAlign w:val="center"/>
            <w:hideMark/>
          </w:tcPr>
          <w:p w14:paraId="34989FAB"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5E3238FD"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0</w:t>
            </w:r>
          </w:p>
        </w:tc>
        <w:tc>
          <w:tcPr>
            <w:tcW w:w="567" w:type="dxa"/>
            <w:vAlign w:val="center"/>
            <w:hideMark/>
          </w:tcPr>
          <w:p w14:paraId="47C121E5"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0</w:t>
            </w:r>
          </w:p>
        </w:tc>
        <w:tc>
          <w:tcPr>
            <w:tcW w:w="567" w:type="dxa"/>
            <w:vAlign w:val="center"/>
            <w:hideMark/>
          </w:tcPr>
          <w:p w14:paraId="573E1BD1"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0</w:t>
            </w:r>
          </w:p>
        </w:tc>
        <w:tc>
          <w:tcPr>
            <w:tcW w:w="567" w:type="dxa"/>
            <w:tcBorders>
              <w:right w:val="single" w:sz="4" w:space="0" w:color="314364" w:themeColor="text2"/>
            </w:tcBorders>
            <w:vAlign w:val="center"/>
            <w:hideMark/>
          </w:tcPr>
          <w:p w14:paraId="04BE01AA"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0</w:t>
            </w:r>
          </w:p>
        </w:tc>
        <w:tc>
          <w:tcPr>
            <w:tcW w:w="3810" w:type="dxa"/>
            <w:tcBorders>
              <w:left w:val="single" w:sz="4" w:space="0" w:color="314364" w:themeColor="text2"/>
            </w:tcBorders>
            <w:vAlign w:val="center"/>
            <w:hideMark/>
          </w:tcPr>
          <w:p w14:paraId="085276FB"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Symbolická úprava, bez významného vplyvu</w:t>
            </w:r>
          </w:p>
        </w:tc>
      </w:tr>
      <w:tr w:rsidR="006A0462" w:rsidRPr="00614DFC" w14:paraId="4AF92CBC" w14:textId="77777777" w:rsidTr="005F560A">
        <w:trPr>
          <w:trHeight w:val="283"/>
          <w:jc w:val="center"/>
        </w:trPr>
        <w:tc>
          <w:tcPr>
            <w:tcW w:w="2127" w:type="dxa"/>
            <w:tcBorders>
              <w:right w:val="single" w:sz="4" w:space="0" w:color="314364" w:themeColor="text2"/>
            </w:tcBorders>
            <w:vAlign w:val="center"/>
            <w:hideMark/>
          </w:tcPr>
          <w:p w14:paraId="68C51415"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 xml:space="preserve">Kompenzácia materstva - zmena zohľadnenia obdobia starostlivosti o dieťa v dôchodku </w:t>
            </w:r>
            <w:r w:rsidRPr="00614DFC">
              <w:rPr>
                <w:rFonts w:eastAsia="Times New Roman" w:cs="Segoe UI"/>
                <w:i/>
                <w:iCs/>
                <w:color w:val="131D2B"/>
                <w:sz w:val="16"/>
                <w:szCs w:val="16"/>
                <w:lang w:eastAsia="sk-SK"/>
              </w:rPr>
              <w:t>(samostatný zákon)</w:t>
            </w:r>
          </w:p>
        </w:tc>
        <w:tc>
          <w:tcPr>
            <w:tcW w:w="835" w:type="dxa"/>
            <w:tcBorders>
              <w:left w:val="single" w:sz="4" w:space="0" w:color="314364" w:themeColor="text2"/>
              <w:right w:val="single" w:sz="4" w:space="0" w:color="314364" w:themeColor="text2"/>
            </w:tcBorders>
            <w:vAlign w:val="center"/>
            <w:hideMark/>
          </w:tcPr>
          <w:p w14:paraId="6BA04AA9"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príjmy</w:t>
            </w:r>
          </w:p>
        </w:tc>
        <w:tc>
          <w:tcPr>
            <w:tcW w:w="567" w:type="dxa"/>
            <w:tcBorders>
              <w:left w:val="single" w:sz="4" w:space="0" w:color="314364" w:themeColor="text2"/>
            </w:tcBorders>
            <w:vAlign w:val="center"/>
            <w:hideMark/>
          </w:tcPr>
          <w:p w14:paraId="7F5D17D9"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0</w:t>
            </w:r>
          </w:p>
        </w:tc>
        <w:tc>
          <w:tcPr>
            <w:tcW w:w="567" w:type="dxa"/>
            <w:vAlign w:val="center"/>
            <w:hideMark/>
          </w:tcPr>
          <w:p w14:paraId="3168D3BF"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24</w:t>
            </w:r>
          </w:p>
        </w:tc>
        <w:tc>
          <w:tcPr>
            <w:tcW w:w="567" w:type="dxa"/>
            <w:vAlign w:val="center"/>
            <w:hideMark/>
          </w:tcPr>
          <w:p w14:paraId="1D90203A"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51</w:t>
            </w:r>
          </w:p>
        </w:tc>
        <w:tc>
          <w:tcPr>
            <w:tcW w:w="567" w:type="dxa"/>
            <w:tcBorders>
              <w:right w:val="single" w:sz="4" w:space="0" w:color="314364" w:themeColor="text2"/>
            </w:tcBorders>
            <w:vAlign w:val="center"/>
            <w:hideMark/>
          </w:tcPr>
          <w:p w14:paraId="3D3122BE"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82</w:t>
            </w:r>
          </w:p>
        </w:tc>
        <w:tc>
          <w:tcPr>
            <w:tcW w:w="3810" w:type="dxa"/>
            <w:tcBorders>
              <w:left w:val="single" w:sz="4" w:space="0" w:color="314364" w:themeColor="text2"/>
            </w:tcBorders>
            <w:vAlign w:val="center"/>
            <w:hideMark/>
          </w:tcPr>
          <w:p w14:paraId="210EAC6A"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Riziko výskytu sporných/hraničných prípadov, nutné úpravy v SP týkajúce sa dávkovej agendy a IT</w:t>
            </w:r>
          </w:p>
        </w:tc>
      </w:tr>
      <w:tr w:rsidR="006A0462" w:rsidRPr="00614DFC" w14:paraId="7A0429BB" w14:textId="77777777" w:rsidTr="005F560A">
        <w:trPr>
          <w:trHeight w:val="283"/>
          <w:jc w:val="center"/>
        </w:trPr>
        <w:tc>
          <w:tcPr>
            <w:tcW w:w="2127" w:type="dxa"/>
            <w:tcBorders>
              <w:right w:val="single" w:sz="4" w:space="0" w:color="314364" w:themeColor="text2"/>
            </w:tcBorders>
            <w:vAlign w:val="center"/>
            <w:hideMark/>
          </w:tcPr>
          <w:p w14:paraId="5435F40C" w14:textId="77777777" w:rsidR="006A0462" w:rsidRPr="00614DFC" w:rsidRDefault="006A0462" w:rsidP="00392A41">
            <w:pPr>
              <w:spacing w:after="0" w:line="240" w:lineRule="auto"/>
              <w:rPr>
                <w:rFonts w:eastAsia="Times New Roman" w:cs="Segoe UI"/>
                <w:color w:val="131D2B"/>
                <w:sz w:val="16"/>
                <w:szCs w:val="16"/>
                <w:lang w:eastAsia="sk-SK"/>
              </w:rPr>
            </w:pPr>
            <w:r w:rsidRPr="00614DFC">
              <w:rPr>
                <w:rFonts w:eastAsia="Times New Roman" w:cs="Segoe UI"/>
                <w:color w:val="131D2B"/>
                <w:sz w:val="16"/>
                <w:szCs w:val="16"/>
                <w:lang w:eastAsia="sk-SK"/>
              </w:rPr>
              <w:t>Zákonná reforma proti využívaniu falošných živností</w:t>
            </w:r>
          </w:p>
        </w:tc>
        <w:tc>
          <w:tcPr>
            <w:tcW w:w="835" w:type="dxa"/>
            <w:tcBorders>
              <w:left w:val="single" w:sz="4" w:space="0" w:color="314364" w:themeColor="text2"/>
              <w:right w:val="single" w:sz="4" w:space="0" w:color="314364" w:themeColor="text2"/>
            </w:tcBorders>
            <w:vAlign w:val="center"/>
            <w:hideMark/>
          </w:tcPr>
          <w:p w14:paraId="34E062B3"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vplyv cez makro</w:t>
            </w:r>
          </w:p>
        </w:tc>
        <w:tc>
          <w:tcPr>
            <w:tcW w:w="567" w:type="dxa"/>
            <w:tcBorders>
              <w:left w:val="single" w:sz="4" w:space="0" w:color="314364" w:themeColor="text2"/>
            </w:tcBorders>
            <w:vAlign w:val="center"/>
            <w:hideMark/>
          </w:tcPr>
          <w:p w14:paraId="1F374DE9" w14:textId="77777777" w:rsidR="006A0462" w:rsidRPr="00614DFC" w:rsidRDefault="006A0462" w:rsidP="00392A41">
            <w:pPr>
              <w:spacing w:after="0" w:line="240" w:lineRule="auto"/>
              <w:jc w:val="center"/>
              <w:rPr>
                <w:rFonts w:eastAsia="Times New Roman" w:cs="Segoe UI"/>
                <w:b/>
                <w:bCs/>
                <w:color w:val="131D2B"/>
                <w:sz w:val="16"/>
                <w:szCs w:val="16"/>
                <w:lang w:eastAsia="sk-SK"/>
              </w:rPr>
            </w:pPr>
            <w:r w:rsidRPr="00614DFC">
              <w:rPr>
                <w:rFonts w:eastAsia="Times New Roman" w:cs="Segoe UI"/>
                <w:b/>
                <w:bCs/>
                <w:color w:val="131D2B"/>
                <w:sz w:val="16"/>
                <w:szCs w:val="16"/>
                <w:lang w:eastAsia="sk-SK"/>
              </w:rPr>
              <w:t>0</w:t>
            </w:r>
          </w:p>
        </w:tc>
        <w:tc>
          <w:tcPr>
            <w:tcW w:w="567" w:type="dxa"/>
            <w:vAlign w:val="center"/>
            <w:hideMark/>
          </w:tcPr>
          <w:p w14:paraId="27B4B82A"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40</w:t>
            </w:r>
          </w:p>
        </w:tc>
        <w:tc>
          <w:tcPr>
            <w:tcW w:w="567" w:type="dxa"/>
            <w:vAlign w:val="center"/>
            <w:hideMark/>
          </w:tcPr>
          <w:p w14:paraId="5B09F8E6"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61</w:t>
            </w:r>
          </w:p>
        </w:tc>
        <w:tc>
          <w:tcPr>
            <w:tcW w:w="567" w:type="dxa"/>
            <w:tcBorders>
              <w:right w:val="single" w:sz="4" w:space="0" w:color="314364" w:themeColor="text2"/>
            </w:tcBorders>
            <w:vAlign w:val="center"/>
            <w:hideMark/>
          </w:tcPr>
          <w:p w14:paraId="289E80FF" w14:textId="77777777" w:rsidR="006A0462" w:rsidRPr="00614DFC" w:rsidRDefault="006A0462" w:rsidP="00392A41">
            <w:pPr>
              <w:spacing w:after="0" w:line="240" w:lineRule="auto"/>
              <w:jc w:val="center"/>
              <w:rPr>
                <w:rFonts w:eastAsia="Times New Roman" w:cs="Segoe UI"/>
                <w:color w:val="131D2B"/>
                <w:sz w:val="16"/>
                <w:szCs w:val="16"/>
                <w:lang w:eastAsia="sk-SK"/>
              </w:rPr>
            </w:pPr>
            <w:r w:rsidRPr="00614DFC">
              <w:rPr>
                <w:rFonts w:eastAsia="Times New Roman" w:cs="Segoe UI"/>
                <w:color w:val="131D2B"/>
                <w:sz w:val="16"/>
                <w:szCs w:val="16"/>
                <w:lang w:eastAsia="sk-SK"/>
              </w:rPr>
              <w:t>81</w:t>
            </w:r>
          </w:p>
        </w:tc>
        <w:tc>
          <w:tcPr>
            <w:tcW w:w="3810" w:type="dxa"/>
            <w:tcBorders>
              <w:left w:val="single" w:sz="4" w:space="0" w:color="314364" w:themeColor="text2"/>
            </w:tcBorders>
            <w:vAlign w:val="center"/>
            <w:hideMark/>
          </w:tcPr>
          <w:p w14:paraId="63C790A0" w14:textId="77777777" w:rsidR="006A0462" w:rsidRPr="00614DFC" w:rsidRDefault="006A0462" w:rsidP="00392A41">
            <w:pPr>
              <w:spacing w:after="0" w:line="240" w:lineRule="auto"/>
              <w:rPr>
                <w:rFonts w:eastAsia="Times New Roman" w:cs="Segoe UI"/>
                <w:color w:val="000000"/>
                <w:sz w:val="16"/>
                <w:szCs w:val="16"/>
                <w:lang w:eastAsia="sk-SK"/>
              </w:rPr>
            </w:pPr>
            <w:r w:rsidRPr="00614DFC">
              <w:rPr>
                <w:rFonts w:eastAsia="Times New Roman" w:cs="Segoe UI"/>
                <w:color w:val="000000"/>
                <w:sz w:val="16"/>
                <w:szCs w:val="16"/>
                <w:lang w:eastAsia="sk-SK"/>
              </w:rPr>
              <w:t>Pomalá adaptácia na úpravu zabehnutých pravidiel, nižší než očakávaný prínos, presun do iných foriem/zahraničia/šedej ekonomiky (namiesto zamestnaneckého pomeru), prenos do inflácie cez vyššie ceny služieb</w:t>
            </w:r>
          </w:p>
        </w:tc>
      </w:tr>
    </w:tbl>
    <w:p w14:paraId="0CC1E273" w14:textId="1DCAF88F" w:rsidR="006A0462" w:rsidRPr="008C3C44" w:rsidRDefault="006A0462" w:rsidP="006A0462">
      <w:pPr>
        <w:pStyle w:val="Zdroj"/>
        <w:rPr>
          <w:bCs/>
        </w:rPr>
      </w:pPr>
      <w:r w:rsidRPr="00614DFC">
        <w:t>Zdroj: MF SR</w:t>
      </w:r>
      <w:r w:rsidR="00AA2E4C">
        <w:rPr>
          <w:lang w:val="en-US"/>
        </w:rPr>
        <w:t>;</w:t>
      </w:r>
      <w:r w:rsidRPr="00614DFC">
        <w:t xml:space="preserve"> </w:t>
      </w:r>
      <w:r>
        <w:t xml:space="preserve">spracovanie </w:t>
      </w:r>
      <w:r w:rsidRPr="00614DFC">
        <w:t>NKÚ SR.</w:t>
      </w:r>
    </w:p>
    <w:p w14:paraId="077F70A9" w14:textId="77777777" w:rsidR="00BA6E74" w:rsidRDefault="00BA6E74" w:rsidP="00BA6E74">
      <w:r w:rsidRPr="00392A41">
        <w:rPr>
          <w:b/>
        </w:rPr>
        <w:t>Medzi opatreniami, ktoré môžu mať nežiadúce vedľajšie účinky, patrí aj viazanie výdavkov MD SR na opravu a údržbu ciest I. triedy.</w:t>
      </w:r>
      <w:r>
        <w:rPr>
          <w:b/>
        </w:rPr>
        <w:t xml:space="preserve"> </w:t>
      </w:r>
      <w:r>
        <w:t>Krátenie týchto prostriedkov zvyšuje riziko zhoršovania stavu dopravnej infraštruktúry, čo môže mať v budúcnosti vyššie fiškálne aj spoločenské náklady. Slovensko má už dnes každý druhý most na cestách I. triedy v zlom stave a počet mostov vo veľmi technicky nevhodnom stave stúpa (z 563 v roku 2020 na 845 v roku 2024).</w:t>
      </w:r>
      <w:r>
        <w:rPr>
          <w:rStyle w:val="Odkaznapoznmkupodiarou"/>
        </w:rPr>
        <w:footnoteReference w:id="8"/>
      </w:r>
    </w:p>
    <w:p w14:paraId="3F11C315" w14:textId="77777777" w:rsidR="00BA6E74" w:rsidRPr="00392A41" w:rsidRDefault="00BA6E74" w:rsidP="00BA6E74">
      <w:pPr>
        <w:rPr>
          <w:b/>
          <w:iCs/>
          <w:color w:val="314364" w:themeColor="text2"/>
          <w:szCs w:val="18"/>
        </w:rPr>
      </w:pPr>
      <w:r w:rsidRPr="00392A41">
        <w:rPr>
          <w:b/>
        </w:rPr>
        <w:t>Úspora vo forme zastavenia valorizácie platov</w:t>
      </w:r>
      <w:r>
        <w:rPr>
          <w:b/>
        </w:rPr>
        <w:t xml:space="preserve"> vrátane zmrazenia platov ústavných činiteľov </w:t>
      </w:r>
      <w:r w:rsidRPr="00392A41">
        <w:rPr>
          <w:b/>
        </w:rPr>
        <w:t>je len dočasného charakteru a jej rozpočtový efekt sa v nasledujúcich rokoch pravdepodobne stratí.</w:t>
      </w:r>
      <w:r>
        <w:rPr>
          <w:b/>
        </w:rPr>
        <w:t xml:space="preserve"> </w:t>
      </w:r>
      <w:r>
        <w:t>V súhrne možno konštatovať, že väčšina výdavkových opatrení má krátkodobý, neštrukturálny charakter a prináša riziko, že konsolidačný efekt v roku 2026 nebude trvalý ani plne realizovateľný.</w:t>
      </w:r>
    </w:p>
    <w:p w14:paraId="13820D02" w14:textId="77777777" w:rsidR="005414A2" w:rsidRDefault="005414A2" w:rsidP="005414A2">
      <w:r w:rsidRPr="00C15BDE">
        <w:rPr>
          <w:b/>
        </w:rPr>
        <w:t>V kontexte konsolidácie je potrebné poukázať na absenciu jasnej vízie, dokedy a akým tempom má Slovensko konsolidáciu realizovať.</w:t>
      </w:r>
      <w:r>
        <w:t xml:space="preserve"> Doteraz prijaté opatrenia sa sústreďujú najmä na príjmovú stranu a výdavková časť je predstavená len vo veľmi všeobecnej rovine, pričom existuje riziko, že viaceré </w:t>
      </w:r>
      <w:r>
        <w:lastRenderedPageBreak/>
        <w:t>plánované úspory sa nepodarí naplniť. Na dosiahnutie dlhodobej udržateľnosti verejných financií bude potrebné doplniť konsolidačnú stratégiu o jasný harmonogram a záväzné ciele, ako aj rozpracovať konkrétne kroky na výdavkovej strane. V tejto súvislosti je načase otvoriť diskusiu aj o hlbších reformách verejnej a štátnej správy, ktoré by priniesli trvalejšie a udržateľnejšie riešenia v oblasti efektívnejšieho využívania verejných zdrojov.</w:t>
      </w:r>
    </w:p>
    <w:p w14:paraId="7F39D140" w14:textId="32371A81" w:rsidR="005414A2" w:rsidRDefault="005414A2" w:rsidP="004C5312">
      <w:r w:rsidRPr="00C15BDE">
        <w:rPr>
          <w:b/>
        </w:rPr>
        <w:t>Ďalším rizikom, ktoré je potrebné zdôrazniť</w:t>
      </w:r>
      <w:r>
        <w:rPr>
          <w:b/>
        </w:rPr>
        <w:t xml:space="preserve"> pri hodnotení konsolidačných opatrení</w:t>
      </w:r>
      <w:r w:rsidRPr="00C15BDE">
        <w:rPr>
          <w:b/>
        </w:rPr>
        <w:t>, je tzv. konsolidačná</w:t>
      </w:r>
      <w:r>
        <w:rPr>
          <w:b/>
        </w:rPr>
        <w:t xml:space="preserve"> </w:t>
      </w:r>
      <w:r w:rsidRPr="00C15BDE">
        <w:rPr>
          <w:b/>
        </w:rPr>
        <w:t xml:space="preserve">únava. </w:t>
      </w:r>
      <w:r>
        <w:t>Ide o situáciu, keď po prijatí viacerých balíkov konsolidačných opatrení dochádza k poklesu politickej vôle a spoločenskej akceptácie ďalších krokov, ktoré sú nevyhnutné na dosiahnutie strednodobých fiškálnych cieľov. V prípade Slovenska je toto riziko umocnené tým, že aj po rozsiahlych balíkoch v rokoch 2023 až 2025 zostáva deficit verejných financií podľa odhadov na vysokej úrovni. Bez dostatočnej politickej a spoločenskej podpory môže hroziť, že konsolidačné opatrenia budú odkladané alebo realizované len čiastočne, čo by zvyšovalo riziko ne</w:t>
      </w:r>
      <w:r w:rsidR="00CD1070">
        <w:t>dodržiavania</w:t>
      </w:r>
      <w:r>
        <w:t xml:space="preserve"> európskych fiškálnych pravidiel a oslabovalo dôveryhodnosť fiškálnej politiky Slovenska.</w:t>
      </w:r>
    </w:p>
    <w:p w14:paraId="1F5E7DC0" w14:textId="2230E346" w:rsidR="00A04CC6" w:rsidRPr="000861DA" w:rsidRDefault="00A04CC6" w:rsidP="00A04CC6">
      <w:pPr>
        <w:rPr>
          <w:b/>
          <w:bCs/>
        </w:rPr>
      </w:pPr>
      <w:r w:rsidRPr="00BB314F">
        <w:rPr>
          <w:b/>
        </w:rPr>
        <w:t>NKÚ SR upozorňuje</w:t>
      </w:r>
      <w:r>
        <w:rPr>
          <w:b/>
        </w:rPr>
        <w:t xml:space="preserve">, že predložený rozpočet prináša </w:t>
      </w:r>
      <w:r w:rsidR="00564B2E">
        <w:rPr>
          <w:b/>
        </w:rPr>
        <w:t>nevyhnutné</w:t>
      </w:r>
      <w:r>
        <w:rPr>
          <w:b/>
        </w:rPr>
        <w:t xml:space="preserve"> úsilie o ozdravenie verejných financií, avšak konsolidácia je z veľkej časti založená na dočasných a príjmových opatreniach. </w:t>
      </w:r>
      <w:r>
        <w:t>Trvalé zlepšenie fiškálnej pozície si bude vyžadovať hlbšie systémové reformy a vyššiu transparentnosť výdavkových úspor. Navyše, pre udržanie trajektórie deficitu pod 3 % HDP bude potrebné prijať dodatočné opatrenia v rozsahu 1,8 % HDP, čo naznačuje, že konsolidácia zďaleka nie je ukončená.</w:t>
      </w:r>
      <w:r w:rsidR="000861DA" w:rsidRPr="000861DA">
        <w:t xml:space="preserve"> </w:t>
      </w:r>
      <w:r w:rsidR="000861DA" w:rsidRPr="000861DA">
        <w:rPr>
          <w:b/>
          <w:bCs/>
        </w:rPr>
        <w:t>V tejto súvislosti NKÚ SR odporúča, aby Akčný plán boja proti daňovým únikom bol verejne diskutovaný a pravidelne odpočtovaný, keďže ide o nástroj, ktorý môže významne prispieť k posilneniu transparentnosti a zefektívneniu príjmovej politiky štátu.</w:t>
      </w:r>
    </w:p>
    <w:p w14:paraId="5C8F5F2F" w14:textId="07009671" w:rsidR="00DA335D" w:rsidRDefault="00CD1070" w:rsidP="00440621">
      <w:pPr>
        <w:pStyle w:val="Nadpis2"/>
      </w:pPr>
      <w:r>
        <w:t xml:space="preserve"> </w:t>
      </w:r>
      <w:bookmarkStart w:id="12" w:name="_Toc211249076"/>
      <w:r w:rsidR="00DA335D" w:rsidRPr="00DA335D">
        <w:t xml:space="preserve">Daňové a odvodové príjmy </w:t>
      </w:r>
      <w:r w:rsidR="00032ADE">
        <w:t>verejnej správy</w:t>
      </w:r>
      <w:bookmarkEnd w:id="12"/>
    </w:p>
    <w:p w14:paraId="0A2BCE95" w14:textId="023A697C" w:rsidR="00D3599C" w:rsidRDefault="00D3599C" w:rsidP="00D3599C">
      <w:r w:rsidRPr="00781508">
        <w:rPr>
          <w:b/>
        </w:rPr>
        <w:t>Podľa daňovej prognózy</w:t>
      </w:r>
      <w:r w:rsidRPr="004426E3">
        <w:rPr>
          <w:rStyle w:val="Odkaznapoznmkupodiarou"/>
          <w:bCs/>
        </w:rPr>
        <w:footnoteReference w:id="9"/>
      </w:r>
      <w:r w:rsidRPr="004426E3">
        <w:rPr>
          <w:bCs/>
        </w:rPr>
        <w:t xml:space="preserve"> </w:t>
      </w:r>
      <w:r w:rsidRPr="00781508">
        <w:rPr>
          <w:b/>
        </w:rPr>
        <w:t>sa v roku 2025 očakáva medziročný rast daňovo-odvodových príjmov VS na úrovni približne 8,1 %, čo predstavuje medziročné zvýšenie zhruba o 3,4 mld. eur.</w:t>
      </w:r>
      <w:r>
        <w:rPr>
          <w:b/>
        </w:rPr>
        <w:t xml:space="preserve"> </w:t>
      </w:r>
      <w:r>
        <w:t xml:space="preserve">Tento rast je podporený </w:t>
      </w:r>
      <w:r w:rsidR="0029155E">
        <w:t>novými konsolidačnými opatreniami</w:t>
      </w:r>
      <w:r>
        <w:t xml:space="preserve"> a</w:t>
      </w:r>
      <w:r w:rsidR="0029155E">
        <w:t> makroekonomickým vývojom</w:t>
      </w:r>
      <w:r>
        <w:t xml:space="preserve">. Oproti schválenému </w:t>
      </w:r>
      <w:r w:rsidR="004426E3">
        <w:t>RVS</w:t>
      </w:r>
      <w:r>
        <w:t xml:space="preserve"> na roky 2025 – 2027 dochádza k poklesu príjmov o takmer jednu miliardu eur, najmä kvôli nižším výnosom z DPH a dani z finančných transakcií. V porovnaní s júnovou prognózou 2025 sú celkové príjmy takmer na rovnakej úrovni s miernymi odchýlkami. Pokles z dôvodu EDS je kompenzovaný pozitívnym efektom konsolidácie, čím sa čistý vplyv približuje nule.</w:t>
      </w:r>
    </w:p>
    <w:p w14:paraId="56E465E9" w14:textId="1DF4AD5C" w:rsidR="009729A0" w:rsidRPr="00135E08" w:rsidRDefault="009729A0" w:rsidP="009729A0">
      <w:pPr>
        <w:rPr>
          <w:b/>
        </w:rPr>
      </w:pPr>
      <w:r w:rsidRPr="00135E08">
        <w:rPr>
          <w:b/>
        </w:rPr>
        <w:t>Nižší výnos DPH je ovplyvnený aj poklesom efektívnej daňovej sadzby</w:t>
      </w:r>
      <w:r w:rsidR="001A5615">
        <w:rPr>
          <w:bCs/>
        </w:rPr>
        <w:t xml:space="preserve"> (EDS)</w:t>
      </w:r>
      <w:r w:rsidRPr="00135E08">
        <w:rPr>
          <w:b/>
        </w:rPr>
        <w:t>, ktorá dosiahla v druhom štvrťroku 2025 úroveň 16 %, č</w:t>
      </w:r>
      <w:r w:rsidR="001A5615">
        <w:rPr>
          <w:b/>
        </w:rPr>
        <w:t>í</w:t>
      </w:r>
      <w:r w:rsidRPr="00135E08">
        <w:rPr>
          <w:b/>
        </w:rPr>
        <w:t>m sa vrátila na úroveň z roku 2020</w:t>
      </w:r>
      <w:r>
        <w:rPr>
          <w:b/>
        </w:rPr>
        <w:t xml:space="preserve"> </w:t>
      </w:r>
      <w:r w:rsidRPr="00135E08">
        <w:t xml:space="preserve">(graf </w:t>
      </w:r>
      <w:r w:rsidR="001A5615">
        <w:t>2</w:t>
      </w:r>
      <w:r w:rsidRPr="00135E08">
        <w:t>)</w:t>
      </w:r>
      <w:r w:rsidRPr="00135E08">
        <w:rPr>
          <w:b/>
        </w:rPr>
        <w:t xml:space="preserve">. </w:t>
      </w:r>
      <w:r>
        <w:t>Po poklese na minimum okolo 12 % v roku 2012, EDS postupne rástla až k takmer 18 % začiatkom roka 2023, čo odrážalo posilnenie úspešnosti výberu dane a účinnosť opatrení proti daňovým únikom. Od roku 2023 však dochádza k</w:t>
      </w:r>
      <w:r w:rsidR="001A5615">
        <w:t xml:space="preserve"> jej </w:t>
      </w:r>
      <w:r>
        <w:t>postupnému znižovaniu a v polovici roka 2025 dosahuje približne 16 %.</w:t>
      </w:r>
    </w:p>
    <w:p w14:paraId="72E692BF" w14:textId="5B7E7D46" w:rsidR="009729A0" w:rsidRPr="00BC3CA3" w:rsidRDefault="009729A0" w:rsidP="009729A0">
      <w:pPr>
        <w:pStyle w:val="Popis"/>
        <w:keepNext/>
        <w:rPr>
          <w:color w:val="314364"/>
        </w:rPr>
      </w:pPr>
      <w:r w:rsidRPr="009729A0">
        <w:rPr>
          <w:color w:val="314364"/>
        </w:rPr>
        <w:lastRenderedPageBreak/>
        <w:t xml:space="preserve"> </w:t>
      </w:r>
      <w:r w:rsidRPr="00BC3CA3">
        <w:rPr>
          <w:color w:val="314364"/>
        </w:rPr>
        <w:t>Graf</w:t>
      </w:r>
      <w:r w:rsidR="001A5615">
        <w:rPr>
          <w:color w:val="314364"/>
        </w:rPr>
        <w:t xml:space="preserve"> 2</w:t>
      </w:r>
      <w:r w:rsidRPr="00BC3CA3">
        <w:rPr>
          <w:color w:val="314364"/>
        </w:rPr>
        <w:t>:</w:t>
      </w:r>
      <w:r>
        <w:rPr>
          <w:color w:val="314364"/>
        </w:rPr>
        <w:t xml:space="preserve"> </w:t>
      </w:r>
      <w:r w:rsidRPr="00A2150E">
        <w:rPr>
          <w:color w:val="314364"/>
        </w:rPr>
        <w:t>Vývoj efektívnej daňovej sadzby</w:t>
      </w:r>
      <w:r>
        <w:rPr>
          <w:color w:val="314364"/>
        </w:rPr>
        <w:t xml:space="preserve"> DPH od 2010 do 2025 (v %)</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729A0" w:rsidRPr="00C75134" w14:paraId="01EEC2CD" w14:textId="77777777" w:rsidTr="005F567F">
        <w:trPr>
          <w:trHeight w:val="3118"/>
        </w:trPr>
        <w:tc>
          <w:tcPr>
            <w:tcW w:w="9070" w:type="dxa"/>
            <w:tcBorders>
              <w:top w:val="single" w:sz="4" w:space="0" w:color="314364"/>
              <w:bottom w:val="single" w:sz="4" w:space="0" w:color="314364"/>
            </w:tcBorders>
            <w:vAlign w:val="center"/>
          </w:tcPr>
          <w:p w14:paraId="12989091" w14:textId="77777777" w:rsidR="009729A0" w:rsidRPr="00C75134" w:rsidRDefault="009729A0" w:rsidP="005F567F">
            <w:pPr>
              <w:spacing w:after="0"/>
              <w:rPr>
                <w:b/>
                <w:color w:val="576431"/>
              </w:rPr>
            </w:pPr>
            <w:r>
              <w:rPr>
                <w:noProof/>
                <w:lang w:eastAsia="sk-SK"/>
              </w:rPr>
              <w:drawing>
                <wp:inline distT="0" distB="0" distL="0" distR="0" wp14:anchorId="3F05EDF0" wp14:editId="6185DEC9">
                  <wp:extent cx="5760000" cy="1980000"/>
                  <wp:effectExtent l="0" t="0" r="0" b="1270"/>
                  <wp:docPr id="20" name="Graf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bl>
    <w:p w14:paraId="3FB3E7D2" w14:textId="17DDD958" w:rsidR="009729A0" w:rsidRDefault="009729A0" w:rsidP="009729A0">
      <w:pPr>
        <w:pStyle w:val="Zdroj"/>
        <w:spacing w:after="0"/>
        <w:jc w:val="both"/>
      </w:pPr>
      <w:r w:rsidRPr="00627D87">
        <w:t xml:space="preserve">Zdroj: </w:t>
      </w:r>
      <w:r>
        <w:t>MF SR</w:t>
      </w:r>
      <w:r w:rsidR="00496CD0">
        <w:t>.</w:t>
      </w:r>
    </w:p>
    <w:p w14:paraId="41C9D13D" w14:textId="5C2FBC18" w:rsidR="009729A0" w:rsidRDefault="009729A0" w:rsidP="001A5615">
      <w:pPr>
        <w:pStyle w:val="Zdroj"/>
        <w:jc w:val="both"/>
      </w:pPr>
      <w:r>
        <w:t xml:space="preserve">Poznámky: </w:t>
      </w:r>
      <w:r w:rsidR="008F6D87">
        <w:t>Z</w:t>
      </w:r>
      <w:r>
        <w:t xml:space="preserve"> metodického hľadiska treba zohľadniť aj zmenu výpočtu EDS v roku 2024, ktorá zahrnula tržby za elektronické služby v rámci systému One Stop Shop. V porovnaní s ukazovateľom daňovej medzery má EDS výhodu, že poskytuje okamžitú proxy informáciu o úspešnosti výberu DPH.</w:t>
      </w:r>
    </w:p>
    <w:p w14:paraId="56AB2BE5" w14:textId="377B1FBE" w:rsidR="00D3599C" w:rsidRDefault="00D3599C" w:rsidP="00377BD2">
      <w:r w:rsidRPr="00B30479">
        <w:rPr>
          <w:b/>
        </w:rPr>
        <w:t xml:space="preserve">V roku 2026 sa </w:t>
      </w:r>
      <w:r>
        <w:rPr>
          <w:b/>
        </w:rPr>
        <w:t xml:space="preserve">podľa prognózy </w:t>
      </w:r>
      <w:r w:rsidRPr="00B30479">
        <w:rPr>
          <w:b/>
        </w:rPr>
        <w:t xml:space="preserve">predpokladá mierne spomalenie rastu daňovo-odvodových príjmov </w:t>
      </w:r>
      <w:r>
        <w:rPr>
          <w:b/>
        </w:rPr>
        <w:t xml:space="preserve">na úroveň 6,8 %, čo zodpovedá medziročnému nárastu o vyše 3 mld. eur. </w:t>
      </w:r>
      <w:r>
        <w:t xml:space="preserve">Najvýraznejší podiel na tomto raste budú mať nové konsolidačné opatrenia, najmä zvýšenie zdravotných odvodov zamestnancov a odvodov </w:t>
      </w:r>
      <w:r w:rsidR="006306C7">
        <w:t>S</w:t>
      </w:r>
      <w:r w:rsidR="0085401E">
        <w:t>Z</w:t>
      </w:r>
      <w:r w:rsidR="006306C7">
        <w:t>ČO</w:t>
      </w:r>
      <w:r>
        <w:t xml:space="preserve">. Konsolidácia verejných financií prispieva k necelej polovici celkového rastu, s legislatívnym vplyvom okolo </w:t>
      </w:r>
      <w:r w:rsidR="001B7DFF">
        <w:t>1 mld.</w:t>
      </w:r>
      <w:r>
        <w:t xml:space="preserve"> eur. Makroekonomický vývoj zostáva pozitívny, podporený rastom nominálneho HDP a mzdovej bázy, čo zvyšuje výnosy z DPFO zo závislej činnosti a sociálnych odvodov. Napriek tomu pokles EDS pri DPH a spotrebných daniach naďalej tlmí celkový rast. Oproti júnovej prognóze sa príjmy zvyšujú o viac ako</w:t>
      </w:r>
      <w:r w:rsidR="001B7DFF">
        <w:t>1 mld.</w:t>
      </w:r>
      <w:r>
        <w:t xml:space="preserve"> eur, čo je výsledok pozitívneho vplyvu konsolidácie</w:t>
      </w:r>
      <w:r w:rsidR="00E1074F">
        <w:t xml:space="preserve"> (graf 3)</w:t>
      </w:r>
      <w:r>
        <w:t>.</w:t>
      </w:r>
    </w:p>
    <w:p w14:paraId="6CEBA596" w14:textId="77777777" w:rsidR="00933176" w:rsidRPr="00BC3CA3" w:rsidRDefault="00933176" w:rsidP="00933176">
      <w:pPr>
        <w:pStyle w:val="Popis"/>
        <w:keepNext/>
        <w:rPr>
          <w:color w:val="314364"/>
        </w:rPr>
      </w:pPr>
      <w:r w:rsidRPr="00BC3CA3">
        <w:rPr>
          <w:color w:val="314364"/>
        </w:rPr>
        <w:t>Graf</w:t>
      </w:r>
      <w:r>
        <w:rPr>
          <w:color w:val="314364"/>
        </w:rPr>
        <w:t xml:space="preserve"> 3</w:t>
      </w:r>
      <w:r w:rsidRPr="00BC3CA3">
        <w:rPr>
          <w:color w:val="314364"/>
        </w:rPr>
        <w:t>:</w:t>
      </w:r>
      <w:r>
        <w:rPr>
          <w:color w:val="314364"/>
        </w:rPr>
        <w:t xml:space="preserve"> </w:t>
      </w:r>
      <w:r w:rsidRPr="00987D5D">
        <w:rPr>
          <w:color w:val="314364"/>
        </w:rPr>
        <w:t>Porovnanie prog</w:t>
      </w:r>
      <w:r>
        <w:rPr>
          <w:color w:val="314364"/>
        </w:rPr>
        <w:t>nóz výberu daní a odvodov v roku 2026</w:t>
      </w:r>
      <w:r w:rsidRPr="00987D5D">
        <w:rPr>
          <w:color w:val="314364"/>
        </w:rPr>
        <w:t xml:space="preserve"> (</w:t>
      </w:r>
      <w:r>
        <w:rPr>
          <w:color w:val="314364"/>
        </w:rPr>
        <w:t>ESA2010, v tis. eur)</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rsidRPr="00C75134" w14:paraId="52950DA7" w14:textId="77777777" w:rsidTr="00BB314F">
        <w:trPr>
          <w:trHeight w:val="3969"/>
        </w:trPr>
        <w:tc>
          <w:tcPr>
            <w:tcW w:w="9070" w:type="dxa"/>
            <w:tcBorders>
              <w:top w:val="single" w:sz="4" w:space="0" w:color="314364"/>
              <w:bottom w:val="single" w:sz="4" w:space="0" w:color="314364"/>
            </w:tcBorders>
            <w:vAlign w:val="center"/>
          </w:tcPr>
          <w:p w14:paraId="273C6255" w14:textId="77777777" w:rsidR="00933176" w:rsidRPr="00C75134" w:rsidRDefault="00933176" w:rsidP="00BB314F">
            <w:pPr>
              <w:spacing w:after="0"/>
              <w:rPr>
                <w:b/>
                <w:color w:val="576431"/>
              </w:rPr>
            </w:pPr>
            <w:r>
              <w:rPr>
                <w:noProof/>
                <w:lang w:eastAsia="sk-SK"/>
              </w:rPr>
              <w:drawing>
                <wp:inline distT="0" distB="0" distL="0" distR="0" wp14:anchorId="2A7E1084" wp14:editId="414C504D">
                  <wp:extent cx="5759450" cy="2631440"/>
                  <wp:effectExtent l="0" t="0" r="0" b="0"/>
                  <wp:docPr id="7"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14:paraId="3B39910A" w14:textId="77777777" w:rsidR="00933176" w:rsidRDefault="00933176" w:rsidP="00933176">
      <w:pPr>
        <w:pStyle w:val="Zdroj"/>
      </w:pPr>
      <w:r w:rsidRPr="00627D87">
        <w:t xml:space="preserve">Zdroj: </w:t>
      </w:r>
      <w:r>
        <w:t>MF SR.</w:t>
      </w:r>
    </w:p>
    <w:p w14:paraId="466A98D2" w14:textId="77777777" w:rsidR="008F6D87" w:rsidRPr="00D3599C" w:rsidRDefault="008F6D87" w:rsidP="008F6D87">
      <w:r w:rsidRPr="00BB314F">
        <w:rPr>
          <w:b/>
        </w:rPr>
        <w:t>NKÚ SR upozorňuje, že aj napriek plánovanému rastu daňovo-odvodových príjmov zostáva ich štruktúra málo priaznivá pre hospodársky rast.</w:t>
      </w:r>
      <w:r>
        <w:t xml:space="preserve"> Konsolidácia postavená primárne na zvyšovaní odvodov a nepriamych daní prináša riziko utlmenia ekonomickej aktivity a vytvára tlak na reálne príjmy obyvateľstva. Udržateľné posilnenie príjmovej strany rozpočtu si vyžaduje efektívnosť výberu daní a širšie zapojenie majetkových a environmentálnych zdrojov.</w:t>
      </w:r>
    </w:p>
    <w:p w14:paraId="4C8A08B8" w14:textId="488BAA4E" w:rsidR="00AB6CA8" w:rsidRDefault="00564B2E" w:rsidP="00C0783B">
      <w:pPr>
        <w:pStyle w:val="Nadpis3"/>
      </w:pPr>
      <w:bookmarkStart w:id="13" w:name="_Toc178602799"/>
      <w:bookmarkStart w:id="14" w:name="_Toc86396374"/>
      <w:r>
        <w:lastRenderedPageBreak/>
        <w:t xml:space="preserve"> </w:t>
      </w:r>
      <w:bookmarkStart w:id="15" w:name="_Toc211249077"/>
      <w:r w:rsidR="00AB6CA8">
        <w:t>Zdravotné odvody</w:t>
      </w:r>
      <w:bookmarkEnd w:id="13"/>
      <w:bookmarkEnd w:id="15"/>
    </w:p>
    <w:p w14:paraId="65E64B80" w14:textId="58C889E5" w:rsidR="00BD2F76" w:rsidRDefault="00BD2F76" w:rsidP="00BD2F76">
      <w:pPr>
        <w:rPr>
          <w:rFonts w:cs="Segoe UI"/>
        </w:rPr>
      </w:pPr>
      <w:r w:rsidRPr="00937DA4">
        <w:rPr>
          <w:rFonts w:cs="Segoe UI"/>
          <w:b/>
        </w:rPr>
        <w:t>Podľa predbežných údajov budú mesačné zdravotné odvody ekonomicky</w:t>
      </w:r>
      <w:r w:rsidR="00496CD0">
        <w:rPr>
          <w:rFonts w:cs="Segoe UI"/>
          <w:b/>
        </w:rPr>
        <w:t xml:space="preserve"> </w:t>
      </w:r>
      <w:r w:rsidRPr="00937DA4">
        <w:rPr>
          <w:rFonts w:cs="Segoe UI"/>
          <w:b/>
        </w:rPr>
        <w:t xml:space="preserve">aktívneho obyvateľstva </w:t>
      </w:r>
      <w:r w:rsidR="00496CD0" w:rsidRPr="006209A5">
        <w:rPr>
          <w:rFonts w:cs="Segoe UI"/>
          <w:bCs/>
        </w:rPr>
        <w:t>(EAO)</w:t>
      </w:r>
      <w:r w:rsidR="00496CD0" w:rsidRPr="00937DA4">
        <w:rPr>
          <w:rFonts w:cs="Segoe UI"/>
          <w:b/>
        </w:rPr>
        <w:t xml:space="preserve"> </w:t>
      </w:r>
      <w:r w:rsidR="00DF6672">
        <w:rPr>
          <w:rFonts w:cs="Segoe UI"/>
          <w:b/>
        </w:rPr>
        <w:t xml:space="preserve">za rok 2025 </w:t>
      </w:r>
      <w:r w:rsidR="00496CD0">
        <w:rPr>
          <w:rFonts w:cs="Segoe UI"/>
          <w:b/>
        </w:rPr>
        <w:t xml:space="preserve">predstavovať </w:t>
      </w:r>
      <w:r w:rsidRPr="00937DA4">
        <w:rPr>
          <w:rFonts w:cs="Segoe UI"/>
          <w:b/>
        </w:rPr>
        <w:t>takmer 3,5 násobok mesačného odvodu za poistencov štátu.</w:t>
      </w:r>
      <w:r w:rsidRPr="00937DA4">
        <w:rPr>
          <w:rFonts w:cs="Segoe UI"/>
        </w:rPr>
        <w:t xml:space="preserve"> </w:t>
      </w:r>
      <w:r w:rsidR="00DF6672">
        <w:rPr>
          <w:rFonts w:cs="Segoe UI"/>
        </w:rPr>
        <w:t>Kým</w:t>
      </w:r>
      <w:r w:rsidRPr="00937DA4">
        <w:rPr>
          <w:rFonts w:cs="Segoe UI"/>
        </w:rPr>
        <w:t xml:space="preserve"> mesačná platba EAO</w:t>
      </w:r>
      <w:r>
        <w:rPr>
          <w:rFonts w:cs="Segoe UI"/>
        </w:rPr>
        <w:t xml:space="preserve"> sa</w:t>
      </w:r>
      <w:r w:rsidRPr="00937DA4">
        <w:rPr>
          <w:rFonts w:cs="Segoe UI"/>
        </w:rPr>
        <w:t xml:space="preserve"> k júnu 2025</w:t>
      </w:r>
      <w:r w:rsidR="00CD1070">
        <w:rPr>
          <w:rFonts w:cs="Segoe UI"/>
        </w:rPr>
        <w:t>,</w:t>
      </w:r>
      <w:r w:rsidRPr="00937DA4">
        <w:rPr>
          <w:rFonts w:cs="Segoe UI"/>
        </w:rPr>
        <w:t xml:space="preserve"> podľa očakávanej skutočnosti</w:t>
      </w:r>
      <w:r w:rsidR="00CD1070">
        <w:rPr>
          <w:rFonts w:cs="Segoe UI"/>
        </w:rPr>
        <w:t>,</w:t>
      </w:r>
      <w:r>
        <w:rPr>
          <w:rFonts w:cs="Segoe UI"/>
        </w:rPr>
        <w:t xml:space="preserve"> medziročne</w:t>
      </w:r>
      <w:r w:rsidRPr="00937DA4">
        <w:rPr>
          <w:rFonts w:cs="Segoe UI"/>
        </w:rPr>
        <w:t xml:space="preserve"> zvýšila o 12 eur </w:t>
      </w:r>
      <w:r w:rsidR="00CD1070" w:rsidRPr="006F2D60">
        <w:rPr>
          <w:szCs w:val="24"/>
        </w:rPr>
        <w:t>–</w:t>
      </w:r>
      <w:r w:rsidR="00CD1070">
        <w:rPr>
          <w:szCs w:val="24"/>
        </w:rPr>
        <w:t xml:space="preserve"> </w:t>
      </w:r>
      <w:r w:rsidRPr="00937DA4">
        <w:rPr>
          <w:rFonts w:cs="Segoe UI"/>
        </w:rPr>
        <w:t xml:space="preserve">na 227 eur, štát odvedie za </w:t>
      </w:r>
      <w:r w:rsidRPr="00E1074F">
        <w:rPr>
          <w:rFonts w:cs="Segoe UI"/>
        </w:rPr>
        <w:t xml:space="preserve">svojich poistencov o 5 eur viac oproti minulému roku a tak mesačná platba dosiahne 66 eur (graf </w:t>
      </w:r>
      <w:r w:rsidR="00E1074F" w:rsidRPr="00E1074F">
        <w:rPr>
          <w:rFonts w:cs="Segoe UI"/>
        </w:rPr>
        <w:t>4</w:t>
      </w:r>
      <w:r w:rsidRPr="00E1074F">
        <w:rPr>
          <w:rFonts w:cs="Segoe UI"/>
        </w:rPr>
        <w:t>).</w:t>
      </w:r>
      <w:r w:rsidRPr="00937DA4">
        <w:rPr>
          <w:rFonts w:cs="Segoe UI"/>
        </w:rPr>
        <w:t xml:space="preserve"> </w:t>
      </w:r>
      <w:r>
        <w:rPr>
          <w:rFonts w:cs="Segoe UI"/>
        </w:rPr>
        <w:t>Ako aj po minulé roky</w:t>
      </w:r>
      <w:r w:rsidR="00EF1C9C">
        <w:rPr>
          <w:rFonts w:cs="Segoe UI"/>
        </w:rPr>
        <w:t>,</w:t>
      </w:r>
      <w:r>
        <w:rPr>
          <w:rFonts w:cs="Segoe UI"/>
        </w:rPr>
        <w:t xml:space="preserve"> platby od EAO </w:t>
      </w:r>
      <w:r w:rsidR="00EF5648">
        <w:rPr>
          <w:rFonts w:cs="Segoe UI"/>
        </w:rPr>
        <w:t xml:space="preserve">budú </w:t>
      </w:r>
      <w:r w:rsidR="00EF1C9C">
        <w:rPr>
          <w:rFonts w:cs="Segoe UI"/>
        </w:rPr>
        <w:t xml:space="preserve">v roku 2026 </w:t>
      </w:r>
      <w:r>
        <w:rPr>
          <w:rFonts w:cs="Segoe UI"/>
        </w:rPr>
        <w:t>hlavným zdrojom navýšeni</w:t>
      </w:r>
      <w:r w:rsidR="00EF1C9C">
        <w:rPr>
          <w:rFonts w:cs="Segoe UI"/>
        </w:rPr>
        <w:t>a</w:t>
      </w:r>
      <w:r>
        <w:rPr>
          <w:rFonts w:cs="Segoe UI"/>
        </w:rPr>
        <w:t xml:space="preserve"> prostriedkov do systému verejného zdravotného poistenia (VZP)</w:t>
      </w:r>
      <w:r w:rsidR="00EF1C9C">
        <w:rPr>
          <w:rFonts w:cs="Segoe UI"/>
        </w:rPr>
        <w:t>, a to aj napriek zvýšenej platbe za poistenca štátu na úroveň 76,2 eur mesačne</w:t>
      </w:r>
      <w:r w:rsidR="00EF1C9C">
        <w:rPr>
          <w:rStyle w:val="Odkaznapoznmkupodiarou"/>
          <w:rFonts w:cs="Segoe UI"/>
        </w:rPr>
        <w:footnoteReference w:id="10"/>
      </w:r>
      <w:r w:rsidR="00EF1C9C">
        <w:rPr>
          <w:rFonts w:cs="Segoe UI"/>
        </w:rPr>
        <w:t>.</w:t>
      </w:r>
    </w:p>
    <w:p w14:paraId="5DD2B762" w14:textId="77777777" w:rsidR="00933176" w:rsidRPr="00BC3CA3" w:rsidRDefault="00933176" w:rsidP="00933176">
      <w:pPr>
        <w:pStyle w:val="Popis"/>
        <w:keepNext/>
        <w:rPr>
          <w:color w:val="314364"/>
        </w:rPr>
      </w:pPr>
      <w:r w:rsidRPr="00BC3CA3">
        <w:rPr>
          <w:color w:val="314364"/>
        </w:rPr>
        <w:t>Graf</w:t>
      </w:r>
      <w:r>
        <w:rPr>
          <w:color w:val="314364"/>
        </w:rPr>
        <w:t xml:space="preserve"> 4</w:t>
      </w:r>
      <w:r w:rsidRPr="00BC3CA3">
        <w:rPr>
          <w:color w:val="314364"/>
        </w:rPr>
        <w:t>:</w:t>
      </w:r>
      <w:r>
        <w:rPr>
          <w:color w:val="314364"/>
        </w:rPr>
        <w:t xml:space="preserve"> </w:t>
      </w:r>
      <w:r w:rsidRPr="00BD2F76">
        <w:rPr>
          <w:color w:val="314364"/>
        </w:rPr>
        <w:t xml:space="preserve">Príjmy VZP a vývoj priemernej mesačnej platby za poistencov v rokoch 2013 </w:t>
      </w:r>
      <w:r>
        <w:rPr>
          <w:color w:val="314364"/>
        </w:rPr>
        <w:t>až</w:t>
      </w:r>
      <w:r w:rsidRPr="00BD2F76">
        <w:rPr>
          <w:color w:val="314364"/>
        </w:rPr>
        <w:t xml:space="preserve"> 202</w:t>
      </w:r>
      <w:r>
        <w:rPr>
          <w:color w:val="314364"/>
        </w:rPr>
        <w:t>6</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rsidRPr="00C75134" w14:paraId="5311C5E8" w14:textId="77777777" w:rsidTr="00BB314F">
        <w:trPr>
          <w:trHeight w:val="2507"/>
        </w:trPr>
        <w:tc>
          <w:tcPr>
            <w:tcW w:w="9070" w:type="dxa"/>
            <w:tcBorders>
              <w:top w:val="single" w:sz="4" w:space="0" w:color="314364"/>
              <w:bottom w:val="single" w:sz="4" w:space="0" w:color="314364"/>
            </w:tcBorders>
            <w:vAlign w:val="center"/>
          </w:tcPr>
          <w:p w14:paraId="77D21F90" w14:textId="77777777" w:rsidR="00933176" w:rsidRPr="00C75134" w:rsidRDefault="00933176" w:rsidP="00BB314F">
            <w:pPr>
              <w:spacing w:after="0"/>
              <w:rPr>
                <w:b/>
                <w:color w:val="576431"/>
              </w:rPr>
            </w:pPr>
            <w:r>
              <w:rPr>
                <w:noProof/>
                <w:lang w:eastAsia="sk-SK"/>
              </w:rPr>
              <w:drawing>
                <wp:inline distT="0" distB="0" distL="0" distR="0" wp14:anchorId="5FCC0335" wp14:editId="30A3F1AE">
                  <wp:extent cx="5676900" cy="1790700"/>
                  <wp:effectExtent l="0" t="0" r="0" b="0"/>
                  <wp:docPr id="2"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bl>
    <w:p w14:paraId="6BE23304" w14:textId="77777777" w:rsidR="00933176" w:rsidRDefault="00933176" w:rsidP="00933176">
      <w:pPr>
        <w:pStyle w:val="Zdroj"/>
        <w:spacing w:line="276" w:lineRule="auto"/>
      </w:pPr>
      <w:r w:rsidRPr="00627D87">
        <w:t xml:space="preserve">Zdroj: </w:t>
      </w:r>
      <w:r w:rsidRPr="00BD2F76">
        <w:t>ÚDZS</w:t>
      </w:r>
      <w:r>
        <w:t>, pre rok 2026 sú údaje z prezentácie Rady pre tvorbu rozpočtu v zdravotníctve;</w:t>
      </w:r>
      <w:r w:rsidRPr="00BD2F76">
        <w:t xml:space="preserve"> spracovanie NKÚ S</w:t>
      </w:r>
      <w:r>
        <w:t>R</w:t>
      </w:r>
      <w:r w:rsidRPr="00BD2F76">
        <w:t>.</w:t>
      </w:r>
    </w:p>
    <w:p w14:paraId="0E2A2794" w14:textId="251CF7F0" w:rsidR="00085248" w:rsidRDefault="00085248" w:rsidP="00BD2F76">
      <w:pPr>
        <w:rPr>
          <w:rFonts w:cs="Segoe UI"/>
        </w:rPr>
      </w:pPr>
      <w:r>
        <w:rPr>
          <w:rFonts w:cs="Segoe UI"/>
          <w:b/>
        </w:rPr>
        <w:t>Jedným z pri</w:t>
      </w:r>
      <w:r w:rsidR="00EF5648">
        <w:rPr>
          <w:rFonts w:cs="Segoe UI"/>
          <w:b/>
        </w:rPr>
        <w:t>jatých</w:t>
      </w:r>
      <w:r>
        <w:rPr>
          <w:rFonts w:cs="Segoe UI"/>
          <w:b/>
        </w:rPr>
        <w:t xml:space="preserve"> konsolidačných opatrení na rok 2026 je navýšenie zdravotných odvodov o 1 p. b. pre všetkých zamestnancov a samostatne zárobkovo činné osoby </w:t>
      </w:r>
      <w:r w:rsidRPr="00496CD0">
        <w:rPr>
          <w:rFonts w:cs="Segoe UI"/>
          <w:bCs/>
        </w:rPr>
        <w:t>(SZČO)</w:t>
      </w:r>
      <w:r>
        <w:rPr>
          <w:rFonts w:cs="Segoe UI"/>
          <w:b/>
        </w:rPr>
        <w:t xml:space="preserve">. </w:t>
      </w:r>
      <w:r>
        <w:rPr>
          <w:rFonts w:cs="Segoe UI"/>
        </w:rPr>
        <w:t>Od to</w:t>
      </w:r>
      <w:r w:rsidR="00496CD0">
        <w:rPr>
          <w:rFonts w:cs="Segoe UI"/>
        </w:rPr>
        <w:t>h</w:t>
      </w:r>
      <w:r>
        <w:rPr>
          <w:rFonts w:cs="Segoe UI"/>
        </w:rPr>
        <w:t>to</w:t>
      </w:r>
      <w:r w:rsidR="00A17602">
        <w:rPr>
          <w:rFonts w:cs="Segoe UI"/>
        </w:rPr>
        <w:t xml:space="preserve"> kroku</w:t>
      </w:r>
      <w:r>
        <w:rPr>
          <w:rFonts w:cs="Segoe UI"/>
        </w:rPr>
        <w:t xml:space="preserve"> si vláda SR sľubuje navýšenie zdrojov VZP o 358 mil. eur. Tieto finančné zdroje opätovne navýšia mesačnú platbu EAO a rozdiel oproti platbe za poistenca štátu sa opätovne skokovo navýši, ak vláda SR nepri</w:t>
      </w:r>
      <w:r w:rsidR="00496CD0">
        <w:rPr>
          <w:rFonts w:cs="Segoe UI"/>
        </w:rPr>
        <w:t>j</w:t>
      </w:r>
      <w:r>
        <w:rPr>
          <w:rFonts w:cs="Segoe UI"/>
        </w:rPr>
        <w:t>me dodatočné opatrenia na strane poistencov štátu.</w:t>
      </w:r>
    </w:p>
    <w:p w14:paraId="71A2B80C" w14:textId="12169985" w:rsidR="00EF1C9C" w:rsidRDefault="00EF1C9C" w:rsidP="00EF1C9C">
      <w:pPr>
        <w:rPr>
          <w:rFonts w:cs="Segoe UI"/>
        </w:rPr>
      </w:pPr>
      <w:r w:rsidRPr="004C5A81">
        <w:rPr>
          <w:rFonts w:cs="Segoe UI"/>
          <w:b/>
        </w:rPr>
        <w:t>Napriek nárastu mesačnej platb</w:t>
      </w:r>
      <w:r>
        <w:rPr>
          <w:rFonts w:cs="Segoe UI"/>
          <w:b/>
        </w:rPr>
        <w:t>y</w:t>
      </w:r>
      <w:r w:rsidRPr="004C5A81">
        <w:rPr>
          <w:rFonts w:cs="Segoe UI"/>
          <w:b/>
        </w:rPr>
        <w:t xml:space="preserve"> za poistenca štátu</w:t>
      </w:r>
      <w:r>
        <w:rPr>
          <w:rFonts w:cs="Segoe UI"/>
          <w:b/>
        </w:rPr>
        <w:t xml:space="preserve"> v rokoch 2025 a 2026</w:t>
      </w:r>
      <w:r w:rsidRPr="004C5A81">
        <w:rPr>
          <w:rFonts w:cs="Segoe UI"/>
          <w:b/>
        </w:rPr>
        <w:t>, SR naďalej zaostáva za Českou republikou</w:t>
      </w:r>
      <w:r w:rsidRPr="004C5A81">
        <w:rPr>
          <w:rFonts w:cs="Segoe UI"/>
        </w:rPr>
        <w:t xml:space="preserve"> (ČR)</w:t>
      </w:r>
      <w:r w:rsidRPr="004C5A81">
        <w:rPr>
          <w:rFonts w:cs="Segoe UI"/>
          <w:b/>
        </w:rPr>
        <w:t>.</w:t>
      </w:r>
      <w:r w:rsidRPr="004C5A81">
        <w:rPr>
          <w:rFonts w:cs="Segoe UI"/>
        </w:rPr>
        <w:t xml:space="preserve"> </w:t>
      </w:r>
      <w:r>
        <w:rPr>
          <w:rFonts w:cs="Segoe UI"/>
        </w:rPr>
        <w:t>P</w:t>
      </w:r>
      <w:r w:rsidRPr="004C5A81">
        <w:rPr>
          <w:rFonts w:cs="Segoe UI"/>
        </w:rPr>
        <w:t xml:space="preserve">odľa očakávanej skutočnosti z júna 2025 sa SR priblíži k ČR </w:t>
      </w:r>
      <w:r>
        <w:rPr>
          <w:rFonts w:cs="Segoe UI"/>
        </w:rPr>
        <w:t xml:space="preserve">v tomto roku </w:t>
      </w:r>
      <w:r w:rsidRPr="004C5A81">
        <w:rPr>
          <w:rFonts w:cs="Segoe UI"/>
        </w:rPr>
        <w:t xml:space="preserve">na rozdiel 19 eur, pričom v roku 2024 bol rozdiel 22 eur (graf </w:t>
      </w:r>
      <w:r>
        <w:rPr>
          <w:rFonts w:cs="Segoe UI"/>
        </w:rPr>
        <w:t>5</w:t>
      </w:r>
      <w:r w:rsidRPr="004C5A81">
        <w:rPr>
          <w:rFonts w:cs="Segoe UI"/>
        </w:rPr>
        <w:t>).</w:t>
      </w:r>
      <w:r>
        <w:rPr>
          <w:rFonts w:cs="Segoe UI"/>
        </w:rPr>
        <w:t xml:space="preserve"> Podľa </w:t>
      </w:r>
      <w:r w:rsidR="00A17602">
        <w:rPr>
          <w:rFonts w:cs="Segoe UI"/>
        </w:rPr>
        <w:t xml:space="preserve">údajov MZ SR prezentovaných na </w:t>
      </w:r>
      <w:r>
        <w:rPr>
          <w:rFonts w:cs="Segoe UI"/>
        </w:rPr>
        <w:t xml:space="preserve"> </w:t>
      </w:r>
      <w:r w:rsidR="00A17602">
        <w:rPr>
          <w:rFonts w:cs="Segoe UI"/>
        </w:rPr>
        <w:t xml:space="preserve">stretnutí </w:t>
      </w:r>
      <w:r>
        <w:rPr>
          <w:rFonts w:cs="Segoe UI"/>
        </w:rPr>
        <w:t>Rad</w:t>
      </w:r>
      <w:r w:rsidR="00A17602">
        <w:rPr>
          <w:rFonts w:cs="Segoe UI"/>
        </w:rPr>
        <w:t>y</w:t>
      </w:r>
      <w:r>
        <w:rPr>
          <w:rFonts w:cs="Segoe UI"/>
        </w:rPr>
        <w:t xml:space="preserve"> pre tvorbu rozpočtu v zdravotníctve sa výška mesačnej platby za poistenca štátu dostane na úroveň 76,2 eur a bude tak zaostávať za ČR o necelých 14 eur.</w:t>
      </w:r>
    </w:p>
    <w:p w14:paraId="5B31DFDE" w14:textId="77777777" w:rsidR="00EF1C9C" w:rsidRPr="00BC3CA3" w:rsidRDefault="00EF1C9C" w:rsidP="00EF1C9C">
      <w:pPr>
        <w:pStyle w:val="Popis"/>
        <w:keepNext/>
        <w:rPr>
          <w:color w:val="314364"/>
        </w:rPr>
      </w:pPr>
      <w:r w:rsidRPr="00BC3CA3">
        <w:rPr>
          <w:color w:val="314364"/>
        </w:rPr>
        <w:t>Graf</w:t>
      </w:r>
      <w:r>
        <w:rPr>
          <w:color w:val="314364"/>
        </w:rPr>
        <w:t xml:space="preserve"> 5</w:t>
      </w:r>
      <w:r w:rsidRPr="00BC3CA3">
        <w:rPr>
          <w:color w:val="314364"/>
        </w:rPr>
        <w:t>:</w:t>
      </w:r>
      <w:r>
        <w:rPr>
          <w:color w:val="314364"/>
        </w:rPr>
        <w:t xml:space="preserve"> Porovnanie v</w:t>
      </w:r>
      <w:r w:rsidRPr="00BD2F76">
        <w:rPr>
          <w:color w:val="314364"/>
        </w:rPr>
        <w:t>ývoj</w:t>
      </w:r>
      <w:r>
        <w:rPr>
          <w:color w:val="314364"/>
        </w:rPr>
        <w:t>a</w:t>
      </w:r>
      <w:r w:rsidRPr="00BD2F76">
        <w:rPr>
          <w:color w:val="314364"/>
        </w:rPr>
        <w:t xml:space="preserve"> mesačnej platby za poistenca štátu v SR a ČR (v eurách)</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EF1C9C" w:rsidRPr="00C75134" w14:paraId="23138812" w14:textId="77777777" w:rsidTr="00BB314F">
        <w:trPr>
          <w:trHeight w:val="2507"/>
        </w:trPr>
        <w:tc>
          <w:tcPr>
            <w:tcW w:w="9070" w:type="dxa"/>
            <w:tcBorders>
              <w:top w:val="single" w:sz="4" w:space="0" w:color="314364"/>
              <w:bottom w:val="single" w:sz="4" w:space="0" w:color="314364"/>
            </w:tcBorders>
            <w:vAlign w:val="center"/>
          </w:tcPr>
          <w:p w14:paraId="23663532" w14:textId="77777777" w:rsidR="00EF1C9C" w:rsidRPr="00C75134" w:rsidRDefault="00EF1C9C" w:rsidP="00BB314F">
            <w:pPr>
              <w:spacing w:after="0"/>
              <w:rPr>
                <w:b/>
                <w:color w:val="576431"/>
              </w:rPr>
            </w:pPr>
            <w:r>
              <w:rPr>
                <w:noProof/>
                <w:lang w:eastAsia="sk-SK"/>
              </w:rPr>
              <w:drawing>
                <wp:inline distT="0" distB="0" distL="0" distR="0" wp14:anchorId="2AC2F05F" wp14:editId="51D5660B">
                  <wp:extent cx="5759450" cy="2009775"/>
                  <wp:effectExtent l="0" t="0" r="0" b="0"/>
                  <wp:docPr id="16" name="Graf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14:paraId="3F57EA43" w14:textId="35A290A5" w:rsidR="00EF1C9C" w:rsidRPr="00BD2F76" w:rsidRDefault="00EF1C9C" w:rsidP="00EF1C9C">
      <w:pPr>
        <w:pStyle w:val="Zdroj"/>
        <w:spacing w:after="0"/>
      </w:pPr>
      <w:r w:rsidRPr="00627D87">
        <w:t xml:space="preserve">Zdroj: </w:t>
      </w:r>
      <w:r w:rsidRPr="00BD2F76">
        <w:t>ÚDZS SR, Všeobecná zdravotní pojišťovna ČR [</w:t>
      </w:r>
      <w:hyperlink r:id="rId16" w:history="1">
        <w:r w:rsidRPr="00BD2F76">
          <w:rPr>
            <w:rStyle w:val="Hypertextovprepojenie"/>
            <w:sz w:val="16"/>
          </w:rPr>
          <w:t>online</w:t>
        </w:r>
      </w:hyperlink>
      <w:r w:rsidRPr="00BD2F76">
        <w:t>]</w:t>
      </w:r>
      <w:r>
        <w:rPr>
          <w:lang w:val="en-US"/>
        </w:rPr>
        <w:t>;</w:t>
      </w:r>
      <w:r>
        <w:t xml:space="preserve"> </w:t>
      </w:r>
      <w:r w:rsidRPr="00BD2F76">
        <w:t>spracovanie NKÚ SR.</w:t>
      </w:r>
      <w:r>
        <w:t xml:space="preserve"> Pre rok 2026 sú údaje z prezentácie Rady pre tvorbu rozpočtu v zdravotníctve</w:t>
      </w:r>
      <w:r w:rsidRPr="00BD2F76">
        <w:t>.</w:t>
      </w:r>
    </w:p>
    <w:p w14:paraId="6E67C866" w14:textId="3BF1DA87" w:rsidR="004708FE" w:rsidRDefault="004708FE" w:rsidP="00440621">
      <w:pPr>
        <w:pStyle w:val="Nadpis2"/>
      </w:pPr>
      <w:bookmarkStart w:id="16" w:name="_Toc211249078"/>
      <w:r>
        <w:lastRenderedPageBreak/>
        <w:t xml:space="preserve">Vybrané výdavky </w:t>
      </w:r>
      <w:r w:rsidR="00032ADE">
        <w:t>verejnej správy</w:t>
      </w:r>
      <w:bookmarkEnd w:id="16"/>
    </w:p>
    <w:p w14:paraId="5FC39D07" w14:textId="72CEA9E6" w:rsidR="0021660F" w:rsidRPr="00394E18" w:rsidRDefault="004426E3" w:rsidP="0021660F">
      <w:pPr>
        <w:rPr>
          <w:b/>
          <w:bCs/>
        </w:rPr>
      </w:pPr>
      <w:r>
        <w:rPr>
          <w:b/>
        </w:rPr>
        <w:t>Doterajšie k</w:t>
      </w:r>
      <w:r w:rsidR="0021660F" w:rsidRPr="00D56DB8">
        <w:rPr>
          <w:b/>
        </w:rPr>
        <w:t>onsolidačné úsilie vlády možno hodnotiť ako neefektívne, keďže prijaté opatrenia na výdavkovej strane sa v praxi nenaplnili a celkové výdavky VS naďalej rástli</w:t>
      </w:r>
      <w:r w:rsidR="0021660F">
        <w:rPr>
          <w:b/>
        </w:rPr>
        <w:t xml:space="preserve"> </w:t>
      </w:r>
      <w:r w:rsidR="0021660F" w:rsidRPr="00E1074F">
        <w:t xml:space="preserve">(graf </w:t>
      </w:r>
      <w:r w:rsidR="00E1074F" w:rsidRPr="00E1074F">
        <w:t>6</w:t>
      </w:r>
      <w:r w:rsidR="0021660F" w:rsidRPr="00E1074F">
        <w:t>)</w:t>
      </w:r>
      <w:r w:rsidR="0021660F" w:rsidRPr="00E1074F">
        <w:rPr>
          <w:b/>
        </w:rPr>
        <w:t>.</w:t>
      </w:r>
      <w:r w:rsidR="0021660F">
        <w:t xml:space="preserve"> Namiesto toho, aby dodatočné zdroje získané od produktívnej časti obyvateľstva prispeli k znižovaniu deficitu alebo k posilneniu dlhodobej udržateľnosti verejných financií, boli využité predovšetkým na financovanie rastúcej prevádzky VS a na transfery do menej produktívnych oblastí (13. dôchodky, obedy zadarmo, energopomoc). Tento vývoj podčiarkuje dlhodobý problém slovenskej rozpočtovej politiky, ktorá sa spolieha najmä na zvyšovanie príjmov, zatiaľ čo výdavková efektívnosť zostáva zanedbávaná.</w:t>
      </w:r>
    </w:p>
    <w:p w14:paraId="789F5433" w14:textId="77777777" w:rsidR="00AC2FEA" w:rsidRPr="00BC3CA3" w:rsidRDefault="00AC2FEA" w:rsidP="00AC2FEA">
      <w:pPr>
        <w:pStyle w:val="Popis"/>
        <w:keepNext/>
        <w:rPr>
          <w:color w:val="314364"/>
        </w:rPr>
      </w:pPr>
      <w:r w:rsidRPr="00BC3CA3">
        <w:rPr>
          <w:color w:val="314364"/>
        </w:rPr>
        <w:t>Graf</w:t>
      </w:r>
      <w:r>
        <w:rPr>
          <w:color w:val="314364"/>
        </w:rPr>
        <w:t xml:space="preserve"> 6</w:t>
      </w:r>
      <w:r w:rsidRPr="00BC3CA3">
        <w:rPr>
          <w:color w:val="314364"/>
        </w:rPr>
        <w:t>:</w:t>
      </w:r>
      <w:r>
        <w:rPr>
          <w:color w:val="314364"/>
        </w:rPr>
        <w:t xml:space="preserve"> </w:t>
      </w:r>
      <w:r w:rsidRPr="00BD2F76">
        <w:rPr>
          <w:color w:val="314364"/>
        </w:rPr>
        <w:t>Vývoj</w:t>
      </w:r>
      <w:r>
        <w:rPr>
          <w:color w:val="314364"/>
        </w:rPr>
        <w:t xml:space="preserve"> indexu</w:t>
      </w:r>
      <w:r w:rsidRPr="00BD2F76">
        <w:rPr>
          <w:color w:val="314364"/>
        </w:rPr>
        <w:t xml:space="preserve"> </w:t>
      </w:r>
      <w:r>
        <w:rPr>
          <w:color w:val="314364"/>
        </w:rPr>
        <w:t>príjmov a výdavkov VS po očistení o infláciu (2015 = 100)</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AC2FEA" w:rsidRPr="00C75134" w14:paraId="01BEDAE6" w14:textId="77777777" w:rsidTr="00BB314F">
        <w:trPr>
          <w:trHeight w:val="3118"/>
        </w:trPr>
        <w:tc>
          <w:tcPr>
            <w:tcW w:w="9070" w:type="dxa"/>
            <w:tcBorders>
              <w:top w:val="single" w:sz="4" w:space="0" w:color="314364"/>
              <w:bottom w:val="single" w:sz="4" w:space="0" w:color="314364"/>
            </w:tcBorders>
            <w:vAlign w:val="center"/>
          </w:tcPr>
          <w:p w14:paraId="136E18EC" w14:textId="77777777" w:rsidR="00AC2FEA" w:rsidRPr="00C75134" w:rsidRDefault="00AC2FEA" w:rsidP="00BB314F">
            <w:pPr>
              <w:spacing w:after="0"/>
              <w:rPr>
                <w:b/>
                <w:color w:val="576431"/>
              </w:rPr>
            </w:pPr>
            <w:r>
              <w:rPr>
                <w:noProof/>
                <w:lang w:eastAsia="sk-SK"/>
              </w:rPr>
              <w:drawing>
                <wp:inline distT="0" distB="0" distL="0" distR="0" wp14:anchorId="65610478" wp14:editId="55F56082">
                  <wp:extent cx="5759450" cy="1943100"/>
                  <wp:effectExtent l="0" t="0" r="0" b="0"/>
                  <wp:docPr id="3"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11E04FC5" w14:textId="77777777" w:rsidR="00AC2FEA" w:rsidRPr="00D7268A" w:rsidRDefault="00AC2FEA" w:rsidP="00AC2FEA">
      <w:pPr>
        <w:pStyle w:val="Zdroj"/>
      </w:pPr>
      <w:r w:rsidRPr="00627D87">
        <w:t xml:space="preserve">Zdroj: </w:t>
      </w:r>
      <w:r>
        <w:t>MF SR.</w:t>
      </w:r>
    </w:p>
    <w:p w14:paraId="7D58CE11" w14:textId="77777777" w:rsidR="0097353B" w:rsidRPr="00394E18" w:rsidRDefault="0097353B" w:rsidP="0097353B">
      <w:pPr>
        <w:rPr>
          <w:b/>
          <w:bCs/>
        </w:rPr>
      </w:pPr>
      <w:r w:rsidRPr="00394E18">
        <w:rPr>
          <w:b/>
          <w:bCs/>
        </w:rPr>
        <w:t>NKÚ SR upozorňuje, že nesúlad medzi deklarovanými cieľmi a skutočným vývojom oslabuje dôveryhodnosť konsolidačného úsilia a zvyšuje riziko prehĺbenia fiškálnej nerovnováhy.</w:t>
      </w:r>
    </w:p>
    <w:p w14:paraId="18864A55" w14:textId="35A17322" w:rsidR="0021660F" w:rsidRDefault="0021660F" w:rsidP="0021660F">
      <w:r w:rsidRPr="00FC4137">
        <w:rPr>
          <w:b/>
        </w:rPr>
        <w:t>Doterajšie opatrenia vlády sa zameriavali predovšetkým na rýchle a relatívne jednoduché príjmové zásahy, predovšetkým v oblast</w:t>
      </w:r>
      <w:r w:rsidR="00EF5648">
        <w:rPr>
          <w:b/>
        </w:rPr>
        <w:t>i</w:t>
      </w:r>
      <w:r w:rsidRPr="00FC4137">
        <w:rPr>
          <w:b/>
        </w:rPr>
        <w:t xml:space="preserve"> daní.</w:t>
      </w:r>
      <w:r>
        <w:t xml:space="preserve"> Namiesto toho, aby vláda stanovila jasnú víziu rozvoja Slovenska, podporila rast HDP a realizovala k tomu potrebné systémové, hoci často nepopulárne reformy, pristupuje skôr ku krátkodobým riešeniam. </w:t>
      </w:r>
      <w:r w:rsidRPr="00EF5648">
        <w:rPr>
          <w:b/>
          <w:bCs/>
        </w:rPr>
        <w:t>NKÚ SR upozorňuje, že absencia štrukturálnych reforiem vo verejnej a štátnej správe predstavuje vážne riziko pre udržateľnosť verejných financií.</w:t>
      </w:r>
    </w:p>
    <w:p w14:paraId="0BF46021" w14:textId="038265A3" w:rsidR="008F6D87" w:rsidRDefault="008F6D87" w:rsidP="008F6D87">
      <w:pPr>
        <w:rPr>
          <w:bCs/>
        </w:rPr>
      </w:pPr>
      <w:r w:rsidRPr="003D035E">
        <w:rPr>
          <w:b/>
        </w:rPr>
        <w:t>Investície ustupujú na úkor prevádzkových výdavkov a sociálnych transferov, čo z dlhodobého hľadiska znižuje efektívnosť verejných financií a brzdí hospodársky rast.</w:t>
      </w:r>
      <w:r w:rsidR="00256ECC" w:rsidRPr="00256ECC">
        <w:rPr>
          <w:bCs/>
        </w:rPr>
        <w:t xml:space="preserve"> </w:t>
      </w:r>
      <w:r w:rsidR="00256ECC">
        <w:rPr>
          <w:bCs/>
        </w:rPr>
        <w:t>Na pozadí absencie systémových výdavkových opatrení možno spomenúť aj šetrenie v rozpočtoch nezávislých kontrolných inštitúci</w:t>
      </w:r>
      <w:r w:rsidR="00640A47">
        <w:rPr>
          <w:bCs/>
        </w:rPr>
        <w:t>í</w:t>
      </w:r>
      <w:r w:rsidR="00256ECC">
        <w:rPr>
          <w:bCs/>
        </w:rPr>
        <w:t xml:space="preserve"> ktoré nemožno považovať za systémové opatrenie (box 1).</w:t>
      </w:r>
    </w:p>
    <w:tbl>
      <w:tblPr>
        <w:tblStyle w:val="Mriekatabuky1"/>
        <w:tblW w:w="0" w:type="auto"/>
        <w:tblBorders>
          <w:top w:val="single" w:sz="4" w:space="0" w:color="314364"/>
          <w:left w:val="single" w:sz="4" w:space="0" w:color="314364"/>
          <w:bottom w:val="single" w:sz="4" w:space="0" w:color="314364"/>
          <w:right w:val="single" w:sz="4" w:space="0" w:color="314364"/>
          <w:insideH w:val="none" w:sz="0" w:space="0" w:color="auto"/>
          <w:insideV w:val="none" w:sz="0" w:space="0" w:color="auto"/>
        </w:tblBorders>
        <w:shd w:val="clear" w:color="auto" w:fill="EBF0FB"/>
        <w:tblLook w:val="04A0" w:firstRow="1" w:lastRow="0" w:firstColumn="1" w:lastColumn="0" w:noHBand="0" w:noVBand="1"/>
      </w:tblPr>
      <w:tblGrid>
        <w:gridCol w:w="9060"/>
      </w:tblGrid>
      <w:tr w:rsidR="0065340D" w:rsidRPr="002772DE" w14:paraId="130F26FA" w14:textId="77777777" w:rsidTr="00CF080F">
        <w:tc>
          <w:tcPr>
            <w:tcW w:w="9060" w:type="dxa"/>
            <w:shd w:val="clear" w:color="auto" w:fill="EBF0FB"/>
          </w:tcPr>
          <w:p w14:paraId="734DB6F3" w14:textId="3E61BA5B" w:rsidR="0065340D" w:rsidRDefault="0065340D" w:rsidP="00CF080F">
            <w:pPr>
              <w:spacing w:before="120"/>
              <w:ind w:right="163"/>
              <w:rPr>
                <w:rFonts w:cs="Times New Roman"/>
                <w:b/>
              </w:rPr>
            </w:pPr>
            <w:r>
              <w:rPr>
                <w:rFonts w:cs="Times New Roman"/>
                <w:b/>
              </w:rPr>
              <w:t>B</w:t>
            </w:r>
            <w:r w:rsidR="00E1074F">
              <w:rPr>
                <w:rFonts w:cs="Times New Roman"/>
                <w:b/>
              </w:rPr>
              <w:t xml:space="preserve">OX </w:t>
            </w:r>
            <w:r w:rsidR="00C3688C">
              <w:rPr>
                <w:rFonts w:cs="Times New Roman"/>
                <w:b/>
              </w:rPr>
              <w:t>1</w:t>
            </w:r>
            <w:r w:rsidRPr="00F42E63">
              <w:rPr>
                <w:rFonts w:cs="Times New Roman"/>
                <w:b/>
              </w:rPr>
              <w:t xml:space="preserve">: </w:t>
            </w:r>
            <w:r w:rsidRPr="00D43D78">
              <w:rPr>
                <w:rFonts w:cs="Times New Roman"/>
                <w:b/>
              </w:rPr>
              <w:t>Š</w:t>
            </w:r>
            <w:r w:rsidR="00E1074F">
              <w:rPr>
                <w:rFonts w:cs="Times New Roman"/>
                <w:b/>
              </w:rPr>
              <w:t>etrenie</w:t>
            </w:r>
            <w:r w:rsidRPr="00D43D78">
              <w:rPr>
                <w:rFonts w:cs="Times New Roman"/>
                <w:b/>
              </w:rPr>
              <w:t xml:space="preserve"> v rozpočt</w:t>
            </w:r>
            <w:r w:rsidR="00E1074F">
              <w:rPr>
                <w:rFonts w:cs="Times New Roman"/>
                <w:b/>
              </w:rPr>
              <w:t>och</w:t>
            </w:r>
            <w:r w:rsidRPr="00D43D78">
              <w:rPr>
                <w:rFonts w:cs="Times New Roman"/>
                <w:b/>
              </w:rPr>
              <w:t xml:space="preserve"> nezávislých kontrolných inštitúcií</w:t>
            </w:r>
          </w:p>
          <w:p w14:paraId="07708689" w14:textId="77777777" w:rsidR="0065340D" w:rsidRDefault="0065340D" w:rsidP="00CF080F">
            <w:pPr>
              <w:rPr>
                <w:rFonts w:cs="Times New Roman"/>
                <w:sz w:val="18"/>
              </w:rPr>
            </w:pPr>
            <w:r>
              <w:rPr>
                <w:rFonts w:cs="Times New Roman"/>
                <w:sz w:val="18"/>
              </w:rPr>
              <w:t>Návrh rozpočtu na rok 2026 predpokladá obmedzenie prostriedkov viacerých nezávislých kontrolných inštitúcií – Najvyšší kontrolný úrad SR, Protimonopolný úrad SR a Úrad pre verejné obstarávanie. Ide o inštitúcie, ktoré majú kľúčovú úlohu pri ochrane verejných financií a hospodárskej súťaže. Znižovanie disponibilných zdrojov priamo ohrozuje schopnosť týchto orgánov plniť si svoj mandát, ako je vykonávanie nezávislej kontroly, dohľad nad verejným obstarávaním či presadzovanie pravidiel hospodárskej súťaže. Nedostatok kapacít tak môže viesť k znižovaniu počtu kontrol, predlžovaniu konaní a oslabeniu presadzovania pravidiel. Podľa európskej legislatívy majú členské štáty povinnosť zabezpečiť nezávislosť a primerané financovanie týchto inštitúcií:</w:t>
            </w:r>
          </w:p>
          <w:p w14:paraId="02E5EBCC" w14:textId="77777777" w:rsidR="0065340D" w:rsidRDefault="0065340D" w:rsidP="00FD4639">
            <w:pPr>
              <w:pStyle w:val="Odsekzoznamu"/>
              <w:numPr>
                <w:ilvl w:val="0"/>
                <w:numId w:val="18"/>
              </w:numPr>
              <w:rPr>
                <w:rFonts w:cs="Times New Roman"/>
                <w:sz w:val="18"/>
              </w:rPr>
            </w:pPr>
            <w:r>
              <w:rPr>
                <w:rFonts w:cs="Times New Roman"/>
                <w:sz w:val="18"/>
              </w:rPr>
              <w:t>Smernica 2019/1/EU vyžaduje, aby národné orgány pre hospodársku súťaž (PMÚ) mali dostatočné finančné a personálne zdroje,</w:t>
            </w:r>
          </w:p>
          <w:p w14:paraId="4993A329" w14:textId="41CB65A2" w:rsidR="0065340D" w:rsidRDefault="0065340D" w:rsidP="00FD4639">
            <w:pPr>
              <w:pStyle w:val="Odsekzoznamu"/>
              <w:numPr>
                <w:ilvl w:val="0"/>
                <w:numId w:val="18"/>
              </w:numPr>
              <w:rPr>
                <w:rFonts w:cs="Times New Roman"/>
                <w:sz w:val="18"/>
              </w:rPr>
            </w:pPr>
            <w:r>
              <w:rPr>
                <w:rFonts w:cs="Times New Roman"/>
                <w:sz w:val="18"/>
              </w:rPr>
              <w:lastRenderedPageBreak/>
              <w:t>E</w:t>
            </w:r>
            <w:r w:rsidR="00FD4639">
              <w:rPr>
                <w:rFonts w:cs="Times New Roman"/>
                <w:sz w:val="18"/>
              </w:rPr>
              <w:t>K</w:t>
            </w:r>
            <w:r>
              <w:rPr>
                <w:rFonts w:cs="Times New Roman"/>
                <w:sz w:val="18"/>
              </w:rPr>
              <w:t xml:space="preserve"> v hodnoteniach opakovane zdôrazňuje, že nezávislé kontrolné inštitúcie musia mať primerané rozpočty, aby mohli plniť svoje úlohy. Obmedzovanie rozpočtov môže preto vyvolať otázky o súlade s európskymi záväzkami SR.</w:t>
            </w:r>
          </w:p>
          <w:p w14:paraId="3FE742A0" w14:textId="4847343E" w:rsidR="0065340D" w:rsidRDefault="0065340D" w:rsidP="00CF080F">
            <w:pPr>
              <w:rPr>
                <w:rFonts w:cs="Times New Roman"/>
                <w:sz w:val="18"/>
              </w:rPr>
            </w:pPr>
            <w:r>
              <w:rPr>
                <w:rFonts w:cs="Times New Roman"/>
                <w:sz w:val="18"/>
              </w:rPr>
              <w:t xml:space="preserve">Ak by napríklad PMÚ nemal kapacity na vymáhanie pravidiel a podal by podnet na EK, Slovensko by čelilo reputačnému aj právnemu riziku. Komisia by mohla začať konanie o porušení povinností a v krajnom prípade by hrozili aj finančné sankcie. To by </w:t>
            </w:r>
            <w:r w:rsidR="00640A47">
              <w:rPr>
                <w:rFonts w:cs="Times New Roman"/>
                <w:sz w:val="18"/>
              </w:rPr>
              <w:t>z</w:t>
            </w:r>
            <w:r>
              <w:rPr>
                <w:rFonts w:cs="Times New Roman"/>
                <w:sz w:val="18"/>
              </w:rPr>
              <w:t>namenalo nielen finančný dopad, ale aj oslabenie dôvery v schopnosť SR zabezpečiť právny štát a férové hospodárske prostredie.</w:t>
            </w:r>
          </w:p>
          <w:p w14:paraId="601625AB" w14:textId="77777777" w:rsidR="0065340D" w:rsidRDefault="0065340D" w:rsidP="00CF080F">
            <w:pPr>
              <w:rPr>
                <w:rFonts w:cs="Times New Roman"/>
                <w:b/>
                <w:bCs/>
                <w:sz w:val="18"/>
              </w:rPr>
            </w:pPr>
            <w:r w:rsidRPr="0065340D">
              <w:rPr>
                <w:rFonts w:cs="Times New Roman"/>
                <w:b/>
                <w:bCs/>
                <w:sz w:val="18"/>
              </w:rPr>
              <w:t>NKÚ SR odporúča, aby rozpočtové plánovanie rešpektovalo potrebu primeraného a stabilného financovania nezávislých kontrolných inštitúcií v súlade s európskymi štandardmi.</w:t>
            </w:r>
            <w:r>
              <w:rPr>
                <w:rFonts w:cs="Times New Roman"/>
                <w:sz w:val="18"/>
              </w:rPr>
              <w:t xml:space="preserve"> Posilnenie ich kapacít je dôležité nielen pre efektívny dohľad nad využívaním verejných prostriedkov, ale aj pre dôveryhodnosť S</w:t>
            </w:r>
            <w:r w:rsidR="00EF5648">
              <w:rPr>
                <w:rFonts w:cs="Times New Roman"/>
                <w:sz w:val="18"/>
              </w:rPr>
              <w:t>R</w:t>
            </w:r>
            <w:r>
              <w:rPr>
                <w:rFonts w:cs="Times New Roman"/>
                <w:sz w:val="18"/>
              </w:rPr>
              <w:t xml:space="preserve"> v rámci E</w:t>
            </w:r>
            <w:r w:rsidR="00EF5648">
              <w:rPr>
                <w:rFonts w:cs="Times New Roman"/>
                <w:sz w:val="18"/>
              </w:rPr>
              <w:t>Ú</w:t>
            </w:r>
            <w:r>
              <w:rPr>
                <w:rFonts w:cs="Times New Roman"/>
                <w:sz w:val="18"/>
              </w:rPr>
              <w:t xml:space="preserve">. </w:t>
            </w:r>
            <w:r w:rsidRPr="00EF5648">
              <w:rPr>
                <w:rFonts w:cs="Times New Roman"/>
                <w:b/>
                <w:bCs/>
                <w:sz w:val="18"/>
              </w:rPr>
              <w:t>Udržiavanie nezávislých kontrolných orgánov v stave finančnej poddimenzovanosti predstavuje riziko, ktoré môže mať negatívne fiškálne, právne a reputačné dôsledky.</w:t>
            </w:r>
          </w:p>
          <w:p w14:paraId="4CAFF872" w14:textId="6FB7B1E1" w:rsidR="006A0462" w:rsidRDefault="003D035E" w:rsidP="006A0462">
            <w:pPr>
              <w:rPr>
                <w:rFonts w:cs="Times New Roman"/>
                <w:bCs/>
                <w:sz w:val="18"/>
              </w:rPr>
            </w:pPr>
            <w:r>
              <w:rPr>
                <w:rFonts w:cs="Times New Roman"/>
                <w:b/>
                <w:sz w:val="18"/>
              </w:rPr>
              <w:t>R</w:t>
            </w:r>
            <w:r w:rsidR="006A0462" w:rsidRPr="006A0462">
              <w:rPr>
                <w:rFonts w:cs="Times New Roman"/>
                <w:b/>
                <w:sz w:val="18"/>
              </w:rPr>
              <w:t xml:space="preserve">iziko predstavuje aj viazanie bežného transferu MF SR pre Kanceláriu Rady pre rozpočtovú zodpovednosť </w:t>
            </w:r>
            <w:r w:rsidR="006A0462" w:rsidRPr="006A0462">
              <w:rPr>
                <w:rFonts w:cs="Times New Roman"/>
                <w:bCs/>
                <w:sz w:val="18"/>
              </w:rPr>
              <w:t>(KRRZ)</w:t>
            </w:r>
            <w:r w:rsidR="006A0462" w:rsidRPr="006A0462">
              <w:rPr>
                <w:rFonts w:cs="Times New Roman"/>
                <w:b/>
                <w:sz w:val="18"/>
              </w:rPr>
              <w:t>.</w:t>
            </w:r>
            <w:r w:rsidR="006A0462">
              <w:rPr>
                <w:rFonts w:cs="Times New Roman"/>
                <w:bCs/>
                <w:sz w:val="18"/>
              </w:rPr>
              <w:t xml:space="preserve"> KRRZ je nezávislá inštitúcia</w:t>
            </w:r>
            <w:r>
              <w:rPr>
                <w:rFonts w:cs="Times New Roman"/>
                <w:bCs/>
                <w:sz w:val="18"/>
              </w:rPr>
              <w:t xml:space="preserve"> zriadená podľa ústavy</w:t>
            </w:r>
            <w:r w:rsidR="006A0462">
              <w:rPr>
                <w:rFonts w:cs="Times New Roman"/>
                <w:bCs/>
                <w:sz w:val="18"/>
              </w:rPr>
              <w:t>, ktorej úlohou je hodnotiť dodržiavanie fiškálnych pravidiel a prispievať k transparentnosti rozpočtovej politiky. Akékoľvek zásahy do jej rozpočtu zo strany výkonnej moci môžu mať negatívny vplyv na nezávislosť a kvalitu jej analytickej činnosti a to najmä v období zvýšených fiškálnych rizík.</w:t>
            </w:r>
          </w:p>
          <w:p w14:paraId="25F3BFBB" w14:textId="15DB19C3" w:rsidR="006A0462" w:rsidRPr="00257A48" w:rsidRDefault="006A0462" w:rsidP="006A0462">
            <w:pPr>
              <w:rPr>
                <w:rFonts w:cs="Times New Roman"/>
                <w:sz w:val="18"/>
              </w:rPr>
            </w:pPr>
            <w:r>
              <w:rPr>
                <w:rFonts w:cs="Times New Roman"/>
                <w:bCs/>
                <w:sz w:val="18"/>
              </w:rPr>
              <w:t xml:space="preserve">Európska legislatíva aj odporúčanie OECD pritom kladú dôraz na stabilné a predvídateľné financovanie fiškálnych inštitúcií, ktoré majú byť chránené pred politickým vplyvom. </w:t>
            </w:r>
            <w:r w:rsidRPr="006A0462">
              <w:rPr>
                <w:rFonts w:cs="Times New Roman"/>
                <w:b/>
                <w:sz w:val="18"/>
              </w:rPr>
              <w:t>Nedostatočne financovanie KRRZ by mohlo oslabiť jej schopnosť plniť úlohy spojené s hodnotením konsolidačných opatrení, posudzovaním návrhov a sledovaním dlhodobej udržateľnosti verejných financií.</w:t>
            </w:r>
          </w:p>
        </w:tc>
      </w:tr>
    </w:tbl>
    <w:p w14:paraId="2552F874" w14:textId="6EAC1B64" w:rsidR="004708FE" w:rsidRDefault="00640A47" w:rsidP="00C0783B">
      <w:pPr>
        <w:pStyle w:val="Nadpis3"/>
      </w:pPr>
      <w:r>
        <w:lastRenderedPageBreak/>
        <w:t xml:space="preserve"> </w:t>
      </w:r>
      <w:bookmarkStart w:id="17" w:name="_Toc211249079"/>
      <w:r w:rsidR="004708FE">
        <w:t>Výdavky na dôchodky</w:t>
      </w:r>
      <w:bookmarkEnd w:id="17"/>
    </w:p>
    <w:p w14:paraId="5875FDB5" w14:textId="78DA5092" w:rsidR="00277871" w:rsidRDefault="008B2092" w:rsidP="00277871">
      <w:pPr>
        <w:rPr>
          <w:bCs/>
        </w:rPr>
      </w:pPr>
      <w:r w:rsidRPr="008B2092">
        <w:rPr>
          <w:b/>
        </w:rPr>
        <w:t xml:space="preserve">Najväčší objem výdavkov sa v rámci RVS čerpá </w:t>
      </w:r>
      <w:r w:rsidR="00277871" w:rsidRPr="008B2092">
        <w:rPr>
          <w:b/>
        </w:rPr>
        <w:t xml:space="preserve">na </w:t>
      </w:r>
      <w:r w:rsidRPr="008B2092">
        <w:rPr>
          <w:b/>
        </w:rPr>
        <w:t>sociálne zabezpečenie, pričom výdavky na dôchodk</w:t>
      </w:r>
      <w:r w:rsidR="00596F88">
        <w:rPr>
          <w:b/>
        </w:rPr>
        <w:t>ové dávky</w:t>
      </w:r>
      <w:r w:rsidRPr="008B2092">
        <w:rPr>
          <w:b/>
        </w:rPr>
        <w:t xml:space="preserve"> tvoria </w:t>
      </w:r>
      <w:r w:rsidR="00596F88">
        <w:rPr>
          <w:b/>
        </w:rPr>
        <w:t>19,6</w:t>
      </w:r>
      <w:r w:rsidRPr="008B2092">
        <w:rPr>
          <w:b/>
        </w:rPr>
        <w:t xml:space="preserve"> % z celkových </w:t>
      </w:r>
      <w:r w:rsidR="00391C23">
        <w:rPr>
          <w:b/>
        </w:rPr>
        <w:t xml:space="preserve">rozpočtovaných </w:t>
      </w:r>
      <w:r w:rsidRPr="008B2092">
        <w:rPr>
          <w:b/>
        </w:rPr>
        <w:t>výdavkov VS</w:t>
      </w:r>
      <w:r w:rsidR="008F56C4">
        <w:rPr>
          <w:b/>
        </w:rPr>
        <w:t xml:space="preserve"> v roku 2026</w:t>
      </w:r>
      <w:r w:rsidR="00277871" w:rsidRPr="008B2092">
        <w:rPr>
          <w:b/>
        </w:rPr>
        <w:t>.</w:t>
      </w:r>
      <w:r w:rsidR="00277871">
        <w:rPr>
          <w:bCs/>
        </w:rPr>
        <w:t xml:space="preserve"> </w:t>
      </w:r>
      <w:r>
        <w:rPr>
          <w:bCs/>
        </w:rPr>
        <w:t>V</w:t>
      </w:r>
      <w:r w:rsidR="00277871">
        <w:rPr>
          <w:bCs/>
        </w:rPr>
        <w:t xml:space="preserve">ýdavky </w:t>
      </w:r>
      <w:r>
        <w:rPr>
          <w:bCs/>
        </w:rPr>
        <w:t xml:space="preserve">na dôchodky, </w:t>
      </w:r>
      <w:r w:rsidR="00277871">
        <w:rPr>
          <w:bCs/>
        </w:rPr>
        <w:t>ako súčasť rozpočtu Sociálnej poisťovne (SP)</w:t>
      </w:r>
      <w:r>
        <w:rPr>
          <w:bCs/>
        </w:rPr>
        <w:t>, majú</w:t>
      </w:r>
      <w:r w:rsidR="00277871">
        <w:rPr>
          <w:bCs/>
        </w:rPr>
        <w:t xml:space="preserve"> súčasne vplyv na jej hospodárenie. Z pohľadu poberateľov dôchodkov výška dôchodku pôsobí na životnú úroveň dôchodcov a odráža mieru náhrady príjmu po odchode do dôchodku.</w:t>
      </w:r>
    </w:p>
    <w:p w14:paraId="11E328EF" w14:textId="77777777" w:rsidR="00E065CE" w:rsidRDefault="008B2092" w:rsidP="00BB314F">
      <w:pPr>
        <w:rPr>
          <w:bCs/>
        </w:rPr>
      </w:pPr>
      <w:r w:rsidRPr="00990206">
        <w:rPr>
          <w:b/>
        </w:rPr>
        <w:t>Výdavky dôchodkového poistenia sa za posledných desať rokov takmer zdvojnásobili</w:t>
      </w:r>
      <w:r w:rsidR="00EB5039">
        <w:rPr>
          <w:b/>
        </w:rPr>
        <w:t>,</w:t>
      </w:r>
      <w:r w:rsidRPr="00990206">
        <w:rPr>
          <w:b/>
        </w:rPr>
        <w:t xml:space="preserve"> </w:t>
      </w:r>
      <w:r w:rsidRPr="00EB5039">
        <w:rPr>
          <w:b/>
        </w:rPr>
        <w:t>z</w:t>
      </w:r>
      <w:r w:rsidR="00EB5039" w:rsidRPr="00EB5039">
        <w:rPr>
          <w:b/>
        </w:rPr>
        <w:t>o</w:t>
      </w:r>
      <w:r w:rsidRPr="00EB5039">
        <w:rPr>
          <w:b/>
        </w:rPr>
        <w:t xml:space="preserve"> 6,4 mld. eur v 2015 na 12,6 mld. eur v</w:t>
      </w:r>
      <w:r w:rsidR="00A44DD7">
        <w:rPr>
          <w:b/>
        </w:rPr>
        <w:t> </w:t>
      </w:r>
      <w:r w:rsidRPr="00EB5039">
        <w:rPr>
          <w:b/>
        </w:rPr>
        <w:t>2024</w:t>
      </w:r>
      <w:r w:rsidR="00A44DD7">
        <w:rPr>
          <w:b/>
        </w:rPr>
        <w:t xml:space="preserve"> </w:t>
      </w:r>
      <w:r w:rsidR="00A44DD7">
        <w:rPr>
          <w:bCs/>
        </w:rPr>
        <w:t>(graf 8)</w:t>
      </w:r>
      <w:r w:rsidRPr="00391C23">
        <w:rPr>
          <w:b/>
          <w:bCs/>
        </w:rPr>
        <w:t xml:space="preserve">. </w:t>
      </w:r>
      <w:r w:rsidRPr="00990206">
        <w:rPr>
          <w:bCs/>
        </w:rPr>
        <w:t xml:space="preserve">Ich rast je dôsledkom legislatívnych zmien </w:t>
      </w:r>
      <w:r>
        <w:rPr>
          <w:bCs/>
        </w:rPr>
        <w:t xml:space="preserve">(zavedenie 13. dôchodku, PSD 40+) </w:t>
      </w:r>
      <w:r w:rsidRPr="00990206">
        <w:rPr>
          <w:bCs/>
        </w:rPr>
        <w:t xml:space="preserve">a valorizácie dôchodkov naviazanej na infláciu, ako aj zvyšovania priemernej mzdy, ktorá ovplyvňuje aktuálnu dôchodkovú hodnotu. </w:t>
      </w:r>
      <w:r>
        <w:rPr>
          <w:bCs/>
        </w:rPr>
        <w:t xml:space="preserve">V rokoch 2023 až 2024 ich </w:t>
      </w:r>
      <w:r w:rsidR="00EB5039">
        <w:rPr>
          <w:bCs/>
        </w:rPr>
        <w:t xml:space="preserve">výrazne </w:t>
      </w:r>
      <w:r>
        <w:rPr>
          <w:bCs/>
        </w:rPr>
        <w:t xml:space="preserve">ovplyvnili výdavky </w:t>
      </w:r>
      <w:r w:rsidR="00E065CE">
        <w:rPr>
          <w:bCs/>
        </w:rPr>
        <w:t>na predčasné starobné dôchodky po 40 odpracovaných rokoch (box 2).</w:t>
      </w:r>
    </w:p>
    <w:tbl>
      <w:tblPr>
        <w:tblStyle w:val="Mriekatabuky"/>
        <w:tblW w:w="501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492"/>
        <w:gridCol w:w="4609"/>
      </w:tblGrid>
      <w:tr w:rsidR="00933176" w:rsidRPr="00C75134" w14:paraId="1EB8C0B8" w14:textId="77777777" w:rsidTr="00BA6E74">
        <w:trPr>
          <w:trHeight w:val="246"/>
        </w:trPr>
        <w:tc>
          <w:tcPr>
            <w:tcW w:w="2468" w:type="pct"/>
            <w:tcBorders>
              <w:bottom w:val="single" w:sz="4" w:space="0" w:color="314364"/>
            </w:tcBorders>
            <w:vAlign w:val="center"/>
          </w:tcPr>
          <w:p w14:paraId="1825C942" w14:textId="77777777" w:rsidR="00933176" w:rsidRDefault="00933176" w:rsidP="00933176">
            <w:pPr>
              <w:pStyle w:val="Popis"/>
              <w:keepNext/>
              <w:ind w:right="150"/>
              <w:jc w:val="left"/>
              <w:rPr>
                <w:noProof/>
                <w:lang w:eastAsia="sk-SK"/>
              </w:rPr>
            </w:pPr>
            <w:r w:rsidRPr="00F51C17">
              <w:rPr>
                <w:color w:val="314364"/>
              </w:rPr>
              <w:lastRenderedPageBreak/>
              <w:t xml:space="preserve">Graf </w:t>
            </w:r>
            <w:r>
              <w:rPr>
                <w:color w:val="314364"/>
              </w:rPr>
              <w:t>8</w:t>
            </w:r>
            <w:r w:rsidRPr="00F51C17">
              <w:rPr>
                <w:color w:val="314364"/>
              </w:rPr>
              <w:t xml:space="preserve">: </w:t>
            </w:r>
            <w:r>
              <w:rPr>
                <w:iCs w:val="0"/>
                <w:color w:val="314364"/>
              </w:rPr>
              <w:t>Celkové v</w:t>
            </w:r>
            <w:r w:rsidRPr="007F09B2">
              <w:rPr>
                <w:iCs w:val="0"/>
                <w:color w:val="314364"/>
              </w:rPr>
              <w:t xml:space="preserve">ýdavky dôchodkového poistenia </w:t>
            </w:r>
            <w:r>
              <w:rPr>
                <w:iCs w:val="0"/>
                <w:color w:val="314364"/>
              </w:rPr>
              <w:t xml:space="preserve">v rokoch </w:t>
            </w:r>
            <w:r w:rsidRPr="007F09B2">
              <w:rPr>
                <w:iCs w:val="0"/>
                <w:color w:val="314364"/>
              </w:rPr>
              <w:t xml:space="preserve">2015 </w:t>
            </w:r>
            <w:r>
              <w:rPr>
                <w:iCs w:val="0"/>
                <w:color w:val="314364"/>
              </w:rPr>
              <w:t>až</w:t>
            </w:r>
            <w:r w:rsidRPr="007F09B2">
              <w:rPr>
                <w:iCs w:val="0"/>
                <w:color w:val="314364"/>
              </w:rPr>
              <w:t xml:space="preserve"> 2028 </w:t>
            </w:r>
            <w:r>
              <w:rPr>
                <w:iCs w:val="0"/>
                <w:color w:val="314364"/>
              </w:rPr>
              <w:t>(</w:t>
            </w:r>
            <w:r w:rsidRPr="007F09B2">
              <w:rPr>
                <w:iCs w:val="0"/>
                <w:color w:val="314364"/>
              </w:rPr>
              <w:t>v mil. eur)</w:t>
            </w:r>
            <w:r w:rsidRPr="00990206">
              <w:rPr>
                <w:b w:val="0"/>
                <w:iCs w:val="0"/>
                <w:color w:val="314364"/>
              </w:rPr>
              <w:t xml:space="preserve">  </w:t>
            </w:r>
            <w:r w:rsidRPr="00187A03">
              <w:rPr>
                <w:color w:val="314364"/>
              </w:rPr>
              <w:t xml:space="preserve"> </w:t>
            </w:r>
            <w:r>
              <w:rPr>
                <w:color w:val="314364"/>
              </w:rPr>
              <w:t xml:space="preserve"> </w:t>
            </w:r>
          </w:p>
        </w:tc>
        <w:tc>
          <w:tcPr>
            <w:tcW w:w="2532" w:type="pct"/>
            <w:tcBorders>
              <w:bottom w:val="single" w:sz="4" w:space="0" w:color="314364"/>
            </w:tcBorders>
            <w:vAlign w:val="center"/>
          </w:tcPr>
          <w:p w14:paraId="7CA69BED" w14:textId="77777777" w:rsidR="00933176" w:rsidRDefault="00933176" w:rsidP="00933176">
            <w:pPr>
              <w:pStyle w:val="Popis"/>
              <w:keepNext/>
              <w:jc w:val="left"/>
              <w:rPr>
                <w:noProof/>
                <w:lang w:eastAsia="sk-SK"/>
              </w:rPr>
            </w:pPr>
            <w:r w:rsidRPr="00F51C17">
              <w:rPr>
                <w:color w:val="314364"/>
              </w:rPr>
              <w:t xml:space="preserve">Graf </w:t>
            </w:r>
            <w:r>
              <w:rPr>
                <w:color w:val="314364"/>
              </w:rPr>
              <w:t>9</w:t>
            </w:r>
            <w:r w:rsidRPr="00F51C17">
              <w:rPr>
                <w:color w:val="314364"/>
              </w:rPr>
              <w:t xml:space="preserve">: </w:t>
            </w:r>
            <w:r>
              <w:rPr>
                <w:color w:val="314364"/>
              </w:rPr>
              <w:t>Výdavky na jednotlivé druhy dôchodkov v rokoch 2015 až 2028 (v mil. eur)</w:t>
            </w:r>
          </w:p>
        </w:tc>
      </w:tr>
      <w:tr w:rsidR="00933176" w:rsidRPr="00C75134" w14:paraId="3C319851" w14:textId="77777777" w:rsidTr="00BA6E74">
        <w:trPr>
          <w:trHeight w:val="1370"/>
        </w:trPr>
        <w:tc>
          <w:tcPr>
            <w:tcW w:w="5000" w:type="pct"/>
            <w:gridSpan w:val="2"/>
            <w:tcBorders>
              <w:top w:val="single" w:sz="4" w:space="0" w:color="314364"/>
              <w:bottom w:val="single" w:sz="4" w:space="0" w:color="314364"/>
            </w:tcBorders>
            <w:vAlign w:val="center"/>
          </w:tcPr>
          <w:p w14:paraId="30C622CB" w14:textId="77777777" w:rsidR="00933176" w:rsidRPr="00C75134" w:rsidRDefault="00933176" w:rsidP="00933176">
            <w:pPr>
              <w:spacing w:after="0"/>
              <w:jc w:val="center"/>
              <w:rPr>
                <w:b/>
                <w:color w:val="576431"/>
              </w:rPr>
            </w:pPr>
            <w:r>
              <w:rPr>
                <w:noProof/>
                <w:lang w:eastAsia="sk-SK"/>
              </w:rPr>
              <w:drawing>
                <wp:inline distT="0" distB="0" distL="0" distR="0" wp14:anchorId="71D87840" wp14:editId="188A25DD">
                  <wp:extent cx="2808000" cy="2160000"/>
                  <wp:effectExtent l="0" t="0" r="0" b="0"/>
                  <wp:docPr id="15" name="Graf 15">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Pr>
                <w:noProof/>
                <w:lang w:eastAsia="sk-SK"/>
              </w:rPr>
              <w:t xml:space="preserve"> </w:t>
            </w:r>
            <w:r>
              <w:rPr>
                <w:noProof/>
                <w:lang w:eastAsia="sk-SK"/>
              </w:rPr>
              <w:drawing>
                <wp:inline distT="0" distB="0" distL="0" distR="0" wp14:anchorId="06DB5772" wp14:editId="27B660D2">
                  <wp:extent cx="2808000" cy="2160000"/>
                  <wp:effectExtent l="0" t="0" r="0" b="0"/>
                  <wp:docPr id="11" name="Graf 11">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55AD3BB5" w14:textId="77777777" w:rsidR="00933176" w:rsidRDefault="00933176" w:rsidP="00933176">
      <w:pPr>
        <w:pStyle w:val="Zdroj"/>
        <w:spacing w:line="276" w:lineRule="auto"/>
      </w:pPr>
      <w:r w:rsidRPr="00627D87">
        <w:t xml:space="preserve">Zdroj: </w:t>
      </w:r>
      <w:r>
        <w:t>Sociálna poisťovňa</w:t>
      </w:r>
      <w:r>
        <w:rPr>
          <w:lang w:val="en-US"/>
        </w:rPr>
        <w:t>;</w:t>
      </w:r>
      <w:r>
        <w:t xml:space="preserve"> spracovanie NKÚ SR.</w:t>
      </w:r>
    </w:p>
    <w:tbl>
      <w:tblPr>
        <w:tblStyle w:val="Mriekatabuky11"/>
        <w:tblW w:w="0" w:type="auto"/>
        <w:tblBorders>
          <w:top w:val="single" w:sz="4" w:space="0" w:color="314364"/>
          <w:left w:val="single" w:sz="4" w:space="0" w:color="314364"/>
          <w:bottom w:val="single" w:sz="4" w:space="0" w:color="314364"/>
          <w:right w:val="single" w:sz="4" w:space="0" w:color="314364"/>
          <w:insideH w:val="none" w:sz="0" w:space="0" w:color="auto"/>
          <w:insideV w:val="none" w:sz="0" w:space="0" w:color="auto"/>
        </w:tblBorders>
        <w:shd w:val="clear" w:color="auto" w:fill="EBF0FB"/>
        <w:tblLook w:val="04A0" w:firstRow="1" w:lastRow="0" w:firstColumn="1" w:lastColumn="0" w:noHBand="0" w:noVBand="1"/>
      </w:tblPr>
      <w:tblGrid>
        <w:gridCol w:w="9060"/>
      </w:tblGrid>
      <w:tr w:rsidR="00394E18" w:rsidRPr="007E5AAA" w14:paraId="371DBDC4" w14:textId="77777777" w:rsidTr="00BB314F">
        <w:tc>
          <w:tcPr>
            <w:tcW w:w="9060" w:type="dxa"/>
            <w:shd w:val="clear" w:color="auto" w:fill="EBF0FB"/>
          </w:tcPr>
          <w:p w14:paraId="2C31571A" w14:textId="77777777" w:rsidR="00394E18" w:rsidRPr="00F060AD" w:rsidRDefault="00394E18" w:rsidP="00BB314F">
            <w:pPr>
              <w:spacing w:before="120"/>
              <w:ind w:right="163"/>
              <w:rPr>
                <w:rFonts w:cs="Times New Roman"/>
                <w:bCs/>
              </w:rPr>
            </w:pPr>
            <w:r w:rsidRPr="007E5AAA">
              <w:rPr>
                <w:rFonts w:cs="Times New Roman"/>
                <w:b/>
              </w:rPr>
              <w:t>BOX</w:t>
            </w:r>
            <w:r>
              <w:rPr>
                <w:rFonts w:cs="Times New Roman"/>
                <w:b/>
              </w:rPr>
              <w:t xml:space="preserve"> 2:</w:t>
            </w:r>
            <w:r w:rsidRPr="007E5AAA">
              <w:rPr>
                <w:rFonts w:cs="Times New Roman"/>
                <w:b/>
              </w:rPr>
              <w:t xml:space="preserve"> Analytický komentár </w:t>
            </w:r>
            <w:r>
              <w:rPr>
                <w:rFonts w:cs="Times New Roman"/>
                <w:b/>
              </w:rPr>
              <w:t>„V</w:t>
            </w:r>
            <w:r w:rsidRPr="007E5AAA">
              <w:rPr>
                <w:rFonts w:cs="Times New Roman"/>
                <w:b/>
              </w:rPr>
              <w:t> práci dobre, na dôchodku najlepšie</w:t>
            </w:r>
            <w:r w:rsidRPr="00BB314F">
              <w:rPr>
                <w:rFonts w:cs="Times New Roman"/>
                <w:b/>
                <w:bCs/>
              </w:rPr>
              <w:t>“</w:t>
            </w:r>
          </w:p>
          <w:p w14:paraId="7BE74FF1" w14:textId="77777777" w:rsidR="00394E18" w:rsidRPr="007E5AAA" w:rsidRDefault="00394E18" w:rsidP="00BB314F">
            <w:pPr>
              <w:spacing w:before="120"/>
              <w:ind w:right="163"/>
              <w:rPr>
                <w:rFonts w:cs="Segoe UI"/>
                <w:b/>
                <w:sz w:val="18"/>
                <w:szCs w:val="18"/>
              </w:rPr>
            </w:pPr>
            <w:r w:rsidRPr="007E5AAA">
              <w:rPr>
                <w:rFonts w:cs="Segoe UI"/>
                <w:b/>
                <w:sz w:val="18"/>
                <w:szCs w:val="18"/>
              </w:rPr>
              <w:t>Najdôležitejšie zistenia:</w:t>
            </w:r>
          </w:p>
          <w:p w14:paraId="73F2C609" w14:textId="77777777" w:rsidR="00394E18" w:rsidRPr="007E5AAA" w:rsidRDefault="00394E18" w:rsidP="00BB314F">
            <w:pPr>
              <w:numPr>
                <w:ilvl w:val="0"/>
                <w:numId w:val="14"/>
              </w:numPr>
              <w:spacing w:before="120"/>
              <w:ind w:right="163"/>
              <w:contextualSpacing/>
              <w:rPr>
                <w:rFonts w:cs="Segoe UI"/>
                <w:sz w:val="18"/>
                <w:szCs w:val="18"/>
              </w:rPr>
            </w:pPr>
            <w:r w:rsidRPr="007E5AAA">
              <w:rPr>
                <w:rFonts w:cs="Segoe UI"/>
                <w:b/>
                <w:sz w:val="18"/>
                <w:szCs w:val="18"/>
              </w:rPr>
              <w:t>Rekordné výdavky</w:t>
            </w:r>
            <w:r w:rsidRPr="007E5AAA">
              <w:rPr>
                <w:rFonts w:cs="Segoe UI"/>
                <w:sz w:val="18"/>
                <w:szCs w:val="18"/>
              </w:rPr>
              <w:t>: V roku 2024 dosiahli výdavky na PSD historické maximum 461,3 mil. eur, čo bolo spôsobené zavedením PSD40+.</w:t>
            </w:r>
          </w:p>
          <w:p w14:paraId="43A44047" w14:textId="77777777" w:rsidR="00394E18" w:rsidRPr="007E5AAA" w:rsidRDefault="00394E18" w:rsidP="00BB314F">
            <w:pPr>
              <w:numPr>
                <w:ilvl w:val="0"/>
                <w:numId w:val="14"/>
              </w:numPr>
              <w:spacing w:before="120"/>
              <w:ind w:right="163"/>
              <w:contextualSpacing/>
              <w:rPr>
                <w:rFonts w:cs="Segoe UI"/>
                <w:sz w:val="18"/>
                <w:szCs w:val="18"/>
              </w:rPr>
            </w:pPr>
            <w:r w:rsidRPr="007E5AAA">
              <w:rPr>
                <w:rFonts w:cs="Segoe UI"/>
                <w:b/>
                <w:sz w:val="18"/>
                <w:szCs w:val="18"/>
              </w:rPr>
              <w:t>Nárast záujmu o PSD40</w:t>
            </w:r>
            <w:r w:rsidRPr="007E5AAA">
              <w:rPr>
                <w:rFonts w:cs="Segoe UI"/>
                <w:sz w:val="18"/>
                <w:szCs w:val="18"/>
              </w:rPr>
              <w:t>+: Po novele zákona o sociálnom poistení v roku 2023 využilo PSD40+ 43-tisíc poistencov v období 2023 až 2024, z čoho vyše polovica odišla do dôchodku viac ako dva roky pred riadnym dôchodkovým vekom. A</w:t>
            </w:r>
            <w:r w:rsidRPr="007E5AAA">
              <w:rPr>
                <w:rFonts w:cs="Times New Roman"/>
                <w:sz w:val="18"/>
                <w:szCs w:val="18"/>
              </w:rPr>
              <w:t>traktivitu odchodu do dôchodku zvýšila riadna a mimoriadna valorizácia dôchodkov, okamžite započítaná pri priznaní dôchodku v roku 2023 (11,8 % + 10,6 %) a 14,5 % u novopriznaných dôchodkov v 2024.</w:t>
            </w:r>
          </w:p>
          <w:p w14:paraId="0F42CB1F" w14:textId="77777777" w:rsidR="00394E18" w:rsidRPr="007E5AAA" w:rsidRDefault="00394E18" w:rsidP="00BB314F">
            <w:pPr>
              <w:numPr>
                <w:ilvl w:val="0"/>
                <w:numId w:val="14"/>
              </w:numPr>
              <w:spacing w:before="120"/>
              <w:ind w:right="163"/>
              <w:contextualSpacing/>
              <w:rPr>
                <w:sz w:val="18"/>
                <w:szCs w:val="18"/>
              </w:rPr>
            </w:pPr>
            <w:r w:rsidRPr="007E5AAA">
              <w:rPr>
                <w:rFonts w:cs="Segoe UI"/>
                <w:b/>
                <w:sz w:val="18"/>
                <w:szCs w:val="18"/>
              </w:rPr>
              <w:t>Výpadok príjmov na sociálnych odvodoch</w:t>
            </w:r>
            <w:r w:rsidRPr="007E5AAA">
              <w:rPr>
                <w:rFonts w:cs="Segoe UI"/>
                <w:sz w:val="18"/>
                <w:szCs w:val="18"/>
              </w:rPr>
              <w:t xml:space="preserve">: </w:t>
            </w:r>
            <w:r w:rsidRPr="007E5AAA">
              <w:rPr>
                <w:sz w:val="18"/>
                <w:szCs w:val="18"/>
              </w:rPr>
              <w:t>Pri poistencoch, ktorí odišli do PSD40+ viac ako dva roky pred dovŕšením dôchodkového veku, sa odhaduje výpadok na odvodoch vo výške 371,8 mil. eur, ak by hypoteticky pracovali až do dovŕšenia riadneho dôchodkového veku. Scenár, ktorý predpokladá odchod do klasického PSD, počíta s výpadkom na úrovni 164,9 mil. eur.</w:t>
            </w:r>
          </w:p>
          <w:p w14:paraId="10772A3F" w14:textId="728383EE" w:rsidR="00394E18" w:rsidRPr="007E5AAA" w:rsidRDefault="00394E18" w:rsidP="00BB314F">
            <w:pPr>
              <w:numPr>
                <w:ilvl w:val="0"/>
                <w:numId w:val="14"/>
              </w:numPr>
              <w:spacing w:before="120"/>
              <w:ind w:right="163"/>
              <w:contextualSpacing/>
              <w:rPr>
                <w:rFonts w:cs="Segoe UI"/>
                <w:sz w:val="18"/>
                <w:szCs w:val="18"/>
              </w:rPr>
            </w:pPr>
            <w:r w:rsidRPr="007E5AAA">
              <w:rPr>
                <w:rFonts w:cs="Segoe UI"/>
                <w:b/>
                <w:sz w:val="18"/>
                <w:szCs w:val="18"/>
              </w:rPr>
              <w:t>Odvetvová štruktúra odchodov do PSD40+:</w:t>
            </w:r>
            <w:r w:rsidRPr="007E5AAA">
              <w:rPr>
                <w:rFonts w:cs="Segoe UI"/>
                <w:sz w:val="18"/>
                <w:szCs w:val="18"/>
              </w:rPr>
              <w:t xml:space="preserve"> Najviac odchodov na dôchodok bolo z priemyslu (33</w:t>
            </w:r>
            <w:r w:rsidR="003D035E">
              <w:rPr>
                <w:rFonts w:cs="Segoe UI"/>
                <w:sz w:val="18"/>
                <w:szCs w:val="18"/>
              </w:rPr>
              <w:t> </w:t>
            </w:r>
            <w:r w:rsidRPr="007E5AAA">
              <w:rPr>
                <w:rFonts w:cs="Segoe UI"/>
                <w:sz w:val="18"/>
                <w:szCs w:val="18"/>
              </w:rPr>
              <w:t>%), obchodu (12,3 %) a dopravy (9,7 %)</w:t>
            </w:r>
            <w:r w:rsidR="00FE0380">
              <w:rPr>
                <w:rFonts w:cs="Segoe UI"/>
                <w:sz w:val="18"/>
                <w:szCs w:val="18"/>
              </w:rPr>
              <w:t>.</w:t>
            </w:r>
          </w:p>
          <w:p w14:paraId="469C7F63" w14:textId="77777777" w:rsidR="00394E18" w:rsidRPr="007E5AAA" w:rsidRDefault="00394E18" w:rsidP="00BB314F">
            <w:pPr>
              <w:numPr>
                <w:ilvl w:val="0"/>
                <w:numId w:val="14"/>
              </w:numPr>
              <w:spacing w:before="120"/>
              <w:ind w:right="163"/>
              <w:contextualSpacing/>
              <w:rPr>
                <w:rFonts w:cs="Segoe UI"/>
                <w:sz w:val="18"/>
                <w:szCs w:val="18"/>
              </w:rPr>
            </w:pPr>
            <w:r w:rsidRPr="007E5AAA">
              <w:rPr>
                <w:rFonts w:cs="Segoe UI"/>
                <w:b/>
                <w:sz w:val="18"/>
                <w:szCs w:val="18"/>
              </w:rPr>
              <w:t>Riziko v kritických sektoroch</w:t>
            </w:r>
            <w:r w:rsidRPr="007E5AAA">
              <w:rPr>
                <w:rFonts w:cs="Segoe UI"/>
                <w:sz w:val="18"/>
                <w:szCs w:val="18"/>
              </w:rPr>
              <w:t xml:space="preserve">: Verejný sektor a základné služby (zdravotníctvo, školstvo, energia, voda) čelia riziku ďalšieho odlivu pracovníkov kvôli vysokému podielu starších zamestnancov. </w:t>
            </w:r>
          </w:p>
          <w:p w14:paraId="7CCFE442" w14:textId="7D09E059" w:rsidR="00394E18" w:rsidRPr="007E5AAA" w:rsidRDefault="00394E18" w:rsidP="00BB314F">
            <w:pPr>
              <w:numPr>
                <w:ilvl w:val="0"/>
                <w:numId w:val="14"/>
              </w:numPr>
              <w:spacing w:before="120"/>
              <w:ind w:right="163"/>
              <w:contextualSpacing/>
              <w:rPr>
                <w:rFonts w:cs="Segoe UI"/>
                <w:sz w:val="18"/>
                <w:szCs w:val="18"/>
              </w:rPr>
            </w:pPr>
            <w:r w:rsidRPr="007E5AAA">
              <w:rPr>
                <w:rFonts w:cs="Times New Roman"/>
                <w:b/>
                <w:sz w:val="18"/>
                <w:szCs w:val="18"/>
              </w:rPr>
              <w:t>Súbeh práce a dôchodku</w:t>
            </w:r>
            <w:r w:rsidRPr="007E5AAA">
              <w:rPr>
                <w:rFonts w:cs="Times New Roman"/>
                <w:sz w:val="18"/>
                <w:szCs w:val="18"/>
              </w:rPr>
              <w:t>: Ku koncu roka 2024 pracovalo popri PSD40+ 6 366 osôb, z toho 3 906 u</w:t>
            </w:r>
            <w:r w:rsidR="003D035E">
              <w:rPr>
                <w:rFonts w:cs="Times New Roman"/>
                <w:sz w:val="18"/>
                <w:szCs w:val="18"/>
              </w:rPr>
              <w:t> </w:t>
            </w:r>
            <w:r w:rsidRPr="007E5AAA">
              <w:rPr>
                <w:rFonts w:cs="Times New Roman"/>
                <w:sz w:val="18"/>
                <w:szCs w:val="18"/>
              </w:rPr>
              <w:t>pôvodného zamestnávateľa, čo zvyšuje riziko šedej ekonomiky</w:t>
            </w:r>
            <w:r w:rsidR="00FE0380">
              <w:rPr>
                <w:rFonts w:cs="Times New Roman"/>
                <w:sz w:val="18"/>
                <w:szCs w:val="18"/>
              </w:rPr>
              <w:t>.</w:t>
            </w:r>
          </w:p>
          <w:p w14:paraId="4E74BC60" w14:textId="77777777" w:rsidR="00394E18" w:rsidRPr="007E5AAA" w:rsidRDefault="00394E18" w:rsidP="00BB314F">
            <w:pPr>
              <w:numPr>
                <w:ilvl w:val="0"/>
                <w:numId w:val="14"/>
              </w:numPr>
              <w:spacing w:before="120"/>
              <w:ind w:right="163"/>
              <w:contextualSpacing/>
              <w:rPr>
                <w:rFonts w:cs="Segoe UI"/>
                <w:sz w:val="18"/>
                <w:szCs w:val="18"/>
              </w:rPr>
            </w:pPr>
            <w:r w:rsidRPr="007E5AAA">
              <w:rPr>
                <w:rFonts w:cs="Segoe UI"/>
                <w:b/>
                <w:sz w:val="18"/>
                <w:szCs w:val="18"/>
              </w:rPr>
              <w:t>Demografický vývoj:</w:t>
            </w:r>
            <w:r w:rsidRPr="007E5AAA">
              <w:rPr>
                <w:rFonts w:cs="Segoe UI"/>
                <w:sz w:val="18"/>
                <w:szCs w:val="18"/>
              </w:rPr>
              <w:t xml:space="preserve"> Starnutie populácie zvyšuje tlak na dôchodkový systém, s očakávaným poklesom </w:t>
            </w:r>
            <w:r>
              <w:rPr>
                <w:rFonts w:cs="Segoe UI"/>
                <w:sz w:val="18"/>
                <w:szCs w:val="18"/>
              </w:rPr>
              <w:t>EAO</w:t>
            </w:r>
            <w:r w:rsidRPr="007E5AAA">
              <w:rPr>
                <w:rFonts w:cs="Segoe UI"/>
                <w:sz w:val="18"/>
                <w:szCs w:val="18"/>
              </w:rPr>
              <w:t xml:space="preserve"> do roku 2080. </w:t>
            </w:r>
          </w:p>
          <w:p w14:paraId="6F6B8736" w14:textId="77777777" w:rsidR="00394E18" w:rsidRPr="007E5AAA" w:rsidRDefault="00394E18" w:rsidP="00BB314F">
            <w:pPr>
              <w:numPr>
                <w:ilvl w:val="0"/>
                <w:numId w:val="14"/>
              </w:numPr>
              <w:spacing w:before="120"/>
              <w:ind w:right="163"/>
              <w:contextualSpacing/>
              <w:rPr>
                <w:rFonts w:cs="Segoe UI"/>
                <w:sz w:val="18"/>
                <w:szCs w:val="18"/>
              </w:rPr>
            </w:pPr>
            <w:r w:rsidRPr="007E5AAA">
              <w:rPr>
                <w:rFonts w:cs="Segoe UI"/>
                <w:b/>
                <w:sz w:val="18"/>
                <w:szCs w:val="18"/>
              </w:rPr>
              <w:t>Udržateľnosť:</w:t>
            </w:r>
            <w:r w:rsidRPr="007E5AAA">
              <w:rPr>
                <w:rFonts w:cs="Segoe UI"/>
                <w:sz w:val="18"/>
                <w:szCs w:val="18"/>
              </w:rPr>
              <w:t xml:space="preserve"> Dôchodkový systém prispieva k zhoršeniu ukazovateľa dlhodobej udržateľnosti</w:t>
            </w:r>
            <w:r>
              <w:rPr>
                <w:rFonts w:cs="Segoe UI"/>
                <w:sz w:val="18"/>
                <w:szCs w:val="18"/>
              </w:rPr>
              <w:t>. S</w:t>
            </w:r>
            <w:r w:rsidRPr="007E5AAA">
              <w:rPr>
                <w:rFonts w:cs="Segoe UI"/>
                <w:sz w:val="18"/>
                <w:szCs w:val="18"/>
              </w:rPr>
              <w:t>tarnutie populácie a nízky efektívny vek odchodu zvyšujú fiškálne riziká.</w:t>
            </w:r>
          </w:p>
          <w:p w14:paraId="0B2F28BE" w14:textId="77777777" w:rsidR="00394E18" w:rsidRPr="007E5AAA" w:rsidRDefault="00394E18" w:rsidP="00BB314F">
            <w:pPr>
              <w:spacing w:before="120" w:after="40"/>
              <w:ind w:right="163"/>
              <w:rPr>
                <w:rFonts w:cs="Segoe UI"/>
                <w:b/>
                <w:sz w:val="18"/>
                <w:szCs w:val="18"/>
              </w:rPr>
            </w:pPr>
            <w:r w:rsidRPr="007E5AAA">
              <w:rPr>
                <w:rFonts w:cs="Segoe UI"/>
                <w:b/>
                <w:sz w:val="18"/>
                <w:szCs w:val="18"/>
              </w:rPr>
              <w:t>Odporúčania</w:t>
            </w:r>
            <w:r>
              <w:rPr>
                <w:rFonts w:cs="Segoe UI"/>
                <w:b/>
                <w:sz w:val="18"/>
                <w:szCs w:val="18"/>
              </w:rPr>
              <w:t xml:space="preserve"> NKÚ SR</w:t>
            </w:r>
            <w:r w:rsidRPr="007E5AAA">
              <w:rPr>
                <w:rFonts w:cs="Segoe UI"/>
                <w:b/>
                <w:sz w:val="18"/>
                <w:szCs w:val="18"/>
              </w:rPr>
              <w:t>:</w:t>
            </w:r>
          </w:p>
          <w:p w14:paraId="2B3AB9E5" w14:textId="77777777" w:rsidR="00394E18" w:rsidRPr="007E5AAA" w:rsidRDefault="00394E18" w:rsidP="00BB314F">
            <w:pPr>
              <w:numPr>
                <w:ilvl w:val="0"/>
                <w:numId w:val="13"/>
              </w:numPr>
              <w:spacing w:after="0" w:line="240" w:lineRule="auto"/>
              <w:contextualSpacing/>
              <w:rPr>
                <w:rFonts w:eastAsia="Times New Roman" w:cs="Segoe UI"/>
                <w:sz w:val="18"/>
                <w:szCs w:val="18"/>
                <w:lang w:eastAsia="sk-SK"/>
              </w:rPr>
            </w:pPr>
            <w:r w:rsidRPr="007E5AAA">
              <w:rPr>
                <w:rFonts w:eastAsia="Times New Roman" w:cs="Segoe UI"/>
                <w:b/>
                <w:bCs/>
                <w:sz w:val="18"/>
                <w:szCs w:val="18"/>
                <w:lang w:eastAsia="sk-SK"/>
              </w:rPr>
              <w:t>Revízia PSD40+</w:t>
            </w:r>
            <w:r w:rsidRPr="007E5AAA">
              <w:rPr>
                <w:rFonts w:eastAsia="Times New Roman" w:cs="Segoe UI"/>
                <w:sz w:val="18"/>
                <w:szCs w:val="18"/>
                <w:lang w:eastAsia="sk-SK"/>
              </w:rPr>
              <w:t xml:space="preserve">: Sprísniť podmienky čerpania podľa zdravotného stavu, náročnosti práce alebo dĺžky zamestnania. </w:t>
            </w:r>
          </w:p>
          <w:p w14:paraId="06FA5ADD" w14:textId="77777777" w:rsidR="00394E18" w:rsidRPr="007E5AAA" w:rsidRDefault="00394E18" w:rsidP="00BB314F">
            <w:pPr>
              <w:numPr>
                <w:ilvl w:val="0"/>
                <w:numId w:val="13"/>
              </w:numPr>
              <w:spacing w:after="0" w:line="240" w:lineRule="auto"/>
              <w:contextualSpacing/>
              <w:rPr>
                <w:rFonts w:eastAsia="Times New Roman" w:cs="Segoe UI"/>
                <w:sz w:val="18"/>
                <w:szCs w:val="18"/>
                <w:lang w:eastAsia="sk-SK"/>
              </w:rPr>
            </w:pPr>
            <w:r w:rsidRPr="007E5AAA">
              <w:rPr>
                <w:rFonts w:eastAsia="Times New Roman" w:cs="Segoe UI"/>
                <w:b/>
                <w:bCs/>
                <w:sz w:val="18"/>
                <w:szCs w:val="18"/>
                <w:lang w:eastAsia="sk-SK"/>
              </w:rPr>
              <w:t>Monitoring</w:t>
            </w:r>
            <w:r w:rsidRPr="007E5AAA">
              <w:rPr>
                <w:rFonts w:eastAsia="Times New Roman" w:cs="Segoe UI"/>
                <w:sz w:val="18"/>
                <w:szCs w:val="18"/>
                <w:lang w:eastAsia="sk-SK"/>
              </w:rPr>
              <w:t xml:space="preserve">: Sledovať dopad PSD40+ a PSD na verejné financie, trh práce a vek odchodu do dôchodku. </w:t>
            </w:r>
          </w:p>
          <w:p w14:paraId="4D7C8D80" w14:textId="77777777" w:rsidR="00394E18" w:rsidRPr="007E5AAA" w:rsidRDefault="00394E18" w:rsidP="00BB314F">
            <w:pPr>
              <w:numPr>
                <w:ilvl w:val="0"/>
                <w:numId w:val="13"/>
              </w:numPr>
              <w:spacing w:after="0" w:line="240" w:lineRule="auto"/>
              <w:contextualSpacing/>
              <w:rPr>
                <w:rFonts w:eastAsia="Times New Roman" w:cs="Segoe UI"/>
                <w:sz w:val="18"/>
                <w:szCs w:val="18"/>
                <w:lang w:eastAsia="sk-SK"/>
              </w:rPr>
            </w:pPr>
            <w:r w:rsidRPr="007E5AAA">
              <w:rPr>
                <w:rFonts w:eastAsia="Times New Roman" w:cs="Segoe UI"/>
                <w:b/>
                <w:bCs/>
                <w:sz w:val="18"/>
                <w:szCs w:val="18"/>
                <w:lang w:eastAsia="sk-SK"/>
              </w:rPr>
              <w:t>Kontrola súbehu</w:t>
            </w:r>
            <w:r w:rsidRPr="007E5AAA">
              <w:rPr>
                <w:rFonts w:eastAsia="Times New Roman" w:cs="Segoe UI"/>
                <w:sz w:val="18"/>
                <w:szCs w:val="18"/>
                <w:lang w:eastAsia="sk-SK"/>
              </w:rPr>
              <w:t xml:space="preserve">: Zvýšiť dohľad nad súbehom dôchodku a práce na dohodu, aby sa znížilo riziko šedej ekonomiky. </w:t>
            </w:r>
          </w:p>
          <w:p w14:paraId="3E4D50B3" w14:textId="77777777" w:rsidR="00394E18" w:rsidRPr="007E5AAA" w:rsidRDefault="00394E18" w:rsidP="00BB314F">
            <w:pPr>
              <w:pStyle w:val="Odsekzoznamu"/>
              <w:numPr>
                <w:ilvl w:val="0"/>
                <w:numId w:val="13"/>
              </w:numPr>
              <w:rPr>
                <w:lang w:eastAsia="sk-SK"/>
              </w:rPr>
            </w:pPr>
            <w:r w:rsidRPr="00BB314F">
              <w:rPr>
                <w:b/>
                <w:bCs/>
                <w:sz w:val="18"/>
                <w:lang w:eastAsia="sk-SK"/>
              </w:rPr>
              <w:t>Úprava valorizácie</w:t>
            </w:r>
            <w:r w:rsidRPr="00BB314F">
              <w:rPr>
                <w:sz w:val="18"/>
                <w:lang w:eastAsia="sk-SK"/>
              </w:rPr>
              <w:t>: Zvážiť zmenu mechanizmu prvej valorizácie dôchodkov, aby sa predišlo zvýhodneniu pri makroekonomických výkyvoch.</w:t>
            </w:r>
          </w:p>
        </w:tc>
      </w:tr>
    </w:tbl>
    <w:p w14:paraId="0686F671" w14:textId="77777777" w:rsidR="002B75D3" w:rsidRDefault="002B75D3" w:rsidP="002B75D3">
      <w:pPr>
        <w:pStyle w:val="Zdroj"/>
        <w:spacing w:line="276" w:lineRule="auto"/>
      </w:pPr>
      <w:r w:rsidRPr="00627D87">
        <w:t xml:space="preserve">Zdroj: </w:t>
      </w:r>
      <w:r>
        <w:t>NKÚ SR</w:t>
      </w:r>
      <w:r>
        <w:rPr>
          <w:lang w:val="en-US"/>
        </w:rPr>
        <w:t xml:space="preserve">. </w:t>
      </w:r>
      <w:hyperlink r:id="rId20" w:history="1">
        <w:r w:rsidRPr="00CD501F">
          <w:rPr>
            <w:rStyle w:val="Hypertextovprepojenie"/>
            <w:sz w:val="16"/>
          </w:rPr>
          <w:t>[online]</w:t>
        </w:r>
      </w:hyperlink>
      <w:r>
        <w:t>.</w:t>
      </w:r>
    </w:p>
    <w:p w14:paraId="5948FE26" w14:textId="18AF0575" w:rsidR="00277871" w:rsidRDefault="00277871" w:rsidP="002B75D3">
      <w:pPr>
        <w:spacing w:before="120"/>
        <w:rPr>
          <w:bCs/>
        </w:rPr>
      </w:pPr>
      <w:r w:rsidRPr="00F74136">
        <w:rPr>
          <w:b/>
          <w:bCs/>
        </w:rPr>
        <w:lastRenderedPageBreak/>
        <w:t>V r</w:t>
      </w:r>
      <w:r>
        <w:rPr>
          <w:b/>
          <w:bCs/>
        </w:rPr>
        <w:t xml:space="preserve">ozpočte na rok 2026 sa počíta so </w:t>
      </w:r>
      <w:r w:rsidRPr="00F74136">
        <w:rPr>
          <w:b/>
          <w:bCs/>
        </w:rPr>
        <w:t xml:space="preserve">zvýšením </w:t>
      </w:r>
      <w:r>
        <w:rPr>
          <w:b/>
          <w:bCs/>
        </w:rPr>
        <w:t xml:space="preserve">výdavkov na dôchodkové dávky o 3,1 % oproti minuloročného rozpočtu </w:t>
      </w:r>
      <w:r w:rsidRPr="00F74136">
        <w:rPr>
          <w:b/>
          <w:bCs/>
        </w:rPr>
        <w:t xml:space="preserve">na </w:t>
      </w:r>
      <w:r>
        <w:rPr>
          <w:b/>
          <w:bCs/>
        </w:rPr>
        <w:t xml:space="preserve">sumu </w:t>
      </w:r>
      <w:r w:rsidRPr="00F74136">
        <w:rPr>
          <w:b/>
          <w:bCs/>
        </w:rPr>
        <w:t>13 295,7 mil. eur</w:t>
      </w:r>
      <w:r>
        <w:rPr>
          <w:bCs/>
        </w:rPr>
        <w:t xml:space="preserve"> (graf</w:t>
      </w:r>
      <w:r w:rsidR="00F060AD">
        <w:rPr>
          <w:bCs/>
        </w:rPr>
        <w:t xml:space="preserve"> 8</w:t>
      </w:r>
      <w:r>
        <w:rPr>
          <w:bCs/>
        </w:rPr>
        <w:t>)</w:t>
      </w:r>
      <w:r w:rsidRPr="00F060AD">
        <w:rPr>
          <w:b/>
        </w:rPr>
        <w:t xml:space="preserve">. </w:t>
      </w:r>
      <w:r>
        <w:rPr>
          <w:bCs/>
        </w:rPr>
        <w:t>Dôvodom je nárast očakávanej dôchodkovej inflácie, zavedenie kompenzácie za obdobi</w:t>
      </w:r>
      <w:r w:rsidR="00F060AD">
        <w:rPr>
          <w:bCs/>
        </w:rPr>
        <w:t>e</w:t>
      </w:r>
      <w:r>
        <w:rPr>
          <w:bCs/>
        </w:rPr>
        <w:t xml:space="preserve"> starostlivosti o dieťa</w:t>
      </w:r>
      <w:r>
        <w:rPr>
          <w:rStyle w:val="Odkaznapoznmkupodiarou"/>
          <w:bCs/>
        </w:rPr>
        <w:footnoteReference w:id="11"/>
      </w:r>
      <w:r>
        <w:rPr>
          <w:bCs/>
        </w:rPr>
        <w:t>, ktoré sa prejaví od roku 2027 a rýchlejší prechod poberateľov PSD medzi poberateľov SD</w:t>
      </w:r>
      <w:r>
        <w:rPr>
          <w:rStyle w:val="Odkaznapoznmkupodiarou"/>
          <w:bCs/>
        </w:rPr>
        <w:footnoteReference w:id="12"/>
      </w:r>
      <w:r>
        <w:rPr>
          <w:bCs/>
        </w:rPr>
        <w:t>. Dôchodková inflácia sa v roku 2026 očakáva vo výške 3,6 %, čo prispeje k rastu dôchodkových dávok o 460,2 mil. eur a v ďalších rokoch 4,5</w:t>
      </w:r>
      <w:r w:rsidR="003D035E">
        <w:rPr>
          <w:bCs/>
        </w:rPr>
        <w:t> </w:t>
      </w:r>
      <w:r>
        <w:rPr>
          <w:bCs/>
        </w:rPr>
        <w:t xml:space="preserve">% (rast dôchodkov o 596 mil. eur) a 2,8 % (rast dôchodkov o 387,5 mil. eur). Na </w:t>
      </w:r>
      <w:r w:rsidR="00640A47">
        <w:rPr>
          <w:bCs/>
        </w:rPr>
        <w:t xml:space="preserve">druhej </w:t>
      </w:r>
      <w:r>
        <w:rPr>
          <w:bCs/>
        </w:rPr>
        <w:t>strane, výdavky bude tlmiť dočasné zmrazenie valorizácie 13. dôchodku v rokoch 2026 až 2028</w:t>
      </w:r>
      <w:r>
        <w:rPr>
          <w:rStyle w:val="Odkaznapoznmkupodiarou"/>
          <w:bCs/>
        </w:rPr>
        <w:footnoteReference w:id="13"/>
      </w:r>
      <w:r w:rsidR="008C3C44">
        <w:rPr>
          <w:bCs/>
        </w:rPr>
        <w:t xml:space="preserve"> (tabuľka </w:t>
      </w:r>
      <w:r w:rsidR="004C5312">
        <w:rPr>
          <w:bCs/>
        </w:rPr>
        <w:t>3</w:t>
      </w:r>
      <w:r w:rsidR="008C3C44">
        <w:rPr>
          <w:bCs/>
        </w:rPr>
        <w:t>)</w:t>
      </w:r>
      <w:r>
        <w:rPr>
          <w:bCs/>
        </w:rPr>
        <w:t xml:space="preserve">. </w:t>
      </w:r>
    </w:p>
    <w:p w14:paraId="07769AB7" w14:textId="77777777" w:rsidR="00394E18" w:rsidRDefault="00394E18" w:rsidP="00394E18">
      <w:pPr>
        <w:pStyle w:val="Popis"/>
        <w:keepNext/>
      </w:pPr>
      <w:r w:rsidRPr="004D2725">
        <w:t>Tabuľka</w:t>
      </w:r>
      <w:r>
        <w:t xml:space="preserve"> 3</w:t>
      </w:r>
      <w:r w:rsidRPr="004D2725">
        <w:t xml:space="preserve">: </w:t>
      </w:r>
      <w:r>
        <w:t>Výdavky na 13. dôchodok</w:t>
      </w:r>
      <w:r w:rsidRPr="00BC3044">
        <w:t xml:space="preserve"> </w:t>
      </w:r>
      <w:r>
        <w:t>v rokoch 2024 až 2028 (</w:t>
      </w:r>
      <w:r w:rsidRPr="00BC3044">
        <w:t>v mil. eur)</w:t>
      </w:r>
    </w:p>
    <w:tbl>
      <w:tblPr>
        <w:tblpPr w:leftFromText="141" w:rightFromText="141" w:vertAnchor="text" w:horzAnchor="margin" w:tblpXSpec="center" w:tblpY="72"/>
        <w:tblOverlap w:val="never"/>
        <w:tblW w:w="5000" w:type="pct"/>
        <w:tblCellMar>
          <w:top w:w="28" w:type="dxa"/>
        </w:tblCellMar>
        <w:tblLook w:val="04A0" w:firstRow="1" w:lastRow="0" w:firstColumn="1" w:lastColumn="0" w:noHBand="0" w:noVBand="1"/>
      </w:tblPr>
      <w:tblGrid>
        <w:gridCol w:w="1962"/>
        <w:gridCol w:w="1118"/>
        <w:gridCol w:w="1144"/>
        <w:gridCol w:w="1314"/>
        <w:gridCol w:w="1178"/>
        <w:gridCol w:w="1177"/>
        <w:gridCol w:w="1177"/>
      </w:tblGrid>
      <w:tr w:rsidR="00394E18" w:rsidRPr="00BC3044" w14:paraId="540C99F3" w14:textId="77777777" w:rsidTr="00BB314F">
        <w:trPr>
          <w:trHeight w:val="283"/>
        </w:trPr>
        <w:tc>
          <w:tcPr>
            <w:tcW w:w="1081" w:type="pct"/>
            <w:tcBorders>
              <w:bottom w:val="single" w:sz="4" w:space="0" w:color="314364"/>
            </w:tcBorders>
            <w:shd w:val="clear" w:color="auto" w:fill="314364"/>
            <w:vAlign w:val="center"/>
          </w:tcPr>
          <w:p w14:paraId="6C1A1B2C" w14:textId="77777777" w:rsidR="00394E18" w:rsidRPr="00BC3044" w:rsidRDefault="00394E18" w:rsidP="00BB314F">
            <w:pPr>
              <w:spacing w:after="0" w:line="259" w:lineRule="auto"/>
              <w:jc w:val="left"/>
              <w:rPr>
                <w:rFonts w:cs="Segoe UI"/>
                <w:b/>
                <w:color w:val="FFFFFF" w:themeColor="background1"/>
                <w:sz w:val="18"/>
                <w:szCs w:val="18"/>
              </w:rPr>
            </w:pPr>
          </w:p>
        </w:tc>
        <w:tc>
          <w:tcPr>
            <w:tcW w:w="616" w:type="pct"/>
            <w:tcBorders>
              <w:bottom w:val="single" w:sz="4" w:space="0" w:color="314364"/>
            </w:tcBorders>
            <w:shd w:val="clear" w:color="auto" w:fill="314364"/>
            <w:vAlign w:val="center"/>
          </w:tcPr>
          <w:p w14:paraId="409145C5" w14:textId="77777777" w:rsidR="00394E18" w:rsidRPr="00BC3044" w:rsidRDefault="00394E18" w:rsidP="00BB314F">
            <w:pPr>
              <w:spacing w:after="0" w:line="259" w:lineRule="auto"/>
              <w:jc w:val="right"/>
              <w:rPr>
                <w:rFonts w:cs="Segoe UI"/>
                <w:b/>
                <w:color w:val="FFFFFF" w:themeColor="background1"/>
                <w:sz w:val="18"/>
                <w:szCs w:val="18"/>
              </w:rPr>
            </w:pPr>
            <w:r w:rsidRPr="00BC3044">
              <w:rPr>
                <w:rFonts w:cs="Segoe UI"/>
                <w:b/>
                <w:color w:val="FFFFFF" w:themeColor="background1"/>
                <w:sz w:val="18"/>
                <w:szCs w:val="18"/>
              </w:rPr>
              <w:t>202</w:t>
            </w:r>
            <w:r>
              <w:rPr>
                <w:rFonts w:cs="Segoe UI"/>
                <w:b/>
                <w:color w:val="FFFFFF" w:themeColor="background1"/>
                <w:sz w:val="18"/>
                <w:szCs w:val="18"/>
              </w:rPr>
              <w:t>4</w:t>
            </w:r>
            <w:r w:rsidRPr="00BC3044">
              <w:rPr>
                <w:rFonts w:cs="Segoe UI"/>
                <w:b/>
                <w:color w:val="FFFFFF" w:themeColor="background1"/>
                <w:sz w:val="18"/>
                <w:szCs w:val="18"/>
              </w:rPr>
              <w:t xml:space="preserve"> S</w:t>
            </w:r>
          </w:p>
        </w:tc>
        <w:tc>
          <w:tcPr>
            <w:tcW w:w="630" w:type="pct"/>
            <w:tcBorders>
              <w:bottom w:val="single" w:sz="4" w:space="0" w:color="314364"/>
            </w:tcBorders>
            <w:shd w:val="clear" w:color="auto" w:fill="314364"/>
            <w:vAlign w:val="center"/>
          </w:tcPr>
          <w:p w14:paraId="202E67DE" w14:textId="77777777" w:rsidR="00394E18" w:rsidRPr="00BC3044" w:rsidRDefault="00394E18" w:rsidP="00BB314F">
            <w:pPr>
              <w:spacing w:after="0" w:line="259" w:lineRule="auto"/>
              <w:jc w:val="right"/>
              <w:rPr>
                <w:rFonts w:cs="Segoe UI"/>
                <w:b/>
                <w:color w:val="FFFFFF" w:themeColor="background1"/>
                <w:sz w:val="18"/>
                <w:szCs w:val="18"/>
              </w:rPr>
            </w:pPr>
            <w:r w:rsidRPr="00BC3044">
              <w:rPr>
                <w:rFonts w:cs="Segoe UI"/>
                <w:b/>
                <w:color w:val="FFFFFF" w:themeColor="background1"/>
                <w:sz w:val="18"/>
                <w:szCs w:val="18"/>
              </w:rPr>
              <w:t>202</w:t>
            </w:r>
            <w:r>
              <w:rPr>
                <w:rFonts w:cs="Segoe UI"/>
                <w:b/>
                <w:color w:val="FFFFFF" w:themeColor="background1"/>
                <w:sz w:val="18"/>
                <w:szCs w:val="18"/>
              </w:rPr>
              <w:t>5</w:t>
            </w:r>
            <w:r w:rsidRPr="00BC3044">
              <w:rPr>
                <w:rFonts w:cs="Segoe UI"/>
                <w:b/>
                <w:color w:val="FFFFFF" w:themeColor="background1"/>
                <w:sz w:val="18"/>
                <w:szCs w:val="18"/>
              </w:rPr>
              <w:t xml:space="preserve"> R</w:t>
            </w:r>
          </w:p>
        </w:tc>
        <w:tc>
          <w:tcPr>
            <w:tcW w:w="724" w:type="pct"/>
            <w:tcBorders>
              <w:bottom w:val="single" w:sz="4" w:space="0" w:color="314364"/>
            </w:tcBorders>
            <w:shd w:val="clear" w:color="auto" w:fill="314364"/>
            <w:vAlign w:val="center"/>
          </w:tcPr>
          <w:p w14:paraId="2F536633" w14:textId="77777777" w:rsidR="00394E18" w:rsidRPr="00BC3044" w:rsidRDefault="00394E18" w:rsidP="00BB314F">
            <w:pPr>
              <w:spacing w:after="0" w:line="259" w:lineRule="auto"/>
              <w:jc w:val="right"/>
              <w:rPr>
                <w:rFonts w:cs="Segoe UI"/>
                <w:b/>
                <w:color w:val="FFFFFF" w:themeColor="background1"/>
                <w:sz w:val="18"/>
                <w:szCs w:val="18"/>
              </w:rPr>
            </w:pPr>
            <w:r w:rsidRPr="00BC3044">
              <w:rPr>
                <w:rFonts w:cs="Segoe UI"/>
                <w:b/>
                <w:color w:val="FFFFFF" w:themeColor="background1"/>
                <w:sz w:val="18"/>
                <w:szCs w:val="18"/>
              </w:rPr>
              <w:t xml:space="preserve">2025 </w:t>
            </w:r>
            <w:r>
              <w:rPr>
                <w:rFonts w:cs="Segoe UI"/>
                <w:b/>
                <w:color w:val="FFFFFF" w:themeColor="background1"/>
                <w:sz w:val="18"/>
                <w:szCs w:val="18"/>
              </w:rPr>
              <w:t>OS</w:t>
            </w:r>
          </w:p>
        </w:tc>
        <w:tc>
          <w:tcPr>
            <w:tcW w:w="649" w:type="pct"/>
            <w:tcBorders>
              <w:bottom w:val="single" w:sz="4" w:space="0" w:color="314364"/>
            </w:tcBorders>
            <w:shd w:val="clear" w:color="auto" w:fill="314364"/>
            <w:vAlign w:val="center"/>
          </w:tcPr>
          <w:p w14:paraId="2D846EFF" w14:textId="77777777" w:rsidR="00394E18" w:rsidRPr="00BC3044" w:rsidRDefault="00394E18" w:rsidP="00BB314F">
            <w:pPr>
              <w:spacing w:after="0" w:line="259" w:lineRule="auto"/>
              <w:jc w:val="right"/>
              <w:rPr>
                <w:rFonts w:cs="Segoe UI"/>
                <w:b/>
                <w:color w:val="FFFFFF" w:themeColor="background1"/>
                <w:sz w:val="18"/>
                <w:szCs w:val="18"/>
              </w:rPr>
            </w:pPr>
            <w:r w:rsidRPr="00BC3044">
              <w:rPr>
                <w:rFonts w:cs="Segoe UI"/>
                <w:b/>
                <w:color w:val="FFFFFF" w:themeColor="background1"/>
                <w:sz w:val="18"/>
                <w:szCs w:val="18"/>
              </w:rPr>
              <w:t>2026 N</w:t>
            </w:r>
          </w:p>
        </w:tc>
        <w:tc>
          <w:tcPr>
            <w:tcW w:w="649" w:type="pct"/>
            <w:tcBorders>
              <w:bottom w:val="single" w:sz="4" w:space="0" w:color="314364"/>
            </w:tcBorders>
            <w:shd w:val="clear" w:color="auto" w:fill="314364"/>
            <w:vAlign w:val="center"/>
          </w:tcPr>
          <w:p w14:paraId="4CA2F684" w14:textId="77777777" w:rsidR="00394E18" w:rsidRPr="00BC3044" w:rsidRDefault="00394E18" w:rsidP="00BB314F">
            <w:pPr>
              <w:spacing w:after="0" w:line="259" w:lineRule="auto"/>
              <w:jc w:val="right"/>
              <w:rPr>
                <w:rFonts w:cs="Segoe UI"/>
                <w:b/>
                <w:color w:val="FFFFFF" w:themeColor="background1"/>
                <w:sz w:val="18"/>
                <w:szCs w:val="18"/>
              </w:rPr>
            </w:pPr>
            <w:r w:rsidRPr="00BC3044">
              <w:rPr>
                <w:rFonts w:cs="Segoe UI"/>
                <w:b/>
                <w:color w:val="FFFFFF" w:themeColor="background1"/>
                <w:sz w:val="18"/>
                <w:szCs w:val="18"/>
              </w:rPr>
              <w:t>2027 N</w:t>
            </w:r>
          </w:p>
        </w:tc>
        <w:tc>
          <w:tcPr>
            <w:tcW w:w="649" w:type="pct"/>
            <w:tcBorders>
              <w:bottom w:val="single" w:sz="4" w:space="0" w:color="314364"/>
            </w:tcBorders>
            <w:shd w:val="clear" w:color="auto" w:fill="314364"/>
            <w:vAlign w:val="center"/>
          </w:tcPr>
          <w:p w14:paraId="22D8038A" w14:textId="77777777" w:rsidR="00394E18" w:rsidRPr="00BC3044" w:rsidRDefault="00394E18" w:rsidP="00BB314F">
            <w:pPr>
              <w:spacing w:after="0" w:line="259" w:lineRule="auto"/>
              <w:jc w:val="right"/>
              <w:rPr>
                <w:rFonts w:cs="Segoe UI"/>
                <w:b/>
                <w:color w:val="FFFFFF" w:themeColor="background1"/>
                <w:sz w:val="18"/>
                <w:szCs w:val="18"/>
              </w:rPr>
            </w:pPr>
            <w:r w:rsidRPr="00BC3044">
              <w:rPr>
                <w:rFonts w:cs="Segoe UI"/>
                <w:b/>
                <w:color w:val="FFFFFF" w:themeColor="background1"/>
                <w:sz w:val="18"/>
                <w:szCs w:val="18"/>
              </w:rPr>
              <w:t>2</w:t>
            </w:r>
            <w:r>
              <w:rPr>
                <w:rFonts w:cs="Segoe UI"/>
                <w:b/>
                <w:color w:val="FFFFFF" w:themeColor="background1"/>
                <w:sz w:val="18"/>
                <w:szCs w:val="18"/>
              </w:rPr>
              <w:t>028 N</w:t>
            </w:r>
          </w:p>
        </w:tc>
      </w:tr>
      <w:tr w:rsidR="00394E18" w:rsidRPr="00BC3044" w14:paraId="6E3FF8D9" w14:textId="77777777" w:rsidTr="00BB314F">
        <w:trPr>
          <w:trHeight w:val="283"/>
        </w:trPr>
        <w:tc>
          <w:tcPr>
            <w:tcW w:w="1081" w:type="pct"/>
            <w:tcBorders>
              <w:bottom w:val="single" w:sz="4" w:space="0" w:color="314364" w:themeColor="text2"/>
            </w:tcBorders>
            <w:vAlign w:val="center"/>
          </w:tcPr>
          <w:p w14:paraId="027AF0CC" w14:textId="77777777" w:rsidR="00394E18" w:rsidRPr="00BB314F" w:rsidRDefault="00394E18" w:rsidP="00BB314F">
            <w:pPr>
              <w:spacing w:after="0" w:line="259" w:lineRule="auto"/>
              <w:jc w:val="left"/>
              <w:rPr>
                <w:rFonts w:cs="Segoe UI"/>
                <w:sz w:val="18"/>
                <w:szCs w:val="18"/>
              </w:rPr>
            </w:pPr>
            <w:r w:rsidRPr="00BB314F">
              <w:rPr>
                <w:rFonts w:cs="Segoe UI"/>
                <w:color w:val="000000"/>
                <w:sz w:val="18"/>
                <w:szCs w:val="18"/>
              </w:rPr>
              <w:t>13. dôchodok</w:t>
            </w:r>
          </w:p>
        </w:tc>
        <w:tc>
          <w:tcPr>
            <w:tcW w:w="616" w:type="pct"/>
            <w:tcBorders>
              <w:bottom w:val="single" w:sz="4" w:space="0" w:color="314364" w:themeColor="text2"/>
            </w:tcBorders>
            <w:vAlign w:val="center"/>
          </w:tcPr>
          <w:p w14:paraId="41747CB4" w14:textId="77777777" w:rsidR="00394E18" w:rsidRPr="00BB314F" w:rsidRDefault="00394E18" w:rsidP="00BB314F">
            <w:pPr>
              <w:spacing w:after="0" w:line="259" w:lineRule="auto"/>
              <w:jc w:val="right"/>
              <w:rPr>
                <w:rFonts w:cs="Segoe UI"/>
                <w:sz w:val="18"/>
                <w:szCs w:val="18"/>
              </w:rPr>
            </w:pPr>
            <w:r w:rsidRPr="00BB314F">
              <w:rPr>
                <w:rFonts w:cs="Segoe UI"/>
                <w:color w:val="000000"/>
                <w:sz w:val="18"/>
                <w:szCs w:val="18"/>
              </w:rPr>
              <w:t>823,0</w:t>
            </w:r>
          </w:p>
        </w:tc>
        <w:tc>
          <w:tcPr>
            <w:tcW w:w="630" w:type="pct"/>
            <w:tcBorders>
              <w:bottom w:val="single" w:sz="4" w:space="0" w:color="314364" w:themeColor="text2"/>
            </w:tcBorders>
            <w:vAlign w:val="center"/>
          </w:tcPr>
          <w:p w14:paraId="2CE0E0E2" w14:textId="77777777" w:rsidR="00394E18" w:rsidRPr="00BB314F" w:rsidRDefault="00394E18" w:rsidP="00BB314F">
            <w:pPr>
              <w:spacing w:after="0" w:line="259" w:lineRule="auto"/>
              <w:jc w:val="right"/>
              <w:rPr>
                <w:rFonts w:cs="Segoe UI"/>
                <w:sz w:val="18"/>
                <w:szCs w:val="18"/>
              </w:rPr>
            </w:pPr>
            <w:r w:rsidRPr="00BB314F">
              <w:rPr>
                <w:rFonts w:cs="Segoe UI"/>
                <w:sz w:val="18"/>
                <w:szCs w:val="18"/>
              </w:rPr>
              <w:t>912,7</w:t>
            </w:r>
          </w:p>
        </w:tc>
        <w:tc>
          <w:tcPr>
            <w:tcW w:w="724" w:type="pct"/>
            <w:tcBorders>
              <w:bottom w:val="single" w:sz="4" w:space="0" w:color="314364" w:themeColor="text2"/>
            </w:tcBorders>
            <w:vAlign w:val="center"/>
          </w:tcPr>
          <w:p w14:paraId="4A200043" w14:textId="77777777" w:rsidR="00394E18" w:rsidRPr="00BB314F" w:rsidRDefault="00394E18" w:rsidP="00BB314F">
            <w:pPr>
              <w:spacing w:after="0" w:line="259" w:lineRule="auto"/>
              <w:jc w:val="right"/>
              <w:rPr>
                <w:rFonts w:cs="Segoe UI"/>
                <w:sz w:val="18"/>
                <w:szCs w:val="18"/>
              </w:rPr>
            </w:pPr>
            <w:r w:rsidRPr="00BB314F">
              <w:rPr>
                <w:rFonts w:cs="Segoe UI"/>
                <w:sz w:val="18"/>
                <w:szCs w:val="18"/>
              </w:rPr>
              <w:t>912,7</w:t>
            </w:r>
          </w:p>
        </w:tc>
        <w:tc>
          <w:tcPr>
            <w:tcW w:w="649" w:type="pct"/>
            <w:tcBorders>
              <w:bottom w:val="single" w:sz="4" w:space="0" w:color="314364" w:themeColor="text2"/>
            </w:tcBorders>
            <w:vAlign w:val="center"/>
          </w:tcPr>
          <w:p w14:paraId="48B6F317" w14:textId="77777777" w:rsidR="00394E18" w:rsidRPr="00BB314F" w:rsidRDefault="00394E18" w:rsidP="00BB314F">
            <w:pPr>
              <w:spacing w:after="0" w:line="259" w:lineRule="auto"/>
              <w:jc w:val="right"/>
              <w:rPr>
                <w:rFonts w:cs="Segoe UI"/>
                <w:sz w:val="18"/>
                <w:szCs w:val="18"/>
              </w:rPr>
            </w:pPr>
            <w:r w:rsidRPr="00BB314F">
              <w:rPr>
                <w:rFonts w:cs="Segoe UI"/>
                <w:sz w:val="18"/>
                <w:szCs w:val="18"/>
              </w:rPr>
              <w:t>911,9</w:t>
            </w:r>
          </w:p>
        </w:tc>
        <w:tc>
          <w:tcPr>
            <w:tcW w:w="649" w:type="pct"/>
            <w:tcBorders>
              <w:bottom w:val="single" w:sz="4" w:space="0" w:color="314364" w:themeColor="text2"/>
            </w:tcBorders>
            <w:vAlign w:val="center"/>
          </w:tcPr>
          <w:p w14:paraId="2D9890A6" w14:textId="77777777" w:rsidR="00394E18" w:rsidRPr="00BB314F" w:rsidRDefault="00394E18" w:rsidP="00BB314F">
            <w:pPr>
              <w:spacing w:after="0" w:line="259" w:lineRule="auto"/>
              <w:jc w:val="right"/>
              <w:rPr>
                <w:rFonts w:cs="Segoe UI"/>
                <w:sz w:val="18"/>
                <w:szCs w:val="18"/>
              </w:rPr>
            </w:pPr>
            <w:r w:rsidRPr="00BB314F">
              <w:rPr>
                <w:rFonts w:cs="Segoe UI"/>
                <w:sz w:val="18"/>
                <w:szCs w:val="18"/>
              </w:rPr>
              <w:t>912,8</w:t>
            </w:r>
          </w:p>
        </w:tc>
        <w:tc>
          <w:tcPr>
            <w:tcW w:w="649" w:type="pct"/>
            <w:tcBorders>
              <w:bottom w:val="single" w:sz="4" w:space="0" w:color="314364" w:themeColor="text2"/>
            </w:tcBorders>
            <w:vAlign w:val="center"/>
          </w:tcPr>
          <w:p w14:paraId="50F1FB3B" w14:textId="77777777" w:rsidR="00394E18" w:rsidRPr="00BB314F" w:rsidRDefault="00394E18" w:rsidP="00BB314F">
            <w:pPr>
              <w:spacing w:after="0" w:line="259" w:lineRule="auto"/>
              <w:jc w:val="right"/>
              <w:rPr>
                <w:rFonts w:cs="Segoe UI"/>
                <w:sz w:val="18"/>
                <w:szCs w:val="18"/>
              </w:rPr>
            </w:pPr>
            <w:r w:rsidRPr="00BB314F">
              <w:rPr>
                <w:rFonts w:cs="Segoe UI"/>
                <w:sz w:val="18"/>
                <w:szCs w:val="18"/>
              </w:rPr>
              <w:t>909,2</w:t>
            </w:r>
          </w:p>
        </w:tc>
      </w:tr>
    </w:tbl>
    <w:p w14:paraId="273A84AF" w14:textId="4E818963" w:rsidR="00394E18" w:rsidRDefault="00394E18" w:rsidP="00394E18">
      <w:pPr>
        <w:pStyle w:val="Zdroj"/>
      </w:pPr>
      <w:r>
        <w:t>Zdroj: Sociálna poisťovňa</w:t>
      </w:r>
      <w:r w:rsidR="00AA2E4C">
        <w:t>;</w:t>
      </w:r>
      <w:r>
        <w:t xml:space="preserve"> spracovanie NKÚ SR.</w:t>
      </w:r>
    </w:p>
    <w:p w14:paraId="4F0D90CB" w14:textId="17A52982" w:rsidR="00DD7E8C" w:rsidRDefault="00DD7E8C" w:rsidP="00DD7E8C">
      <w:pPr>
        <w:rPr>
          <w:bCs/>
        </w:rPr>
      </w:pPr>
      <w:r w:rsidRPr="00DD7E8C">
        <w:rPr>
          <w:b/>
        </w:rPr>
        <w:t xml:space="preserve">V rozpočte na rok 2026 dominujú výdavky na starobné dôchodky </w:t>
      </w:r>
      <w:r w:rsidRPr="007A5E7C">
        <w:rPr>
          <w:bCs/>
        </w:rPr>
        <w:t>(79,9 %)</w:t>
      </w:r>
      <w:r w:rsidRPr="00DD7E8C">
        <w:rPr>
          <w:b/>
        </w:rPr>
        <w:t xml:space="preserve"> a v najbližších troch rokoch sa predpokladá, že budú naďalej rásť.</w:t>
      </w:r>
      <w:r>
        <w:rPr>
          <w:bCs/>
        </w:rPr>
        <w:t xml:space="preserve"> Na rok 2026 sú rozpočtované v sume 10 626,1 mil. eur, </w:t>
      </w:r>
      <w:r w:rsidR="007A5E7C">
        <w:rPr>
          <w:bCs/>
        </w:rPr>
        <w:t xml:space="preserve">čo je </w:t>
      </w:r>
      <w:r>
        <w:rPr>
          <w:bCs/>
        </w:rPr>
        <w:t xml:space="preserve">o 6,2 % viac ako v rozpočte na rok 2025. </w:t>
      </w:r>
      <w:r w:rsidR="007A5E7C">
        <w:rPr>
          <w:bCs/>
        </w:rPr>
        <w:t>Výdavky na i</w:t>
      </w:r>
      <w:r>
        <w:rPr>
          <w:bCs/>
        </w:rPr>
        <w:t xml:space="preserve">nvalidné dôchodky </w:t>
      </w:r>
      <w:r w:rsidR="007A5E7C">
        <w:rPr>
          <w:bCs/>
        </w:rPr>
        <w:t>tvoria</w:t>
      </w:r>
      <w:r>
        <w:rPr>
          <w:bCs/>
        </w:rPr>
        <w:t xml:space="preserve"> 9,6 % </w:t>
      </w:r>
      <w:r w:rsidR="007A5E7C">
        <w:rPr>
          <w:bCs/>
        </w:rPr>
        <w:t>a</w:t>
      </w:r>
      <w:r>
        <w:rPr>
          <w:bCs/>
        </w:rPr>
        <w:t xml:space="preserve"> zostanú na rovnakej úrovni </w:t>
      </w:r>
      <w:r w:rsidR="007A5E7C">
        <w:rPr>
          <w:bCs/>
        </w:rPr>
        <w:t xml:space="preserve">ako vlani </w:t>
      </w:r>
      <w:r>
        <w:rPr>
          <w:bCs/>
        </w:rPr>
        <w:t>(1 277,7 mil. eur)</w:t>
      </w:r>
      <w:r w:rsidR="007A5E7C">
        <w:rPr>
          <w:bCs/>
        </w:rPr>
        <w:t>.</w:t>
      </w:r>
      <w:r>
        <w:rPr>
          <w:bCs/>
        </w:rPr>
        <w:t xml:space="preserve"> </w:t>
      </w:r>
      <w:r w:rsidR="007A5E7C">
        <w:rPr>
          <w:bCs/>
        </w:rPr>
        <w:t xml:space="preserve">Podiel výdavkov na </w:t>
      </w:r>
      <w:r>
        <w:rPr>
          <w:bCs/>
        </w:rPr>
        <w:t xml:space="preserve">pozostalostné dôchodky (vdovský, vdovecký a sirotský dôchodok) </w:t>
      </w:r>
      <w:r w:rsidR="007A5E7C">
        <w:rPr>
          <w:bCs/>
        </w:rPr>
        <w:t>je</w:t>
      </w:r>
      <w:r>
        <w:rPr>
          <w:bCs/>
        </w:rPr>
        <w:t xml:space="preserve"> 8,5 % </w:t>
      </w:r>
      <w:r w:rsidR="007A5E7C">
        <w:rPr>
          <w:bCs/>
        </w:rPr>
        <w:t>a</w:t>
      </w:r>
      <w:r>
        <w:rPr>
          <w:bCs/>
        </w:rPr>
        <w:t xml:space="preserve"> b</w:t>
      </w:r>
      <w:r w:rsidR="007A5E7C">
        <w:rPr>
          <w:bCs/>
        </w:rPr>
        <w:t>u</w:t>
      </w:r>
      <w:r>
        <w:rPr>
          <w:bCs/>
        </w:rPr>
        <w:t>d</w:t>
      </w:r>
      <w:r w:rsidR="007A5E7C">
        <w:rPr>
          <w:bCs/>
        </w:rPr>
        <w:t>ú</w:t>
      </w:r>
      <w:r>
        <w:rPr>
          <w:bCs/>
        </w:rPr>
        <w:t xml:space="preserve"> mierne rásť </w:t>
      </w:r>
      <w:r w:rsidR="007A5E7C">
        <w:rPr>
          <w:bCs/>
        </w:rPr>
        <w:t xml:space="preserve">na </w:t>
      </w:r>
      <w:r>
        <w:rPr>
          <w:bCs/>
        </w:rPr>
        <w:t>1 129,3 mil. eur. Predčasné starobné dôchodky tvoria 2 % výdavkov na dôchodky, pričom maximálnu výšku 461,3 mil. eur dosiahli v roku 2024 a budú postupne klesať. Za rok 2025 sa očakávajú výdavky na PSD vo výške 375,3 mil. eur a v rozpočte na rok 2026 sú plánované v sume 262,6 mil. eur (graf 9).</w:t>
      </w:r>
    </w:p>
    <w:p w14:paraId="22CFFBC9" w14:textId="180C257B" w:rsidR="00702095" w:rsidRDefault="00702095" w:rsidP="003D035E">
      <w:pPr>
        <w:pStyle w:val="Default"/>
        <w:spacing w:after="120" w:line="276" w:lineRule="auto"/>
        <w:jc w:val="both"/>
        <w:rPr>
          <w:rFonts w:ascii="Segoe UI" w:hAnsi="Segoe UI" w:cs="Segoe UI"/>
          <w:sz w:val="20"/>
          <w:szCs w:val="20"/>
        </w:rPr>
      </w:pPr>
      <w:r w:rsidRPr="001A097B">
        <w:rPr>
          <w:rFonts w:ascii="Segoe UI" w:hAnsi="Segoe UI" w:cs="Segoe UI"/>
          <w:b/>
          <w:sz w:val="20"/>
          <w:szCs w:val="20"/>
        </w:rPr>
        <w:t>Hospodárenie S</w:t>
      </w:r>
      <w:r w:rsidR="003D035E">
        <w:rPr>
          <w:rFonts w:ascii="Segoe UI" w:hAnsi="Segoe UI" w:cs="Segoe UI"/>
          <w:b/>
          <w:sz w:val="20"/>
          <w:szCs w:val="20"/>
        </w:rPr>
        <w:t>P</w:t>
      </w:r>
      <w:r w:rsidRPr="001A097B">
        <w:rPr>
          <w:rFonts w:ascii="Segoe UI" w:hAnsi="Segoe UI" w:cs="Segoe UI"/>
          <w:b/>
          <w:sz w:val="20"/>
          <w:szCs w:val="20"/>
        </w:rPr>
        <w:t xml:space="preserve"> bude v rokoch 2026 až 2028 ovplyvnené deficitným hospodárením v základnom fonde starobného poistenia</w:t>
      </w:r>
      <w:r w:rsidRPr="001A097B">
        <w:rPr>
          <w:rFonts w:ascii="Segoe UI" w:hAnsi="Segoe UI" w:cs="Segoe UI"/>
          <w:sz w:val="20"/>
          <w:szCs w:val="20"/>
        </w:rPr>
        <w:t xml:space="preserve">. V rozpočte SP </w:t>
      </w:r>
      <w:r>
        <w:rPr>
          <w:rFonts w:ascii="Segoe UI" w:hAnsi="Segoe UI" w:cs="Segoe UI"/>
          <w:sz w:val="20"/>
          <w:szCs w:val="20"/>
        </w:rPr>
        <w:t xml:space="preserve">sa </w:t>
      </w:r>
      <w:r w:rsidRPr="001A097B">
        <w:rPr>
          <w:rFonts w:ascii="Segoe UI" w:hAnsi="Segoe UI" w:cs="Segoe UI"/>
          <w:sz w:val="20"/>
          <w:szCs w:val="20"/>
        </w:rPr>
        <w:t>na krytie deficitu použije transfer zo</w:t>
      </w:r>
      <w:r>
        <w:rPr>
          <w:rFonts w:ascii="Segoe UI" w:hAnsi="Segoe UI" w:cs="Segoe UI"/>
          <w:sz w:val="20"/>
          <w:szCs w:val="20"/>
        </w:rPr>
        <w:t xml:space="preserve"> ŠR</w:t>
      </w:r>
      <w:r w:rsidRPr="001A097B">
        <w:rPr>
          <w:rFonts w:ascii="Segoe UI" w:hAnsi="Segoe UI" w:cs="Segoe UI"/>
          <w:sz w:val="20"/>
          <w:szCs w:val="20"/>
        </w:rPr>
        <w:t xml:space="preserve"> </w:t>
      </w:r>
      <w:r>
        <w:rPr>
          <w:rFonts w:ascii="Segoe UI" w:hAnsi="Segoe UI" w:cs="Segoe UI"/>
          <w:sz w:val="20"/>
          <w:szCs w:val="20"/>
        </w:rPr>
        <w:t xml:space="preserve">pre rok 2026 </w:t>
      </w:r>
      <w:r w:rsidRPr="001A097B">
        <w:rPr>
          <w:rFonts w:ascii="Segoe UI" w:hAnsi="Segoe UI" w:cs="Segoe UI"/>
          <w:sz w:val="20"/>
          <w:szCs w:val="20"/>
        </w:rPr>
        <w:t>vo výške 2 344,2 mil. eur (graf</w:t>
      </w:r>
      <w:r>
        <w:rPr>
          <w:rFonts w:ascii="Segoe UI" w:hAnsi="Segoe UI" w:cs="Segoe UI"/>
          <w:sz w:val="20"/>
          <w:szCs w:val="20"/>
        </w:rPr>
        <w:t xml:space="preserve"> 10</w:t>
      </w:r>
      <w:r w:rsidRPr="001A097B">
        <w:rPr>
          <w:rFonts w:ascii="Segoe UI" w:hAnsi="Segoe UI" w:cs="Segoe UI"/>
          <w:sz w:val="20"/>
          <w:szCs w:val="20"/>
        </w:rPr>
        <w:t>)</w:t>
      </w:r>
      <w:r>
        <w:rPr>
          <w:rFonts w:ascii="Segoe UI" w:hAnsi="Segoe UI" w:cs="Segoe UI"/>
          <w:sz w:val="20"/>
          <w:szCs w:val="20"/>
        </w:rPr>
        <w:t>,</w:t>
      </w:r>
      <w:r w:rsidRPr="001A097B">
        <w:rPr>
          <w:rFonts w:ascii="Segoe UI" w:hAnsi="Segoe UI" w:cs="Segoe UI"/>
          <w:sz w:val="20"/>
          <w:szCs w:val="20"/>
        </w:rPr>
        <w:t xml:space="preserve"> ako aj presuny z vnútorných zdrojov z ostatných základných fondov SP.</w:t>
      </w:r>
    </w:p>
    <w:p w14:paraId="4DFDDB49" w14:textId="77777777" w:rsidR="003D035E" w:rsidRDefault="003D035E" w:rsidP="003D035E">
      <w:pPr>
        <w:rPr>
          <w:rFonts w:cs="Segoe UI"/>
          <w:szCs w:val="20"/>
        </w:rPr>
      </w:pPr>
      <w:r w:rsidRPr="007B43D6">
        <w:rPr>
          <w:rFonts w:cs="Segoe UI"/>
          <w:b/>
          <w:bCs/>
          <w:color w:val="000000"/>
          <w:szCs w:val="20"/>
        </w:rPr>
        <w:t xml:space="preserve">NKÚ SR upozorňuje </w:t>
      </w:r>
      <w:r>
        <w:rPr>
          <w:rFonts w:cs="Segoe UI"/>
          <w:b/>
          <w:bCs/>
          <w:color w:val="000000"/>
          <w:szCs w:val="20"/>
        </w:rPr>
        <w:t xml:space="preserve">aj </w:t>
      </w:r>
      <w:r w:rsidRPr="007B43D6">
        <w:rPr>
          <w:rFonts w:cs="Segoe UI"/>
          <w:b/>
          <w:bCs/>
          <w:color w:val="000000"/>
          <w:szCs w:val="20"/>
        </w:rPr>
        <w:t>na vývoj príjmov a výdavkov osobitného fondu, ktorý je založený na odvodoch z poistného príslušník</w:t>
      </w:r>
      <w:r>
        <w:rPr>
          <w:rFonts w:cs="Segoe UI"/>
          <w:b/>
          <w:bCs/>
          <w:color w:val="000000"/>
          <w:szCs w:val="20"/>
        </w:rPr>
        <w:t>ov</w:t>
      </w:r>
      <w:r w:rsidRPr="007B43D6">
        <w:rPr>
          <w:rFonts w:cs="Segoe UI"/>
          <w:b/>
          <w:bCs/>
          <w:color w:val="000000"/>
          <w:szCs w:val="20"/>
        </w:rPr>
        <w:t xml:space="preserve"> obecných polícií, ktorý funguje od roku 2022 a už teraz vykazuje deficitné hospodárenie, ktoré sa premietne aj do nasledujúcich rokov.</w:t>
      </w:r>
      <w:r w:rsidRPr="001A097B">
        <w:rPr>
          <w:rFonts w:cs="Segoe UI"/>
          <w:color w:val="000000"/>
          <w:szCs w:val="20"/>
        </w:rPr>
        <w:t xml:space="preserve"> Z tohto dôvodu </w:t>
      </w:r>
      <w:r w:rsidRPr="00F07F49">
        <w:rPr>
          <w:rFonts w:cs="Segoe UI"/>
          <w:szCs w:val="20"/>
        </w:rPr>
        <w:t xml:space="preserve">v </w:t>
      </w:r>
      <w:r>
        <w:rPr>
          <w:rFonts w:cs="Segoe UI"/>
          <w:szCs w:val="20"/>
        </w:rPr>
        <w:t> </w:t>
      </w:r>
      <w:r w:rsidRPr="00F07F49">
        <w:rPr>
          <w:rFonts w:cs="Segoe UI"/>
          <w:szCs w:val="20"/>
        </w:rPr>
        <w:t>prípade jeho platobnej neschopnosti v rokoch 2026 a</w:t>
      </w:r>
      <w:r>
        <w:rPr>
          <w:rFonts w:cs="Segoe UI"/>
          <w:szCs w:val="20"/>
        </w:rPr>
        <w:t> </w:t>
      </w:r>
      <w:r w:rsidRPr="00F07F49">
        <w:rPr>
          <w:rFonts w:cs="Segoe UI"/>
          <w:szCs w:val="20"/>
        </w:rPr>
        <w:t>2027 poskytne štát S</w:t>
      </w:r>
      <w:r>
        <w:rPr>
          <w:rFonts w:cs="Segoe UI"/>
          <w:szCs w:val="20"/>
        </w:rPr>
        <w:t>P</w:t>
      </w:r>
      <w:r w:rsidRPr="00F07F49">
        <w:rPr>
          <w:rFonts w:cs="Segoe UI"/>
          <w:szCs w:val="20"/>
        </w:rPr>
        <w:t xml:space="preserve"> finančnú výpomoc.</w:t>
      </w:r>
    </w:p>
    <w:p w14:paraId="29197906" w14:textId="77777777" w:rsidR="00933176" w:rsidRPr="00990206" w:rsidRDefault="00933176" w:rsidP="00933176">
      <w:pPr>
        <w:spacing w:after="0"/>
        <w:rPr>
          <w:b/>
          <w:iCs/>
          <w:color w:val="314364"/>
          <w:szCs w:val="18"/>
        </w:rPr>
      </w:pPr>
      <w:r w:rsidRPr="00990206">
        <w:rPr>
          <w:b/>
          <w:iCs/>
          <w:color w:val="314364"/>
          <w:szCs w:val="18"/>
        </w:rPr>
        <w:t xml:space="preserve">Graf </w:t>
      </w:r>
      <w:r>
        <w:rPr>
          <w:b/>
          <w:iCs/>
          <w:color w:val="314364"/>
          <w:szCs w:val="18"/>
        </w:rPr>
        <w:t>10</w:t>
      </w:r>
      <w:r w:rsidRPr="00990206">
        <w:rPr>
          <w:b/>
          <w:iCs/>
          <w:color w:val="314364"/>
          <w:szCs w:val="18"/>
        </w:rPr>
        <w:t xml:space="preserve">: </w:t>
      </w:r>
      <w:r>
        <w:rPr>
          <w:b/>
          <w:iCs/>
          <w:color w:val="314364"/>
          <w:szCs w:val="18"/>
        </w:rPr>
        <w:t>Transfer zo štátneho rozpočtu</w:t>
      </w:r>
      <w:r w:rsidRPr="00990206">
        <w:rPr>
          <w:b/>
          <w:iCs/>
          <w:color w:val="314364"/>
          <w:szCs w:val="18"/>
        </w:rPr>
        <w:t xml:space="preserve"> </w:t>
      </w:r>
      <w:r>
        <w:rPr>
          <w:b/>
          <w:iCs/>
          <w:color w:val="314364"/>
          <w:szCs w:val="18"/>
        </w:rPr>
        <w:t>pre Sociálnu poisťovňu v rokoch 2015 až 2028 (</w:t>
      </w:r>
      <w:r w:rsidRPr="00990206">
        <w:rPr>
          <w:b/>
          <w:iCs/>
          <w:color w:val="314364"/>
          <w:szCs w:val="18"/>
        </w:rPr>
        <w:t>v mil. eur)</w:t>
      </w:r>
    </w:p>
    <w:tbl>
      <w:tblPr>
        <w:tblStyle w:val="Mriekatabuky"/>
        <w:tblW w:w="48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rsidRPr="00990206" w14:paraId="53AAB4F2" w14:textId="77777777" w:rsidTr="00BB314F">
        <w:trPr>
          <w:trHeight w:val="2835"/>
        </w:trPr>
        <w:tc>
          <w:tcPr>
            <w:tcW w:w="8843" w:type="dxa"/>
            <w:tcBorders>
              <w:top w:val="single" w:sz="4" w:space="0" w:color="314364"/>
              <w:bottom w:val="single" w:sz="4" w:space="0" w:color="314364"/>
            </w:tcBorders>
            <w:vAlign w:val="center"/>
          </w:tcPr>
          <w:p w14:paraId="5144B398" w14:textId="77777777" w:rsidR="00933176" w:rsidRPr="00990206" w:rsidRDefault="00933176" w:rsidP="00BB314F">
            <w:pPr>
              <w:spacing w:after="0"/>
              <w:rPr>
                <w:b/>
                <w:color w:val="576431"/>
                <w:sz w:val="16"/>
                <w:szCs w:val="16"/>
              </w:rPr>
            </w:pPr>
            <w:r>
              <w:rPr>
                <w:noProof/>
                <w:lang w:eastAsia="sk-SK"/>
              </w:rPr>
              <w:drawing>
                <wp:inline distT="0" distB="0" distL="0" distR="0" wp14:anchorId="4A65B8D8" wp14:editId="61EBE835">
                  <wp:extent cx="5759450" cy="1838325"/>
                  <wp:effectExtent l="0" t="0" r="0" b="0"/>
                  <wp:docPr id="18" name="Graf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56EC82E0" w14:textId="77777777" w:rsidR="00933176" w:rsidRDefault="00933176" w:rsidP="00933176">
      <w:pPr>
        <w:spacing w:line="240" w:lineRule="auto"/>
        <w:jc w:val="left"/>
        <w:rPr>
          <w:i/>
          <w:color w:val="314364" w:themeColor="text2"/>
          <w:sz w:val="16"/>
        </w:rPr>
      </w:pPr>
      <w:r w:rsidRPr="00990206">
        <w:rPr>
          <w:i/>
          <w:color w:val="314364" w:themeColor="text2"/>
          <w:sz w:val="16"/>
        </w:rPr>
        <w:t>Zdroj: Sociálna poisťovňa</w:t>
      </w:r>
      <w:r>
        <w:rPr>
          <w:i/>
          <w:color w:val="314364" w:themeColor="text2"/>
          <w:sz w:val="16"/>
        </w:rPr>
        <w:t>;</w:t>
      </w:r>
      <w:r w:rsidRPr="00990206">
        <w:rPr>
          <w:i/>
          <w:color w:val="314364" w:themeColor="text2"/>
          <w:sz w:val="16"/>
        </w:rPr>
        <w:t xml:space="preserve"> spracovanie NKÚ SR.</w:t>
      </w:r>
    </w:p>
    <w:p w14:paraId="32129C76" w14:textId="77777777" w:rsidR="003D035E" w:rsidRDefault="003D035E" w:rsidP="003D035E">
      <w:pPr>
        <w:rPr>
          <w:bCs/>
        </w:rPr>
      </w:pPr>
      <w:r w:rsidRPr="00E8654B">
        <w:rPr>
          <w:b/>
          <w:bCs/>
        </w:rPr>
        <w:lastRenderedPageBreak/>
        <w:t>Miera náhrady príjmu po odchode do dôchodku</w:t>
      </w:r>
      <w:r w:rsidRPr="006C202A">
        <w:rPr>
          <w:rStyle w:val="Odkaznapoznmkupodiarou"/>
        </w:rPr>
        <w:footnoteReference w:id="14"/>
      </w:r>
      <w:r w:rsidRPr="00E8654B">
        <w:rPr>
          <w:b/>
          <w:bCs/>
        </w:rPr>
        <w:t xml:space="preserve"> je u slovenských dôchodcov veľmi vysoká</w:t>
      </w:r>
      <w:r>
        <w:rPr>
          <w:b/>
          <w:bCs/>
        </w:rPr>
        <w:t xml:space="preserve">. </w:t>
      </w:r>
      <w:r>
        <w:rPr>
          <w:bCs/>
        </w:rPr>
        <w:t>Podľa údajov Eurostatu, po relatívne stabilnom vývoji v rokoch 2010 až 2023, vzrástol na Slovensku tento ukazovateľ na 77 % a radí sa tak medzi najvyššie v rámci V4 aj EÚ27 (graf 11).</w:t>
      </w:r>
    </w:p>
    <w:p w14:paraId="4A710C38" w14:textId="77777777" w:rsidR="00933176" w:rsidRDefault="00933176" w:rsidP="00933176">
      <w:pPr>
        <w:spacing w:after="0"/>
        <w:rPr>
          <w:bCs/>
        </w:rPr>
      </w:pPr>
      <w:r w:rsidRPr="00990206">
        <w:rPr>
          <w:b/>
          <w:iCs/>
          <w:color w:val="314364"/>
          <w:szCs w:val="18"/>
        </w:rPr>
        <w:t xml:space="preserve">Graf </w:t>
      </w:r>
      <w:r>
        <w:rPr>
          <w:b/>
          <w:iCs/>
          <w:color w:val="314364"/>
          <w:szCs w:val="18"/>
        </w:rPr>
        <w:t>11</w:t>
      </w:r>
      <w:r w:rsidRPr="00990206">
        <w:rPr>
          <w:b/>
          <w:iCs/>
          <w:color w:val="314364"/>
          <w:szCs w:val="18"/>
        </w:rPr>
        <w:t xml:space="preserve">: </w:t>
      </w:r>
      <w:r w:rsidRPr="00D64632">
        <w:rPr>
          <w:b/>
          <w:iCs/>
          <w:color w:val="314364"/>
          <w:szCs w:val="18"/>
        </w:rPr>
        <w:t>Miera náhrady príjmu po odchode do dôchodku v</w:t>
      </w:r>
      <w:r>
        <w:rPr>
          <w:b/>
          <w:iCs/>
          <w:color w:val="314364"/>
          <w:szCs w:val="18"/>
        </w:rPr>
        <w:t xml:space="preserve"> EÚ27 a </w:t>
      </w:r>
      <w:r w:rsidRPr="00D64632">
        <w:rPr>
          <w:b/>
          <w:iCs/>
          <w:color w:val="314364"/>
          <w:szCs w:val="18"/>
        </w:rPr>
        <w:t xml:space="preserve">V4 v rokoch 2010 až 2024   </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rsidRPr="00C75134" w14:paraId="778C3880" w14:textId="77777777" w:rsidTr="00BB314F">
        <w:trPr>
          <w:trHeight w:val="1796"/>
        </w:trPr>
        <w:tc>
          <w:tcPr>
            <w:tcW w:w="5000" w:type="pct"/>
            <w:tcBorders>
              <w:top w:val="single" w:sz="4" w:space="0" w:color="314364"/>
              <w:bottom w:val="single" w:sz="4" w:space="0" w:color="314364"/>
            </w:tcBorders>
            <w:vAlign w:val="center"/>
          </w:tcPr>
          <w:p w14:paraId="6DEEA711" w14:textId="77777777" w:rsidR="00933176" w:rsidRPr="00C75134" w:rsidRDefault="00933176" w:rsidP="00BB314F">
            <w:pPr>
              <w:spacing w:after="0"/>
              <w:jc w:val="center"/>
              <w:rPr>
                <w:b/>
                <w:color w:val="576431"/>
              </w:rPr>
            </w:pPr>
            <w:r>
              <w:rPr>
                <w:noProof/>
                <w:lang w:eastAsia="sk-SK"/>
              </w:rPr>
              <w:drawing>
                <wp:inline distT="0" distB="0" distL="0" distR="0" wp14:anchorId="64539935" wp14:editId="76297F2F">
                  <wp:extent cx="5760000" cy="2160000"/>
                  <wp:effectExtent l="0" t="0" r="0" b="0"/>
                  <wp:docPr id="19" name="Graf 19">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noProof/>
                <w:lang w:eastAsia="sk-SK"/>
              </w:rPr>
              <w:t xml:space="preserve"> </w:t>
            </w:r>
          </w:p>
        </w:tc>
      </w:tr>
    </w:tbl>
    <w:p w14:paraId="5960741E" w14:textId="77777777" w:rsidR="00933176" w:rsidRDefault="00933176" w:rsidP="00933176">
      <w:pPr>
        <w:pStyle w:val="Zdroj"/>
      </w:pPr>
      <w:r w:rsidRPr="00627D87">
        <w:t xml:space="preserve">Zdroj: </w:t>
      </w:r>
      <w:r>
        <w:t>Eurostat; spracovanie NKÚ SR.</w:t>
      </w:r>
    </w:p>
    <w:p w14:paraId="6E21E4E6" w14:textId="645BE4D1" w:rsidR="00277871" w:rsidRDefault="00D64632" w:rsidP="00277871">
      <w:r w:rsidRPr="00D64632">
        <w:rPr>
          <w:b/>
        </w:rPr>
        <w:t>D</w:t>
      </w:r>
      <w:r w:rsidR="00277871" w:rsidRPr="00D64632">
        <w:rPr>
          <w:b/>
        </w:rPr>
        <w:t xml:space="preserve">ôchodkový systém </w:t>
      </w:r>
      <w:r w:rsidRPr="00D64632">
        <w:rPr>
          <w:b/>
        </w:rPr>
        <w:t xml:space="preserve">aj </w:t>
      </w:r>
      <w:r w:rsidR="00277871" w:rsidRPr="00D64632">
        <w:rPr>
          <w:b/>
        </w:rPr>
        <w:t>napriek tomu, že nahrádza relatívne veľkú časť príjmov pred odchodom do dôchodku, často nedokáže dostatočne pokryť životné náklady penzistov, čo je slovenský paradox.</w:t>
      </w:r>
      <w:r w:rsidR="00277871">
        <w:rPr>
          <w:bCs/>
        </w:rPr>
        <w:t xml:space="preserve"> Príčinu môžeme hľadať v nízkej úrovni miezd na Slovensku, ktorá je najnižšia v krajinách V4 a vysokej cenovej hladiny výrobkov a služieb. </w:t>
      </w:r>
      <w:r w:rsidR="00277871" w:rsidRPr="00D64632">
        <w:t>Priemerná výška starobného sólo dôchodku v decembri 2024 dosahovala 683,10 eur</w:t>
      </w:r>
      <w:r w:rsidR="00062AE6">
        <w:t>, pričom v </w:t>
      </w:r>
      <w:r w:rsidR="00277871" w:rsidRPr="00D64632">
        <w:t>ČR</w:t>
      </w:r>
      <w:r w:rsidR="00062AE6">
        <w:t xml:space="preserve"> predstavovala</w:t>
      </w:r>
      <w:r w:rsidR="00277871" w:rsidRPr="00D64632">
        <w:t> koncom roku 2024 výšk</w:t>
      </w:r>
      <w:r w:rsidR="00062AE6">
        <w:t>u</w:t>
      </w:r>
      <w:r w:rsidR="00277871" w:rsidRPr="00D64632">
        <w:t xml:space="preserve"> 821,12 eur</w:t>
      </w:r>
      <w:r w:rsidR="00277871" w:rsidRPr="00D64632">
        <w:rPr>
          <w:rStyle w:val="Odkaznapoznmkupodiarou"/>
        </w:rPr>
        <w:footnoteReference w:id="15"/>
      </w:r>
      <w:r w:rsidR="00062AE6">
        <w:t xml:space="preserve"> (graf 12).</w:t>
      </w:r>
      <w:r w:rsidR="00277871" w:rsidRPr="00D64632">
        <w:t xml:space="preserve"> </w:t>
      </w:r>
      <w:r w:rsidR="00062AE6">
        <w:t>M</w:t>
      </w:r>
      <w:r w:rsidR="00277871" w:rsidRPr="00D64632">
        <w:t xml:space="preserve">iera náhrady príjmu </w:t>
      </w:r>
      <w:r w:rsidR="00062AE6">
        <w:t xml:space="preserve">je však v ČR </w:t>
      </w:r>
      <w:r w:rsidR="00277871" w:rsidRPr="00D64632">
        <w:t>nižšia a za rok 2024 bola vo výške 56 %.</w:t>
      </w:r>
    </w:p>
    <w:p w14:paraId="255746E3" w14:textId="646CEB6C" w:rsidR="00277871" w:rsidRPr="00990206" w:rsidRDefault="00277871" w:rsidP="00277871">
      <w:pPr>
        <w:spacing w:after="0"/>
        <w:rPr>
          <w:b/>
          <w:iCs/>
          <w:color w:val="314364"/>
          <w:szCs w:val="18"/>
        </w:rPr>
      </w:pPr>
      <w:r w:rsidRPr="00990206">
        <w:rPr>
          <w:b/>
          <w:iCs/>
          <w:color w:val="314364"/>
          <w:szCs w:val="18"/>
        </w:rPr>
        <w:t xml:space="preserve">Graf </w:t>
      </w:r>
      <w:r w:rsidR="006C202A">
        <w:rPr>
          <w:b/>
          <w:iCs/>
          <w:color w:val="314364"/>
          <w:szCs w:val="18"/>
        </w:rPr>
        <w:t>1</w:t>
      </w:r>
      <w:r w:rsidR="00D64632">
        <w:rPr>
          <w:b/>
          <w:iCs/>
          <w:color w:val="314364"/>
          <w:szCs w:val="18"/>
        </w:rPr>
        <w:t>2</w:t>
      </w:r>
      <w:r w:rsidRPr="00990206">
        <w:rPr>
          <w:b/>
          <w:iCs/>
          <w:color w:val="314364"/>
          <w:szCs w:val="18"/>
        </w:rPr>
        <w:t xml:space="preserve">: </w:t>
      </w:r>
      <w:r>
        <w:rPr>
          <w:b/>
          <w:iCs/>
          <w:color w:val="314364"/>
          <w:szCs w:val="18"/>
        </w:rPr>
        <w:t xml:space="preserve"> Priemerná mesačná výška starobného sólo dôchodku v SR a ČR </w:t>
      </w:r>
      <w:r w:rsidR="006C202A">
        <w:rPr>
          <w:b/>
          <w:iCs/>
          <w:color w:val="314364"/>
          <w:szCs w:val="18"/>
        </w:rPr>
        <w:t xml:space="preserve">v rokoch </w:t>
      </w:r>
      <w:r>
        <w:rPr>
          <w:b/>
          <w:iCs/>
          <w:color w:val="314364"/>
          <w:szCs w:val="18"/>
        </w:rPr>
        <w:t xml:space="preserve">2012 </w:t>
      </w:r>
      <w:r w:rsidR="006C202A">
        <w:rPr>
          <w:b/>
          <w:iCs/>
          <w:color w:val="314364"/>
          <w:szCs w:val="18"/>
        </w:rPr>
        <w:t>až</w:t>
      </w:r>
      <w:r>
        <w:rPr>
          <w:b/>
          <w:iCs/>
          <w:color w:val="314364"/>
          <w:szCs w:val="18"/>
        </w:rPr>
        <w:t xml:space="preserve"> 2024 </w:t>
      </w:r>
      <w:r w:rsidR="006C202A">
        <w:rPr>
          <w:b/>
          <w:iCs/>
          <w:color w:val="314364"/>
          <w:szCs w:val="18"/>
        </w:rPr>
        <w:t>(</w:t>
      </w:r>
      <w:r w:rsidRPr="00990206">
        <w:rPr>
          <w:b/>
          <w:iCs/>
          <w:color w:val="314364"/>
          <w:szCs w:val="18"/>
        </w:rPr>
        <w:t>v eur</w:t>
      </w:r>
      <w:r w:rsidR="006C202A">
        <w:rPr>
          <w:b/>
          <w:iCs/>
          <w:color w:val="314364"/>
          <w:szCs w:val="18"/>
        </w:rPr>
        <w:t>ách</w:t>
      </w:r>
      <w:r w:rsidRPr="00990206">
        <w:rPr>
          <w:b/>
          <w:iCs/>
          <w:color w:val="314364"/>
          <w:szCs w:val="18"/>
        </w:rPr>
        <w:t>)</w:t>
      </w:r>
    </w:p>
    <w:tbl>
      <w:tblPr>
        <w:tblStyle w:val="Mriekatabuky"/>
        <w:tblW w:w="48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20"/>
      </w:tblGrid>
      <w:tr w:rsidR="00277871" w:rsidRPr="00990206" w14:paraId="6A301F0A" w14:textId="77777777" w:rsidTr="00E801D3">
        <w:trPr>
          <w:trHeight w:val="2835"/>
        </w:trPr>
        <w:tc>
          <w:tcPr>
            <w:tcW w:w="8843" w:type="dxa"/>
            <w:tcBorders>
              <w:top w:val="single" w:sz="4" w:space="0" w:color="314364"/>
              <w:bottom w:val="single" w:sz="4" w:space="0" w:color="314364"/>
            </w:tcBorders>
            <w:vAlign w:val="center"/>
          </w:tcPr>
          <w:p w14:paraId="20474BB5" w14:textId="77777777" w:rsidR="00277871" w:rsidRPr="00990206" w:rsidRDefault="00277871" w:rsidP="00E801D3">
            <w:pPr>
              <w:spacing w:after="0"/>
              <w:rPr>
                <w:b/>
                <w:color w:val="576431"/>
                <w:sz w:val="16"/>
                <w:szCs w:val="16"/>
              </w:rPr>
            </w:pPr>
            <w:r>
              <w:rPr>
                <w:noProof/>
                <w:lang w:eastAsia="sk-SK"/>
              </w:rPr>
              <w:drawing>
                <wp:inline distT="0" distB="0" distL="0" distR="0" wp14:anchorId="4C461DDC" wp14:editId="38F45E0F">
                  <wp:extent cx="5634111" cy="2074545"/>
                  <wp:effectExtent l="0" t="0" r="5080" b="1905"/>
                  <wp:docPr id="174826227" name="Graf 174826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5323BCFD" w14:textId="4C64251F" w:rsidR="00277871" w:rsidRDefault="00277871" w:rsidP="00277871">
      <w:pPr>
        <w:spacing w:line="240" w:lineRule="auto"/>
        <w:jc w:val="left"/>
        <w:rPr>
          <w:i/>
          <w:color w:val="314364" w:themeColor="text2"/>
          <w:sz w:val="16"/>
        </w:rPr>
      </w:pPr>
      <w:r>
        <w:rPr>
          <w:i/>
          <w:color w:val="314364" w:themeColor="text2"/>
          <w:sz w:val="16"/>
        </w:rPr>
        <w:t>Zdroj: Sociálna poisťovňa. Česká správa sociálního zabezpečení</w:t>
      </w:r>
      <w:r w:rsidR="00AA2E4C">
        <w:rPr>
          <w:i/>
          <w:color w:val="314364" w:themeColor="text2"/>
          <w:sz w:val="16"/>
        </w:rPr>
        <w:t>;</w:t>
      </w:r>
      <w:r>
        <w:rPr>
          <w:i/>
          <w:color w:val="314364" w:themeColor="text2"/>
          <w:sz w:val="16"/>
        </w:rPr>
        <w:t xml:space="preserve"> </w:t>
      </w:r>
      <w:r w:rsidR="00062AE6">
        <w:rPr>
          <w:i/>
          <w:color w:val="314364" w:themeColor="text2"/>
          <w:sz w:val="16"/>
        </w:rPr>
        <w:t>s</w:t>
      </w:r>
      <w:r w:rsidRPr="00990206">
        <w:rPr>
          <w:i/>
          <w:color w:val="314364" w:themeColor="text2"/>
          <w:sz w:val="16"/>
        </w:rPr>
        <w:t>pracovanie NKÚ SR.</w:t>
      </w:r>
    </w:p>
    <w:p w14:paraId="6CB77AC1" w14:textId="0D71270F" w:rsidR="004708FE" w:rsidRDefault="00A51D9E" w:rsidP="00C0783B">
      <w:pPr>
        <w:pStyle w:val="Nadpis3"/>
      </w:pPr>
      <w:r>
        <w:t xml:space="preserve"> </w:t>
      </w:r>
      <w:r w:rsidR="00640A47">
        <w:t xml:space="preserve"> </w:t>
      </w:r>
      <w:bookmarkStart w:id="18" w:name="_Toc211249080"/>
      <w:r w:rsidR="00B829E1">
        <w:t>Výdavky na fungovanie verejnej správy</w:t>
      </w:r>
      <w:bookmarkEnd w:id="18"/>
    </w:p>
    <w:p w14:paraId="04ABAAC0" w14:textId="7594D4C7" w:rsidR="00FD4639" w:rsidRDefault="00FD4639" w:rsidP="00FD4639">
      <w:pPr>
        <w:rPr>
          <w:rFonts w:eastAsia="Calibri"/>
          <w:bCs/>
        </w:rPr>
      </w:pPr>
      <w:r w:rsidRPr="00893B2D">
        <w:rPr>
          <w:rFonts w:cs="Segoe UI"/>
          <w:b/>
          <w:bCs/>
          <w:szCs w:val="20"/>
        </w:rPr>
        <w:t>Verejná správa na Slovensku je často vnímaná ako málo efektívna, čo sa prejavuje najmä v</w:t>
      </w:r>
      <w:r w:rsidR="00140E51">
        <w:rPr>
          <w:rFonts w:cs="Segoe UI"/>
          <w:b/>
          <w:bCs/>
          <w:szCs w:val="20"/>
        </w:rPr>
        <w:t> </w:t>
      </w:r>
      <w:r w:rsidRPr="00893B2D">
        <w:rPr>
          <w:rFonts w:cs="Segoe UI"/>
          <w:b/>
          <w:bCs/>
          <w:szCs w:val="20"/>
        </w:rPr>
        <w:t xml:space="preserve">zdĺhavých administratívnych procesoch, nedostatočnej digitalizácii a nízkej kvalite služieb pre občanov. </w:t>
      </w:r>
      <w:r>
        <w:rPr>
          <w:rFonts w:cs="Segoe UI"/>
          <w:szCs w:val="20"/>
        </w:rPr>
        <w:t>Vysoká miera byrokracie</w:t>
      </w:r>
      <w:r w:rsidRPr="00D95F77">
        <w:rPr>
          <w:rFonts w:cs="Segoe UI"/>
          <w:szCs w:val="20"/>
        </w:rPr>
        <w:t>, časté legislatívne zmeny a nedostatok odbornosti v riadení verejných inštitúcií vedú k</w:t>
      </w:r>
      <w:r>
        <w:rPr>
          <w:rFonts w:cs="Segoe UI"/>
          <w:szCs w:val="20"/>
        </w:rPr>
        <w:t> neefektívnemu využívaniu</w:t>
      </w:r>
      <w:r w:rsidRPr="00D95F77">
        <w:rPr>
          <w:rFonts w:cs="Segoe UI"/>
          <w:szCs w:val="20"/>
        </w:rPr>
        <w:t xml:space="preserve"> verejný</w:t>
      </w:r>
      <w:r>
        <w:rPr>
          <w:rFonts w:cs="Segoe UI"/>
          <w:szCs w:val="20"/>
        </w:rPr>
        <w:t>ch</w:t>
      </w:r>
      <w:r w:rsidRPr="00D95F77">
        <w:rPr>
          <w:rFonts w:cs="Segoe UI"/>
          <w:szCs w:val="20"/>
        </w:rPr>
        <w:t xml:space="preserve"> zdroj</w:t>
      </w:r>
      <w:r>
        <w:rPr>
          <w:rFonts w:cs="Segoe UI"/>
          <w:szCs w:val="20"/>
        </w:rPr>
        <w:t>ov</w:t>
      </w:r>
      <w:r w:rsidRPr="00D95F77">
        <w:rPr>
          <w:rFonts w:cs="Segoe UI"/>
          <w:szCs w:val="20"/>
        </w:rPr>
        <w:t xml:space="preserve"> a k strate dôvery občanov. </w:t>
      </w:r>
      <w:r w:rsidR="00640A47">
        <w:rPr>
          <w:rFonts w:cs="Segoe UI"/>
          <w:szCs w:val="20"/>
        </w:rPr>
        <w:t>Navyše s</w:t>
      </w:r>
      <w:r w:rsidRPr="00D95F77">
        <w:rPr>
          <w:rFonts w:cs="Segoe UI"/>
          <w:szCs w:val="20"/>
        </w:rPr>
        <w:t xml:space="preserve">labá </w:t>
      </w:r>
      <w:r w:rsidRPr="00D95F77">
        <w:rPr>
          <w:rFonts w:cs="Segoe UI"/>
          <w:szCs w:val="20"/>
        </w:rPr>
        <w:lastRenderedPageBreak/>
        <w:t>koordinácia medzi jednotlivými orgánmi a pomalé zavádzanie moderných technológií brzdia schopnosť štátu pružne reagovať na aktuálne spoločenské a ekonomické výzvy.</w:t>
      </w:r>
      <w:r>
        <w:rPr>
          <w:rFonts w:cs="Segoe UI"/>
          <w:szCs w:val="20"/>
        </w:rPr>
        <w:t xml:space="preserve"> Tento stav potvrdzujú aj dáta z medzinárodného porovnania. </w:t>
      </w:r>
      <w:r w:rsidRPr="00F1202E">
        <w:rPr>
          <w:rFonts w:cs="Segoe UI"/>
          <w:szCs w:val="20"/>
        </w:rPr>
        <w:t xml:space="preserve">Slovensko </w:t>
      </w:r>
      <w:r w:rsidRPr="00F1202E">
        <w:rPr>
          <w:rFonts w:eastAsia="Calibri"/>
        </w:rPr>
        <w:t>v indexe efektivity VS</w:t>
      </w:r>
      <w:r w:rsidRPr="00F1202E">
        <w:rPr>
          <w:rFonts w:eastAsia="Calibri"/>
          <w:vertAlign w:val="superscript"/>
        </w:rPr>
        <w:footnoteReference w:id="16"/>
      </w:r>
      <w:r w:rsidRPr="00F1202E">
        <w:rPr>
          <w:rFonts w:eastAsia="Calibri"/>
        </w:rPr>
        <w:t xml:space="preserve"> dosiahlo najnižšie hodnotenie spomedzi krajín V4</w:t>
      </w:r>
      <w:r w:rsidRPr="00D95F77">
        <w:rPr>
          <w:rFonts w:eastAsia="Calibri"/>
          <w:b/>
          <w:bCs/>
        </w:rPr>
        <w:t xml:space="preserve"> </w:t>
      </w:r>
      <w:r>
        <w:rPr>
          <w:rFonts w:eastAsia="Calibri"/>
          <w:bCs/>
        </w:rPr>
        <w:t xml:space="preserve">a umiestnilo sa </w:t>
      </w:r>
      <w:r w:rsidRPr="00D95F77">
        <w:rPr>
          <w:rFonts w:eastAsia="Calibri"/>
          <w:bCs/>
        </w:rPr>
        <w:t xml:space="preserve">na 24. mieste </w:t>
      </w:r>
      <w:r>
        <w:rPr>
          <w:rFonts w:eastAsia="Calibri"/>
          <w:bCs/>
        </w:rPr>
        <w:t xml:space="preserve">z </w:t>
      </w:r>
      <w:r w:rsidRPr="00D95F77">
        <w:rPr>
          <w:rFonts w:eastAsia="Calibri"/>
          <w:bCs/>
        </w:rPr>
        <w:t xml:space="preserve">27 krajín EÚ (graf </w:t>
      </w:r>
      <w:r>
        <w:rPr>
          <w:rFonts w:eastAsia="Calibri"/>
          <w:bCs/>
        </w:rPr>
        <w:t>13</w:t>
      </w:r>
      <w:r w:rsidRPr="00D95F77">
        <w:rPr>
          <w:rFonts w:eastAsia="Calibri"/>
          <w:bCs/>
        </w:rPr>
        <w:t>).</w:t>
      </w:r>
    </w:p>
    <w:p w14:paraId="25AF2609" w14:textId="77777777" w:rsidR="00933176" w:rsidRPr="00D95F77" w:rsidRDefault="00933176" w:rsidP="00933176">
      <w:pPr>
        <w:keepNext/>
        <w:spacing w:after="0"/>
        <w:rPr>
          <w:rFonts w:eastAsia="Calibri"/>
          <w:b/>
          <w:iCs/>
          <w:color w:val="314364"/>
          <w:szCs w:val="18"/>
        </w:rPr>
      </w:pPr>
      <w:r w:rsidRPr="00D95F77">
        <w:rPr>
          <w:rFonts w:eastAsia="Calibri"/>
          <w:b/>
          <w:iCs/>
          <w:color w:val="314364"/>
          <w:szCs w:val="18"/>
        </w:rPr>
        <w:t xml:space="preserve">Graf </w:t>
      </w:r>
      <w:r>
        <w:rPr>
          <w:rFonts w:eastAsia="Calibri"/>
          <w:b/>
          <w:iCs/>
          <w:color w:val="314364"/>
          <w:szCs w:val="18"/>
        </w:rPr>
        <w:t>13</w:t>
      </w:r>
      <w:r w:rsidRPr="00D95F77">
        <w:rPr>
          <w:rFonts w:eastAsia="Calibri"/>
          <w:b/>
          <w:iCs/>
          <w:color w:val="314364"/>
          <w:szCs w:val="18"/>
        </w:rPr>
        <w:t xml:space="preserve">: </w:t>
      </w:r>
      <w:r>
        <w:rPr>
          <w:rFonts w:eastAsia="Calibri"/>
          <w:b/>
          <w:iCs/>
          <w:color w:val="314364"/>
          <w:szCs w:val="18"/>
        </w:rPr>
        <w:t>Vývoj i</w:t>
      </w:r>
      <w:r w:rsidRPr="00D95F77">
        <w:rPr>
          <w:rFonts w:eastAsia="Calibri"/>
          <w:b/>
          <w:iCs/>
          <w:color w:val="314364"/>
          <w:szCs w:val="18"/>
        </w:rPr>
        <w:t>ndex efektívnosti verejnej správy</w:t>
      </w:r>
      <w:r>
        <w:rPr>
          <w:rFonts w:eastAsia="Calibri"/>
          <w:b/>
          <w:iCs/>
          <w:color w:val="314364"/>
          <w:szCs w:val="18"/>
        </w:rPr>
        <w:t xml:space="preserve"> v rokoch 2014 až 2023</w:t>
      </w:r>
    </w:p>
    <w:tbl>
      <w:tblPr>
        <w:tblStyle w:val="Mriekatabuky1"/>
        <w:tblW w:w="0" w:type="auto"/>
        <w:tblBorders>
          <w:top w:val="single" w:sz="4" w:space="0" w:color="314364"/>
          <w:left w:val="none" w:sz="0" w:space="0" w:color="auto"/>
          <w:bottom w:val="single" w:sz="4" w:space="0" w:color="314364"/>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rsidRPr="00D95F77" w14:paraId="499529E5" w14:textId="77777777" w:rsidTr="00BB314F">
        <w:trPr>
          <w:trHeight w:val="3118"/>
        </w:trPr>
        <w:tc>
          <w:tcPr>
            <w:tcW w:w="9060" w:type="dxa"/>
          </w:tcPr>
          <w:p w14:paraId="4B52FBDD" w14:textId="77777777" w:rsidR="00933176" w:rsidRPr="00D95F77" w:rsidRDefault="00933176" w:rsidP="00BB314F">
            <w:pPr>
              <w:spacing w:after="0"/>
              <w:rPr>
                <w:rFonts w:eastAsia="Calibri"/>
                <w:color w:val="EE0000"/>
              </w:rPr>
            </w:pPr>
            <w:r>
              <w:rPr>
                <w:noProof/>
                <w:lang w:eastAsia="sk-SK"/>
              </w:rPr>
              <w:drawing>
                <wp:inline distT="0" distB="0" distL="0" distR="0" wp14:anchorId="7AE032F3" wp14:editId="060F96E2">
                  <wp:extent cx="5760000" cy="1980000"/>
                  <wp:effectExtent l="0" t="0" r="0" b="1270"/>
                  <wp:docPr id="24" name="Graf 24">
                    <a:extLst xmlns:a="http://schemas.openxmlformats.org/drawingml/2006/main">
                      <a:ext uri="{FF2B5EF4-FFF2-40B4-BE49-F238E27FC236}">
                        <a16:creationId xmlns:a16="http://schemas.microsoft.com/office/drawing/2014/main" id="{1D45CD73-5FE4-495C-AE75-2E4328AF6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bl>
    <w:p w14:paraId="7A752382" w14:textId="602D7BC5" w:rsidR="00933176" w:rsidRPr="00D95F77" w:rsidRDefault="00933176" w:rsidP="00933176">
      <w:pPr>
        <w:rPr>
          <w:rFonts w:eastAsia="Calibri"/>
          <w:bCs/>
          <w:i/>
          <w:color w:val="314364"/>
          <w:sz w:val="16"/>
        </w:rPr>
      </w:pPr>
      <w:r w:rsidRPr="00D95F77">
        <w:rPr>
          <w:rFonts w:eastAsia="Calibri"/>
          <w:i/>
          <w:color w:val="314364"/>
          <w:sz w:val="16"/>
        </w:rPr>
        <w:t>Zdroj: Svetová banka, WG index</w:t>
      </w:r>
      <w:r w:rsidRPr="00D95F77">
        <w:rPr>
          <w:rFonts w:eastAsia="Calibri"/>
          <w:bCs/>
          <w:i/>
          <w:color w:val="314364"/>
          <w:sz w:val="16"/>
        </w:rPr>
        <w:t>.</w:t>
      </w:r>
      <w:r>
        <w:rPr>
          <w:rFonts w:eastAsia="Calibri"/>
          <w:bCs/>
          <w:i/>
          <w:color w:val="314364"/>
          <w:sz w:val="16"/>
        </w:rPr>
        <w:t xml:space="preserve"> Poznámka: S</w:t>
      </w:r>
      <w:r w:rsidRPr="007F3289">
        <w:rPr>
          <w:rFonts w:eastAsia="Calibri"/>
          <w:bCs/>
          <w:i/>
          <w:color w:val="314364"/>
          <w:sz w:val="16"/>
        </w:rPr>
        <w:t>kóre krajiny v súhrnom ukazovateli</w:t>
      </w:r>
      <w:r>
        <w:rPr>
          <w:rFonts w:eastAsia="Calibri"/>
          <w:bCs/>
          <w:i/>
          <w:color w:val="314364"/>
          <w:sz w:val="16"/>
        </w:rPr>
        <w:t xml:space="preserve"> je</w:t>
      </w:r>
      <w:r w:rsidRPr="007F3289">
        <w:rPr>
          <w:rFonts w:eastAsia="Calibri"/>
          <w:bCs/>
          <w:i/>
          <w:color w:val="314364"/>
          <w:sz w:val="16"/>
        </w:rPr>
        <w:t xml:space="preserve"> v jednotkách štandardného normálneho rozdelenia v</w:t>
      </w:r>
      <w:r>
        <w:rPr>
          <w:rFonts w:eastAsia="Calibri"/>
          <w:bCs/>
          <w:i/>
          <w:color w:val="314364"/>
          <w:sz w:val="16"/>
        </w:rPr>
        <w:t> </w:t>
      </w:r>
      <w:r w:rsidRPr="007F3289">
        <w:rPr>
          <w:rFonts w:eastAsia="Calibri"/>
          <w:bCs/>
          <w:i/>
          <w:color w:val="314364"/>
          <w:sz w:val="16"/>
        </w:rPr>
        <w:t>rozmedzí</w:t>
      </w:r>
      <w:r>
        <w:rPr>
          <w:rFonts w:eastAsia="Calibri"/>
          <w:bCs/>
          <w:i/>
          <w:color w:val="314364"/>
          <w:sz w:val="16"/>
        </w:rPr>
        <w:t> </w:t>
      </w:r>
      <w:r w:rsidR="007F6CCC" w:rsidRPr="006F2D60">
        <w:rPr>
          <w:szCs w:val="24"/>
        </w:rPr>
        <w:t>–</w:t>
      </w:r>
      <w:r>
        <w:rPr>
          <w:rFonts w:eastAsia="Calibri"/>
          <w:bCs/>
          <w:i/>
          <w:color w:val="314364"/>
          <w:sz w:val="16"/>
        </w:rPr>
        <w:t> </w:t>
      </w:r>
      <w:r w:rsidRPr="007F3289">
        <w:rPr>
          <w:rFonts w:eastAsia="Calibri"/>
          <w:bCs/>
          <w:i/>
          <w:color w:val="314364"/>
          <w:sz w:val="16"/>
        </w:rPr>
        <w:t>2,5 až</w:t>
      </w:r>
      <w:r>
        <w:rPr>
          <w:rFonts w:eastAsia="Calibri"/>
          <w:bCs/>
          <w:i/>
          <w:color w:val="314364"/>
          <w:sz w:val="16"/>
        </w:rPr>
        <w:t xml:space="preserve"> </w:t>
      </w:r>
      <w:r w:rsidRPr="007F3289">
        <w:rPr>
          <w:rFonts w:eastAsia="Calibri"/>
          <w:bCs/>
          <w:i/>
          <w:color w:val="314364"/>
          <w:sz w:val="16"/>
        </w:rPr>
        <w:t>2,5</w:t>
      </w:r>
      <w:r>
        <w:rPr>
          <w:rFonts w:eastAsia="Calibri"/>
          <w:bCs/>
          <w:i/>
          <w:color w:val="314364"/>
          <w:sz w:val="16"/>
        </w:rPr>
        <w:t>.</w:t>
      </w:r>
    </w:p>
    <w:p w14:paraId="6204531E" w14:textId="41C8F089" w:rsidR="00525C90" w:rsidRPr="00D95F77" w:rsidRDefault="00525C90" w:rsidP="00525C90">
      <w:pPr>
        <w:rPr>
          <w:rFonts w:eastAsia="Calibri"/>
          <w:bCs/>
        </w:rPr>
      </w:pPr>
      <w:r w:rsidRPr="00D95F77">
        <w:rPr>
          <w:rFonts w:eastAsia="Calibri"/>
          <w:b/>
        </w:rPr>
        <w:t>EK</w:t>
      </w:r>
      <w:r>
        <w:rPr>
          <w:rFonts w:eastAsia="Calibri"/>
          <w:b/>
        </w:rPr>
        <w:t xml:space="preserve"> </w:t>
      </w:r>
      <w:r w:rsidR="00FD4639">
        <w:rPr>
          <w:rFonts w:eastAsia="Calibri"/>
          <w:b/>
        </w:rPr>
        <w:t xml:space="preserve">opakovane </w:t>
      </w:r>
      <w:r w:rsidRPr="00D95F77">
        <w:rPr>
          <w:rFonts w:eastAsia="Calibri"/>
          <w:b/>
        </w:rPr>
        <w:t>upozorňuje</w:t>
      </w:r>
      <w:r w:rsidRPr="00D95F77">
        <w:rPr>
          <w:rFonts w:eastAsia="Calibri"/>
          <w:bCs/>
          <w:vertAlign w:val="superscript"/>
        </w:rPr>
        <w:footnoteReference w:id="17"/>
      </w:r>
      <w:r w:rsidRPr="00D95F77">
        <w:rPr>
          <w:rFonts w:eastAsia="Calibri"/>
          <w:b/>
        </w:rPr>
        <w:t xml:space="preserve"> na viaceré vážne problémy ovplyvňujúce kvalitu a výkonnosť štátnej služby. </w:t>
      </w:r>
      <w:r w:rsidRPr="00D95F77">
        <w:rPr>
          <w:rFonts w:eastAsia="Calibri"/>
          <w:bCs/>
        </w:rPr>
        <w:t xml:space="preserve">Hoci podiel štátnych zamestnancov s vysokoškolským vzdelaním je rovnaký ako priemer EÚ27 (52,8 %), atraktivita práce vo VS klesá a zároveň sa znižuje podiel zamestnancov mladších ako 49 rokov. </w:t>
      </w:r>
    </w:p>
    <w:p w14:paraId="69C78CBC" w14:textId="09987858" w:rsidR="00FD4639" w:rsidRDefault="00FD4639" w:rsidP="00FD4639">
      <w:pPr>
        <w:rPr>
          <w:rFonts w:cs="Segoe UI"/>
          <w:szCs w:val="20"/>
        </w:rPr>
      </w:pPr>
      <w:r w:rsidRPr="00A31055">
        <w:rPr>
          <w:rFonts w:cs="Segoe UI"/>
          <w:b/>
          <w:bCs/>
          <w:szCs w:val="20"/>
        </w:rPr>
        <w:t>V PVV vlády SR na roky 2023 – 2027</w:t>
      </w:r>
      <w:r w:rsidRPr="00A31055">
        <w:rPr>
          <w:rStyle w:val="Odkaznapoznmkupodiarou"/>
          <w:rFonts w:cs="Segoe UI"/>
          <w:szCs w:val="20"/>
        </w:rPr>
        <w:footnoteReference w:id="18"/>
      </w:r>
      <w:r w:rsidRPr="00A31055">
        <w:rPr>
          <w:rFonts w:cs="Segoe UI"/>
          <w:szCs w:val="20"/>
        </w:rPr>
        <w:t xml:space="preserve"> </w:t>
      </w:r>
      <w:r w:rsidRPr="00A31055">
        <w:rPr>
          <w:rFonts w:cs="Segoe UI"/>
          <w:b/>
          <w:bCs/>
          <w:szCs w:val="20"/>
        </w:rPr>
        <w:t>vláda deklaruje snahu o reorganizáciu VS s cieľom zvýšiť jej efektívnosť a transparentnosť, avšak konkrétne kroky nie sú známe.</w:t>
      </w:r>
      <w:r>
        <w:rPr>
          <w:rFonts w:cs="Segoe UI"/>
          <w:szCs w:val="20"/>
        </w:rPr>
        <w:t xml:space="preserve"> </w:t>
      </w:r>
      <w:r w:rsidRPr="00BB314F">
        <w:rPr>
          <w:rFonts w:cs="Segoe UI"/>
          <w:bCs/>
          <w:szCs w:val="20"/>
        </w:rPr>
        <w:t>V</w:t>
      </w:r>
      <w:r>
        <w:rPr>
          <w:rFonts w:cs="Segoe UI"/>
          <w:bCs/>
          <w:szCs w:val="20"/>
        </w:rPr>
        <w:t xml:space="preserve"> </w:t>
      </w:r>
      <w:r w:rsidRPr="00BB314F">
        <w:rPr>
          <w:rFonts w:cs="Segoe UI"/>
          <w:bCs/>
          <w:szCs w:val="20"/>
        </w:rPr>
        <w:t xml:space="preserve">septembri 2025 bol </w:t>
      </w:r>
      <w:r w:rsidR="00A31055">
        <w:rPr>
          <w:rFonts w:cs="Segoe UI"/>
          <w:bCs/>
          <w:szCs w:val="20"/>
        </w:rPr>
        <w:t>z</w:t>
      </w:r>
      <w:r w:rsidR="00D36A7B">
        <w:rPr>
          <w:rFonts w:cs="Segoe UI"/>
          <w:bCs/>
          <w:szCs w:val="20"/>
        </w:rPr>
        <w:t> </w:t>
      </w:r>
      <w:r w:rsidR="00A31055" w:rsidRPr="00BB314F">
        <w:rPr>
          <w:rFonts w:cs="Segoe UI"/>
          <w:bCs/>
          <w:szCs w:val="20"/>
        </w:rPr>
        <w:t xml:space="preserve">rokovania </w:t>
      </w:r>
      <w:r w:rsidR="00A31055">
        <w:rPr>
          <w:rFonts w:cs="Segoe UI"/>
          <w:bCs/>
          <w:szCs w:val="20"/>
        </w:rPr>
        <w:t xml:space="preserve">vlády </w:t>
      </w:r>
      <w:r w:rsidR="00A31055" w:rsidRPr="00BB314F">
        <w:rPr>
          <w:rFonts w:cs="Segoe UI"/>
          <w:bCs/>
          <w:szCs w:val="20"/>
        </w:rPr>
        <w:t xml:space="preserve">vypustený </w:t>
      </w:r>
      <w:r w:rsidRPr="00BB314F">
        <w:rPr>
          <w:rFonts w:cs="Segoe UI"/>
          <w:bCs/>
          <w:szCs w:val="20"/>
        </w:rPr>
        <w:t>návrh</w:t>
      </w:r>
      <w:r w:rsidRPr="00BB314F">
        <w:rPr>
          <w:rStyle w:val="Odkaznapoznmkupodiarou"/>
          <w:rFonts w:cs="Segoe UI"/>
          <w:bCs/>
          <w:szCs w:val="20"/>
        </w:rPr>
        <w:footnoteReference w:id="19"/>
      </w:r>
      <w:r w:rsidRPr="00BB314F">
        <w:rPr>
          <w:rFonts w:cs="Segoe UI"/>
          <w:bCs/>
          <w:szCs w:val="20"/>
        </w:rPr>
        <w:t xml:space="preserve"> na zriadenie Rady vlády </w:t>
      </w:r>
      <w:r>
        <w:rPr>
          <w:rFonts w:cs="Segoe UI"/>
          <w:bCs/>
          <w:szCs w:val="20"/>
        </w:rPr>
        <w:t>SR</w:t>
      </w:r>
      <w:r w:rsidRPr="00BB314F">
        <w:rPr>
          <w:rFonts w:cs="Segoe UI"/>
          <w:bCs/>
          <w:szCs w:val="20"/>
        </w:rPr>
        <w:t xml:space="preserve"> pre verejnú správu.</w:t>
      </w:r>
      <w:r>
        <w:rPr>
          <w:rFonts w:cs="Segoe UI"/>
          <w:szCs w:val="20"/>
        </w:rPr>
        <w:t xml:space="preserve"> Navyše, podľa predloženého </w:t>
      </w:r>
      <w:r w:rsidRPr="002B53F1">
        <w:rPr>
          <w:rFonts w:cs="Segoe UI"/>
          <w:szCs w:val="20"/>
        </w:rPr>
        <w:t>štatút</w:t>
      </w:r>
      <w:r>
        <w:rPr>
          <w:rFonts w:cs="Segoe UI"/>
          <w:szCs w:val="20"/>
        </w:rPr>
        <w:t>u</w:t>
      </w:r>
      <w:r w:rsidRPr="002B53F1">
        <w:rPr>
          <w:rFonts w:cs="Segoe UI"/>
          <w:szCs w:val="20"/>
        </w:rPr>
        <w:t xml:space="preserve"> </w:t>
      </w:r>
      <w:r>
        <w:rPr>
          <w:rFonts w:cs="Segoe UI"/>
          <w:szCs w:val="20"/>
        </w:rPr>
        <w:t xml:space="preserve">by sa Rada nezaoberala </w:t>
      </w:r>
      <w:r w:rsidRPr="002B53F1">
        <w:rPr>
          <w:rFonts w:cs="Segoe UI"/>
          <w:szCs w:val="20"/>
        </w:rPr>
        <w:t>reform</w:t>
      </w:r>
      <w:r>
        <w:rPr>
          <w:rFonts w:cs="Segoe UI"/>
          <w:szCs w:val="20"/>
        </w:rPr>
        <w:t>o</w:t>
      </w:r>
      <w:r w:rsidRPr="002B53F1">
        <w:rPr>
          <w:rFonts w:cs="Segoe UI"/>
          <w:szCs w:val="20"/>
        </w:rPr>
        <w:t xml:space="preserve">u </w:t>
      </w:r>
      <w:r>
        <w:rPr>
          <w:rFonts w:cs="Segoe UI"/>
          <w:szCs w:val="20"/>
        </w:rPr>
        <w:t>VS. S</w:t>
      </w:r>
      <w:r w:rsidRPr="002B53F1">
        <w:rPr>
          <w:rFonts w:cs="Segoe UI"/>
          <w:szCs w:val="20"/>
        </w:rPr>
        <w:t>trategické otázky modernizácie, racionalizácie a zmeny pôsobnosti</w:t>
      </w:r>
      <w:r>
        <w:rPr>
          <w:rFonts w:cs="Segoe UI"/>
          <w:szCs w:val="20"/>
        </w:rPr>
        <w:t xml:space="preserve"> VS majú byť riešené </w:t>
      </w:r>
      <w:r w:rsidRPr="002B53F1">
        <w:rPr>
          <w:rFonts w:cs="Segoe UI"/>
          <w:szCs w:val="20"/>
        </w:rPr>
        <w:t>v samostatných expertných pracovných skupinách</w:t>
      </w:r>
      <w:r>
        <w:rPr>
          <w:rFonts w:cs="Segoe UI"/>
          <w:szCs w:val="20"/>
        </w:rPr>
        <w:t xml:space="preserve"> mimo jej pôsobnosti.</w:t>
      </w:r>
    </w:p>
    <w:p w14:paraId="5E7572FB" w14:textId="7C3BDEC7" w:rsidR="00FD4639" w:rsidRDefault="00FD4639" w:rsidP="00FD4639">
      <w:pPr>
        <w:rPr>
          <w:rFonts w:cs="Segoe UI"/>
          <w:b/>
          <w:bCs/>
          <w:szCs w:val="20"/>
        </w:rPr>
      </w:pPr>
      <w:r w:rsidRPr="004B3114">
        <w:rPr>
          <w:rFonts w:cs="Segoe UI"/>
          <w:b/>
          <w:bCs/>
          <w:szCs w:val="20"/>
        </w:rPr>
        <w:t>Počas posledných dvoch rokov sa štruktúra ústrednej štátnej správy rozšírila o dva nové orgány</w:t>
      </w:r>
      <w:r w:rsidRPr="004B3114">
        <w:rPr>
          <w:rFonts w:cs="Segoe UI"/>
          <w:szCs w:val="20"/>
        </w:rPr>
        <w:t xml:space="preserve"> – </w:t>
      </w:r>
      <w:r w:rsidRPr="00BB314F">
        <w:rPr>
          <w:rFonts w:cs="Segoe UI"/>
          <w:b/>
          <w:szCs w:val="20"/>
        </w:rPr>
        <w:t xml:space="preserve">Ministerstvo cestovného ruchu a športu SR </w:t>
      </w:r>
      <w:r w:rsidRPr="00BB314F">
        <w:rPr>
          <w:rFonts w:cs="Segoe UI"/>
          <w:szCs w:val="20"/>
        </w:rPr>
        <w:t>(MCRŠ)</w:t>
      </w:r>
      <w:r>
        <w:rPr>
          <w:rFonts w:cs="Segoe UI"/>
          <w:b/>
          <w:szCs w:val="20"/>
        </w:rPr>
        <w:t xml:space="preserve"> </w:t>
      </w:r>
      <w:r w:rsidRPr="00BB314F">
        <w:rPr>
          <w:rFonts w:cs="Segoe UI"/>
          <w:b/>
          <w:szCs w:val="20"/>
        </w:rPr>
        <w:t>a Úrad podpredsedu vlády SR pre Plán obnovy a znalostnú ekonomiku</w:t>
      </w:r>
      <w:r>
        <w:rPr>
          <w:rFonts w:cs="Segoe UI"/>
          <w:b/>
          <w:szCs w:val="20"/>
        </w:rPr>
        <w:t xml:space="preserve"> </w:t>
      </w:r>
      <w:r w:rsidRPr="00BB314F">
        <w:rPr>
          <w:rFonts w:cs="Segoe UI"/>
          <w:szCs w:val="20"/>
        </w:rPr>
        <w:t>(ÚPVPOZE)</w:t>
      </w:r>
      <w:r w:rsidRPr="00BB314F">
        <w:rPr>
          <w:rFonts w:cs="Segoe UI"/>
          <w:b/>
          <w:szCs w:val="20"/>
        </w:rPr>
        <w:t>.</w:t>
      </w:r>
      <w:r w:rsidRPr="004B3114">
        <w:rPr>
          <w:rFonts w:cs="Segoe UI"/>
          <w:szCs w:val="20"/>
        </w:rPr>
        <w:t xml:space="preserve"> Súčasne vzrástol celkový počet štátnych tajomníkov na ministerstvách na 36</w:t>
      </w:r>
      <w:r>
        <w:rPr>
          <w:rFonts w:cs="Segoe UI"/>
          <w:szCs w:val="20"/>
        </w:rPr>
        <w:t xml:space="preserve"> (z 26 vo volebnom období 2020 – 2023), pričom viacero rezortov (</w:t>
      </w:r>
      <w:r w:rsidRPr="004B3114">
        <w:rPr>
          <w:rFonts w:cs="Segoe UI"/>
          <w:szCs w:val="20"/>
        </w:rPr>
        <w:t>MPRV SR, MV SR, MS SR, MŠVVM SR a MIRRI SR</w:t>
      </w:r>
      <w:r>
        <w:rPr>
          <w:rFonts w:cs="Segoe UI"/>
          <w:szCs w:val="20"/>
        </w:rPr>
        <w:t>) má po troch štátnych tajomníkov.</w:t>
      </w:r>
      <w:r w:rsidRPr="004B3114">
        <w:rPr>
          <w:rFonts w:cs="Segoe UI"/>
          <w:szCs w:val="20"/>
        </w:rPr>
        <w:t xml:space="preserve"> </w:t>
      </w:r>
      <w:r>
        <w:rPr>
          <w:rFonts w:cs="Segoe UI"/>
          <w:szCs w:val="20"/>
        </w:rPr>
        <w:t>V</w:t>
      </w:r>
      <w:r w:rsidRPr="004B3114">
        <w:rPr>
          <w:rFonts w:cs="Segoe UI"/>
          <w:szCs w:val="20"/>
        </w:rPr>
        <w:t xml:space="preserve"> predchádzajúcich volebných obdobiach mali jednotlivé ministerstvá spravidla </w:t>
      </w:r>
      <w:r>
        <w:rPr>
          <w:rFonts w:cs="Segoe UI"/>
          <w:szCs w:val="20"/>
        </w:rPr>
        <w:t xml:space="preserve">jedného až </w:t>
      </w:r>
      <w:r w:rsidRPr="004B3114">
        <w:rPr>
          <w:rFonts w:cs="Segoe UI"/>
          <w:szCs w:val="20"/>
        </w:rPr>
        <w:t xml:space="preserve">dvoch štátnych tajomníkov. </w:t>
      </w:r>
      <w:r w:rsidR="002D712E">
        <w:rPr>
          <w:rFonts w:cs="Segoe UI"/>
          <w:szCs w:val="20"/>
        </w:rPr>
        <w:t>Š</w:t>
      </w:r>
      <w:r w:rsidRPr="004B3114">
        <w:rPr>
          <w:rFonts w:cs="Segoe UI"/>
          <w:szCs w:val="20"/>
        </w:rPr>
        <w:t xml:space="preserve">tátneho tajomníka má aj novozriadený </w:t>
      </w:r>
      <w:r>
        <w:rPr>
          <w:rFonts w:cs="Segoe UI"/>
          <w:szCs w:val="20"/>
        </w:rPr>
        <w:t>ÚPVPOZE</w:t>
      </w:r>
      <w:r w:rsidRPr="004B3114">
        <w:rPr>
          <w:rFonts w:cs="Segoe UI"/>
          <w:szCs w:val="20"/>
        </w:rPr>
        <w:t xml:space="preserve">. </w:t>
      </w:r>
      <w:r w:rsidRPr="00BB314F">
        <w:rPr>
          <w:rFonts w:cs="Segoe UI"/>
          <w:b/>
          <w:szCs w:val="20"/>
        </w:rPr>
        <w:t xml:space="preserve">NKÚ SR upozorňuje, že k septembru 2025 </w:t>
      </w:r>
      <w:r w:rsidR="002D712E">
        <w:rPr>
          <w:rFonts w:cs="Segoe UI"/>
          <w:b/>
          <w:szCs w:val="20"/>
        </w:rPr>
        <w:t>má</w:t>
      </w:r>
      <w:r w:rsidRPr="00BB314F">
        <w:rPr>
          <w:rFonts w:cs="Segoe UI"/>
          <w:b/>
          <w:szCs w:val="20"/>
        </w:rPr>
        <w:t xml:space="preserve"> </w:t>
      </w:r>
      <w:r w:rsidRPr="00D91529">
        <w:rPr>
          <w:rFonts w:cs="Segoe UI"/>
          <w:b/>
          <w:bCs/>
          <w:szCs w:val="20"/>
        </w:rPr>
        <w:t>ústredná štátna správa najvyšší počet štátnych tajomníkov</w:t>
      </w:r>
      <w:r w:rsidR="002D712E">
        <w:rPr>
          <w:rFonts w:cs="Segoe UI"/>
          <w:b/>
          <w:bCs/>
          <w:szCs w:val="20"/>
        </w:rPr>
        <w:t xml:space="preserve"> od roku 2020</w:t>
      </w:r>
      <w:r w:rsidRPr="00D91529">
        <w:rPr>
          <w:rFonts w:cs="Segoe UI"/>
          <w:b/>
          <w:bCs/>
          <w:szCs w:val="20"/>
        </w:rPr>
        <w:t>.</w:t>
      </w:r>
    </w:p>
    <w:p w14:paraId="17178D31" w14:textId="1101EBC4" w:rsidR="00FD4639" w:rsidRDefault="00FD4639" w:rsidP="00FD4639">
      <w:r w:rsidRPr="00BB314F">
        <w:rPr>
          <w:b/>
        </w:rPr>
        <w:t xml:space="preserve">Napriek rozširujúcemu sa štátnemu aparátu sa prejavuje </w:t>
      </w:r>
      <w:r w:rsidRPr="00BB314F">
        <w:rPr>
          <w:b/>
          <w:bCs/>
        </w:rPr>
        <w:t>duplicita kompetencií, nejasné rozdelenie zodpovednosti a riziko neefektívneho využívania verejných zdrojov.</w:t>
      </w:r>
      <w:r w:rsidRPr="00D91529">
        <w:t xml:space="preserve"> </w:t>
      </w:r>
      <w:r>
        <w:t xml:space="preserve">Príkladom je príprava </w:t>
      </w:r>
      <w:r w:rsidRPr="0033653A">
        <w:t>Investičného plánu Slovensko</w:t>
      </w:r>
      <w:r>
        <w:t xml:space="preserve">, ktorú vláda zverila </w:t>
      </w:r>
      <w:r w:rsidRPr="009C1191">
        <w:t>novozriaden</w:t>
      </w:r>
      <w:r>
        <w:t>ému</w:t>
      </w:r>
      <w:r w:rsidRPr="009C1191">
        <w:t xml:space="preserve"> </w:t>
      </w:r>
      <w:r>
        <w:rPr>
          <w:rFonts w:cs="Segoe UI"/>
          <w:szCs w:val="20"/>
        </w:rPr>
        <w:t>ÚPVPOZE</w:t>
      </w:r>
      <w:r>
        <w:t xml:space="preserve">, hoci podľa platného kompetenčného zákona je MIRRI SR </w:t>
      </w:r>
      <w:r w:rsidRPr="004B3114">
        <w:t xml:space="preserve">ústredným orgánom štátnej správy </w:t>
      </w:r>
      <w:r>
        <w:t xml:space="preserve">aj </w:t>
      </w:r>
      <w:r w:rsidRPr="004B3114">
        <w:t>pre</w:t>
      </w:r>
      <w:r>
        <w:t xml:space="preserve"> </w:t>
      </w:r>
      <w:r w:rsidRPr="004B3114">
        <w:t xml:space="preserve">oblasť investícií </w:t>
      </w:r>
      <w:r w:rsidRPr="004B3114">
        <w:lastRenderedPageBreak/>
        <w:t xml:space="preserve">v rozsahu strategického plánovania </w:t>
      </w:r>
      <w:r>
        <w:t>a</w:t>
      </w:r>
      <w:r w:rsidRPr="004B3114">
        <w:t xml:space="preserve"> projektového riadenia</w:t>
      </w:r>
      <w:r>
        <w:rPr>
          <w:rStyle w:val="Odkaznapoznmkupodiarou"/>
          <w:rFonts w:cs="Segoe UI"/>
          <w:szCs w:val="20"/>
        </w:rPr>
        <w:footnoteReference w:id="20"/>
      </w:r>
      <w:r>
        <w:t>, a to</w:t>
      </w:r>
      <w:r w:rsidRPr="0033653A">
        <w:t xml:space="preserve"> vrátane vypracovania národného strategického investičného rámca</w:t>
      </w:r>
      <w:r>
        <w:t xml:space="preserve"> a</w:t>
      </w:r>
      <w:r w:rsidRPr="0033653A">
        <w:t xml:space="preserve"> koordináci</w:t>
      </w:r>
      <w:r>
        <w:t>e</w:t>
      </w:r>
      <w:r w:rsidRPr="0033653A">
        <w:t xml:space="preserve"> investičných projektov určených vládou SR.</w:t>
      </w:r>
    </w:p>
    <w:p w14:paraId="56BDAD5C" w14:textId="77777777" w:rsidR="00847B9D" w:rsidRDefault="00436E66" w:rsidP="00436E66">
      <w:r w:rsidRPr="00436E66">
        <w:rPr>
          <w:b/>
          <w:bCs/>
        </w:rPr>
        <w:t>Príkladom duplicity vynakladania verejných zdrojov sú</w:t>
      </w:r>
      <w:r w:rsidRPr="00436E66">
        <w:t xml:space="preserve"> </w:t>
      </w:r>
      <w:r w:rsidRPr="00436E66">
        <w:rPr>
          <w:b/>
        </w:rPr>
        <w:t>rozpočtové zdroje, ktoré majú slúžiť na podporu športu, najmä na budovanie potrebnej športovej infraštruktúry</w:t>
      </w:r>
      <w:r w:rsidRPr="00436E66">
        <w:t>. V roku 2019 vznikol Fond na podporu športu s ročným rozpočtom 20 mil. eur, ktorý bol tento rok navýšený na 60 mil. eur. Jeho hlavnou úlohou je vytvárať podmienky na rozvoj športovej infraštruktúry ako predpokladu rozvoja športu a podporovať významné športové podujatia. Došlo tak k deľbe kompetencií medzi MCRŠ SR</w:t>
      </w:r>
      <w:r w:rsidR="00FE1BB2">
        <w:t xml:space="preserve">. </w:t>
      </w:r>
      <w:r w:rsidRPr="00436E66">
        <w:t xml:space="preserve"> </w:t>
      </w:r>
      <w:r w:rsidR="00847B9D" w:rsidRPr="00847B9D">
        <w:t>Rozpočet ministerstva má zabezpečovať financovanie uznaných športov prostredníctvom športových zväzov a asociácií, zatiaľ čo fond má zabezpečovať výber a financovanie projektov infraštruktúry športu, najmä národného významu. Fond do konca roku 2024 podporil projekty športovej infraštruktúry v celkovej hodnote takmer 50 mil. eur.</w:t>
      </w:r>
    </w:p>
    <w:p w14:paraId="6603060E" w14:textId="6804DCA4" w:rsidR="00436E66" w:rsidRPr="00847B9D" w:rsidRDefault="00436E66" w:rsidP="00436E66">
      <w:r w:rsidRPr="00847B9D">
        <w:rPr>
          <w:b/>
        </w:rPr>
        <w:t xml:space="preserve">V tomto roku však </w:t>
      </w:r>
      <w:r w:rsidR="00847B9D" w:rsidRPr="00847B9D">
        <w:rPr>
          <w:b/>
          <w:bCs/>
        </w:rPr>
        <w:t>MCRŠ SR</w:t>
      </w:r>
      <w:r w:rsidR="00847B9D" w:rsidRPr="00847B9D">
        <w:rPr>
          <w:b/>
        </w:rPr>
        <w:t xml:space="preserve"> </w:t>
      </w:r>
      <w:r w:rsidRPr="00847B9D">
        <w:rPr>
          <w:b/>
        </w:rPr>
        <w:t>časť svojich rozpočtových prostriedkov</w:t>
      </w:r>
      <w:r w:rsidRPr="00847B9D">
        <w:t xml:space="preserve"> z programu 026 – Rozvoj a podpora športu (vo výške 10,98 mil. eur)</w:t>
      </w:r>
      <w:r w:rsidRPr="00847B9D">
        <w:rPr>
          <w:b/>
        </w:rPr>
        <w:t xml:space="preserve"> použilo na tzv. národný športový projekt „Generácia Olymp“, ktorý schválila vláda a ktorého realizátorom je Slovenský olympijský a športový výbor</w:t>
      </w:r>
      <w:r w:rsidRPr="00847B9D">
        <w:t xml:space="preserve"> (SOŠV).</w:t>
      </w:r>
      <w:r w:rsidRPr="00847B9D">
        <w:rPr>
          <w:b/>
        </w:rPr>
        <w:t xml:space="preserve"> </w:t>
      </w:r>
      <w:r w:rsidRPr="00847B9D">
        <w:t xml:space="preserve">Z tohto objemu má SOŠV </w:t>
      </w:r>
      <w:r w:rsidR="00847B9D">
        <w:t>v rámci</w:t>
      </w:r>
      <w:r w:rsidRPr="00847B9D">
        <w:t xml:space="preserve"> kapitálov</w:t>
      </w:r>
      <w:r w:rsidR="00847B9D">
        <w:t>ých</w:t>
      </w:r>
      <w:r w:rsidRPr="00847B9D">
        <w:t xml:space="preserve"> výdavk</w:t>
      </w:r>
      <w:r w:rsidR="00847B9D">
        <w:t>ov</w:t>
      </w:r>
      <w:r w:rsidRPr="00847B9D">
        <w:t xml:space="preserve"> 7,23 mil. eur financovať projekty školskej športovej infraštruktúry v obciach do 5-tisíc obyvateľov.</w:t>
      </w:r>
      <w:r w:rsidRPr="00847B9D" w:rsidDel="00EC1680">
        <w:t xml:space="preserve"> </w:t>
      </w:r>
      <w:r w:rsidRPr="00847B9D">
        <w:t xml:space="preserve"> Súbežne s tým Fond na podporu športu vyhlásil výzvu na výstavbu, rekonštrukciu a modernizáciu športovej infraštruktúry pre obce do 3-tisíc obyvateľov. </w:t>
      </w:r>
    </w:p>
    <w:p w14:paraId="1D0C2FC3" w14:textId="77777777" w:rsidR="00436E66" w:rsidRPr="00847B9D" w:rsidRDefault="00436E66" w:rsidP="00436E66">
      <w:r w:rsidRPr="00847B9D">
        <w:rPr>
          <w:b/>
        </w:rPr>
        <w:t xml:space="preserve">NKÚ SR považuje takýto postup ministerstva za problematický, keďže ide o použitie rozpočtových prostriedkov mimo zákonom určeného mechanizmu, ktorý predstavuje Fond na podporu športu. </w:t>
      </w:r>
      <w:r w:rsidRPr="00847B9D">
        <w:t>Takýto postup oslabuje jedinečnú funkciu fondu, vytvára duplicitu vo financovaní a presúva rozhodovanie o infraštruktúrnych projektoch mimo inštitúcií na to zákonom určených. Zároveň presun prostriedkov znižuje objem zdrojov dostupných pre športové zväzy a ich členov.</w:t>
      </w:r>
    </w:p>
    <w:p w14:paraId="77911C29" w14:textId="77777777" w:rsidR="00436E66" w:rsidRDefault="00436E66" w:rsidP="00436E66">
      <w:r w:rsidRPr="00847B9D">
        <w:rPr>
          <w:b/>
        </w:rPr>
        <w:t>Ďalším príkladom neštandardného postupu je zapojenie štátneho podniku Vodohospodárska výstavba ako investora projektu Národného centra rýchlostnej kanoistiky a veslovania Bratislava-Jarovce, ktorého náklady sú odhadované na 19 mil. eur.</w:t>
      </w:r>
      <w:r w:rsidRPr="00847B9D">
        <w:t xml:space="preserve"> Hlavným poslaním tohto podniku je však výstavba a údržba vodných stavieb. Kontrola NKÚ SR v tejto súvislosti preukázala významný investičný dlh v oblasti údržby a bezpečnej prevádzky vodných diel. Odčerpávanie zdrojov určených na plnenie tohto poslania na iné účely preto NKÚ SR považuje za neefektívne a neúčelné.</w:t>
      </w:r>
      <w:r>
        <w:t xml:space="preserve"> </w:t>
      </w:r>
    </w:p>
    <w:p w14:paraId="303E4437" w14:textId="77777777" w:rsidR="0020206E" w:rsidRPr="00F7055F" w:rsidRDefault="0020206E" w:rsidP="0020206E">
      <w:pPr>
        <w:rPr>
          <w:rFonts w:cs="Segoe UI"/>
          <w:b/>
          <w:bCs/>
          <w:color w:val="3C527B" w:themeColor="text2" w:themeTint="E6"/>
          <w:szCs w:val="20"/>
        </w:rPr>
      </w:pPr>
      <w:r w:rsidRPr="00F7055F">
        <w:rPr>
          <w:rFonts w:cs="Segoe UI"/>
          <w:b/>
          <w:bCs/>
          <w:color w:val="3C527B" w:themeColor="text2" w:themeTint="E6"/>
          <w:szCs w:val="20"/>
        </w:rPr>
        <w:t>Výdavky na fungovanie verejnej správy</w:t>
      </w:r>
    </w:p>
    <w:p w14:paraId="545ADF7C" w14:textId="1D9179CA" w:rsidR="00FD4639" w:rsidRDefault="00FD4639" w:rsidP="00FD4639">
      <w:pPr>
        <w:rPr>
          <w:rFonts w:cs="Segoe UI"/>
          <w:szCs w:val="20"/>
        </w:rPr>
      </w:pPr>
      <w:r w:rsidRPr="00633F5C">
        <w:rPr>
          <w:rFonts w:cs="Segoe UI"/>
          <w:b/>
          <w:bCs/>
          <w:szCs w:val="20"/>
        </w:rPr>
        <w:t>Celkové výdavky VS</w:t>
      </w:r>
      <w:r>
        <w:rPr>
          <w:rFonts w:cs="Segoe UI"/>
          <w:b/>
          <w:bCs/>
          <w:szCs w:val="20"/>
        </w:rPr>
        <w:t xml:space="preserve"> na rok 2026 sa rozpočtujú v objeme 67,9 mld. eur</w:t>
      </w:r>
      <w:r w:rsidRPr="00633F5C">
        <w:rPr>
          <w:rFonts w:cs="Segoe UI"/>
          <w:b/>
          <w:bCs/>
          <w:szCs w:val="20"/>
        </w:rPr>
        <w:t xml:space="preserve"> </w:t>
      </w:r>
      <w:r>
        <w:rPr>
          <w:rFonts w:cs="Segoe UI"/>
          <w:b/>
          <w:bCs/>
          <w:szCs w:val="20"/>
        </w:rPr>
        <w:t xml:space="preserve">a naďalej </w:t>
      </w:r>
      <w:r w:rsidRPr="00633F5C">
        <w:rPr>
          <w:rFonts w:cs="Segoe UI"/>
          <w:b/>
          <w:bCs/>
          <w:szCs w:val="20"/>
        </w:rPr>
        <w:t xml:space="preserve">každoročne </w:t>
      </w:r>
      <w:r>
        <w:rPr>
          <w:rFonts w:cs="Segoe UI"/>
          <w:b/>
          <w:bCs/>
          <w:szCs w:val="20"/>
        </w:rPr>
        <w:t xml:space="preserve">rastú </w:t>
      </w:r>
      <w:r w:rsidRPr="00BB314F">
        <w:rPr>
          <w:rFonts w:cs="Segoe UI"/>
          <w:bCs/>
          <w:szCs w:val="20"/>
        </w:rPr>
        <w:t xml:space="preserve">(graf </w:t>
      </w:r>
      <w:r>
        <w:rPr>
          <w:rFonts w:cs="Segoe UI"/>
          <w:bCs/>
          <w:szCs w:val="20"/>
        </w:rPr>
        <w:t>14</w:t>
      </w:r>
      <w:r w:rsidRPr="00BB314F">
        <w:rPr>
          <w:rFonts w:cs="Segoe UI"/>
          <w:bCs/>
          <w:szCs w:val="20"/>
        </w:rPr>
        <w:t>)</w:t>
      </w:r>
      <w:r>
        <w:rPr>
          <w:rFonts w:cs="Segoe UI"/>
          <w:b/>
          <w:bCs/>
          <w:szCs w:val="20"/>
        </w:rPr>
        <w:t>.</w:t>
      </w:r>
      <w:r w:rsidRPr="00633F5C">
        <w:rPr>
          <w:rFonts w:cs="Segoe UI"/>
          <w:b/>
          <w:bCs/>
          <w:szCs w:val="20"/>
        </w:rPr>
        <w:t xml:space="preserve"> </w:t>
      </w:r>
      <w:r>
        <w:rPr>
          <w:rFonts w:cs="Segoe UI"/>
          <w:bCs/>
          <w:szCs w:val="20"/>
        </w:rPr>
        <w:t>K</w:t>
      </w:r>
      <w:r w:rsidRPr="00BB314F">
        <w:rPr>
          <w:rFonts w:cs="Segoe UI"/>
          <w:bCs/>
          <w:szCs w:val="20"/>
        </w:rPr>
        <w:t>apitálové výdavky</w:t>
      </w:r>
      <w:r>
        <w:rPr>
          <w:rFonts w:cs="Segoe UI"/>
          <w:bCs/>
          <w:szCs w:val="20"/>
        </w:rPr>
        <w:t>,</w:t>
      </w:r>
      <w:r w:rsidRPr="00BB314F">
        <w:rPr>
          <w:rFonts w:cs="Segoe UI"/>
          <w:bCs/>
          <w:szCs w:val="20"/>
        </w:rPr>
        <w:t xml:space="preserve"> zamerané na dlhodobé investície do majetku, rezerv alebo podpory projektov</w:t>
      </w:r>
      <w:r>
        <w:rPr>
          <w:rFonts w:cs="Segoe UI"/>
          <w:bCs/>
          <w:szCs w:val="20"/>
        </w:rPr>
        <w:t>,</w:t>
      </w:r>
      <w:r w:rsidRPr="00BB314F">
        <w:rPr>
          <w:rFonts w:cs="Segoe UI"/>
          <w:bCs/>
          <w:szCs w:val="20"/>
        </w:rPr>
        <w:t xml:space="preserve"> z nich tvoria iba 9,4 %</w:t>
      </w:r>
      <w:r w:rsidRPr="00A31D2E">
        <w:rPr>
          <w:rFonts w:cs="Segoe UI"/>
          <w:szCs w:val="20"/>
        </w:rPr>
        <w:t xml:space="preserve">. Najväčší podiel výdavkov dlhodobo </w:t>
      </w:r>
      <w:r>
        <w:rPr>
          <w:rFonts w:cs="Segoe UI"/>
          <w:szCs w:val="20"/>
        </w:rPr>
        <w:t>predstavujú</w:t>
      </w:r>
      <w:r w:rsidRPr="00A31D2E">
        <w:rPr>
          <w:rFonts w:cs="Segoe UI"/>
          <w:szCs w:val="20"/>
        </w:rPr>
        <w:t xml:space="preserve"> sociálne transfery </w:t>
      </w:r>
      <w:r w:rsidRPr="00DD610C">
        <w:rPr>
          <w:rFonts w:cs="Segoe UI"/>
          <w:szCs w:val="20"/>
        </w:rPr>
        <w:t>(41,6 %)</w:t>
      </w:r>
      <w:r w:rsidRPr="00A31D2E">
        <w:rPr>
          <w:rFonts w:cs="Segoe UI"/>
          <w:szCs w:val="20"/>
        </w:rPr>
        <w:t xml:space="preserve"> a </w:t>
      </w:r>
      <w:r w:rsidRPr="00BB314F">
        <w:rPr>
          <w:rFonts w:cs="Segoe UI"/>
          <w:bCs/>
          <w:szCs w:val="20"/>
        </w:rPr>
        <w:t xml:space="preserve">kompenzácie na mzdy zamestnancov </w:t>
      </w:r>
      <w:r>
        <w:rPr>
          <w:rFonts w:cs="Segoe UI"/>
          <w:bCs/>
          <w:szCs w:val="20"/>
        </w:rPr>
        <w:t>VS</w:t>
      </w:r>
      <w:r w:rsidRPr="00BB314F">
        <w:rPr>
          <w:rFonts w:cs="Segoe UI"/>
          <w:bCs/>
          <w:szCs w:val="20"/>
        </w:rPr>
        <w:t xml:space="preserve"> </w:t>
      </w:r>
      <w:r w:rsidRPr="00A31D2E">
        <w:rPr>
          <w:rFonts w:cs="Segoe UI"/>
          <w:szCs w:val="20"/>
        </w:rPr>
        <w:t>(23,6 % z celkových výdavkov)</w:t>
      </w:r>
      <w:r w:rsidRPr="00DD610C">
        <w:rPr>
          <w:rFonts w:cs="Segoe UI"/>
          <w:szCs w:val="20"/>
        </w:rPr>
        <w:t>, ktoré</w:t>
      </w:r>
      <w:r w:rsidRPr="00BB314F">
        <w:rPr>
          <w:rFonts w:cs="Segoe UI"/>
          <w:bCs/>
          <w:szCs w:val="20"/>
        </w:rPr>
        <w:t xml:space="preserve"> napriek pokračujúcej konsolidácii medziroč</w:t>
      </w:r>
      <w:r>
        <w:rPr>
          <w:rFonts w:cs="Segoe UI"/>
          <w:bCs/>
          <w:szCs w:val="20"/>
        </w:rPr>
        <w:t>ne</w:t>
      </w:r>
      <w:r w:rsidRPr="00BB314F">
        <w:rPr>
          <w:rFonts w:cs="Segoe UI"/>
          <w:bCs/>
          <w:szCs w:val="20"/>
        </w:rPr>
        <w:t xml:space="preserve"> </w:t>
      </w:r>
      <w:r>
        <w:rPr>
          <w:rFonts w:cs="Segoe UI"/>
          <w:bCs/>
          <w:szCs w:val="20"/>
        </w:rPr>
        <w:t>vz</w:t>
      </w:r>
      <w:r w:rsidRPr="00BB314F">
        <w:rPr>
          <w:rFonts w:cs="Segoe UI"/>
          <w:bCs/>
          <w:szCs w:val="20"/>
        </w:rPr>
        <w:t>r</w:t>
      </w:r>
      <w:r>
        <w:rPr>
          <w:rFonts w:cs="Segoe UI"/>
          <w:bCs/>
          <w:szCs w:val="20"/>
        </w:rPr>
        <w:t>á</w:t>
      </w:r>
      <w:r w:rsidRPr="00BB314F">
        <w:rPr>
          <w:rFonts w:cs="Segoe UI"/>
          <w:bCs/>
          <w:szCs w:val="20"/>
        </w:rPr>
        <w:t>st</w:t>
      </w:r>
      <w:r>
        <w:rPr>
          <w:rFonts w:cs="Segoe UI"/>
          <w:bCs/>
          <w:szCs w:val="20"/>
        </w:rPr>
        <w:t>li o</w:t>
      </w:r>
      <w:r w:rsidRPr="00BB314F">
        <w:rPr>
          <w:rFonts w:cs="Segoe UI"/>
          <w:bCs/>
          <w:szCs w:val="20"/>
        </w:rPr>
        <w:t xml:space="preserve"> 4,5 %.</w:t>
      </w:r>
      <w:r w:rsidRPr="00A31D2E">
        <w:rPr>
          <w:rFonts w:cs="Segoe UI"/>
          <w:szCs w:val="20"/>
        </w:rPr>
        <w:t xml:space="preserve"> Rozpočet </w:t>
      </w:r>
      <w:r>
        <w:rPr>
          <w:rFonts w:cs="Segoe UI"/>
          <w:szCs w:val="20"/>
        </w:rPr>
        <w:t xml:space="preserve">VS </w:t>
      </w:r>
      <w:r w:rsidRPr="00A31D2E">
        <w:rPr>
          <w:rFonts w:cs="Segoe UI"/>
          <w:szCs w:val="20"/>
        </w:rPr>
        <w:t>je tak čoraz viac zaťažený fixnými sociálnymi výdavkami</w:t>
      </w:r>
      <w:r>
        <w:rPr>
          <w:rFonts w:cs="Segoe UI"/>
          <w:szCs w:val="20"/>
        </w:rPr>
        <w:t>, ktoré obmedzujú priestor na reformné a rozvojové opatrenia</w:t>
      </w:r>
      <w:r w:rsidRPr="00A31D2E">
        <w:rPr>
          <w:rFonts w:cs="Segoe UI"/>
          <w:szCs w:val="20"/>
        </w:rPr>
        <w:t>.</w:t>
      </w:r>
    </w:p>
    <w:p w14:paraId="42573DDE" w14:textId="77777777" w:rsidR="00847B9D" w:rsidRDefault="00847B9D" w:rsidP="00FD4639">
      <w:pPr>
        <w:rPr>
          <w:rFonts w:cs="Segoe UI"/>
          <w:szCs w:val="20"/>
        </w:rPr>
      </w:pPr>
    </w:p>
    <w:p w14:paraId="51E57A39" w14:textId="77777777" w:rsidR="00847B9D" w:rsidRDefault="00847B9D" w:rsidP="00FD4639">
      <w:pPr>
        <w:rPr>
          <w:rFonts w:cs="Segoe UI"/>
          <w:szCs w:val="20"/>
        </w:rPr>
      </w:pPr>
    </w:p>
    <w:p w14:paraId="5EFD9382" w14:textId="77777777" w:rsidR="00847B9D" w:rsidRDefault="00847B9D" w:rsidP="00FD4639">
      <w:pPr>
        <w:rPr>
          <w:rFonts w:cs="Segoe UI"/>
          <w:szCs w:val="20"/>
        </w:rPr>
      </w:pPr>
    </w:p>
    <w:p w14:paraId="3F07F06D" w14:textId="77777777" w:rsidR="00847B9D" w:rsidRPr="00BB314F" w:rsidRDefault="00847B9D" w:rsidP="00FD4639">
      <w:pPr>
        <w:rPr>
          <w:rFonts w:cs="Segoe UI"/>
          <w:bCs/>
          <w:szCs w:val="20"/>
        </w:rPr>
      </w:pPr>
    </w:p>
    <w:p w14:paraId="6D7051D7" w14:textId="77777777" w:rsidR="00933176" w:rsidRDefault="00933176" w:rsidP="00933176">
      <w:pPr>
        <w:spacing w:after="0"/>
        <w:rPr>
          <w:b/>
          <w:iCs/>
          <w:color w:val="314364"/>
          <w:szCs w:val="18"/>
        </w:rPr>
      </w:pPr>
      <w:r>
        <w:rPr>
          <w:b/>
          <w:iCs/>
          <w:color w:val="314364"/>
          <w:szCs w:val="18"/>
        </w:rPr>
        <w:t xml:space="preserve">Graf 14: </w:t>
      </w:r>
      <w:r w:rsidRPr="003C2D95">
        <w:rPr>
          <w:b/>
          <w:iCs/>
          <w:color w:val="314364"/>
          <w:szCs w:val="18"/>
        </w:rPr>
        <w:t xml:space="preserve">Výdavky verejnej správy </w:t>
      </w:r>
      <w:r>
        <w:rPr>
          <w:b/>
          <w:iCs/>
          <w:color w:val="314364"/>
          <w:szCs w:val="18"/>
        </w:rPr>
        <w:t xml:space="preserve">podľa metodiky ESA </w:t>
      </w:r>
      <w:r w:rsidRPr="003C2D95">
        <w:rPr>
          <w:b/>
          <w:iCs/>
          <w:color w:val="314364"/>
          <w:szCs w:val="18"/>
        </w:rPr>
        <w:t>(v mil. eur)</w:t>
      </w:r>
    </w:p>
    <w:tbl>
      <w:tblPr>
        <w:tblStyle w:val="Mriekatabuky"/>
        <w:tblW w:w="0" w:type="auto"/>
        <w:tblBorders>
          <w:top w:val="single" w:sz="4" w:space="0" w:color="314364" w:themeColor="text2"/>
          <w:left w:val="none" w:sz="0" w:space="0" w:color="auto"/>
          <w:bottom w:val="single" w:sz="4" w:space="0" w:color="314364" w:themeColor="text2"/>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14:paraId="757CDFEE" w14:textId="77777777" w:rsidTr="00BB314F">
        <w:trPr>
          <w:trHeight w:val="3118"/>
        </w:trPr>
        <w:tc>
          <w:tcPr>
            <w:tcW w:w="9072" w:type="dxa"/>
          </w:tcPr>
          <w:p w14:paraId="09008F0F" w14:textId="77777777" w:rsidR="00933176" w:rsidRPr="003C2D95" w:rsidRDefault="00933176" w:rsidP="00BB314F">
            <w:pPr>
              <w:tabs>
                <w:tab w:val="left" w:pos="6645"/>
              </w:tabs>
              <w:spacing w:after="0" w:line="240" w:lineRule="auto"/>
              <w:rPr>
                <w:rFonts w:cs="Segoe UI"/>
                <w:b/>
                <w:bCs/>
                <w:sz w:val="12"/>
                <w:szCs w:val="12"/>
              </w:rPr>
            </w:pPr>
            <w:r>
              <w:rPr>
                <w:noProof/>
                <w:lang w:eastAsia="sk-SK"/>
                <w14:ligatures w14:val="standardContextual"/>
              </w:rPr>
              <w:drawing>
                <wp:inline distT="0" distB="0" distL="0" distR="0" wp14:anchorId="0176F5DB" wp14:editId="4BC290C0">
                  <wp:extent cx="5705475" cy="1980000"/>
                  <wp:effectExtent l="0" t="0" r="0" b="0"/>
                  <wp:docPr id="1215688237" name="Graf 1">
                    <a:extLst xmlns:a="http://schemas.openxmlformats.org/drawingml/2006/main">
                      <a:ext uri="{FF2B5EF4-FFF2-40B4-BE49-F238E27FC236}">
                        <a16:creationId xmlns:a16="http://schemas.microsoft.com/office/drawing/2014/main" id="{030B3723-91FF-4453-9C63-B6241F193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p w14:paraId="52A7911D" w14:textId="77777777" w:rsidR="00933176" w:rsidRDefault="00933176" w:rsidP="00933176">
      <w:pPr>
        <w:pStyle w:val="Zdroj"/>
      </w:pPr>
      <w:r w:rsidRPr="006647A7">
        <w:t xml:space="preserve">Zdroj: </w:t>
      </w:r>
      <w:r>
        <w:t>MF SR.</w:t>
      </w:r>
    </w:p>
    <w:p w14:paraId="32928607" w14:textId="731D861F" w:rsidR="00A31055" w:rsidRDefault="00A31055" w:rsidP="00A31055">
      <w:pPr>
        <w:rPr>
          <w:rFonts w:cs="Segoe UI"/>
          <w:szCs w:val="20"/>
        </w:rPr>
      </w:pPr>
      <w:r w:rsidRPr="00633F5C">
        <w:rPr>
          <w:rFonts w:cs="Segoe UI"/>
          <w:b/>
          <w:bCs/>
          <w:szCs w:val="20"/>
        </w:rPr>
        <w:t>Zvýšené výdavky VS sú spôsobené aj opatreniami vlády a parlamentu v aktuálnom volebnom období</w:t>
      </w:r>
      <w:r>
        <w:rPr>
          <w:rFonts w:cs="Segoe UI"/>
          <w:szCs w:val="20"/>
        </w:rPr>
        <w:t>. Ide najmä</w:t>
      </w:r>
      <w:r w:rsidRPr="007F1614">
        <w:rPr>
          <w:rFonts w:cs="Segoe UI"/>
          <w:szCs w:val="20"/>
        </w:rPr>
        <w:t xml:space="preserve"> o výrazné zvýšenie 13.</w:t>
      </w:r>
      <w:r>
        <w:rPr>
          <w:rFonts w:cs="Segoe UI"/>
          <w:szCs w:val="20"/>
        </w:rPr>
        <w:t xml:space="preserve"> </w:t>
      </w:r>
      <w:r w:rsidRPr="007F1614">
        <w:rPr>
          <w:rFonts w:cs="Segoe UI"/>
          <w:szCs w:val="20"/>
        </w:rPr>
        <w:t>dôchodkov,</w:t>
      </w:r>
      <w:r w:rsidR="002D712E">
        <w:rPr>
          <w:rFonts w:cs="Segoe UI"/>
          <w:szCs w:val="20"/>
        </w:rPr>
        <w:t xml:space="preserve"> energopomoc,</w:t>
      </w:r>
      <w:r w:rsidRPr="007F1614">
        <w:rPr>
          <w:rFonts w:cs="Segoe UI"/>
          <w:szCs w:val="20"/>
        </w:rPr>
        <w:t xml:space="preserve"> </w:t>
      </w:r>
      <w:r>
        <w:rPr>
          <w:rFonts w:cs="Segoe UI"/>
          <w:szCs w:val="20"/>
        </w:rPr>
        <w:t>vznik</w:t>
      </w:r>
      <w:r w:rsidRPr="007F1614">
        <w:rPr>
          <w:rFonts w:cs="Segoe UI"/>
          <w:szCs w:val="20"/>
        </w:rPr>
        <w:t xml:space="preserve"> nového </w:t>
      </w:r>
      <w:r>
        <w:rPr>
          <w:rFonts w:cs="Segoe UI"/>
          <w:szCs w:val="20"/>
        </w:rPr>
        <w:t xml:space="preserve">MCRŠ SR (rozpočet na rok 2026 vo výške </w:t>
      </w:r>
      <w:r w:rsidRPr="00624467">
        <w:rPr>
          <w:rFonts w:cs="Segoe UI"/>
          <w:szCs w:val="20"/>
        </w:rPr>
        <w:t xml:space="preserve">227,7 mil. eur) </w:t>
      </w:r>
      <w:r>
        <w:rPr>
          <w:rFonts w:cs="Segoe UI"/>
          <w:szCs w:val="20"/>
        </w:rPr>
        <w:t xml:space="preserve">a nového ÚPVPOZE (rozpočet </w:t>
      </w:r>
      <w:r w:rsidRPr="00624467">
        <w:rPr>
          <w:rFonts w:cs="Segoe UI"/>
          <w:szCs w:val="20"/>
        </w:rPr>
        <w:t>na r</w:t>
      </w:r>
      <w:r>
        <w:rPr>
          <w:rFonts w:cs="Segoe UI"/>
          <w:szCs w:val="20"/>
        </w:rPr>
        <w:t>ok</w:t>
      </w:r>
      <w:r w:rsidRPr="00624467">
        <w:rPr>
          <w:rFonts w:cs="Segoe UI"/>
          <w:szCs w:val="20"/>
        </w:rPr>
        <w:t xml:space="preserve"> 2026 </w:t>
      </w:r>
      <w:r>
        <w:rPr>
          <w:rFonts w:cs="Segoe UI"/>
          <w:szCs w:val="20"/>
        </w:rPr>
        <w:t>vo výške 258,4 mil. eur</w:t>
      </w:r>
      <w:r w:rsidRPr="00624467">
        <w:rPr>
          <w:rFonts w:cs="Segoe UI"/>
          <w:szCs w:val="20"/>
        </w:rPr>
        <w:t xml:space="preserve">). </w:t>
      </w:r>
      <w:r w:rsidRPr="00464AEE">
        <w:rPr>
          <w:rFonts w:cs="Segoe UI"/>
          <w:szCs w:val="20"/>
        </w:rPr>
        <w:t xml:space="preserve">V raste pokračujú aj výdavky na tovary a služby. </w:t>
      </w:r>
      <w:r w:rsidR="00D36A7B">
        <w:rPr>
          <w:rFonts w:cs="Segoe UI"/>
          <w:szCs w:val="20"/>
        </w:rPr>
        <w:t>S</w:t>
      </w:r>
      <w:r w:rsidRPr="00464AEE">
        <w:rPr>
          <w:rFonts w:cs="Segoe UI"/>
          <w:szCs w:val="20"/>
        </w:rPr>
        <w:t>potreb</w:t>
      </w:r>
      <w:r>
        <w:rPr>
          <w:rFonts w:cs="Segoe UI"/>
          <w:szCs w:val="20"/>
        </w:rPr>
        <w:t>a</w:t>
      </w:r>
      <w:r w:rsidRPr="00464AEE">
        <w:rPr>
          <w:rFonts w:cs="Segoe UI"/>
          <w:szCs w:val="20"/>
        </w:rPr>
        <w:t xml:space="preserve"> </w:t>
      </w:r>
      <w:r>
        <w:rPr>
          <w:rFonts w:cs="Segoe UI"/>
          <w:szCs w:val="20"/>
        </w:rPr>
        <w:t xml:space="preserve">VS </w:t>
      </w:r>
      <w:r w:rsidRPr="00464AEE">
        <w:rPr>
          <w:rFonts w:cs="Segoe UI"/>
          <w:szCs w:val="20"/>
        </w:rPr>
        <w:t xml:space="preserve">v prvom polroku 2025 </w:t>
      </w:r>
      <w:r>
        <w:rPr>
          <w:rFonts w:cs="Segoe UI"/>
          <w:szCs w:val="20"/>
        </w:rPr>
        <w:t xml:space="preserve">vzrástla </w:t>
      </w:r>
      <w:r w:rsidRPr="00464AEE">
        <w:rPr>
          <w:rFonts w:cs="Segoe UI"/>
          <w:szCs w:val="20"/>
        </w:rPr>
        <w:t xml:space="preserve">o viac ako 8 %, čo nenaznačuje </w:t>
      </w:r>
      <w:r>
        <w:rPr>
          <w:rFonts w:cs="Segoe UI"/>
          <w:szCs w:val="20"/>
        </w:rPr>
        <w:t xml:space="preserve">reálne </w:t>
      </w:r>
      <w:r w:rsidRPr="00464AEE">
        <w:rPr>
          <w:rFonts w:cs="Segoe UI"/>
          <w:szCs w:val="20"/>
        </w:rPr>
        <w:t>konsolidačné úsilie na  výdavkovej strane.</w:t>
      </w:r>
      <w:r>
        <w:rPr>
          <w:rStyle w:val="Odkaznapoznmkupodiarou"/>
          <w:rFonts w:cs="Segoe UI"/>
          <w:szCs w:val="20"/>
        </w:rPr>
        <w:footnoteReference w:id="21"/>
      </w:r>
      <w:r w:rsidRPr="00464AEE">
        <w:rPr>
          <w:rFonts w:cs="Segoe UI"/>
          <w:szCs w:val="20"/>
        </w:rPr>
        <w:t xml:space="preserve"> </w:t>
      </w:r>
    </w:p>
    <w:p w14:paraId="28AC758E" w14:textId="1649B4A3" w:rsidR="00A31055" w:rsidRDefault="00A31055" w:rsidP="00A31055">
      <w:pPr>
        <w:rPr>
          <w:rFonts w:cs="Segoe UI"/>
          <w:szCs w:val="20"/>
        </w:rPr>
      </w:pPr>
      <w:r w:rsidRPr="00BB314F">
        <w:rPr>
          <w:rFonts w:cs="Segoe UI"/>
          <w:b/>
          <w:szCs w:val="20"/>
        </w:rPr>
        <w:t xml:space="preserve">Z hľadiska zamestnanosti je NRVS na rok 2026 zostavený s predpokladom, že </w:t>
      </w:r>
      <w:r w:rsidRPr="00DD610C">
        <w:rPr>
          <w:rFonts w:cs="Segoe UI"/>
          <w:b/>
          <w:bCs/>
          <w:szCs w:val="20"/>
        </w:rPr>
        <w:t>počet zamestnan</w:t>
      </w:r>
      <w:r w:rsidRPr="00B023AA">
        <w:rPr>
          <w:rFonts w:cs="Segoe UI"/>
          <w:b/>
          <w:bCs/>
          <w:szCs w:val="20"/>
        </w:rPr>
        <w:t>cov vo VS medziročne vzrastie o 2 786 osôb</w:t>
      </w:r>
      <w:r w:rsidR="00602CB9">
        <w:rPr>
          <w:rFonts w:cs="Segoe UI"/>
          <w:b/>
          <w:bCs/>
          <w:szCs w:val="20"/>
        </w:rPr>
        <w:t xml:space="preserve"> </w:t>
      </w:r>
      <w:r w:rsidR="00602CB9">
        <w:rPr>
          <w:rFonts w:cs="Segoe UI"/>
          <w:szCs w:val="20"/>
        </w:rPr>
        <w:t>(v porovnaní s rozpočtom na 2025)</w:t>
      </w:r>
      <w:r w:rsidRPr="00B023AA">
        <w:rPr>
          <w:rFonts w:cs="Segoe UI"/>
          <w:b/>
          <w:bCs/>
          <w:szCs w:val="20"/>
        </w:rPr>
        <w:t xml:space="preserve">, pričom osobné výdavky sa zvýšia o 4,3 % </w:t>
      </w:r>
      <w:r w:rsidRPr="00BB314F">
        <w:rPr>
          <w:rFonts w:cs="Segoe UI"/>
          <w:bCs/>
          <w:szCs w:val="20"/>
        </w:rPr>
        <w:t>(</w:t>
      </w:r>
      <w:r w:rsidR="00602CB9">
        <w:rPr>
          <w:rFonts w:cs="Segoe UI"/>
          <w:bCs/>
          <w:szCs w:val="20"/>
        </w:rPr>
        <w:t xml:space="preserve">o </w:t>
      </w:r>
      <w:r w:rsidRPr="00BB314F">
        <w:rPr>
          <w:rFonts w:cs="Segoe UI"/>
          <w:bCs/>
          <w:szCs w:val="20"/>
        </w:rPr>
        <w:t>595 mil. eur, graf 1</w:t>
      </w:r>
      <w:r>
        <w:rPr>
          <w:rFonts w:cs="Segoe UI"/>
          <w:bCs/>
          <w:szCs w:val="20"/>
        </w:rPr>
        <w:t>5</w:t>
      </w:r>
      <w:r w:rsidRPr="00BB314F">
        <w:rPr>
          <w:rFonts w:cs="Segoe UI"/>
          <w:bCs/>
          <w:szCs w:val="20"/>
        </w:rPr>
        <w:t>)</w:t>
      </w:r>
      <w:r w:rsidRPr="00BB314F">
        <w:rPr>
          <w:rFonts w:cs="Segoe UI"/>
          <w:b/>
          <w:szCs w:val="20"/>
        </w:rPr>
        <w:t>.</w:t>
      </w:r>
      <w:r w:rsidRPr="00E77E8E">
        <w:rPr>
          <w:rFonts w:cs="Segoe UI"/>
          <w:szCs w:val="20"/>
        </w:rPr>
        <w:t xml:space="preserve"> </w:t>
      </w:r>
      <w:r>
        <w:rPr>
          <w:rFonts w:cs="Segoe UI"/>
          <w:szCs w:val="20"/>
        </w:rPr>
        <w:t>V ústrednej štátnej správe je započítané aj zníženie limitu zamestnancov v kapitole MV SR o 1 120 osôb</w:t>
      </w:r>
      <w:r>
        <w:rPr>
          <w:rStyle w:val="Odkaznapoznmkupodiarou"/>
          <w:rFonts w:cs="Segoe UI"/>
          <w:szCs w:val="20"/>
        </w:rPr>
        <w:footnoteReference w:id="22"/>
      </w:r>
      <w:r>
        <w:rPr>
          <w:rFonts w:cs="Segoe UI"/>
          <w:szCs w:val="20"/>
        </w:rPr>
        <w:t>, avšak nejde o reálne zníženie počtu policajtov, len o technické zosúladenie s uznesením vlády. Najväčší rast počtu zamestnancov je v kapitole MŠVVM SR (390 osôb) a MPSVR SR (300 osôb)</w:t>
      </w:r>
      <w:r w:rsidR="002D712E">
        <w:rPr>
          <w:rStyle w:val="Odkaznapoznmkupodiarou"/>
          <w:rFonts w:cs="Segoe UI"/>
          <w:szCs w:val="20"/>
        </w:rPr>
        <w:footnoteReference w:id="23"/>
      </w:r>
      <w:r>
        <w:rPr>
          <w:rFonts w:cs="Segoe UI"/>
          <w:szCs w:val="20"/>
        </w:rPr>
        <w:t>. Zmena limitu počtu zamestnancov v jednotlivých kapitolách ŠR je uvedená v </w:t>
      </w:r>
      <w:r w:rsidRPr="004C7E0F">
        <w:rPr>
          <w:rFonts w:cs="Segoe UI"/>
          <w:szCs w:val="20"/>
        </w:rPr>
        <w:t>tabuľke</w:t>
      </w:r>
      <w:r>
        <w:rPr>
          <w:rFonts w:cs="Segoe UI"/>
          <w:szCs w:val="20"/>
        </w:rPr>
        <w:t xml:space="preserve"> </w:t>
      </w:r>
      <w:r w:rsidR="004C7E0F">
        <w:rPr>
          <w:rFonts w:cs="Segoe UI"/>
          <w:szCs w:val="20"/>
        </w:rPr>
        <w:t>1</w:t>
      </w:r>
      <w:r w:rsidR="0032471C">
        <w:rPr>
          <w:rFonts w:cs="Segoe UI"/>
          <w:szCs w:val="20"/>
        </w:rPr>
        <w:t>5</w:t>
      </w:r>
      <w:r w:rsidR="004C7E0F">
        <w:rPr>
          <w:rFonts w:cs="Segoe UI"/>
          <w:szCs w:val="20"/>
        </w:rPr>
        <w:t xml:space="preserve"> </w:t>
      </w:r>
      <w:r>
        <w:rPr>
          <w:rFonts w:cs="Segoe UI"/>
          <w:szCs w:val="20"/>
        </w:rPr>
        <w:t>v prílohe.</w:t>
      </w:r>
    </w:p>
    <w:p w14:paraId="5FC96C9C" w14:textId="77777777" w:rsidR="00933176" w:rsidRDefault="00933176" w:rsidP="00933176">
      <w:pPr>
        <w:spacing w:after="0"/>
        <w:rPr>
          <w:b/>
          <w:iCs/>
          <w:color w:val="314364"/>
          <w:szCs w:val="18"/>
        </w:rPr>
      </w:pPr>
      <w:r>
        <w:rPr>
          <w:b/>
          <w:iCs/>
          <w:color w:val="314364"/>
          <w:szCs w:val="18"/>
        </w:rPr>
        <w:t xml:space="preserve">Graf 15: Zamestnanosť vo VS a osobné výdavky zamestnancov VS (v počte osôb a tis. eur) </w:t>
      </w:r>
    </w:p>
    <w:tbl>
      <w:tblPr>
        <w:tblStyle w:val="Mriekatabuky"/>
        <w:tblW w:w="0" w:type="auto"/>
        <w:tblBorders>
          <w:top w:val="single" w:sz="4" w:space="0" w:color="314364" w:themeColor="text2"/>
          <w:left w:val="none" w:sz="0" w:space="0" w:color="auto"/>
          <w:bottom w:val="single" w:sz="4" w:space="0" w:color="314364" w:themeColor="text2"/>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14:paraId="599B8529" w14:textId="77777777" w:rsidTr="00BB314F">
        <w:trPr>
          <w:trHeight w:val="2835"/>
        </w:trPr>
        <w:tc>
          <w:tcPr>
            <w:tcW w:w="9070" w:type="dxa"/>
          </w:tcPr>
          <w:p w14:paraId="4D589010" w14:textId="77777777" w:rsidR="00933176" w:rsidRPr="003C2D95" w:rsidRDefault="00933176" w:rsidP="00BB314F">
            <w:pPr>
              <w:tabs>
                <w:tab w:val="left" w:pos="6645"/>
              </w:tabs>
              <w:spacing w:after="0" w:line="240" w:lineRule="auto"/>
              <w:rPr>
                <w:rFonts w:cs="Segoe UI"/>
                <w:b/>
                <w:bCs/>
                <w:sz w:val="12"/>
                <w:szCs w:val="12"/>
              </w:rPr>
            </w:pPr>
            <w:r>
              <w:rPr>
                <w:noProof/>
                <w:lang w:eastAsia="sk-SK"/>
              </w:rPr>
              <w:drawing>
                <wp:inline distT="0" distB="0" distL="0" distR="0" wp14:anchorId="2C1DB94E" wp14:editId="0B5AA57A">
                  <wp:extent cx="5760000" cy="1800000"/>
                  <wp:effectExtent l="0" t="0" r="0" b="0"/>
                  <wp:docPr id="25" name="Graf 25">
                    <a:extLst xmlns:a="http://schemas.openxmlformats.org/drawingml/2006/main">
                      <a:ext uri="{FF2B5EF4-FFF2-40B4-BE49-F238E27FC236}">
                        <a16:creationId xmlns:a16="http://schemas.microsoft.com/office/drawing/2014/main" id="{FC8A665C-53E3-4706-87A7-032686CBA6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14:paraId="3E505D72" w14:textId="77777777" w:rsidR="00933176" w:rsidRDefault="00933176" w:rsidP="00933176">
      <w:pPr>
        <w:pStyle w:val="Zdroj"/>
      </w:pPr>
      <w:r w:rsidRPr="006647A7">
        <w:t xml:space="preserve">Zdroj: </w:t>
      </w:r>
      <w:r>
        <w:t>MF SR.</w:t>
      </w:r>
    </w:p>
    <w:p w14:paraId="0A5E18D5" w14:textId="6CF566BB" w:rsidR="00A31055" w:rsidRDefault="00A31055" w:rsidP="00A31055">
      <w:pPr>
        <w:rPr>
          <w:b/>
          <w:iCs/>
          <w:color w:val="314364"/>
          <w:szCs w:val="18"/>
        </w:rPr>
      </w:pPr>
      <w:r w:rsidRPr="00BB314F">
        <w:rPr>
          <w:rFonts w:cs="Segoe UI"/>
          <w:b/>
          <w:szCs w:val="20"/>
        </w:rPr>
        <w:t>Napriek deklarovanému konsolidačnému úsiliu vlády pokračuje rýchlejší</w:t>
      </w:r>
      <w:r w:rsidRPr="00F04C8B">
        <w:rPr>
          <w:rFonts w:cs="Segoe UI"/>
          <w:b/>
          <w:bCs/>
          <w:szCs w:val="20"/>
        </w:rPr>
        <w:t xml:space="preserve"> rast miezd vo verejnom sektore v porovnaní so súkromným sektorom</w:t>
      </w:r>
      <w:r>
        <w:rPr>
          <w:rFonts w:cs="Segoe UI"/>
          <w:b/>
          <w:bCs/>
          <w:szCs w:val="20"/>
        </w:rPr>
        <w:t>.</w:t>
      </w:r>
      <w:r>
        <w:rPr>
          <w:rFonts w:cs="Segoe UI"/>
          <w:szCs w:val="20"/>
        </w:rPr>
        <w:t xml:space="preserve"> Za 2. štvrťrok 2025 bol rast miezd vo VS vyšší ako v hospodárstve SR, pričom p</w:t>
      </w:r>
      <w:r w:rsidRPr="00785788">
        <w:rPr>
          <w:rFonts w:cs="Segoe UI"/>
          <w:szCs w:val="20"/>
        </w:rPr>
        <w:t xml:space="preserve">riemerná mesačná nominálna mzda </w:t>
      </w:r>
      <w:r>
        <w:rPr>
          <w:rFonts w:cs="Segoe UI"/>
          <w:szCs w:val="20"/>
        </w:rPr>
        <w:t xml:space="preserve">v hospodárstve dosiahla 69,4 % </w:t>
      </w:r>
      <w:r>
        <w:rPr>
          <w:rFonts w:cs="Segoe UI"/>
          <w:szCs w:val="20"/>
        </w:rPr>
        <w:lastRenderedPageBreak/>
        <w:t>priemernej mzdy vo VS (graf 16). Tento vývoj potvrdzuje, že vláda zatiaľ nepristúpila k systémovým opatreniam na znižovanie počtu zamestnancov a ani k racionalizácii mzdových výdavkov, ktoré sú kľúčové pre zlepšenie efektívnosti VS a dlhodobú udržateľnosť verejných financií.</w:t>
      </w:r>
    </w:p>
    <w:p w14:paraId="736E0B33" w14:textId="77777777" w:rsidR="00933176" w:rsidRDefault="00933176" w:rsidP="00933176">
      <w:pPr>
        <w:spacing w:after="0"/>
        <w:rPr>
          <w:b/>
          <w:iCs/>
          <w:color w:val="314364"/>
          <w:szCs w:val="18"/>
        </w:rPr>
      </w:pPr>
      <w:r>
        <w:rPr>
          <w:b/>
          <w:iCs/>
          <w:color w:val="314364"/>
          <w:szCs w:val="18"/>
        </w:rPr>
        <w:t xml:space="preserve">Graf 16: </w:t>
      </w:r>
      <w:r w:rsidRPr="00785788">
        <w:rPr>
          <w:b/>
          <w:iCs/>
          <w:color w:val="314364"/>
          <w:szCs w:val="18"/>
        </w:rPr>
        <w:t xml:space="preserve">Priemerná nominálna mesačná </w:t>
      </w:r>
      <w:r>
        <w:rPr>
          <w:b/>
          <w:iCs/>
          <w:color w:val="314364"/>
          <w:szCs w:val="18"/>
        </w:rPr>
        <w:t>mzda vo verejnej správe a hospodárstve SR (v eurách)</w:t>
      </w:r>
    </w:p>
    <w:tbl>
      <w:tblPr>
        <w:tblStyle w:val="Mriekatabuky"/>
        <w:tblW w:w="9071" w:type="dxa"/>
        <w:tblBorders>
          <w:top w:val="single" w:sz="4" w:space="0" w:color="314364" w:themeColor="text2"/>
          <w:left w:val="none" w:sz="0" w:space="0" w:color="auto"/>
          <w:bottom w:val="single" w:sz="4" w:space="0" w:color="314364" w:themeColor="text2"/>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9071"/>
      </w:tblGrid>
      <w:tr w:rsidR="00933176" w14:paraId="13B76F04" w14:textId="77777777" w:rsidTr="00BB314F">
        <w:trPr>
          <w:trHeight w:val="2835"/>
        </w:trPr>
        <w:tc>
          <w:tcPr>
            <w:tcW w:w="9071" w:type="dxa"/>
          </w:tcPr>
          <w:p w14:paraId="5FB090FF" w14:textId="77777777" w:rsidR="00933176" w:rsidRPr="00F814E0" w:rsidRDefault="00933176" w:rsidP="00BB314F">
            <w:pPr>
              <w:spacing w:after="0"/>
              <w:rPr>
                <w:rFonts w:cs="Segoe UI"/>
                <w:b/>
                <w:iCs/>
                <w:color w:val="314364"/>
                <w:sz w:val="16"/>
                <w:szCs w:val="16"/>
              </w:rPr>
            </w:pPr>
            <w:r>
              <w:rPr>
                <w:noProof/>
                <w:lang w:eastAsia="sk-SK"/>
                <w14:ligatures w14:val="standardContextual"/>
              </w:rPr>
              <w:drawing>
                <wp:inline distT="0" distB="0" distL="0" distR="0" wp14:anchorId="216B9D74" wp14:editId="38843565">
                  <wp:extent cx="5676900" cy="1800000"/>
                  <wp:effectExtent l="0" t="0" r="0" b="0"/>
                  <wp:docPr id="1663129210" name="Graf 1">
                    <a:extLst xmlns:a="http://schemas.openxmlformats.org/drawingml/2006/main">
                      <a:ext uri="{FF2B5EF4-FFF2-40B4-BE49-F238E27FC236}">
                        <a16:creationId xmlns:a16="http://schemas.microsoft.com/office/drawing/2014/main" id="{86E52CB6-7146-B40A-47A4-D276FAB05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7F2AA0E6" w14:textId="77777777" w:rsidR="00933176" w:rsidRPr="00A31055" w:rsidRDefault="00933176" w:rsidP="00933176">
      <w:pPr>
        <w:pStyle w:val="Zdroj"/>
      </w:pPr>
      <w:r w:rsidRPr="006647A7">
        <w:t xml:space="preserve">Zdroj: </w:t>
      </w:r>
      <w:r>
        <w:t>ŠÚ SR</w:t>
      </w:r>
      <w:r w:rsidRPr="00A31055">
        <w:t>.</w:t>
      </w:r>
    </w:p>
    <w:p w14:paraId="1C9DCA3B" w14:textId="77777777" w:rsidR="0020206E" w:rsidRPr="00633F5C" w:rsidRDefault="0020206E" w:rsidP="0020206E">
      <w:pPr>
        <w:rPr>
          <w:rFonts w:cs="Segoe UI"/>
          <w:b/>
          <w:bCs/>
          <w:color w:val="3C527B" w:themeColor="text2" w:themeTint="E6"/>
          <w:szCs w:val="20"/>
        </w:rPr>
      </w:pPr>
      <w:r w:rsidRPr="00633F5C">
        <w:rPr>
          <w:rFonts w:cs="Segoe UI"/>
          <w:b/>
          <w:bCs/>
          <w:color w:val="3C527B" w:themeColor="text2" w:themeTint="E6"/>
          <w:szCs w:val="20"/>
        </w:rPr>
        <w:t>Výdavky kapitol štátneho rozpočtu</w:t>
      </w:r>
    </w:p>
    <w:p w14:paraId="045EFA03" w14:textId="0DB402FB" w:rsidR="00A31055" w:rsidRDefault="00A31055" w:rsidP="00A31055">
      <w:pPr>
        <w:rPr>
          <w:rFonts w:cs="Segoe UI"/>
          <w:szCs w:val="20"/>
        </w:rPr>
      </w:pPr>
      <w:r w:rsidRPr="00BB314F">
        <w:rPr>
          <w:rFonts w:cs="Segoe UI"/>
          <w:b/>
          <w:szCs w:val="20"/>
        </w:rPr>
        <w:t xml:space="preserve">Celkové výdavky </w:t>
      </w:r>
      <w:r>
        <w:rPr>
          <w:rFonts w:cs="Segoe UI"/>
          <w:b/>
          <w:szCs w:val="20"/>
        </w:rPr>
        <w:t>ŠR</w:t>
      </w:r>
      <w:r w:rsidRPr="00BB314F">
        <w:rPr>
          <w:rFonts w:cs="Segoe UI"/>
          <w:b/>
          <w:szCs w:val="20"/>
        </w:rPr>
        <w:t xml:space="preserve"> na rok 2026 sú rozpočtované v objeme 33,5 mld. eur, čo predstavuje </w:t>
      </w:r>
      <w:r w:rsidR="00602CB9">
        <w:rPr>
          <w:rFonts w:cs="Segoe UI"/>
          <w:b/>
          <w:szCs w:val="20"/>
        </w:rPr>
        <w:t>49</w:t>
      </w:r>
      <w:r w:rsidRPr="00BB314F">
        <w:rPr>
          <w:rFonts w:cs="Segoe UI"/>
          <w:b/>
          <w:szCs w:val="20"/>
        </w:rPr>
        <w:t>,3 % z celkových výdavkov VS</w:t>
      </w:r>
      <w:r w:rsidRPr="00BB314F">
        <w:rPr>
          <w:rFonts w:cs="Segoe UI"/>
          <w:b/>
          <w:color w:val="000000" w:themeColor="text1"/>
          <w:szCs w:val="20"/>
        </w:rPr>
        <w:t>.</w:t>
      </w:r>
      <w:r w:rsidRPr="0086095F">
        <w:rPr>
          <w:rFonts w:cs="Segoe UI"/>
          <w:szCs w:val="20"/>
        </w:rPr>
        <w:t xml:space="preserve"> </w:t>
      </w:r>
      <w:r w:rsidR="00602CB9">
        <w:rPr>
          <w:rFonts w:cs="Segoe UI"/>
          <w:bCs/>
          <w:szCs w:val="20"/>
        </w:rPr>
        <w:t>V</w:t>
      </w:r>
      <w:r w:rsidRPr="00BB314F">
        <w:rPr>
          <w:rFonts w:cs="Segoe UI"/>
          <w:bCs/>
          <w:szCs w:val="20"/>
        </w:rPr>
        <w:t xml:space="preserve">ýdavky kapitol ŠR a nimi zriadených RO </w:t>
      </w:r>
      <w:r w:rsidR="00602CB9">
        <w:rPr>
          <w:rFonts w:cs="Segoe UI"/>
          <w:bCs/>
          <w:szCs w:val="20"/>
        </w:rPr>
        <w:t xml:space="preserve">po očistení o transfery </w:t>
      </w:r>
      <w:r w:rsidRPr="00BB314F">
        <w:rPr>
          <w:rFonts w:cs="Segoe UI"/>
          <w:bCs/>
          <w:szCs w:val="20"/>
        </w:rPr>
        <w:t>naďalej rastú</w:t>
      </w:r>
      <w:r w:rsidRPr="00F013B4">
        <w:rPr>
          <w:rFonts w:cs="Segoe UI"/>
          <w:szCs w:val="20"/>
        </w:rPr>
        <w:t xml:space="preserve"> (medziročne o 3,8 % </w:t>
      </w:r>
      <w:r>
        <w:rPr>
          <w:rFonts w:cs="Segoe UI"/>
          <w:szCs w:val="20"/>
        </w:rPr>
        <w:t>oproti</w:t>
      </w:r>
      <w:r w:rsidRPr="00F013B4">
        <w:rPr>
          <w:rFonts w:cs="Segoe UI"/>
          <w:szCs w:val="20"/>
        </w:rPr>
        <w:t> </w:t>
      </w:r>
      <w:r w:rsidR="001B2868">
        <w:rPr>
          <w:rFonts w:cs="Segoe UI"/>
          <w:szCs w:val="20"/>
        </w:rPr>
        <w:t>očakávanej skutočnosti roku</w:t>
      </w:r>
      <w:r w:rsidRPr="00F013B4">
        <w:rPr>
          <w:rFonts w:cs="Segoe UI"/>
          <w:szCs w:val="20"/>
        </w:rPr>
        <w:t xml:space="preserve"> 2025, graf </w:t>
      </w:r>
      <w:r>
        <w:rPr>
          <w:rFonts w:cs="Segoe UI"/>
          <w:szCs w:val="20"/>
        </w:rPr>
        <w:t>17</w:t>
      </w:r>
      <w:r w:rsidRPr="00F013B4">
        <w:rPr>
          <w:rFonts w:cs="Segoe UI"/>
          <w:szCs w:val="20"/>
        </w:rPr>
        <w:t>)</w:t>
      </w:r>
      <w:r>
        <w:rPr>
          <w:rFonts w:cs="Segoe UI"/>
          <w:szCs w:val="20"/>
        </w:rPr>
        <w:t>.</w:t>
      </w:r>
      <w:r w:rsidRPr="00F013B4">
        <w:rPr>
          <w:rFonts w:cs="Segoe UI"/>
          <w:szCs w:val="20"/>
        </w:rPr>
        <w:t xml:space="preserve"> </w:t>
      </w:r>
      <w:r>
        <w:rPr>
          <w:rFonts w:cs="Segoe UI"/>
          <w:szCs w:val="20"/>
        </w:rPr>
        <w:t xml:space="preserve">Zároveň dochádza k zmene </w:t>
      </w:r>
      <w:r w:rsidRPr="00F013B4">
        <w:rPr>
          <w:rFonts w:cs="Segoe UI"/>
          <w:szCs w:val="20"/>
        </w:rPr>
        <w:t xml:space="preserve">ich </w:t>
      </w:r>
      <w:r w:rsidRPr="00BB314F">
        <w:rPr>
          <w:rFonts w:cs="Segoe UI"/>
          <w:bCs/>
          <w:szCs w:val="20"/>
        </w:rPr>
        <w:t>štruktúr</w:t>
      </w:r>
      <w:r>
        <w:rPr>
          <w:rFonts w:cs="Segoe UI"/>
          <w:bCs/>
          <w:szCs w:val="20"/>
        </w:rPr>
        <w:t>y</w:t>
      </w:r>
      <w:r w:rsidRPr="00F013B4">
        <w:rPr>
          <w:rFonts w:cs="Segoe UI"/>
          <w:szCs w:val="20"/>
        </w:rPr>
        <w:t xml:space="preserve">. </w:t>
      </w:r>
    </w:p>
    <w:p w14:paraId="41B38BEA" w14:textId="77777777" w:rsidR="00933176" w:rsidRDefault="00933176" w:rsidP="00933176">
      <w:pPr>
        <w:spacing w:after="0"/>
        <w:rPr>
          <w:b/>
          <w:iCs/>
          <w:color w:val="314364"/>
          <w:szCs w:val="18"/>
        </w:rPr>
      </w:pPr>
      <w:r>
        <w:rPr>
          <w:b/>
          <w:iCs/>
          <w:color w:val="314364"/>
          <w:szCs w:val="18"/>
        </w:rPr>
        <w:t>Graf 17: Vývoj výdavkov kapitol ŠR a nimi zriadených RO (v mil. eur)</w:t>
      </w:r>
    </w:p>
    <w:tbl>
      <w:tblPr>
        <w:tblStyle w:val="Mriekatabuky"/>
        <w:tblW w:w="0" w:type="auto"/>
        <w:tblBorders>
          <w:left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14:paraId="6DE8FE08" w14:textId="77777777" w:rsidTr="00BB314F">
        <w:trPr>
          <w:trHeight w:val="3118"/>
        </w:trPr>
        <w:tc>
          <w:tcPr>
            <w:tcW w:w="9070" w:type="dxa"/>
          </w:tcPr>
          <w:p w14:paraId="200B55D8" w14:textId="77777777" w:rsidR="00933176" w:rsidRDefault="00933176" w:rsidP="00BB314F">
            <w:pPr>
              <w:spacing w:after="0" w:line="240" w:lineRule="auto"/>
              <w:rPr>
                <w:b/>
                <w:iCs/>
                <w:color w:val="314364"/>
                <w:szCs w:val="18"/>
              </w:rPr>
            </w:pPr>
            <w:r>
              <w:rPr>
                <w:noProof/>
                <w:lang w:eastAsia="sk-SK"/>
                <w14:ligatures w14:val="standardContextual"/>
              </w:rPr>
              <w:drawing>
                <wp:inline distT="0" distB="0" distL="0" distR="0" wp14:anchorId="5A5B2ED9" wp14:editId="77212813">
                  <wp:extent cx="5760720" cy="1979930"/>
                  <wp:effectExtent l="0" t="0" r="0" b="0"/>
                  <wp:docPr id="691618632" name="Graf 1">
                    <a:extLst xmlns:a="http://schemas.openxmlformats.org/drawingml/2006/main">
                      <a:ext uri="{FF2B5EF4-FFF2-40B4-BE49-F238E27FC236}">
                        <a16:creationId xmlns:a16="http://schemas.microsoft.com/office/drawing/2014/main" id="{AF1A638A-7E86-45A9-B39B-93017DF4D2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14:paraId="1E666C73" w14:textId="77777777" w:rsidR="00933176" w:rsidRDefault="00933176" w:rsidP="00933176">
      <w:pPr>
        <w:pStyle w:val="Zdroj"/>
      </w:pPr>
      <w:r>
        <w:t>Z</w:t>
      </w:r>
      <w:r w:rsidRPr="006647A7">
        <w:t xml:space="preserve">droj: </w:t>
      </w:r>
      <w:r>
        <w:t>NRVS, ŠZÚ, MF SR.</w:t>
      </w:r>
      <w:r w:rsidRPr="00602CB9">
        <w:t xml:space="preserve"> </w:t>
      </w:r>
      <w:r>
        <w:t>Poznámka: Bežné a kapitálové výdavky, bez transferov.</w:t>
      </w:r>
    </w:p>
    <w:p w14:paraId="4528FA7B" w14:textId="77777777" w:rsidR="00A31055" w:rsidRDefault="00A31055" w:rsidP="00A31055">
      <w:pPr>
        <w:rPr>
          <w:rFonts w:cs="Segoe UI"/>
          <w:szCs w:val="20"/>
        </w:rPr>
      </w:pPr>
      <w:r w:rsidRPr="00BB314F">
        <w:rPr>
          <w:rFonts w:cs="Segoe UI"/>
          <w:b/>
          <w:szCs w:val="20"/>
        </w:rPr>
        <w:t>Najväčšiu časť stále tvoria osobné náklady</w:t>
      </w:r>
      <w:r>
        <w:rPr>
          <w:rFonts w:cs="Segoe UI"/>
          <w:b/>
          <w:szCs w:val="20"/>
        </w:rPr>
        <w:t xml:space="preserve">, pričom </w:t>
      </w:r>
      <w:r w:rsidRPr="00BB314F">
        <w:rPr>
          <w:rFonts w:cs="Segoe UI"/>
          <w:b/>
          <w:szCs w:val="20"/>
        </w:rPr>
        <w:t xml:space="preserve">mzdy a poistné predstavujú 50,4 % </w:t>
      </w:r>
      <w:r>
        <w:rPr>
          <w:rFonts w:cs="Segoe UI"/>
          <w:b/>
          <w:szCs w:val="20"/>
        </w:rPr>
        <w:t xml:space="preserve">z </w:t>
      </w:r>
      <w:r w:rsidRPr="00BB314F">
        <w:rPr>
          <w:rFonts w:cs="Segoe UI"/>
          <w:b/>
          <w:szCs w:val="20"/>
        </w:rPr>
        <w:t>celkových výdavkov</w:t>
      </w:r>
      <w:r>
        <w:rPr>
          <w:rFonts w:cs="Segoe UI"/>
          <w:b/>
          <w:szCs w:val="20"/>
        </w:rPr>
        <w:t xml:space="preserve"> kapitol</w:t>
      </w:r>
      <w:r w:rsidRPr="00BB314F">
        <w:rPr>
          <w:rFonts w:cs="Segoe UI"/>
          <w:b/>
          <w:szCs w:val="20"/>
        </w:rPr>
        <w:t>.</w:t>
      </w:r>
      <w:r w:rsidRPr="00F013B4">
        <w:rPr>
          <w:rFonts w:cs="Segoe UI"/>
          <w:szCs w:val="20"/>
        </w:rPr>
        <w:t xml:space="preserve"> </w:t>
      </w:r>
      <w:r>
        <w:rPr>
          <w:rFonts w:cs="Segoe UI"/>
          <w:szCs w:val="20"/>
        </w:rPr>
        <w:t>I</w:t>
      </w:r>
      <w:r w:rsidRPr="00F013B4">
        <w:rPr>
          <w:rFonts w:cs="Segoe UI"/>
          <w:szCs w:val="20"/>
        </w:rPr>
        <w:t>ch výška sa po roku 2024 neznižuje, ale ďalej mierne rastie (medziročne o 1,9 %).</w:t>
      </w:r>
    </w:p>
    <w:p w14:paraId="3274193A" w14:textId="500A65D6" w:rsidR="00A31055" w:rsidRPr="00A31055" w:rsidRDefault="00A31055" w:rsidP="00A31055">
      <w:pPr>
        <w:rPr>
          <w:rFonts w:cs="Segoe UI"/>
          <w:b/>
          <w:szCs w:val="20"/>
        </w:rPr>
      </w:pPr>
      <w:r w:rsidRPr="00A31055">
        <w:rPr>
          <w:rFonts w:cs="Segoe UI"/>
          <w:b/>
          <w:szCs w:val="20"/>
        </w:rPr>
        <w:t xml:space="preserve">Najvýraznejší medziročný rast </w:t>
      </w:r>
      <w:r w:rsidR="00602CB9">
        <w:rPr>
          <w:rFonts w:cs="Segoe UI"/>
          <w:b/>
          <w:szCs w:val="20"/>
        </w:rPr>
        <w:t xml:space="preserve">výdavkov </w:t>
      </w:r>
      <w:r w:rsidRPr="00A31055">
        <w:rPr>
          <w:rFonts w:cs="Segoe UI"/>
          <w:b/>
          <w:szCs w:val="20"/>
        </w:rPr>
        <w:t xml:space="preserve">je </w:t>
      </w:r>
      <w:r w:rsidR="001B2868">
        <w:rPr>
          <w:rFonts w:cs="Segoe UI"/>
          <w:b/>
          <w:szCs w:val="20"/>
        </w:rPr>
        <w:t>rozpočtov</w:t>
      </w:r>
      <w:r w:rsidR="00602CB9">
        <w:rPr>
          <w:rFonts w:cs="Segoe UI"/>
          <w:b/>
          <w:szCs w:val="20"/>
        </w:rPr>
        <w:t xml:space="preserve">aný </w:t>
      </w:r>
      <w:r w:rsidRPr="00A31055">
        <w:rPr>
          <w:rFonts w:cs="Segoe UI"/>
          <w:b/>
          <w:szCs w:val="20"/>
        </w:rPr>
        <w:t xml:space="preserve">na tovary a služby </w:t>
      </w:r>
      <w:r w:rsidRPr="00A31055">
        <w:rPr>
          <w:rFonts w:cs="Segoe UI"/>
          <w:bCs/>
          <w:szCs w:val="20"/>
        </w:rPr>
        <w:t>(o 17,8 %)</w:t>
      </w:r>
      <w:r w:rsidRPr="00A31055">
        <w:rPr>
          <w:rFonts w:cs="Segoe UI"/>
          <w:b/>
          <w:szCs w:val="20"/>
        </w:rPr>
        <w:t xml:space="preserve">, čo naznačuje, že kapitoly ŠR zatiaľ nepristúpili k zásadnejšej racionalizácii svojich vnútorných procesov </w:t>
      </w:r>
      <w:r w:rsidR="00602CB9">
        <w:rPr>
          <w:rFonts w:cs="Segoe UI"/>
          <w:b/>
          <w:szCs w:val="20"/>
        </w:rPr>
        <w:t xml:space="preserve">a </w:t>
      </w:r>
      <w:r w:rsidRPr="00A31055">
        <w:rPr>
          <w:rFonts w:cs="Segoe UI"/>
          <w:b/>
          <w:szCs w:val="20"/>
        </w:rPr>
        <w:t xml:space="preserve">ani k znižovaniu neefektívnych nákladov. </w:t>
      </w:r>
    </w:p>
    <w:p w14:paraId="2AA36E6C" w14:textId="5B0A587B" w:rsidR="00A31055" w:rsidRDefault="00A31055" w:rsidP="00A31055">
      <w:pPr>
        <w:rPr>
          <w:rFonts w:cs="Segoe UI"/>
          <w:b/>
          <w:bCs/>
          <w:color w:val="3C527B" w:themeColor="text2" w:themeTint="E6"/>
          <w:szCs w:val="20"/>
        </w:rPr>
      </w:pPr>
      <w:r>
        <w:rPr>
          <w:rFonts w:cs="Segoe UI"/>
          <w:b/>
          <w:bCs/>
          <w:szCs w:val="20"/>
        </w:rPr>
        <w:t>In</w:t>
      </w:r>
      <w:r w:rsidRPr="00F013B4">
        <w:rPr>
          <w:rFonts w:cs="Segoe UI"/>
          <w:b/>
          <w:bCs/>
          <w:szCs w:val="20"/>
        </w:rPr>
        <w:t xml:space="preserve">vestičné výdavky </w:t>
      </w:r>
      <w:r w:rsidRPr="00A31055">
        <w:rPr>
          <w:rFonts w:cs="Segoe UI"/>
          <w:szCs w:val="20"/>
        </w:rPr>
        <w:t>(obstarávanie kapitálových aktív)</w:t>
      </w:r>
      <w:r w:rsidRPr="00F013B4">
        <w:rPr>
          <w:rFonts w:cs="Segoe UI"/>
          <w:b/>
          <w:bCs/>
          <w:szCs w:val="20"/>
        </w:rPr>
        <w:t xml:space="preserve"> zostávajú </w:t>
      </w:r>
      <w:r w:rsidRPr="00BB314F">
        <w:rPr>
          <w:rFonts w:cs="Segoe UI"/>
          <w:b/>
          <w:bCs/>
          <w:szCs w:val="20"/>
        </w:rPr>
        <w:t xml:space="preserve">na </w:t>
      </w:r>
      <w:r w:rsidRPr="00F013B4">
        <w:rPr>
          <w:rFonts w:cs="Segoe UI"/>
          <w:b/>
          <w:bCs/>
          <w:szCs w:val="20"/>
        </w:rPr>
        <w:t>nízke</w:t>
      </w:r>
      <w:r w:rsidRPr="00BB314F">
        <w:rPr>
          <w:rFonts w:cs="Segoe UI"/>
          <w:b/>
          <w:bCs/>
          <w:szCs w:val="20"/>
        </w:rPr>
        <w:t>j úrovni, pričom v </w:t>
      </w:r>
      <w:r>
        <w:rPr>
          <w:rFonts w:cs="Segoe UI"/>
          <w:b/>
          <w:bCs/>
          <w:szCs w:val="20"/>
        </w:rPr>
        <w:t>NRVS</w:t>
      </w:r>
      <w:r w:rsidRPr="00BB314F">
        <w:rPr>
          <w:rFonts w:cs="Segoe UI"/>
          <w:b/>
          <w:bCs/>
          <w:szCs w:val="20"/>
        </w:rPr>
        <w:t xml:space="preserve"> na rok 2026 klesajú </w:t>
      </w:r>
      <w:r w:rsidRPr="00F013B4">
        <w:rPr>
          <w:rFonts w:cs="Segoe UI"/>
          <w:b/>
          <w:bCs/>
          <w:szCs w:val="20"/>
        </w:rPr>
        <w:t>medziročn</w:t>
      </w:r>
      <w:r w:rsidRPr="00BB314F">
        <w:rPr>
          <w:rFonts w:cs="Segoe UI"/>
          <w:b/>
          <w:bCs/>
          <w:szCs w:val="20"/>
        </w:rPr>
        <w:t>e</w:t>
      </w:r>
      <w:r w:rsidRPr="00F013B4">
        <w:rPr>
          <w:rFonts w:cs="Segoe UI"/>
          <w:b/>
          <w:bCs/>
          <w:szCs w:val="20"/>
        </w:rPr>
        <w:t xml:space="preserve"> o 16,1 %</w:t>
      </w:r>
      <w:r w:rsidRPr="00BB314F">
        <w:rPr>
          <w:rFonts w:cs="Segoe UI"/>
          <w:b/>
          <w:bCs/>
          <w:szCs w:val="20"/>
        </w:rPr>
        <w:t>.</w:t>
      </w:r>
      <w:r w:rsidRPr="00F013B4">
        <w:rPr>
          <w:rFonts w:cs="Segoe UI"/>
          <w:szCs w:val="20"/>
        </w:rPr>
        <w:t xml:space="preserve"> </w:t>
      </w:r>
      <w:r>
        <w:rPr>
          <w:rFonts w:cs="Segoe UI"/>
          <w:szCs w:val="20"/>
        </w:rPr>
        <w:t xml:space="preserve">Tento vývoj potvrdzuje, že konsolidačné opatrenia vlády sa zatiaľ sústreďujú predovšetkým na príjmovú stranu rozpočtu, zatiaľ čo kvalitatívna štruktúra výdavkov sa nezlepšuje. </w:t>
      </w:r>
      <w:r w:rsidRPr="00BB314F">
        <w:rPr>
          <w:rFonts w:cs="Segoe UI"/>
          <w:b/>
          <w:szCs w:val="20"/>
        </w:rPr>
        <w:t>NKÚ SR upozorňuje, že dlhodobé obmedzovanie kapitálových výdavkov môže negatívne ovplyvniť modernizáciu verejnej infraštruktúry, inovačný potenciál a schopnosť štátu podporovať hospodársky rast.</w:t>
      </w:r>
    </w:p>
    <w:p w14:paraId="6D1FFA92" w14:textId="12610155" w:rsidR="007158C8" w:rsidRDefault="007158C8" w:rsidP="007158C8">
      <w:pPr>
        <w:rPr>
          <w:rFonts w:cs="Segoe UI"/>
          <w:szCs w:val="20"/>
        </w:rPr>
      </w:pPr>
      <w:r w:rsidRPr="003B7772">
        <w:rPr>
          <w:rFonts w:cs="Segoe UI"/>
          <w:b/>
          <w:bCs/>
          <w:szCs w:val="20"/>
        </w:rPr>
        <w:lastRenderedPageBreak/>
        <w:t xml:space="preserve">Výdavky štátu na tovary a služby medziročne </w:t>
      </w:r>
      <w:r>
        <w:rPr>
          <w:rFonts w:cs="Segoe UI"/>
          <w:b/>
          <w:bCs/>
          <w:szCs w:val="20"/>
        </w:rPr>
        <w:t>vz</w:t>
      </w:r>
      <w:r w:rsidRPr="003B7772">
        <w:rPr>
          <w:rFonts w:cs="Segoe UI"/>
          <w:b/>
          <w:bCs/>
          <w:szCs w:val="20"/>
        </w:rPr>
        <w:t>rastú</w:t>
      </w:r>
      <w:r>
        <w:rPr>
          <w:rFonts w:cs="Segoe UI"/>
          <w:b/>
          <w:bCs/>
          <w:szCs w:val="20"/>
        </w:rPr>
        <w:t>, keď</w:t>
      </w:r>
      <w:r w:rsidRPr="003B7772">
        <w:rPr>
          <w:rFonts w:cs="Segoe UI"/>
          <w:b/>
          <w:bCs/>
          <w:szCs w:val="20"/>
        </w:rPr>
        <w:t> </w:t>
      </w:r>
      <w:r w:rsidR="00522970">
        <w:rPr>
          <w:rFonts w:cs="Segoe UI"/>
          <w:b/>
          <w:bCs/>
          <w:szCs w:val="20"/>
        </w:rPr>
        <w:t xml:space="preserve">majú </w:t>
      </w:r>
      <w:r w:rsidRPr="003B7772">
        <w:rPr>
          <w:rFonts w:cs="Segoe UI"/>
          <w:b/>
          <w:bCs/>
          <w:szCs w:val="20"/>
        </w:rPr>
        <w:t xml:space="preserve">v roku 2026 </w:t>
      </w:r>
      <w:r>
        <w:rPr>
          <w:rFonts w:cs="Segoe UI"/>
          <w:b/>
          <w:bCs/>
          <w:szCs w:val="20"/>
        </w:rPr>
        <w:t>dosiahnu</w:t>
      </w:r>
      <w:r w:rsidR="00522970">
        <w:rPr>
          <w:rFonts w:cs="Segoe UI"/>
          <w:b/>
          <w:bCs/>
          <w:szCs w:val="20"/>
        </w:rPr>
        <w:t>ť</w:t>
      </w:r>
      <w:r w:rsidRPr="003B7772">
        <w:rPr>
          <w:rFonts w:cs="Segoe UI"/>
          <w:b/>
          <w:bCs/>
          <w:szCs w:val="20"/>
        </w:rPr>
        <w:t xml:space="preserve"> 3,2 mld. eur</w:t>
      </w:r>
      <w:r>
        <w:rPr>
          <w:rFonts w:cs="Segoe UI"/>
          <w:b/>
          <w:bCs/>
          <w:szCs w:val="20"/>
        </w:rPr>
        <w:t>,</w:t>
      </w:r>
      <w:r w:rsidRPr="003B7772">
        <w:rPr>
          <w:rFonts w:cs="Segoe UI"/>
          <w:b/>
          <w:bCs/>
          <w:szCs w:val="20"/>
        </w:rPr>
        <w:t xml:space="preserve"> </w:t>
      </w:r>
      <w:r>
        <w:rPr>
          <w:rFonts w:cs="Segoe UI"/>
          <w:b/>
          <w:bCs/>
          <w:szCs w:val="20"/>
        </w:rPr>
        <w:t xml:space="preserve">čo predstavuje nárast </w:t>
      </w:r>
      <w:r w:rsidRPr="003B7772">
        <w:rPr>
          <w:rFonts w:cs="Segoe UI"/>
          <w:b/>
          <w:bCs/>
          <w:szCs w:val="20"/>
        </w:rPr>
        <w:t xml:space="preserve">o 8,5 % </w:t>
      </w:r>
      <w:r w:rsidRPr="003B7772">
        <w:rPr>
          <w:rFonts w:cs="Segoe UI"/>
          <w:szCs w:val="20"/>
        </w:rPr>
        <w:t>(graf 18)</w:t>
      </w:r>
      <w:r w:rsidRPr="00522970">
        <w:rPr>
          <w:rFonts w:cs="Segoe UI"/>
          <w:b/>
          <w:bCs/>
          <w:szCs w:val="20"/>
        </w:rPr>
        <w:t>.</w:t>
      </w:r>
      <w:r>
        <w:rPr>
          <w:rFonts w:cs="Segoe UI"/>
          <w:szCs w:val="20"/>
        </w:rPr>
        <w:t xml:space="preserve"> Najväčší objem týchto výdavkov je rozpočtovaný v kapitolách MO SR a MV SR, ktoré spolu tvoria 37,2 % všetkých rozpočtovaných výdavkov ŠR na tovary a služby. Podľa predloženého rozpočtu nie je možné určiť podiel jednotlivých položiek, avšak z </w:t>
      </w:r>
      <w:r w:rsidR="00522970">
        <w:rPr>
          <w:rFonts w:cs="Segoe UI"/>
          <w:szCs w:val="20"/>
        </w:rPr>
        <w:t> </w:t>
      </w:r>
      <w:r>
        <w:rPr>
          <w:rFonts w:cs="Segoe UI"/>
          <w:szCs w:val="20"/>
        </w:rPr>
        <w:t xml:space="preserve">upraveného rozpočtu na rok 2025 vyplýva, že najväčší podiel z kategórie tovary a služby vynakladá MV SR na služby (39,7 %). </w:t>
      </w:r>
      <w:r w:rsidR="001B2868">
        <w:rPr>
          <w:rFonts w:cs="Segoe UI"/>
          <w:szCs w:val="20"/>
        </w:rPr>
        <w:t>I</w:t>
      </w:r>
      <w:r>
        <w:rPr>
          <w:rFonts w:cs="Segoe UI"/>
          <w:szCs w:val="20"/>
        </w:rPr>
        <w:t>de najmä o</w:t>
      </w:r>
      <w:r w:rsidR="001B2868">
        <w:rPr>
          <w:rFonts w:cs="Segoe UI"/>
          <w:szCs w:val="20"/>
        </w:rPr>
        <w:t xml:space="preserve"> transfer </w:t>
      </w:r>
      <w:r w:rsidRPr="00EC02D4">
        <w:rPr>
          <w:rFonts w:cs="Segoe UI"/>
          <w:szCs w:val="20"/>
        </w:rPr>
        <w:t xml:space="preserve">na projekty </w:t>
      </w:r>
      <w:r>
        <w:rPr>
          <w:rFonts w:cs="Segoe UI"/>
          <w:szCs w:val="20"/>
        </w:rPr>
        <w:t xml:space="preserve">EÚ, ako aj </w:t>
      </w:r>
      <w:r w:rsidR="001B2868">
        <w:rPr>
          <w:rFonts w:cs="Segoe UI"/>
          <w:szCs w:val="20"/>
        </w:rPr>
        <w:t xml:space="preserve">výdavky </w:t>
      </w:r>
      <w:r>
        <w:rPr>
          <w:rFonts w:cs="Segoe UI"/>
          <w:szCs w:val="20"/>
        </w:rPr>
        <w:t>na š</w:t>
      </w:r>
      <w:r w:rsidRPr="00EC02D4">
        <w:rPr>
          <w:rFonts w:cs="Segoe UI"/>
          <w:szCs w:val="20"/>
        </w:rPr>
        <w:t>túdie, expertízy</w:t>
      </w:r>
      <w:r>
        <w:rPr>
          <w:rFonts w:cs="Segoe UI"/>
          <w:szCs w:val="20"/>
        </w:rPr>
        <w:t xml:space="preserve"> a </w:t>
      </w:r>
      <w:r w:rsidRPr="00EC02D4">
        <w:rPr>
          <w:rFonts w:cs="Segoe UI"/>
          <w:szCs w:val="20"/>
        </w:rPr>
        <w:t>posudky</w:t>
      </w:r>
      <w:r>
        <w:rPr>
          <w:rFonts w:cs="Segoe UI"/>
          <w:szCs w:val="20"/>
        </w:rPr>
        <w:t xml:space="preserve">, pričom k septembru 2025 bolo v tejto kategórii vyúčtovaných 11,8 mil. eur. </w:t>
      </w:r>
    </w:p>
    <w:p w14:paraId="3E7EB199" w14:textId="77777777" w:rsidR="00933176" w:rsidRDefault="00933176" w:rsidP="00933176">
      <w:pPr>
        <w:spacing w:after="0"/>
        <w:rPr>
          <w:b/>
          <w:iCs/>
          <w:color w:val="314364"/>
          <w:szCs w:val="18"/>
        </w:rPr>
      </w:pPr>
      <w:r>
        <w:rPr>
          <w:b/>
          <w:iCs/>
          <w:color w:val="314364"/>
          <w:szCs w:val="18"/>
        </w:rPr>
        <w:t>Graf 18: Výdavky kapitol štátneho rozpočtu na tovary a služby (v tis. eur)</w:t>
      </w:r>
    </w:p>
    <w:tbl>
      <w:tblPr>
        <w:tblStyle w:val="Mriekatabuky"/>
        <w:tblW w:w="0" w:type="auto"/>
        <w:tblBorders>
          <w:left w:val="none" w:sz="0" w:space="0" w:color="auto"/>
          <w:right w:val="none" w:sz="0" w:space="0" w:color="auto"/>
        </w:tblBorders>
        <w:tblLook w:val="04A0" w:firstRow="1" w:lastRow="0" w:firstColumn="1" w:lastColumn="0" w:noHBand="0" w:noVBand="1"/>
      </w:tblPr>
      <w:tblGrid>
        <w:gridCol w:w="9070"/>
      </w:tblGrid>
      <w:tr w:rsidR="00933176" w14:paraId="70C379C8" w14:textId="77777777" w:rsidTr="00BB314F">
        <w:trPr>
          <w:trHeight w:val="2835"/>
        </w:trPr>
        <w:tc>
          <w:tcPr>
            <w:tcW w:w="9072" w:type="dxa"/>
          </w:tcPr>
          <w:p w14:paraId="1D701ADE" w14:textId="77777777" w:rsidR="00933176" w:rsidRDefault="00933176" w:rsidP="00BB314F">
            <w:pPr>
              <w:spacing w:after="0" w:line="240" w:lineRule="auto"/>
              <w:rPr>
                <w:b/>
                <w:iCs/>
                <w:color w:val="314364"/>
                <w:szCs w:val="18"/>
              </w:rPr>
            </w:pPr>
            <w:r>
              <w:rPr>
                <w:noProof/>
                <w:lang w:eastAsia="sk-SK"/>
                <w14:ligatures w14:val="standardContextual"/>
              </w:rPr>
              <w:drawing>
                <wp:inline distT="0" distB="0" distL="0" distR="0" wp14:anchorId="79F8F338" wp14:editId="5E97A879">
                  <wp:extent cx="5760720" cy="1800000"/>
                  <wp:effectExtent l="0" t="0" r="0" b="0"/>
                  <wp:docPr id="1508549790" name="Graf 1">
                    <a:extLst xmlns:a="http://schemas.openxmlformats.org/drawingml/2006/main">
                      <a:ext uri="{FF2B5EF4-FFF2-40B4-BE49-F238E27FC236}">
                        <a16:creationId xmlns:a16="http://schemas.microsoft.com/office/drawing/2014/main" id="{E22975EC-6415-AE0F-B512-87C0B2FBA3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1623E445" w14:textId="77777777" w:rsidR="00933176" w:rsidRPr="004A7E50" w:rsidRDefault="00933176" w:rsidP="00933176">
      <w:pPr>
        <w:pStyle w:val="Zdroj"/>
      </w:pPr>
      <w:r>
        <w:t>Z</w:t>
      </w:r>
      <w:r w:rsidRPr="006647A7">
        <w:t xml:space="preserve">droj: </w:t>
      </w:r>
      <w:r>
        <w:t>MF SR.</w:t>
      </w:r>
    </w:p>
    <w:p w14:paraId="39E64346" w14:textId="1B66BED6" w:rsidR="003B7772" w:rsidRDefault="003B7772" w:rsidP="00602CB9">
      <w:pPr>
        <w:rPr>
          <w:rFonts w:cs="Segoe UI"/>
          <w:szCs w:val="20"/>
        </w:rPr>
      </w:pPr>
      <w:r>
        <w:rPr>
          <w:rFonts w:cs="Segoe UI"/>
          <w:szCs w:val="20"/>
        </w:rPr>
        <w:t>Výrazný medziročný rast výdavkov na tovary a služby je rozpočtovaný  v kapitole VPS, MS SR a MŠVVM SR (tabuľka 4).</w:t>
      </w:r>
    </w:p>
    <w:p w14:paraId="0657E1E4" w14:textId="77777777" w:rsidR="00522970" w:rsidRPr="00602CB9" w:rsidRDefault="00522970" w:rsidP="00522970">
      <w:pPr>
        <w:spacing w:after="0"/>
        <w:rPr>
          <w:b/>
          <w:iCs/>
          <w:color w:val="314364"/>
          <w:szCs w:val="18"/>
        </w:rPr>
      </w:pPr>
      <w:r w:rsidRPr="00A16D38">
        <w:rPr>
          <w:rFonts w:cs="Segoe UI"/>
          <w:b/>
          <w:color w:val="314364" w:themeColor="text2"/>
          <w:szCs w:val="20"/>
        </w:rPr>
        <w:t xml:space="preserve">Tabuľka 4: </w:t>
      </w:r>
      <w:r>
        <w:rPr>
          <w:b/>
          <w:iCs/>
          <w:color w:val="314364"/>
          <w:szCs w:val="18"/>
        </w:rPr>
        <w:t>Výdavky na tovary a služby v kapitolách ŠR</w:t>
      </w:r>
    </w:p>
    <w:tbl>
      <w:tblPr>
        <w:tblW w:w="4991" w:type="pct"/>
        <w:tblInd w:w="16" w:type="dxa"/>
        <w:tblBorders>
          <w:bottom w:val="single" w:sz="4" w:space="0" w:color="314364" w:themeColor="text2"/>
        </w:tblBorders>
        <w:tblLayout w:type="fixed"/>
        <w:tblCellMar>
          <w:left w:w="70" w:type="dxa"/>
          <w:right w:w="70" w:type="dxa"/>
        </w:tblCellMar>
        <w:tblLook w:val="04A0" w:firstRow="1" w:lastRow="0" w:firstColumn="1" w:lastColumn="0" w:noHBand="0" w:noVBand="1"/>
      </w:tblPr>
      <w:tblGrid>
        <w:gridCol w:w="2127"/>
        <w:gridCol w:w="1402"/>
        <w:gridCol w:w="1134"/>
        <w:gridCol w:w="1134"/>
        <w:gridCol w:w="1700"/>
        <w:gridCol w:w="1557"/>
      </w:tblGrid>
      <w:tr w:rsidR="00522970" w:rsidRPr="00A16D38" w14:paraId="0E231C4C" w14:textId="77777777" w:rsidTr="00BB314F">
        <w:trPr>
          <w:trHeight w:val="283"/>
        </w:trPr>
        <w:tc>
          <w:tcPr>
            <w:tcW w:w="1175" w:type="pct"/>
            <w:shd w:val="clear" w:color="auto" w:fill="314364" w:themeFill="text2"/>
            <w:vAlign w:val="center"/>
            <w:hideMark/>
          </w:tcPr>
          <w:p w14:paraId="13C4B3D5" w14:textId="77777777" w:rsidR="00522970" w:rsidRPr="00A16D38" w:rsidRDefault="00522970" w:rsidP="00BB314F">
            <w:pPr>
              <w:spacing w:after="0" w:line="240" w:lineRule="auto"/>
              <w:jc w:val="left"/>
              <w:rPr>
                <w:rFonts w:cs="Segoe UI"/>
                <w:b/>
                <w:bCs/>
                <w:color w:val="FFFFFF" w:themeColor="background1"/>
                <w:sz w:val="18"/>
                <w:szCs w:val="18"/>
              </w:rPr>
            </w:pPr>
            <w:r w:rsidRPr="00A16D38">
              <w:rPr>
                <w:rFonts w:cs="Segoe UI"/>
                <w:b/>
                <w:bCs/>
                <w:color w:val="FFFFFF" w:themeColor="background1"/>
                <w:sz w:val="18"/>
                <w:szCs w:val="18"/>
              </w:rPr>
              <w:t>Kapitola</w:t>
            </w:r>
          </w:p>
        </w:tc>
        <w:tc>
          <w:tcPr>
            <w:tcW w:w="774" w:type="pct"/>
            <w:shd w:val="clear" w:color="auto" w:fill="314364" w:themeFill="text2"/>
            <w:vAlign w:val="center"/>
            <w:hideMark/>
          </w:tcPr>
          <w:p w14:paraId="7C33A3FA" w14:textId="77777777" w:rsidR="00522970" w:rsidRPr="00A16D38" w:rsidRDefault="00522970" w:rsidP="00BB314F">
            <w:pPr>
              <w:spacing w:after="0" w:line="240" w:lineRule="auto"/>
              <w:jc w:val="right"/>
              <w:rPr>
                <w:rFonts w:cs="Segoe UI"/>
                <w:b/>
                <w:bCs/>
                <w:color w:val="FFFFFF" w:themeColor="background1"/>
                <w:sz w:val="18"/>
                <w:szCs w:val="18"/>
              </w:rPr>
            </w:pPr>
            <w:r w:rsidRPr="00A16D38">
              <w:rPr>
                <w:rFonts w:cs="Segoe UI"/>
                <w:b/>
                <w:bCs/>
                <w:color w:val="FFFFFF" w:themeColor="background1"/>
                <w:sz w:val="18"/>
                <w:szCs w:val="18"/>
              </w:rPr>
              <w:t>2025 R</w:t>
            </w:r>
          </w:p>
        </w:tc>
        <w:tc>
          <w:tcPr>
            <w:tcW w:w="626" w:type="pct"/>
            <w:shd w:val="clear" w:color="auto" w:fill="314364" w:themeFill="text2"/>
            <w:vAlign w:val="center"/>
          </w:tcPr>
          <w:p w14:paraId="6426B776" w14:textId="77777777" w:rsidR="00522970" w:rsidRPr="00A16D38" w:rsidRDefault="00522970" w:rsidP="00BB314F">
            <w:pPr>
              <w:spacing w:after="0" w:line="240" w:lineRule="auto"/>
              <w:jc w:val="right"/>
              <w:rPr>
                <w:rFonts w:cs="Segoe UI"/>
                <w:b/>
                <w:bCs/>
                <w:color w:val="FFFFFF" w:themeColor="background1"/>
                <w:sz w:val="18"/>
                <w:szCs w:val="18"/>
              </w:rPr>
            </w:pPr>
            <w:r w:rsidRPr="00A16D38">
              <w:rPr>
                <w:rFonts w:cs="Segoe UI"/>
                <w:b/>
                <w:bCs/>
                <w:color w:val="FFFFFF" w:themeColor="background1"/>
                <w:sz w:val="18"/>
                <w:szCs w:val="18"/>
              </w:rPr>
              <w:t>2025 OS</w:t>
            </w:r>
          </w:p>
        </w:tc>
        <w:tc>
          <w:tcPr>
            <w:tcW w:w="626" w:type="pct"/>
            <w:shd w:val="clear" w:color="auto" w:fill="314364" w:themeFill="text2"/>
            <w:vAlign w:val="center"/>
          </w:tcPr>
          <w:p w14:paraId="3C591DA2" w14:textId="77777777" w:rsidR="00522970" w:rsidRPr="00A16D38" w:rsidRDefault="00522970" w:rsidP="00BB314F">
            <w:pPr>
              <w:spacing w:after="0" w:line="240" w:lineRule="auto"/>
              <w:jc w:val="right"/>
              <w:rPr>
                <w:rFonts w:cs="Segoe UI"/>
                <w:b/>
                <w:bCs/>
                <w:color w:val="FFFFFF" w:themeColor="background1"/>
                <w:sz w:val="18"/>
                <w:szCs w:val="18"/>
              </w:rPr>
            </w:pPr>
            <w:r w:rsidRPr="00A16D38">
              <w:rPr>
                <w:rFonts w:cs="Segoe UI"/>
                <w:b/>
                <w:bCs/>
                <w:color w:val="FFFFFF" w:themeColor="background1"/>
                <w:sz w:val="18"/>
                <w:szCs w:val="18"/>
              </w:rPr>
              <w:t>2026 N</w:t>
            </w:r>
          </w:p>
        </w:tc>
        <w:tc>
          <w:tcPr>
            <w:tcW w:w="939" w:type="pct"/>
            <w:shd w:val="clear" w:color="auto" w:fill="314364" w:themeFill="text2"/>
            <w:vAlign w:val="center"/>
          </w:tcPr>
          <w:p w14:paraId="41D29BAE" w14:textId="77777777" w:rsidR="00522970" w:rsidRPr="00A16D38" w:rsidRDefault="00522970" w:rsidP="00BB314F">
            <w:pPr>
              <w:spacing w:after="0" w:line="240" w:lineRule="auto"/>
              <w:jc w:val="right"/>
              <w:rPr>
                <w:rFonts w:cs="Segoe UI"/>
                <w:b/>
                <w:bCs/>
                <w:color w:val="FFFFFF" w:themeColor="background1"/>
                <w:sz w:val="18"/>
                <w:szCs w:val="18"/>
              </w:rPr>
            </w:pPr>
            <w:r>
              <w:rPr>
                <w:rFonts w:cs="Segoe UI"/>
                <w:b/>
                <w:bCs/>
                <w:color w:val="FFFFFF" w:themeColor="background1"/>
                <w:sz w:val="18"/>
                <w:szCs w:val="18"/>
              </w:rPr>
              <w:t>2026 N /</w:t>
            </w:r>
            <w:r w:rsidRPr="00A16D38">
              <w:rPr>
                <w:rFonts w:cs="Segoe UI"/>
                <w:b/>
                <w:bCs/>
                <w:color w:val="FFFFFF" w:themeColor="background1"/>
                <w:sz w:val="18"/>
                <w:szCs w:val="18"/>
              </w:rPr>
              <w:t xml:space="preserve">2025 R </w:t>
            </w:r>
          </w:p>
        </w:tc>
        <w:tc>
          <w:tcPr>
            <w:tcW w:w="860" w:type="pct"/>
            <w:shd w:val="clear" w:color="auto" w:fill="314364" w:themeFill="text2"/>
            <w:vAlign w:val="center"/>
          </w:tcPr>
          <w:p w14:paraId="47AB3528" w14:textId="77777777" w:rsidR="00522970" w:rsidRPr="00A16D38" w:rsidRDefault="00522970" w:rsidP="00BB314F">
            <w:pPr>
              <w:spacing w:after="0" w:line="240" w:lineRule="auto"/>
              <w:ind w:left="351" w:hanging="425"/>
              <w:jc w:val="right"/>
              <w:rPr>
                <w:rFonts w:cs="Segoe UI"/>
                <w:b/>
                <w:bCs/>
                <w:color w:val="FFFFFF" w:themeColor="background1"/>
                <w:sz w:val="18"/>
                <w:szCs w:val="18"/>
              </w:rPr>
            </w:pPr>
            <w:r>
              <w:rPr>
                <w:rFonts w:cs="Segoe UI"/>
                <w:b/>
                <w:bCs/>
                <w:color w:val="FFFFFF" w:themeColor="background1"/>
                <w:sz w:val="18"/>
                <w:szCs w:val="18"/>
              </w:rPr>
              <w:t>2026 N - 2025 R</w:t>
            </w:r>
          </w:p>
        </w:tc>
      </w:tr>
      <w:tr w:rsidR="00522970" w:rsidRPr="00A16D38" w14:paraId="30D53B67" w14:textId="77777777" w:rsidTr="00BB314F">
        <w:trPr>
          <w:trHeight w:val="283"/>
        </w:trPr>
        <w:tc>
          <w:tcPr>
            <w:tcW w:w="1175" w:type="pct"/>
            <w:vAlign w:val="center"/>
            <w:hideMark/>
          </w:tcPr>
          <w:p w14:paraId="74013E23" w14:textId="77777777" w:rsidR="00522970" w:rsidRPr="00A16D38" w:rsidRDefault="00522970" w:rsidP="00BB314F">
            <w:pPr>
              <w:spacing w:after="0" w:line="240" w:lineRule="auto"/>
              <w:jc w:val="left"/>
              <w:rPr>
                <w:rFonts w:cs="Segoe UI"/>
                <w:color w:val="000000" w:themeColor="text1"/>
                <w:sz w:val="18"/>
                <w:szCs w:val="18"/>
              </w:rPr>
            </w:pPr>
            <w:r w:rsidRPr="00A16D38">
              <w:rPr>
                <w:rFonts w:cs="Segoe UI"/>
                <w:color w:val="000000" w:themeColor="text1"/>
                <w:sz w:val="18"/>
                <w:szCs w:val="18"/>
              </w:rPr>
              <w:t xml:space="preserve">VPS   </w:t>
            </w:r>
          </w:p>
        </w:tc>
        <w:tc>
          <w:tcPr>
            <w:tcW w:w="774" w:type="pct"/>
            <w:vAlign w:val="center"/>
            <w:hideMark/>
          </w:tcPr>
          <w:p w14:paraId="6EB9BD32"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        581 784 </w:t>
            </w:r>
          </w:p>
        </w:tc>
        <w:tc>
          <w:tcPr>
            <w:tcW w:w="626" w:type="pct"/>
            <w:vAlign w:val="center"/>
          </w:tcPr>
          <w:p w14:paraId="669C2A5D"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179 131</w:t>
            </w:r>
          </w:p>
        </w:tc>
        <w:tc>
          <w:tcPr>
            <w:tcW w:w="626" w:type="pct"/>
            <w:vAlign w:val="center"/>
          </w:tcPr>
          <w:p w14:paraId="10120DBA"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771 518 </w:t>
            </w:r>
          </w:p>
        </w:tc>
        <w:tc>
          <w:tcPr>
            <w:tcW w:w="939" w:type="pct"/>
            <w:vAlign w:val="center"/>
          </w:tcPr>
          <w:p w14:paraId="1FA5472E" w14:textId="77777777" w:rsidR="00522970" w:rsidRPr="00A16D38" w:rsidRDefault="00522970" w:rsidP="00BB314F">
            <w:pPr>
              <w:spacing w:after="0" w:line="240" w:lineRule="auto"/>
              <w:ind w:right="352"/>
              <w:jc w:val="right"/>
              <w:rPr>
                <w:rFonts w:cs="Segoe UI"/>
                <w:color w:val="000000" w:themeColor="text1"/>
                <w:sz w:val="18"/>
                <w:szCs w:val="18"/>
              </w:rPr>
            </w:pPr>
            <w:r w:rsidRPr="00A16D38">
              <w:rPr>
                <w:rFonts w:cs="Segoe UI"/>
                <w:color w:val="000000" w:themeColor="text1"/>
                <w:sz w:val="18"/>
                <w:szCs w:val="18"/>
              </w:rPr>
              <w:t>32,6</w:t>
            </w:r>
            <w:r>
              <w:rPr>
                <w:rFonts w:cs="Segoe UI"/>
                <w:color w:val="000000" w:themeColor="text1"/>
                <w:sz w:val="18"/>
                <w:szCs w:val="18"/>
              </w:rPr>
              <w:t xml:space="preserve"> </w:t>
            </w:r>
            <w:r w:rsidRPr="00A16D38">
              <w:rPr>
                <w:rFonts w:cs="Segoe UI"/>
                <w:color w:val="000000" w:themeColor="text1"/>
                <w:sz w:val="18"/>
                <w:szCs w:val="18"/>
              </w:rPr>
              <w:t>%</w:t>
            </w:r>
          </w:p>
        </w:tc>
        <w:tc>
          <w:tcPr>
            <w:tcW w:w="860" w:type="pct"/>
            <w:vAlign w:val="center"/>
          </w:tcPr>
          <w:p w14:paraId="22A86271" w14:textId="77777777" w:rsidR="00522970" w:rsidRPr="00A16D38" w:rsidRDefault="00522970" w:rsidP="00BB314F">
            <w:pPr>
              <w:spacing w:after="0" w:line="240" w:lineRule="auto"/>
              <w:ind w:left="351" w:right="352" w:hanging="425"/>
              <w:jc w:val="right"/>
              <w:rPr>
                <w:rFonts w:cs="Segoe UI"/>
                <w:color w:val="000000" w:themeColor="text1"/>
                <w:sz w:val="18"/>
                <w:szCs w:val="18"/>
              </w:rPr>
            </w:pPr>
            <w:r w:rsidRPr="00A16D38">
              <w:rPr>
                <w:rFonts w:cs="Segoe UI"/>
                <w:color w:val="000000" w:themeColor="text1"/>
                <w:sz w:val="18"/>
                <w:szCs w:val="18"/>
              </w:rPr>
              <w:t xml:space="preserve">   189 734 </w:t>
            </w:r>
          </w:p>
        </w:tc>
      </w:tr>
      <w:tr w:rsidR="00522970" w:rsidRPr="00A16D38" w14:paraId="363EAA93" w14:textId="77777777" w:rsidTr="00BB314F">
        <w:trPr>
          <w:trHeight w:val="283"/>
        </w:trPr>
        <w:tc>
          <w:tcPr>
            <w:tcW w:w="1175" w:type="pct"/>
            <w:vAlign w:val="center"/>
            <w:hideMark/>
          </w:tcPr>
          <w:p w14:paraId="7F54BAA7" w14:textId="77777777" w:rsidR="00522970" w:rsidRPr="00A16D38" w:rsidRDefault="00522970" w:rsidP="00BB314F">
            <w:pPr>
              <w:spacing w:after="0" w:line="240" w:lineRule="auto"/>
              <w:jc w:val="left"/>
              <w:rPr>
                <w:rFonts w:cs="Segoe UI"/>
                <w:color w:val="000000" w:themeColor="text1"/>
                <w:sz w:val="18"/>
                <w:szCs w:val="18"/>
              </w:rPr>
            </w:pPr>
            <w:r w:rsidRPr="00A16D38">
              <w:rPr>
                <w:rFonts w:cs="Segoe UI"/>
                <w:color w:val="000000" w:themeColor="text1"/>
                <w:sz w:val="18"/>
                <w:szCs w:val="18"/>
              </w:rPr>
              <w:t xml:space="preserve">MV SR         </w:t>
            </w:r>
          </w:p>
        </w:tc>
        <w:tc>
          <w:tcPr>
            <w:tcW w:w="774" w:type="pct"/>
            <w:vAlign w:val="center"/>
            <w:hideMark/>
          </w:tcPr>
          <w:p w14:paraId="70898982"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         406 285 </w:t>
            </w:r>
          </w:p>
        </w:tc>
        <w:tc>
          <w:tcPr>
            <w:tcW w:w="626" w:type="pct"/>
            <w:vAlign w:val="center"/>
          </w:tcPr>
          <w:p w14:paraId="676D2F58"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469 207</w:t>
            </w:r>
          </w:p>
        </w:tc>
        <w:tc>
          <w:tcPr>
            <w:tcW w:w="626" w:type="pct"/>
            <w:vAlign w:val="center"/>
          </w:tcPr>
          <w:p w14:paraId="62BE2B31"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444 459 </w:t>
            </w:r>
          </w:p>
        </w:tc>
        <w:tc>
          <w:tcPr>
            <w:tcW w:w="939" w:type="pct"/>
            <w:vAlign w:val="center"/>
          </w:tcPr>
          <w:p w14:paraId="348BEA0B" w14:textId="77777777" w:rsidR="00522970" w:rsidRPr="00A16D38" w:rsidRDefault="00522970" w:rsidP="00BB314F">
            <w:pPr>
              <w:spacing w:after="0" w:line="240" w:lineRule="auto"/>
              <w:ind w:right="352"/>
              <w:jc w:val="right"/>
              <w:rPr>
                <w:rFonts w:cs="Segoe UI"/>
                <w:color w:val="000000" w:themeColor="text1"/>
                <w:sz w:val="18"/>
                <w:szCs w:val="18"/>
              </w:rPr>
            </w:pPr>
            <w:r w:rsidRPr="00A16D38">
              <w:rPr>
                <w:rFonts w:cs="Segoe UI"/>
                <w:color w:val="000000" w:themeColor="text1"/>
                <w:sz w:val="18"/>
                <w:szCs w:val="18"/>
              </w:rPr>
              <w:t>9,4</w:t>
            </w:r>
            <w:r>
              <w:rPr>
                <w:rFonts w:cs="Segoe UI"/>
                <w:color w:val="000000" w:themeColor="text1"/>
                <w:sz w:val="18"/>
                <w:szCs w:val="18"/>
              </w:rPr>
              <w:t xml:space="preserve"> </w:t>
            </w:r>
            <w:r w:rsidRPr="00A16D38">
              <w:rPr>
                <w:rFonts w:cs="Segoe UI"/>
                <w:color w:val="000000" w:themeColor="text1"/>
                <w:sz w:val="18"/>
                <w:szCs w:val="18"/>
              </w:rPr>
              <w:t>%</w:t>
            </w:r>
          </w:p>
        </w:tc>
        <w:tc>
          <w:tcPr>
            <w:tcW w:w="860" w:type="pct"/>
            <w:vAlign w:val="center"/>
          </w:tcPr>
          <w:p w14:paraId="769E6968" w14:textId="77777777" w:rsidR="00522970" w:rsidRPr="00A16D38" w:rsidRDefault="00522970" w:rsidP="00BB314F">
            <w:pPr>
              <w:spacing w:after="0" w:line="240" w:lineRule="auto"/>
              <w:ind w:left="351" w:right="352" w:hanging="425"/>
              <w:jc w:val="right"/>
              <w:rPr>
                <w:rFonts w:cs="Segoe UI"/>
                <w:color w:val="000000" w:themeColor="text1"/>
                <w:sz w:val="18"/>
                <w:szCs w:val="18"/>
              </w:rPr>
            </w:pPr>
            <w:r w:rsidRPr="00A16D38">
              <w:rPr>
                <w:rFonts w:cs="Segoe UI"/>
                <w:color w:val="000000" w:themeColor="text1"/>
                <w:sz w:val="18"/>
                <w:szCs w:val="18"/>
              </w:rPr>
              <w:t xml:space="preserve">      38 174 </w:t>
            </w:r>
          </w:p>
        </w:tc>
      </w:tr>
      <w:tr w:rsidR="00522970" w:rsidRPr="00A16D38" w14:paraId="4FD2D237" w14:textId="77777777" w:rsidTr="00BB314F">
        <w:trPr>
          <w:trHeight w:val="283"/>
        </w:trPr>
        <w:tc>
          <w:tcPr>
            <w:tcW w:w="1175" w:type="pct"/>
            <w:vAlign w:val="center"/>
            <w:hideMark/>
          </w:tcPr>
          <w:p w14:paraId="1D22A38B" w14:textId="77777777" w:rsidR="00522970" w:rsidRPr="00A16D38" w:rsidRDefault="00522970" w:rsidP="00BB314F">
            <w:pPr>
              <w:spacing w:after="0" w:line="240" w:lineRule="auto"/>
              <w:jc w:val="left"/>
              <w:rPr>
                <w:rFonts w:cs="Segoe UI"/>
                <w:color w:val="000000" w:themeColor="text1"/>
                <w:sz w:val="18"/>
                <w:szCs w:val="18"/>
              </w:rPr>
            </w:pPr>
            <w:r w:rsidRPr="00A16D38">
              <w:rPr>
                <w:rFonts w:cs="Segoe UI"/>
                <w:color w:val="000000" w:themeColor="text1"/>
                <w:sz w:val="18"/>
                <w:szCs w:val="18"/>
              </w:rPr>
              <w:t xml:space="preserve">MS SR </w:t>
            </w:r>
          </w:p>
        </w:tc>
        <w:tc>
          <w:tcPr>
            <w:tcW w:w="774" w:type="pct"/>
            <w:vAlign w:val="center"/>
            <w:hideMark/>
          </w:tcPr>
          <w:p w14:paraId="54E8D2AD"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           134 454 </w:t>
            </w:r>
          </w:p>
        </w:tc>
        <w:tc>
          <w:tcPr>
            <w:tcW w:w="626" w:type="pct"/>
            <w:vAlign w:val="center"/>
          </w:tcPr>
          <w:p w14:paraId="02E7261F"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158 871</w:t>
            </w:r>
          </w:p>
        </w:tc>
        <w:tc>
          <w:tcPr>
            <w:tcW w:w="626" w:type="pct"/>
            <w:vAlign w:val="center"/>
          </w:tcPr>
          <w:p w14:paraId="78AE1C9E"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170 798 </w:t>
            </w:r>
          </w:p>
        </w:tc>
        <w:tc>
          <w:tcPr>
            <w:tcW w:w="939" w:type="pct"/>
            <w:vAlign w:val="center"/>
          </w:tcPr>
          <w:p w14:paraId="4A8CE3CB" w14:textId="77777777" w:rsidR="00522970" w:rsidRPr="00A16D38" w:rsidRDefault="00522970" w:rsidP="00BB314F">
            <w:pPr>
              <w:spacing w:after="0" w:line="240" w:lineRule="auto"/>
              <w:ind w:right="352"/>
              <w:jc w:val="right"/>
              <w:rPr>
                <w:rFonts w:cs="Segoe UI"/>
                <w:color w:val="000000" w:themeColor="text1"/>
                <w:sz w:val="18"/>
                <w:szCs w:val="18"/>
              </w:rPr>
            </w:pPr>
            <w:r w:rsidRPr="00A16D38">
              <w:rPr>
                <w:rFonts w:cs="Segoe UI"/>
                <w:color w:val="000000" w:themeColor="text1"/>
                <w:sz w:val="18"/>
                <w:szCs w:val="18"/>
              </w:rPr>
              <w:t>27,0</w:t>
            </w:r>
            <w:r>
              <w:rPr>
                <w:rFonts w:cs="Segoe UI"/>
                <w:color w:val="000000" w:themeColor="text1"/>
                <w:sz w:val="18"/>
                <w:szCs w:val="18"/>
              </w:rPr>
              <w:t xml:space="preserve"> </w:t>
            </w:r>
            <w:r w:rsidRPr="00A16D38">
              <w:rPr>
                <w:rFonts w:cs="Segoe UI"/>
                <w:color w:val="000000" w:themeColor="text1"/>
                <w:sz w:val="18"/>
                <w:szCs w:val="18"/>
              </w:rPr>
              <w:t>%</w:t>
            </w:r>
          </w:p>
        </w:tc>
        <w:tc>
          <w:tcPr>
            <w:tcW w:w="860" w:type="pct"/>
            <w:vAlign w:val="center"/>
          </w:tcPr>
          <w:p w14:paraId="1A0BC009" w14:textId="77777777" w:rsidR="00522970" w:rsidRPr="00A16D38" w:rsidRDefault="00522970" w:rsidP="00BB314F">
            <w:pPr>
              <w:spacing w:after="0" w:line="240" w:lineRule="auto"/>
              <w:ind w:left="351" w:right="352" w:hanging="425"/>
              <w:jc w:val="right"/>
              <w:rPr>
                <w:rFonts w:cs="Segoe UI"/>
                <w:color w:val="000000" w:themeColor="text1"/>
                <w:sz w:val="18"/>
                <w:szCs w:val="18"/>
              </w:rPr>
            </w:pPr>
            <w:r w:rsidRPr="00A16D38">
              <w:rPr>
                <w:rFonts w:cs="Segoe UI"/>
                <w:color w:val="000000" w:themeColor="text1"/>
                <w:sz w:val="18"/>
                <w:szCs w:val="18"/>
              </w:rPr>
              <w:t xml:space="preserve">      36 344 </w:t>
            </w:r>
          </w:p>
        </w:tc>
      </w:tr>
      <w:tr w:rsidR="00522970" w:rsidRPr="00A16D38" w14:paraId="51623976" w14:textId="77777777" w:rsidTr="00BB314F">
        <w:trPr>
          <w:trHeight w:val="283"/>
        </w:trPr>
        <w:tc>
          <w:tcPr>
            <w:tcW w:w="1175" w:type="pct"/>
            <w:vAlign w:val="center"/>
            <w:hideMark/>
          </w:tcPr>
          <w:p w14:paraId="65D7639E" w14:textId="77777777" w:rsidR="00522970" w:rsidRPr="00A16D38" w:rsidRDefault="00522970" w:rsidP="00BB314F">
            <w:pPr>
              <w:spacing w:after="0" w:line="240" w:lineRule="auto"/>
              <w:jc w:val="left"/>
              <w:rPr>
                <w:rFonts w:cs="Segoe UI"/>
                <w:color w:val="000000" w:themeColor="text1"/>
                <w:sz w:val="18"/>
                <w:szCs w:val="18"/>
              </w:rPr>
            </w:pPr>
            <w:r w:rsidRPr="00A16D38">
              <w:rPr>
                <w:rFonts w:cs="Segoe UI"/>
                <w:color w:val="000000" w:themeColor="text1"/>
                <w:sz w:val="18"/>
                <w:szCs w:val="18"/>
              </w:rPr>
              <w:t>MŠVVM SR</w:t>
            </w:r>
          </w:p>
        </w:tc>
        <w:tc>
          <w:tcPr>
            <w:tcW w:w="774" w:type="pct"/>
            <w:vAlign w:val="center"/>
            <w:hideMark/>
          </w:tcPr>
          <w:p w14:paraId="131583DC"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            68 139 </w:t>
            </w:r>
          </w:p>
        </w:tc>
        <w:tc>
          <w:tcPr>
            <w:tcW w:w="626" w:type="pct"/>
            <w:vAlign w:val="center"/>
          </w:tcPr>
          <w:p w14:paraId="3B705222"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110 161</w:t>
            </w:r>
          </w:p>
        </w:tc>
        <w:tc>
          <w:tcPr>
            <w:tcW w:w="626" w:type="pct"/>
            <w:vAlign w:val="center"/>
          </w:tcPr>
          <w:p w14:paraId="5F0BB991"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97 279 </w:t>
            </w:r>
          </w:p>
        </w:tc>
        <w:tc>
          <w:tcPr>
            <w:tcW w:w="939" w:type="pct"/>
            <w:vAlign w:val="center"/>
          </w:tcPr>
          <w:p w14:paraId="5FDAD9FF" w14:textId="77777777" w:rsidR="00522970" w:rsidRPr="00A16D38" w:rsidRDefault="00522970" w:rsidP="00BB314F">
            <w:pPr>
              <w:spacing w:after="0" w:line="240" w:lineRule="auto"/>
              <w:ind w:right="352"/>
              <w:jc w:val="right"/>
              <w:rPr>
                <w:rFonts w:cs="Segoe UI"/>
                <w:color w:val="000000" w:themeColor="text1"/>
                <w:sz w:val="18"/>
                <w:szCs w:val="18"/>
              </w:rPr>
            </w:pPr>
            <w:r w:rsidRPr="00A16D38">
              <w:rPr>
                <w:rFonts w:cs="Segoe UI"/>
                <w:color w:val="000000" w:themeColor="text1"/>
                <w:sz w:val="18"/>
                <w:szCs w:val="18"/>
              </w:rPr>
              <w:t>42,8</w:t>
            </w:r>
            <w:r>
              <w:rPr>
                <w:rFonts w:cs="Segoe UI"/>
                <w:color w:val="000000" w:themeColor="text1"/>
                <w:sz w:val="18"/>
                <w:szCs w:val="18"/>
              </w:rPr>
              <w:t xml:space="preserve"> </w:t>
            </w:r>
            <w:r w:rsidRPr="00A16D38">
              <w:rPr>
                <w:rFonts w:cs="Segoe UI"/>
                <w:color w:val="000000" w:themeColor="text1"/>
                <w:sz w:val="18"/>
                <w:szCs w:val="18"/>
              </w:rPr>
              <w:t>%</w:t>
            </w:r>
          </w:p>
        </w:tc>
        <w:tc>
          <w:tcPr>
            <w:tcW w:w="860" w:type="pct"/>
            <w:vAlign w:val="center"/>
          </w:tcPr>
          <w:p w14:paraId="69EA022C" w14:textId="77777777" w:rsidR="00522970" w:rsidRPr="00A16D38" w:rsidRDefault="00522970" w:rsidP="00BB314F">
            <w:pPr>
              <w:spacing w:after="0" w:line="240" w:lineRule="auto"/>
              <w:ind w:left="351" w:right="352" w:hanging="425"/>
              <w:jc w:val="right"/>
              <w:rPr>
                <w:rFonts w:cs="Segoe UI"/>
                <w:color w:val="000000" w:themeColor="text1"/>
                <w:sz w:val="18"/>
                <w:szCs w:val="18"/>
              </w:rPr>
            </w:pPr>
            <w:r w:rsidRPr="00A16D38">
              <w:rPr>
                <w:rFonts w:cs="Segoe UI"/>
                <w:color w:val="000000" w:themeColor="text1"/>
                <w:sz w:val="18"/>
                <w:szCs w:val="18"/>
              </w:rPr>
              <w:t xml:space="preserve">      29 140 </w:t>
            </w:r>
          </w:p>
        </w:tc>
      </w:tr>
      <w:tr w:rsidR="00522970" w:rsidRPr="00A16D38" w14:paraId="590ABCE3" w14:textId="77777777" w:rsidTr="00BB314F">
        <w:trPr>
          <w:trHeight w:val="283"/>
        </w:trPr>
        <w:tc>
          <w:tcPr>
            <w:tcW w:w="1175" w:type="pct"/>
            <w:vAlign w:val="center"/>
            <w:hideMark/>
          </w:tcPr>
          <w:p w14:paraId="404337CA" w14:textId="77777777" w:rsidR="00522970" w:rsidRPr="00A16D38" w:rsidRDefault="00522970" w:rsidP="00BB314F">
            <w:pPr>
              <w:spacing w:after="0" w:line="240" w:lineRule="auto"/>
              <w:jc w:val="left"/>
              <w:rPr>
                <w:rFonts w:cs="Segoe UI"/>
                <w:color w:val="000000" w:themeColor="text1"/>
                <w:sz w:val="18"/>
                <w:szCs w:val="18"/>
              </w:rPr>
            </w:pPr>
            <w:r w:rsidRPr="00A16D38">
              <w:rPr>
                <w:rFonts w:cs="Segoe UI"/>
                <w:color w:val="000000" w:themeColor="text1"/>
                <w:sz w:val="18"/>
                <w:szCs w:val="18"/>
              </w:rPr>
              <w:t xml:space="preserve">MO SR         </w:t>
            </w:r>
          </w:p>
        </w:tc>
        <w:tc>
          <w:tcPr>
            <w:tcW w:w="774" w:type="pct"/>
            <w:vAlign w:val="center"/>
            <w:hideMark/>
          </w:tcPr>
          <w:p w14:paraId="6DC004A4"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            723 899 </w:t>
            </w:r>
          </w:p>
        </w:tc>
        <w:tc>
          <w:tcPr>
            <w:tcW w:w="626" w:type="pct"/>
            <w:vAlign w:val="center"/>
          </w:tcPr>
          <w:p w14:paraId="7A7EF39F"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679 575</w:t>
            </w:r>
          </w:p>
        </w:tc>
        <w:tc>
          <w:tcPr>
            <w:tcW w:w="626" w:type="pct"/>
            <w:vAlign w:val="center"/>
          </w:tcPr>
          <w:p w14:paraId="73551844"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750 490 </w:t>
            </w:r>
          </w:p>
        </w:tc>
        <w:tc>
          <w:tcPr>
            <w:tcW w:w="939" w:type="pct"/>
            <w:vAlign w:val="center"/>
          </w:tcPr>
          <w:p w14:paraId="2290CC23" w14:textId="77777777" w:rsidR="00522970" w:rsidRPr="00A16D38" w:rsidRDefault="00522970" w:rsidP="00BB314F">
            <w:pPr>
              <w:spacing w:after="0" w:line="240" w:lineRule="auto"/>
              <w:ind w:right="352"/>
              <w:jc w:val="right"/>
              <w:rPr>
                <w:rFonts w:cs="Segoe UI"/>
                <w:color w:val="000000" w:themeColor="text1"/>
                <w:sz w:val="18"/>
                <w:szCs w:val="18"/>
              </w:rPr>
            </w:pPr>
            <w:r w:rsidRPr="00A16D38">
              <w:rPr>
                <w:rFonts w:cs="Segoe UI"/>
                <w:color w:val="000000" w:themeColor="text1"/>
                <w:sz w:val="18"/>
                <w:szCs w:val="18"/>
              </w:rPr>
              <w:t>3,7</w:t>
            </w:r>
            <w:r>
              <w:rPr>
                <w:rFonts w:cs="Segoe UI"/>
                <w:color w:val="000000" w:themeColor="text1"/>
                <w:sz w:val="18"/>
                <w:szCs w:val="18"/>
              </w:rPr>
              <w:t xml:space="preserve"> </w:t>
            </w:r>
            <w:r w:rsidRPr="00A16D38">
              <w:rPr>
                <w:rFonts w:cs="Segoe UI"/>
                <w:color w:val="000000" w:themeColor="text1"/>
                <w:sz w:val="18"/>
                <w:szCs w:val="18"/>
              </w:rPr>
              <w:t>%</w:t>
            </w:r>
          </w:p>
        </w:tc>
        <w:tc>
          <w:tcPr>
            <w:tcW w:w="860" w:type="pct"/>
            <w:vAlign w:val="center"/>
          </w:tcPr>
          <w:p w14:paraId="27F40FB1" w14:textId="77777777" w:rsidR="00522970" w:rsidRPr="00A16D38" w:rsidRDefault="00522970" w:rsidP="00BB314F">
            <w:pPr>
              <w:spacing w:after="0" w:line="240" w:lineRule="auto"/>
              <w:ind w:left="351" w:right="352" w:hanging="425"/>
              <w:jc w:val="right"/>
              <w:rPr>
                <w:rFonts w:cs="Segoe UI"/>
                <w:color w:val="000000" w:themeColor="text1"/>
                <w:sz w:val="18"/>
                <w:szCs w:val="18"/>
              </w:rPr>
            </w:pPr>
            <w:r w:rsidRPr="00A16D38">
              <w:rPr>
                <w:rFonts w:cs="Segoe UI"/>
                <w:color w:val="000000" w:themeColor="text1"/>
                <w:sz w:val="18"/>
                <w:szCs w:val="18"/>
              </w:rPr>
              <w:t xml:space="preserve">      26 591 </w:t>
            </w:r>
          </w:p>
        </w:tc>
      </w:tr>
      <w:tr w:rsidR="00522970" w:rsidRPr="00A16D38" w14:paraId="1C58D0FB" w14:textId="77777777" w:rsidTr="00BB314F">
        <w:trPr>
          <w:trHeight w:val="283"/>
        </w:trPr>
        <w:tc>
          <w:tcPr>
            <w:tcW w:w="1175" w:type="pct"/>
            <w:vAlign w:val="center"/>
            <w:hideMark/>
          </w:tcPr>
          <w:p w14:paraId="0BFD242A" w14:textId="77777777" w:rsidR="00522970" w:rsidRPr="00A16D38" w:rsidRDefault="00522970" w:rsidP="00BB314F">
            <w:pPr>
              <w:spacing w:after="0" w:line="240" w:lineRule="auto"/>
              <w:jc w:val="left"/>
              <w:rPr>
                <w:rFonts w:cs="Segoe UI"/>
                <w:color w:val="000000" w:themeColor="text1"/>
                <w:sz w:val="18"/>
                <w:szCs w:val="18"/>
              </w:rPr>
            </w:pPr>
            <w:r w:rsidRPr="00A16D38">
              <w:rPr>
                <w:rFonts w:cs="Segoe UI"/>
                <w:color w:val="000000" w:themeColor="text1"/>
                <w:sz w:val="18"/>
                <w:szCs w:val="18"/>
              </w:rPr>
              <w:t>SIS</w:t>
            </w:r>
          </w:p>
        </w:tc>
        <w:tc>
          <w:tcPr>
            <w:tcW w:w="774" w:type="pct"/>
            <w:vAlign w:val="center"/>
            <w:hideMark/>
          </w:tcPr>
          <w:p w14:paraId="09610E9E"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              90 288 </w:t>
            </w:r>
          </w:p>
        </w:tc>
        <w:tc>
          <w:tcPr>
            <w:tcW w:w="626" w:type="pct"/>
            <w:vAlign w:val="center"/>
          </w:tcPr>
          <w:p w14:paraId="6B7A6F14"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97 987</w:t>
            </w:r>
          </w:p>
        </w:tc>
        <w:tc>
          <w:tcPr>
            <w:tcW w:w="626" w:type="pct"/>
            <w:vAlign w:val="center"/>
          </w:tcPr>
          <w:p w14:paraId="53044E7F"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97 302 </w:t>
            </w:r>
          </w:p>
        </w:tc>
        <w:tc>
          <w:tcPr>
            <w:tcW w:w="939" w:type="pct"/>
            <w:vAlign w:val="center"/>
          </w:tcPr>
          <w:p w14:paraId="67443E45" w14:textId="77777777" w:rsidR="00522970" w:rsidRPr="00A16D38" w:rsidRDefault="00522970" w:rsidP="00BB314F">
            <w:pPr>
              <w:spacing w:after="0" w:line="240" w:lineRule="auto"/>
              <w:ind w:right="352"/>
              <w:jc w:val="right"/>
              <w:rPr>
                <w:rFonts w:cs="Segoe UI"/>
                <w:color w:val="000000" w:themeColor="text1"/>
                <w:sz w:val="18"/>
                <w:szCs w:val="18"/>
              </w:rPr>
            </w:pPr>
            <w:r w:rsidRPr="00A16D38">
              <w:rPr>
                <w:rFonts w:cs="Segoe UI"/>
                <w:color w:val="000000" w:themeColor="text1"/>
                <w:sz w:val="18"/>
                <w:szCs w:val="18"/>
              </w:rPr>
              <w:t>7,8</w:t>
            </w:r>
            <w:r>
              <w:rPr>
                <w:rFonts w:cs="Segoe UI"/>
                <w:color w:val="000000" w:themeColor="text1"/>
                <w:sz w:val="18"/>
                <w:szCs w:val="18"/>
              </w:rPr>
              <w:t xml:space="preserve"> </w:t>
            </w:r>
            <w:r w:rsidRPr="00A16D38">
              <w:rPr>
                <w:rFonts w:cs="Segoe UI"/>
                <w:color w:val="000000" w:themeColor="text1"/>
                <w:sz w:val="18"/>
                <w:szCs w:val="18"/>
              </w:rPr>
              <w:t>%</w:t>
            </w:r>
          </w:p>
        </w:tc>
        <w:tc>
          <w:tcPr>
            <w:tcW w:w="860" w:type="pct"/>
            <w:vAlign w:val="center"/>
          </w:tcPr>
          <w:p w14:paraId="4015B8A1" w14:textId="77777777" w:rsidR="00522970" w:rsidRPr="00A16D38" w:rsidRDefault="00522970" w:rsidP="00BB314F">
            <w:pPr>
              <w:spacing w:after="0" w:line="240" w:lineRule="auto"/>
              <w:ind w:left="351" w:right="352" w:hanging="425"/>
              <w:jc w:val="right"/>
              <w:rPr>
                <w:rFonts w:cs="Segoe UI"/>
                <w:color w:val="000000" w:themeColor="text1"/>
                <w:sz w:val="18"/>
                <w:szCs w:val="18"/>
              </w:rPr>
            </w:pPr>
            <w:r w:rsidRPr="00A16D38">
              <w:rPr>
                <w:rFonts w:cs="Segoe UI"/>
                <w:color w:val="000000" w:themeColor="text1"/>
                <w:sz w:val="18"/>
                <w:szCs w:val="18"/>
              </w:rPr>
              <w:t xml:space="preserve">        7 014 </w:t>
            </w:r>
          </w:p>
        </w:tc>
      </w:tr>
      <w:tr w:rsidR="00522970" w:rsidRPr="00A16D38" w14:paraId="739FD215" w14:textId="77777777" w:rsidTr="00BB314F">
        <w:trPr>
          <w:trHeight w:val="283"/>
        </w:trPr>
        <w:tc>
          <w:tcPr>
            <w:tcW w:w="1175" w:type="pct"/>
            <w:vAlign w:val="center"/>
            <w:hideMark/>
          </w:tcPr>
          <w:p w14:paraId="1655F485" w14:textId="77777777" w:rsidR="00522970" w:rsidRPr="00A16D38" w:rsidRDefault="00522970" w:rsidP="00BB314F">
            <w:pPr>
              <w:spacing w:after="0" w:line="240" w:lineRule="auto"/>
              <w:jc w:val="left"/>
              <w:rPr>
                <w:rFonts w:cs="Segoe UI"/>
                <w:color w:val="000000" w:themeColor="text1"/>
                <w:sz w:val="18"/>
                <w:szCs w:val="18"/>
              </w:rPr>
            </w:pPr>
            <w:r w:rsidRPr="00A16D38">
              <w:rPr>
                <w:rFonts w:cs="Segoe UI"/>
                <w:color w:val="000000" w:themeColor="text1"/>
                <w:sz w:val="18"/>
                <w:szCs w:val="18"/>
              </w:rPr>
              <w:t xml:space="preserve">ÚPÚPaV SR </w:t>
            </w:r>
          </w:p>
        </w:tc>
        <w:tc>
          <w:tcPr>
            <w:tcW w:w="774" w:type="pct"/>
            <w:vAlign w:val="center"/>
            <w:hideMark/>
          </w:tcPr>
          <w:p w14:paraId="7A9242CB"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              12 967 </w:t>
            </w:r>
          </w:p>
        </w:tc>
        <w:tc>
          <w:tcPr>
            <w:tcW w:w="626" w:type="pct"/>
            <w:vAlign w:val="center"/>
          </w:tcPr>
          <w:p w14:paraId="58195397"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12 937</w:t>
            </w:r>
          </w:p>
        </w:tc>
        <w:tc>
          <w:tcPr>
            <w:tcW w:w="626" w:type="pct"/>
            <w:vAlign w:val="center"/>
          </w:tcPr>
          <w:p w14:paraId="5EA8ACC8"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15 629 </w:t>
            </w:r>
          </w:p>
        </w:tc>
        <w:tc>
          <w:tcPr>
            <w:tcW w:w="939" w:type="pct"/>
            <w:vAlign w:val="center"/>
          </w:tcPr>
          <w:p w14:paraId="07F96833" w14:textId="77777777" w:rsidR="00522970" w:rsidRPr="00A16D38" w:rsidRDefault="00522970" w:rsidP="00BB314F">
            <w:pPr>
              <w:spacing w:after="0" w:line="240" w:lineRule="auto"/>
              <w:ind w:right="352"/>
              <w:jc w:val="right"/>
              <w:rPr>
                <w:rFonts w:cs="Segoe UI"/>
                <w:color w:val="000000" w:themeColor="text1"/>
                <w:sz w:val="18"/>
                <w:szCs w:val="18"/>
              </w:rPr>
            </w:pPr>
            <w:r w:rsidRPr="00A16D38">
              <w:rPr>
                <w:rFonts w:cs="Segoe UI"/>
                <w:color w:val="000000" w:themeColor="text1"/>
                <w:sz w:val="18"/>
                <w:szCs w:val="18"/>
              </w:rPr>
              <w:t>20,5</w:t>
            </w:r>
            <w:r>
              <w:rPr>
                <w:rFonts w:cs="Segoe UI"/>
                <w:color w:val="000000" w:themeColor="text1"/>
                <w:sz w:val="18"/>
                <w:szCs w:val="18"/>
              </w:rPr>
              <w:t xml:space="preserve"> </w:t>
            </w:r>
            <w:r w:rsidRPr="00A16D38">
              <w:rPr>
                <w:rFonts w:cs="Segoe UI"/>
                <w:color w:val="000000" w:themeColor="text1"/>
                <w:sz w:val="18"/>
                <w:szCs w:val="18"/>
              </w:rPr>
              <w:t>%</w:t>
            </w:r>
          </w:p>
        </w:tc>
        <w:tc>
          <w:tcPr>
            <w:tcW w:w="860" w:type="pct"/>
            <w:vAlign w:val="center"/>
          </w:tcPr>
          <w:p w14:paraId="061F2374" w14:textId="77777777" w:rsidR="00522970" w:rsidRPr="00A16D38" w:rsidRDefault="00522970" w:rsidP="00BB314F">
            <w:pPr>
              <w:spacing w:after="0" w:line="240" w:lineRule="auto"/>
              <w:ind w:left="351" w:right="352" w:hanging="425"/>
              <w:jc w:val="right"/>
              <w:rPr>
                <w:rFonts w:cs="Segoe UI"/>
                <w:color w:val="000000" w:themeColor="text1"/>
                <w:sz w:val="18"/>
                <w:szCs w:val="18"/>
              </w:rPr>
            </w:pPr>
            <w:r w:rsidRPr="00A16D38">
              <w:rPr>
                <w:rFonts w:cs="Segoe UI"/>
                <w:color w:val="000000" w:themeColor="text1"/>
                <w:sz w:val="18"/>
                <w:szCs w:val="18"/>
              </w:rPr>
              <w:t xml:space="preserve">        2 662 </w:t>
            </w:r>
          </w:p>
        </w:tc>
      </w:tr>
      <w:tr w:rsidR="00522970" w:rsidRPr="00A16D38" w14:paraId="6155B48C" w14:textId="77777777" w:rsidTr="00BB314F">
        <w:trPr>
          <w:trHeight w:val="283"/>
        </w:trPr>
        <w:tc>
          <w:tcPr>
            <w:tcW w:w="1175" w:type="pct"/>
            <w:tcBorders>
              <w:bottom w:val="single" w:sz="4" w:space="0" w:color="314364" w:themeColor="text2"/>
            </w:tcBorders>
            <w:vAlign w:val="center"/>
            <w:hideMark/>
          </w:tcPr>
          <w:p w14:paraId="554B71A1" w14:textId="77777777" w:rsidR="00522970" w:rsidRPr="00A16D38" w:rsidRDefault="00522970" w:rsidP="00BB314F">
            <w:pPr>
              <w:spacing w:after="0" w:line="240" w:lineRule="auto"/>
              <w:jc w:val="left"/>
              <w:rPr>
                <w:rFonts w:cs="Segoe UI"/>
                <w:color w:val="000000" w:themeColor="text1"/>
                <w:sz w:val="18"/>
                <w:szCs w:val="18"/>
              </w:rPr>
            </w:pPr>
            <w:r w:rsidRPr="00A16D38">
              <w:rPr>
                <w:rFonts w:cs="Segoe UI"/>
                <w:color w:val="000000" w:themeColor="text1"/>
                <w:sz w:val="18"/>
                <w:szCs w:val="18"/>
              </w:rPr>
              <w:t>Ostatné kapitoly</w:t>
            </w:r>
          </w:p>
        </w:tc>
        <w:tc>
          <w:tcPr>
            <w:tcW w:w="774" w:type="pct"/>
            <w:tcBorders>
              <w:bottom w:val="single" w:sz="4" w:space="0" w:color="314364" w:themeColor="text2"/>
            </w:tcBorders>
            <w:vAlign w:val="center"/>
            <w:hideMark/>
          </w:tcPr>
          <w:p w14:paraId="4A530D06"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            939 964 </w:t>
            </w:r>
          </w:p>
        </w:tc>
        <w:tc>
          <w:tcPr>
            <w:tcW w:w="626" w:type="pct"/>
            <w:vAlign w:val="center"/>
          </w:tcPr>
          <w:p w14:paraId="6F27695B"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960 949</w:t>
            </w:r>
          </w:p>
        </w:tc>
        <w:tc>
          <w:tcPr>
            <w:tcW w:w="626" w:type="pct"/>
            <w:tcBorders>
              <w:bottom w:val="single" w:sz="4" w:space="0" w:color="314364" w:themeColor="text2"/>
            </w:tcBorders>
            <w:vAlign w:val="center"/>
          </w:tcPr>
          <w:p w14:paraId="5601C184" w14:textId="77777777" w:rsidR="00522970" w:rsidRPr="00A16D38" w:rsidRDefault="00522970" w:rsidP="00BB314F">
            <w:pPr>
              <w:spacing w:after="0" w:line="240" w:lineRule="auto"/>
              <w:jc w:val="right"/>
              <w:rPr>
                <w:rFonts w:cs="Segoe UI"/>
                <w:color w:val="000000" w:themeColor="text1"/>
                <w:sz w:val="18"/>
                <w:szCs w:val="18"/>
              </w:rPr>
            </w:pPr>
            <w:r w:rsidRPr="00A16D38">
              <w:rPr>
                <w:rFonts w:cs="Segoe UI"/>
                <w:color w:val="000000" w:themeColor="text1"/>
                <w:sz w:val="18"/>
                <w:szCs w:val="18"/>
              </w:rPr>
              <w:t xml:space="preserve">861 550 </w:t>
            </w:r>
          </w:p>
        </w:tc>
        <w:tc>
          <w:tcPr>
            <w:tcW w:w="939" w:type="pct"/>
            <w:tcBorders>
              <w:bottom w:val="single" w:sz="4" w:space="0" w:color="314364" w:themeColor="text2"/>
            </w:tcBorders>
            <w:vAlign w:val="center"/>
          </w:tcPr>
          <w:p w14:paraId="1C69CFBA" w14:textId="77777777" w:rsidR="00522970" w:rsidRPr="00A16D38" w:rsidRDefault="00522970" w:rsidP="00BB314F">
            <w:pPr>
              <w:spacing w:after="0" w:line="240" w:lineRule="auto"/>
              <w:ind w:right="352"/>
              <w:jc w:val="right"/>
              <w:rPr>
                <w:rFonts w:cs="Segoe UI"/>
                <w:color w:val="000000" w:themeColor="text1"/>
                <w:sz w:val="18"/>
                <w:szCs w:val="18"/>
              </w:rPr>
            </w:pPr>
            <w:r w:rsidRPr="00A16D38">
              <w:rPr>
                <w:rFonts w:cs="Segoe UI"/>
                <w:color w:val="000000" w:themeColor="text1"/>
                <w:sz w:val="18"/>
                <w:szCs w:val="18"/>
              </w:rPr>
              <w:t>-8,3</w:t>
            </w:r>
            <w:r>
              <w:rPr>
                <w:rFonts w:cs="Segoe UI"/>
                <w:color w:val="000000" w:themeColor="text1"/>
                <w:sz w:val="18"/>
                <w:szCs w:val="18"/>
              </w:rPr>
              <w:t xml:space="preserve"> </w:t>
            </w:r>
            <w:r w:rsidRPr="00A16D38">
              <w:rPr>
                <w:rFonts w:cs="Segoe UI"/>
                <w:color w:val="000000" w:themeColor="text1"/>
                <w:sz w:val="18"/>
                <w:szCs w:val="18"/>
              </w:rPr>
              <w:t>%</w:t>
            </w:r>
          </w:p>
        </w:tc>
        <w:tc>
          <w:tcPr>
            <w:tcW w:w="860" w:type="pct"/>
            <w:tcBorders>
              <w:bottom w:val="single" w:sz="4" w:space="0" w:color="314364" w:themeColor="text2"/>
            </w:tcBorders>
            <w:vAlign w:val="center"/>
          </w:tcPr>
          <w:p w14:paraId="2252E631" w14:textId="77777777" w:rsidR="00522970" w:rsidRPr="00A16D38" w:rsidRDefault="00522970" w:rsidP="00BB314F">
            <w:pPr>
              <w:spacing w:after="0" w:line="240" w:lineRule="auto"/>
              <w:ind w:left="351" w:right="352" w:hanging="425"/>
              <w:jc w:val="right"/>
              <w:rPr>
                <w:rFonts w:cs="Segoe UI"/>
                <w:color w:val="000000" w:themeColor="text1"/>
                <w:sz w:val="18"/>
                <w:szCs w:val="18"/>
              </w:rPr>
            </w:pPr>
            <w:r w:rsidRPr="00A16D38">
              <w:rPr>
                <w:rFonts w:cs="Segoe UI"/>
                <w:color w:val="000000" w:themeColor="text1"/>
                <w:sz w:val="18"/>
                <w:szCs w:val="18"/>
              </w:rPr>
              <w:t xml:space="preserve">-    78 414 </w:t>
            </w:r>
          </w:p>
        </w:tc>
      </w:tr>
    </w:tbl>
    <w:p w14:paraId="2FFC5B64" w14:textId="2B974C5B" w:rsidR="00522970" w:rsidRDefault="00522970" w:rsidP="00522970">
      <w:pPr>
        <w:pStyle w:val="Zdroj"/>
      </w:pPr>
      <w:r>
        <w:t>Z</w:t>
      </w:r>
      <w:r w:rsidRPr="006647A7">
        <w:t>droj</w:t>
      </w:r>
      <w:r>
        <w:t>: MF SR.</w:t>
      </w:r>
    </w:p>
    <w:p w14:paraId="14251D99" w14:textId="5095EA76" w:rsidR="00522970" w:rsidRDefault="00522970" w:rsidP="00522970">
      <w:pPr>
        <w:rPr>
          <w:rFonts w:cs="Segoe UI"/>
          <w:color w:val="000000" w:themeColor="text1"/>
          <w:szCs w:val="20"/>
        </w:rPr>
      </w:pPr>
      <w:r w:rsidRPr="00BB314F">
        <w:rPr>
          <w:rFonts w:cs="Segoe UI"/>
          <w:b/>
          <w:color w:val="000000" w:themeColor="text1"/>
          <w:szCs w:val="20"/>
        </w:rPr>
        <w:t>Z hľadiska štruktúry tovarov a služieb</w:t>
      </w:r>
      <w:r w:rsidRPr="003D2A95">
        <w:rPr>
          <w:rFonts w:cs="Segoe UI"/>
          <w:color w:val="000000" w:themeColor="text1"/>
          <w:szCs w:val="20"/>
        </w:rPr>
        <w:t xml:space="preserve"> </w:t>
      </w:r>
      <w:r>
        <w:rPr>
          <w:rFonts w:cs="Segoe UI"/>
          <w:color w:val="000000" w:themeColor="text1"/>
          <w:szCs w:val="20"/>
        </w:rPr>
        <w:t xml:space="preserve">(graf 19) </w:t>
      </w:r>
      <w:r w:rsidRPr="00BB314F">
        <w:rPr>
          <w:rFonts w:cs="Segoe UI"/>
          <w:b/>
          <w:color w:val="000000" w:themeColor="text1"/>
          <w:szCs w:val="20"/>
        </w:rPr>
        <w:t>najvýraznejšie rástli</w:t>
      </w:r>
      <w:r w:rsidRPr="003D2A95">
        <w:rPr>
          <w:rFonts w:cs="Segoe UI"/>
          <w:color w:val="000000" w:themeColor="text1"/>
          <w:szCs w:val="20"/>
        </w:rPr>
        <w:t xml:space="preserve"> </w:t>
      </w:r>
      <w:r w:rsidRPr="00522970">
        <w:rPr>
          <w:rFonts w:cs="Segoe UI"/>
          <w:b/>
          <w:bCs/>
          <w:color w:val="000000" w:themeColor="text1"/>
          <w:szCs w:val="20"/>
        </w:rPr>
        <w:t>výdavky</w:t>
      </w:r>
      <w:r w:rsidRPr="003D2A95">
        <w:rPr>
          <w:rFonts w:cs="Segoe UI"/>
          <w:b/>
          <w:bCs/>
          <w:color w:val="000000" w:themeColor="text1"/>
          <w:szCs w:val="20"/>
        </w:rPr>
        <w:t xml:space="preserve"> na </w:t>
      </w:r>
      <w:r w:rsidRPr="0094251F">
        <w:rPr>
          <w:rFonts w:cs="Segoe UI"/>
          <w:b/>
          <w:bCs/>
          <w:color w:val="000000" w:themeColor="text1"/>
          <w:szCs w:val="20"/>
        </w:rPr>
        <w:t>služby</w:t>
      </w:r>
      <w:r>
        <w:rPr>
          <w:rFonts w:cs="Segoe UI"/>
          <w:b/>
          <w:bCs/>
          <w:color w:val="000000" w:themeColor="text1"/>
          <w:szCs w:val="20"/>
        </w:rPr>
        <w:t>, ktoré</w:t>
      </w:r>
      <w:r w:rsidRPr="0094251F">
        <w:rPr>
          <w:rFonts w:cs="Segoe UI"/>
          <w:b/>
          <w:bCs/>
          <w:color w:val="000000" w:themeColor="text1"/>
          <w:szCs w:val="20"/>
        </w:rPr>
        <w:t xml:space="preserve"> </w:t>
      </w:r>
      <w:r>
        <w:rPr>
          <w:rFonts w:cs="Segoe UI"/>
          <w:b/>
          <w:bCs/>
          <w:color w:val="000000" w:themeColor="text1"/>
          <w:szCs w:val="20"/>
        </w:rPr>
        <w:t>dosiahli</w:t>
      </w:r>
      <w:r w:rsidRPr="0094251F">
        <w:rPr>
          <w:rFonts w:cs="Segoe UI"/>
          <w:b/>
          <w:bCs/>
          <w:color w:val="000000" w:themeColor="text1"/>
          <w:szCs w:val="20"/>
        </w:rPr>
        <w:t xml:space="preserve"> 1,26 m</w:t>
      </w:r>
      <w:r>
        <w:rPr>
          <w:rFonts w:cs="Segoe UI"/>
          <w:b/>
          <w:bCs/>
          <w:color w:val="000000" w:themeColor="text1"/>
          <w:szCs w:val="20"/>
        </w:rPr>
        <w:t>ld.</w:t>
      </w:r>
      <w:r w:rsidRPr="0094251F">
        <w:rPr>
          <w:rFonts w:cs="Segoe UI"/>
          <w:b/>
          <w:bCs/>
          <w:color w:val="000000" w:themeColor="text1"/>
          <w:szCs w:val="20"/>
        </w:rPr>
        <w:t xml:space="preserve"> eur</w:t>
      </w:r>
      <w:r>
        <w:rPr>
          <w:rFonts w:cs="Segoe UI"/>
          <w:b/>
          <w:bCs/>
          <w:color w:val="000000" w:themeColor="text1"/>
          <w:szCs w:val="20"/>
        </w:rPr>
        <w:t xml:space="preserve"> </w:t>
      </w:r>
      <w:r w:rsidRPr="00BB314F">
        <w:rPr>
          <w:rFonts w:cs="Segoe UI"/>
          <w:bCs/>
          <w:color w:val="000000" w:themeColor="text1"/>
          <w:szCs w:val="20"/>
        </w:rPr>
        <w:t>(</w:t>
      </w:r>
      <w:r>
        <w:rPr>
          <w:rFonts w:cs="Segoe UI"/>
          <w:bCs/>
          <w:color w:val="000000" w:themeColor="text1"/>
          <w:szCs w:val="20"/>
        </w:rPr>
        <w:t>vyše</w:t>
      </w:r>
      <w:r w:rsidRPr="00BB314F">
        <w:rPr>
          <w:rFonts w:cs="Segoe UI"/>
          <w:bCs/>
          <w:color w:val="000000" w:themeColor="text1"/>
          <w:szCs w:val="20"/>
        </w:rPr>
        <w:t xml:space="preserve"> polovic</w:t>
      </w:r>
      <w:r>
        <w:rPr>
          <w:rFonts w:cs="Segoe UI"/>
          <w:bCs/>
          <w:color w:val="000000" w:themeColor="text1"/>
          <w:szCs w:val="20"/>
        </w:rPr>
        <w:t>u</w:t>
      </w:r>
      <w:r w:rsidRPr="00BB314F">
        <w:rPr>
          <w:rFonts w:cs="Segoe UI"/>
          <w:bCs/>
          <w:color w:val="000000" w:themeColor="text1"/>
          <w:szCs w:val="20"/>
        </w:rPr>
        <w:t xml:space="preserve"> celej kategórie)</w:t>
      </w:r>
      <w:r w:rsidRPr="00522970">
        <w:rPr>
          <w:rFonts w:cs="Segoe UI"/>
          <w:b/>
          <w:color w:val="000000" w:themeColor="text1"/>
          <w:szCs w:val="20"/>
        </w:rPr>
        <w:t xml:space="preserve">. </w:t>
      </w:r>
      <w:r>
        <w:rPr>
          <w:rFonts w:cs="Segoe UI"/>
          <w:bCs/>
          <w:color w:val="000000" w:themeColor="text1"/>
          <w:szCs w:val="20"/>
        </w:rPr>
        <w:t>Významný rast zaznamenalo aj</w:t>
      </w:r>
      <w:r w:rsidRPr="0094251F">
        <w:rPr>
          <w:rFonts w:cs="Segoe UI"/>
          <w:b/>
          <w:bCs/>
          <w:color w:val="000000" w:themeColor="text1"/>
          <w:szCs w:val="20"/>
        </w:rPr>
        <w:t> </w:t>
      </w:r>
      <w:r w:rsidRPr="00BB314F">
        <w:rPr>
          <w:rFonts w:cs="Segoe UI"/>
          <w:bCs/>
          <w:color w:val="000000" w:themeColor="text1"/>
          <w:szCs w:val="20"/>
        </w:rPr>
        <w:t>nájomné</w:t>
      </w:r>
      <w:r>
        <w:rPr>
          <w:rFonts w:cs="Segoe UI"/>
          <w:bCs/>
          <w:color w:val="000000" w:themeColor="text1"/>
          <w:szCs w:val="20"/>
        </w:rPr>
        <w:t xml:space="preserve">, ktoré medziročne vzrástlo o 21,2 % </w:t>
      </w:r>
      <w:r w:rsidRPr="00BB314F">
        <w:rPr>
          <w:rFonts w:cs="Segoe UI"/>
          <w:bCs/>
          <w:color w:val="000000" w:themeColor="text1"/>
          <w:szCs w:val="20"/>
        </w:rPr>
        <w:t>na 106 mil</w:t>
      </w:r>
      <w:r>
        <w:rPr>
          <w:rFonts w:cs="Segoe UI"/>
          <w:bCs/>
          <w:color w:val="000000" w:themeColor="text1"/>
          <w:szCs w:val="20"/>
        </w:rPr>
        <w:t>.</w:t>
      </w:r>
      <w:r w:rsidRPr="00BB314F">
        <w:rPr>
          <w:rFonts w:cs="Segoe UI"/>
          <w:bCs/>
          <w:color w:val="000000" w:themeColor="text1"/>
          <w:szCs w:val="20"/>
        </w:rPr>
        <w:t xml:space="preserve"> eur</w:t>
      </w:r>
      <w:r>
        <w:rPr>
          <w:rFonts w:cs="Segoe UI"/>
          <w:bCs/>
          <w:color w:val="000000" w:themeColor="text1"/>
          <w:szCs w:val="20"/>
        </w:rPr>
        <w:t>.</w:t>
      </w:r>
      <w:r w:rsidRPr="0094251F">
        <w:rPr>
          <w:rFonts w:cs="Segoe UI"/>
          <w:b/>
          <w:bCs/>
          <w:color w:val="000000" w:themeColor="text1"/>
          <w:szCs w:val="20"/>
        </w:rPr>
        <w:t xml:space="preserve"> </w:t>
      </w:r>
      <w:r>
        <w:rPr>
          <w:rFonts w:cs="Segoe UI"/>
          <w:color w:val="000000" w:themeColor="text1"/>
          <w:szCs w:val="20"/>
        </w:rPr>
        <w:t xml:space="preserve">Tento vývoj </w:t>
      </w:r>
      <w:r w:rsidRPr="003D2A95">
        <w:rPr>
          <w:rFonts w:cs="Segoe UI"/>
          <w:color w:val="000000" w:themeColor="text1"/>
          <w:szCs w:val="20"/>
        </w:rPr>
        <w:t xml:space="preserve">potvrdzuje dlhodobý trend rastu prenájmov vo </w:t>
      </w:r>
      <w:r>
        <w:rPr>
          <w:rFonts w:cs="Segoe UI"/>
          <w:color w:val="000000" w:themeColor="text1"/>
          <w:szCs w:val="20"/>
        </w:rPr>
        <w:t>VS (box 3)</w:t>
      </w:r>
      <w:r w:rsidRPr="003D2A95">
        <w:rPr>
          <w:rFonts w:cs="Segoe UI"/>
          <w:color w:val="000000" w:themeColor="text1"/>
          <w:szCs w:val="20"/>
        </w:rPr>
        <w:t>.</w:t>
      </w:r>
    </w:p>
    <w:p w14:paraId="34CC49F6" w14:textId="77777777" w:rsidR="00847B9D" w:rsidRDefault="00847B9D" w:rsidP="00522970">
      <w:pPr>
        <w:rPr>
          <w:rFonts w:cs="Segoe UI"/>
          <w:color w:val="000000" w:themeColor="text1"/>
          <w:szCs w:val="20"/>
        </w:rPr>
      </w:pPr>
    </w:p>
    <w:p w14:paraId="19E09735" w14:textId="77777777" w:rsidR="00847B9D" w:rsidRDefault="00847B9D" w:rsidP="00522970">
      <w:pPr>
        <w:rPr>
          <w:rFonts w:cs="Segoe UI"/>
          <w:color w:val="000000" w:themeColor="text1"/>
          <w:szCs w:val="20"/>
        </w:rPr>
      </w:pPr>
    </w:p>
    <w:p w14:paraId="4B08C3A8" w14:textId="77777777" w:rsidR="00847B9D" w:rsidRDefault="00847B9D" w:rsidP="00522970">
      <w:pPr>
        <w:rPr>
          <w:rFonts w:cs="Segoe UI"/>
          <w:color w:val="000000" w:themeColor="text1"/>
          <w:szCs w:val="20"/>
        </w:rPr>
      </w:pPr>
    </w:p>
    <w:p w14:paraId="7EA5E40E" w14:textId="77777777" w:rsidR="00847B9D" w:rsidRDefault="00847B9D" w:rsidP="00522970">
      <w:pPr>
        <w:rPr>
          <w:rFonts w:cs="Segoe UI"/>
          <w:color w:val="000000" w:themeColor="text1"/>
          <w:szCs w:val="20"/>
        </w:rPr>
      </w:pPr>
    </w:p>
    <w:p w14:paraId="33343DC0" w14:textId="77777777" w:rsidR="00847B9D" w:rsidRDefault="00847B9D" w:rsidP="00522970">
      <w:pPr>
        <w:rPr>
          <w:rFonts w:cs="Segoe UI"/>
          <w:color w:val="000000" w:themeColor="text1"/>
          <w:szCs w:val="20"/>
        </w:rPr>
      </w:pPr>
    </w:p>
    <w:p w14:paraId="6E9B7E04" w14:textId="77777777" w:rsidR="00847B9D" w:rsidRDefault="00847B9D" w:rsidP="00522970">
      <w:pPr>
        <w:rPr>
          <w:rFonts w:cs="Segoe UI"/>
          <w:color w:val="000000" w:themeColor="text1"/>
          <w:szCs w:val="20"/>
        </w:rPr>
      </w:pPr>
    </w:p>
    <w:p w14:paraId="19478906" w14:textId="77777777" w:rsidR="00847B9D" w:rsidRDefault="00847B9D" w:rsidP="00522970">
      <w:pPr>
        <w:rPr>
          <w:rFonts w:cs="Segoe UI"/>
          <w:color w:val="000000" w:themeColor="text1"/>
          <w:szCs w:val="20"/>
        </w:rPr>
      </w:pPr>
    </w:p>
    <w:p w14:paraId="3AE47CE9" w14:textId="77777777" w:rsidR="00522970" w:rsidRPr="003D2A95" w:rsidRDefault="00522970" w:rsidP="00522970">
      <w:pPr>
        <w:spacing w:after="0"/>
        <w:rPr>
          <w:rFonts w:cs="Segoe UI"/>
          <w:b/>
          <w:bCs/>
          <w:color w:val="000000" w:themeColor="text1"/>
          <w:szCs w:val="20"/>
        </w:rPr>
      </w:pPr>
      <w:r>
        <w:rPr>
          <w:b/>
          <w:iCs/>
          <w:color w:val="314364"/>
          <w:szCs w:val="18"/>
        </w:rPr>
        <w:lastRenderedPageBreak/>
        <w:t>Graf 19: Rast b</w:t>
      </w:r>
      <w:r w:rsidRPr="00631736">
        <w:rPr>
          <w:b/>
          <w:iCs/>
          <w:color w:val="314364"/>
          <w:szCs w:val="18"/>
        </w:rPr>
        <w:t>ežn</w:t>
      </w:r>
      <w:r>
        <w:rPr>
          <w:b/>
          <w:iCs/>
          <w:color w:val="314364"/>
          <w:szCs w:val="18"/>
        </w:rPr>
        <w:t>ých</w:t>
      </w:r>
      <w:r w:rsidRPr="00631736">
        <w:rPr>
          <w:b/>
          <w:iCs/>
          <w:color w:val="314364"/>
          <w:szCs w:val="18"/>
        </w:rPr>
        <w:t xml:space="preserve"> výdavk</w:t>
      </w:r>
      <w:r>
        <w:rPr>
          <w:b/>
          <w:iCs/>
          <w:color w:val="314364"/>
          <w:szCs w:val="18"/>
        </w:rPr>
        <w:t>ov</w:t>
      </w:r>
      <w:r w:rsidRPr="00631736">
        <w:rPr>
          <w:b/>
          <w:iCs/>
          <w:color w:val="314364"/>
          <w:szCs w:val="18"/>
        </w:rPr>
        <w:t xml:space="preserve"> štátneho rozpočtu</w:t>
      </w:r>
      <w:r>
        <w:rPr>
          <w:b/>
          <w:iCs/>
          <w:color w:val="314364"/>
          <w:szCs w:val="18"/>
        </w:rPr>
        <w:t xml:space="preserve"> </w:t>
      </w:r>
      <w:r w:rsidRPr="001C68C1">
        <w:rPr>
          <w:b/>
          <w:iCs/>
          <w:color w:val="314364"/>
          <w:szCs w:val="18"/>
        </w:rPr>
        <w:t>podľa druhu tovaru a služby (v mil.</w:t>
      </w:r>
      <w:r>
        <w:rPr>
          <w:b/>
          <w:iCs/>
          <w:color w:val="314364"/>
          <w:szCs w:val="18"/>
        </w:rPr>
        <w:t xml:space="preserve"> eur)</w:t>
      </w:r>
    </w:p>
    <w:tbl>
      <w:tblPr>
        <w:tblStyle w:val="Mriekatabuky"/>
        <w:tblW w:w="5000" w:type="pct"/>
        <w:tblBorders>
          <w:left w:val="none" w:sz="0" w:space="0" w:color="auto"/>
          <w:right w:val="none" w:sz="0" w:space="0" w:color="auto"/>
        </w:tblBorders>
        <w:tblCellMar>
          <w:left w:w="70" w:type="dxa"/>
          <w:right w:w="70" w:type="dxa"/>
        </w:tblCellMar>
        <w:tblLook w:val="04A0" w:firstRow="1" w:lastRow="0" w:firstColumn="1" w:lastColumn="0" w:noHBand="0" w:noVBand="1"/>
      </w:tblPr>
      <w:tblGrid>
        <w:gridCol w:w="9070"/>
      </w:tblGrid>
      <w:tr w:rsidR="00522970" w14:paraId="048B6AD3" w14:textId="77777777" w:rsidTr="00BB314F">
        <w:trPr>
          <w:trHeight w:val="2835"/>
        </w:trPr>
        <w:tc>
          <w:tcPr>
            <w:tcW w:w="5000" w:type="pct"/>
          </w:tcPr>
          <w:p w14:paraId="6A98D760" w14:textId="77777777" w:rsidR="00522970" w:rsidRDefault="00522970" w:rsidP="00BB314F">
            <w:pPr>
              <w:spacing w:after="0"/>
              <w:jc w:val="left"/>
              <w:rPr>
                <w:b/>
                <w:iCs/>
                <w:color w:val="314364"/>
                <w:szCs w:val="18"/>
              </w:rPr>
            </w:pPr>
            <w:r>
              <w:rPr>
                <w:noProof/>
                <w:lang w:eastAsia="sk-SK"/>
                <w14:ligatures w14:val="standardContextual"/>
              </w:rPr>
              <w:drawing>
                <wp:inline distT="0" distB="0" distL="0" distR="0" wp14:anchorId="23AB00AE" wp14:editId="7245CDE1">
                  <wp:extent cx="5724525" cy="1799590"/>
                  <wp:effectExtent l="0" t="0" r="0" b="0"/>
                  <wp:docPr id="864352284" name="Graf 1">
                    <a:extLst xmlns:a="http://schemas.openxmlformats.org/drawingml/2006/main">
                      <a:ext uri="{FF2B5EF4-FFF2-40B4-BE49-F238E27FC236}">
                        <a16:creationId xmlns:a16="http://schemas.microsoft.com/office/drawing/2014/main" id="{E26B319F-2314-408D-811E-753D5A3D16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bl>
    <w:p w14:paraId="738DD82C" w14:textId="7AF81331" w:rsidR="00522970" w:rsidRDefault="00522970" w:rsidP="00522970">
      <w:pPr>
        <w:pStyle w:val="Zdroj"/>
      </w:pPr>
      <w:r w:rsidRPr="006647A7">
        <w:t xml:space="preserve">Zdroj: </w:t>
      </w:r>
      <w:r>
        <w:t>NRVS, ŠZÚ.</w:t>
      </w:r>
    </w:p>
    <w:tbl>
      <w:tblPr>
        <w:tblStyle w:val="Mriekatabuky"/>
        <w:tblW w:w="0" w:type="auto"/>
        <w:tblBorders>
          <w:top w:val="single" w:sz="4" w:space="0" w:color="314364" w:themeColor="text2"/>
          <w:left w:val="single" w:sz="4" w:space="0" w:color="314364" w:themeColor="text2"/>
          <w:bottom w:val="single" w:sz="4" w:space="0" w:color="314364" w:themeColor="text2"/>
          <w:right w:val="single" w:sz="4" w:space="0" w:color="314364" w:themeColor="text2"/>
          <w:insideH w:val="none" w:sz="0" w:space="0" w:color="auto"/>
          <w:insideV w:val="none" w:sz="0" w:space="0" w:color="auto"/>
        </w:tblBorders>
        <w:shd w:val="clear" w:color="auto" w:fill="EBF0FB" w:themeFill="background2" w:themeFillTint="33"/>
        <w:tblLook w:val="04A0" w:firstRow="1" w:lastRow="0" w:firstColumn="1" w:lastColumn="0" w:noHBand="0" w:noVBand="1"/>
      </w:tblPr>
      <w:tblGrid>
        <w:gridCol w:w="9060"/>
      </w:tblGrid>
      <w:tr w:rsidR="00522970" w14:paraId="52D07977" w14:textId="77777777" w:rsidTr="00522970">
        <w:trPr>
          <w:trHeight w:val="2841"/>
        </w:trPr>
        <w:tc>
          <w:tcPr>
            <w:tcW w:w="9060" w:type="dxa"/>
            <w:shd w:val="clear" w:color="auto" w:fill="EBF0FB" w:themeFill="background2" w:themeFillTint="33"/>
          </w:tcPr>
          <w:p w14:paraId="73D80FAA" w14:textId="6FE882BC" w:rsidR="00522970" w:rsidRPr="00A13B95" w:rsidRDefault="00522970" w:rsidP="00BB314F">
            <w:pPr>
              <w:rPr>
                <w:rFonts w:cs="Segoe UI"/>
                <w:b/>
                <w:bCs/>
                <w:color w:val="000000" w:themeColor="text1"/>
                <w:szCs w:val="20"/>
              </w:rPr>
            </w:pPr>
            <w:r w:rsidRPr="00A13B95">
              <w:rPr>
                <w:rFonts w:cs="Segoe UI"/>
                <w:b/>
                <w:bCs/>
                <w:color w:val="000000" w:themeColor="text1"/>
                <w:szCs w:val="20"/>
              </w:rPr>
              <w:t>BOX 3:</w:t>
            </w:r>
            <w:r w:rsidR="00A13B95" w:rsidRPr="00A13B95">
              <w:rPr>
                <w:rFonts w:cs="Segoe UI"/>
                <w:b/>
                <w:bCs/>
                <w:color w:val="000000" w:themeColor="text1"/>
                <w:szCs w:val="20"/>
              </w:rPr>
              <w:t xml:space="preserve"> Prenajímanie nehnuteľností namiesto správy vlastných budov</w:t>
            </w:r>
          </w:p>
          <w:p w14:paraId="2069F031" w14:textId="77777777" w:rsidR="00522970" w:rsidRDefault="00522970" w:rsidP="00BB314F">
            <w:pPr>
              <w:rPr>
                <w:rFonts w:cs="Segoe UI"/>
                <w:color w:val="000000" w:themeColor="text1"/>
                <w:sz w:val="18"/>
                <w:szCs w:val="20"/>
              </w:rPr>
            </w:pPr>
            <w:r w:rsidRPr="00122CA4">
              <w:rPr>
                <w:rFonts w:cs="Segoe UI"/>
                <w:color w:val="000000" w:themeColor="text1"/>
                <w:sz w:val="18"/>
                <w:szCs w:val="20"/>
              </w:rPr>
              <w:t xml:space="preserve">Z dlhodobého hľadiska je pre štát výhodnejšie </w:t>
            </w:r>
            <w:r>
              <w:rPr>
                <w:rFonts w:cs="Segoe UI"/>
                <w:color w:val="000000" w:themeColor="text1"/>
                <w:sz w:val="18"/>
                <w:szCs w:val="20"/>
              </w:rPr>
              <w:t>využívať</w:t>
            </w:r>
            <w:r w:rsidRPr="00122CA4">
              <w:rPr>
                <w:rFonts w:cs="Segoe UI"/>
                <w:color w:val="000000" w:themeColor="text1"/>
                <w:sz w:val="18"/>
                <w:szCs w:val="20"/>
              </w:rPr>
              <w:t xml:space="preserve"> vlastn</w:t>
            </w:r>
            <w:r>
              <w:rPr>
                <w:rFonts w:cs="Segoe UI"/>
                <w:color w:val="000000" w:themeColor="text1"/>
                <w:sz w:val="18"/>
                <w:szCs w:val="20"/>
              </w:rPr>
              <w:t>é</w:t>
            </w:r>
            <w:r w:rsidRPr="00122CA4">
              <w:rPr>
                <w:rFonts w:cs="Segoe UI"/>
                <w:color w:val="000000" w:themeColor="text1"/>
                <w:sz w:val="18"/>
                <w:szCs w:val="20"/>
              </w:rPr>
              <w:t xml:space="preserve"> </w:t>
            </w:r>
            <w:r>
              <w:rPr>
                <w:rFonts w:cs="Segoe UI"/>
                <w:color w:val="000000" w:themeColor="text1"/>
                <w:sz w:val="18"/>
                <w:szCs w:val="20"/>
              </w:rPr>
              <w:t>nehnuteľnosti</w:t>
            </w:r>
            <w:r w:rsidRPr="00122CA4">
              <w:rPr>
                <w:rFonts w:cs="Segoe UI"/>
                <w:color w:val="000000" w:themeColor="text1"/>
                <w:sz w:val="18"/>
                <w:szCs w:val="20"/>
              </w:rPr>
              <w:t>. Ako upozorňuje ÚHP</w:t>
            </w:r>
            <w:r w:rsidRPr="00122CA4">
              <w:rPr>
                <w:rStyle w:val="Odkaznapoznmkupodiarou"/>
                <w:rFonts w:cs="Segoe UI"/>
                <w:color w:val="000000" w:themeColor="text1"/>
                <w:sz w:val="18"/>
                <w:szCs w:val="20"/>
              </w:rPr>
              <w:footnoteReference w:id="24"/>
            </w:r>
            <w:r>
              <w:rPr>
                <w:rFonts w:cs="Segoe UI"/>
                <w:color w:val="000000" w:themeColor="text1"/>
                <w:sz w:val="18"/>
                <w:szCs w:val="20"/>
              </w:rPr>
              <w:t>,</w:t>
            </w:r>
            <w:r w:rsidRPr="00122CA4">
              <w:rPr>
                <w:rFonts w:cs="Segoe UI"/>
                <w:color w:val="000000" w:themeColor="text1"/>
                <w:sz w:val="18"/>
                <w:szCs w:val="20"/>
              </w:rPr>
              <w:t xml:space="preserve"> polovicu výdavkov na nájom nehnuteľností tvorí nájom kancelárií (57 mil. eur), z </w:t>
            </w:r>
            <w:r>
              <w:rPr>
                <w:rFonts w:cs="Segoe UI"/>
                <w:color w:val="000000" w:themeColor="text1"/>
                <w:sz w:val="18"/>
                <w:szCs w:val="20"/>
              </w:rPr>
              <w:t>č</w:t>
            </w:r>
            <w:r w:rsidRPr="00122CA4">
              <w:rPr>
                <w:rFonts w:cs="Segoe UI"/>
                <w:color w:val="000000" w:themeColor="text1"/>
                <w:sz w:val="18"/>
                <w:szCs w:val="20"/>
              </w:rPr>
              <w:t>oho väčšinu predstavujú nájmy v Bratislave (48 mil. eur).</w:t>
            </w:r>
          </w:p>
          <w:p w14:paraId="42DDD210" w14:textId="5FC149F5" w:rsidR="00522970" w:rsidRDefault="00522970" w:rsidP="00BB314F">
            <w:pPr>
              <w:rPr>
                <w:rFonts w:cs="Segoe UI"/>
                <w:color w:val="000000" w:themeColor="text1"/>
                <w:szCs w:val="20"/>
              </w:rPr>
            </w:pPr>
            <w:r w:rsidRPr="00BB314F">
              <w:rPr>
                <w:rFonts w:cs="Segoe UI"/>
                <w:b/>
                <w:color w:val="000000" w:themeColor="text1"/>
                <w:sz w:val="18"/>
                <w:szCs w:val="20"/>
              </w:rPr>
              <w:t>NKÚ SR dlhodobo vo svojich kontrolných a analytických výstupoch poukazuje na to, že štát nemá dlhodobú stratégiu starostlivosti o svoj nehnuteľný majetok.</w:t>
            </w:r>
            <w:r w:rsidRPr="00122CA4">
              <w:rPr>
                <w:rFonts w:cs="Segoe UI"/>
                <w:color w:val="000000" w:themeColor="text1"/>
                <w:sz w:val="18"/>
                <w:szCs w:val="20"/>
              </w:rPr>
              <w:t> </w:t>
            </w:r>
            <w:r>
              <w:rPr>
                <w:rFonts w:cs="Segoe UI"/>
                <w:color w:val="000000" w:themeColor="text1"/>
                <w:sz w:val="18"/>
                <w:szCs w:val="20"/>
              </w:rPr>
              <w:t>V</w:t>
            </w:r>
            <w:r w:rsidRPr="00122CA4">
              <w:rPr>
                <w:rFonts w:cs="Segoe UI"/>
                <w:color w:val="000000" w:themeColor="text1"/>
                <w:sz w:val="18"/>
                <w:szCs w:val="20"/>
              </w:rPr>
              <w:t> minulosti pred</w:t>
            </w:r>
            <w:r>
              <w:rPr>
                <w:rFonts w:cs="Segoe UI"/>
                <w:color w:val="000000" w:themeColor="text1"/>
                <w:sz w:val="18"/>
                <w:szCs w:val="20"/>
              </w:rPr>
              <w:t>ával</w:t>
            </w:r>
            <w:r w:rsidRPr="00122CA4">
              <w:rPr>
                <w:rFonts w:cs="Segoe UI"/>
                <w:color w:val="000000" w:themeColor="text1"/>
                <w:sz w:val="18"/>
                <w:szCs w:val="20"/>
              </w:rPr>
              <w:t xml:space="preserve"> tzv. </w:t>
            </w:r>
            <w:r>
              <w:rPr>
                <w:rFonts w:cs="Segoe UI"/>
                <w:color w:val="000000" w:themeColor="text1"/>
                <w:sz w:val="18"/>
                <w:szCs w:val="20"/>
              </w:rPr>
              <w:t>„</w:t>
            </w:r>
            <w:r w:rsidRPr="00122CA4">
              <w:rPr>
                <w:rFonts w:cs="Segoe UI"/>
                <w:color w:val="000000" w:themeColor="text1"/>
                <w:sz w:val="18"/>
                <w:szCs w:val="20"/>
              </w:rPr>
              <w:t>nadbytočný</w:t>
            </w:r>
            <w:r>
              <w:rPr>
                <w:rFonts w:cs="Segoe UI"/>
                <w:color w:val="000000" w:themeColor="text1"/>
                <w:sz w:val="18"/>
                <w:szCs w:val="20"/>
              </w:rPr>
              <w:t>“ majetok</w:t>
            </w:r>
            <w:r w:rsidRPr="00122CA4">
              <w:rPr>
                <w:rFonts w:cs="Segoe UI"/>
                <w:color w:val="000000" w:themeColor="text1"/>
                <w:sz w:val="18"/>
                <w:szCs w:val="20"/>
              </w:rPr>
              <w:t>, aby získal rýchly príjem do</w:t>
            </w:r>
            <w:r>
              <w:rPr>
                <w:rFonts w:cs="Segoe UI"/>
                <w:color w:val="000000" w:themeColor="text1"/>
                <w:sz w:val="18"/>
                <w:szCs w:val="20"/>
              </w:rPr>
              <w:t xml:space="preserve"> ŠR, pričom</w:t>
            </w:r>
            <w:r w:rsidRPr="00122CA4">
              <w:rPr>
                <w:rFonts w:cs="Segoe UI"/>
                <w:color w:val="000000" w:themeColor="text1"/>
                <w:sz w:val="18"/>
                <w:szCs w:val="20"/>
              </w:rPr>
              <w:t xml:space="preserve"> po rekonštrukcii </w:t>
            </w:r>
            <w:r>
              <w:rPr>
                <w:rFonts w:cs="Segoe UI"/>
                <w:color w:val="000000" w:themeColor="text1"/>
                <w:sz w:val="18"/>
                <w:szCs w:val="20"/>
              </w:rPr>
              <w:t xml:space="preserve">týchto budov </w:t>
            </w:r>
            <w:r w:rsidRPr="00122CA4">
              <w:rPr>
                <w:rFonts w:cs="Segoe UI"/>
                <w:color w:val="000000" w:themeColor="text1"/>
                <w:sz w:val="18"/>
                <w:szCs w:val="20"/>
              </w:rPr>
              <w:t xml:space="preserve">sa štát </w:t>
            </w:r>
            <w:r>
              <w:rPr>
                <w:rFonts w:cs="Segoe UI"/>
                <w:color w:val="000000" w:themeColor="text1"/>
                <w:sz w:val="18"/>
                <w:szCs w:val="20"/>
              </w:rPr>
              <w:t xml:space="preserve">sám </w:t>
            </w:r>
            <w:r w:rsidRPr="00122CA4">
              <w:rPr>
                <w:rFonts w:cs="Segoe UI"/>
                <w:color w:val="000000" w:themeColor="text1"/>
                <w:sz w:val="18"/>
                <w:szCs w:val="20"/>
              </w:rPr>
              <w:t xml:space="preserve">stal nájomníkom. Z krátkodobého finančného </w:t>
            </w:r>
            <w:r>
              <w:rPr>
                <w:rFonts w:cs="Segoe UI"/>
                <w:color w:val="000000" w:themeColor="text1"/>
                <w:sz w:val="18"/>
                <w:szCs w:val="20"/>
              </w:rPr>
              <w:t xml:space="preserve">prínosu sa tak </w:t>
            </w:r>
            <w:r w:rsidRPr="00122CA4">
              <w:rPr>
                <w:rFonts w:cs="Segoe UI"/>
                <w:color w:val="000000" w:themeColor="text1"/>
                <w:sz w:val="18"/>
                <w:szCs w:val="20"/>
              </w:rPr>
              <w:t>stal dlhodobý výdavok ŠR. Príkladom je budova Presscentra</w:t>
            </w:r>
            <w:r>
              <w:rPr>
                <w:rFonts w:cs="Segoe UI"/>
                <w:color w:val="000000" w:themeColor="text1"/>
                <w:sz w:val="18"/>
                <w:szCs w:val="20"/>
              </w:rPr>
              <w:t>,</w:t>
            </w:r>
            <w:r w:rsidRPr="00122CA4">
              <w:rPr>
                <w:rFonts w:cs="Segoe UI"/>
                <w:color w:val="000000" w:themeColor="text1"/>
                <w:sz w:val="18"/>
                <w:szCs w:val="20"/>
              </w:rPr>
              <w:t xml:space="preserve"> ktorá bola v roku 2006 odpredaná ako nadbytočný majetok štátu, pričom v roku 2022 sa MIRRI SR stal</w:t>
            </w:r>
            <w:r>
              <w:rPr>
                <w:rFonts w:cs="Segoe UI"/>
                <w:color w:val="000000" w:themeColor="text1"/>
                <w:sz w:val="18"/>
                <w:szCs w:val="20"/>
              </w:rPr>
              <w:t>o</w:t>
            </w:r>
            <w:r w:rsidRPr="00122CA4">
              <w:rPr>
                <w:rFonts w:cs="Segoe UI"/>
                <w:color w:val="000000" w:themeColor="text1"/>
                <w:sz w:val="18"/>
                <w:szCs w:val="20"/>
              </w:rPr>
              <w:t xml:space="preserve"> </w:t>
            </w:r>
            <w:r>
              <w:rPr>
                <w:rFonts w:cs="Segoe UI"/>
                <w:color w:val="000000" w:themeColor="text1"/>
                <w:sz w:val="18"/>
                <w:szCs w:val="20"/>
              </w:rPr>
              <w:t xml:space="preserve">jej </w:t>
            </w:r>
            <w:r w:rsidRPr="00122CA4">
              <w:rPr>
                <w:rFonts w:cs="Segoe UI"/>
                <w:color w:val="000000" w:themeColor="text1"/>
                <w:sz w:val="18"/>
                <w:szCs w:val="20"/>
              </w:rPr>
              <w:t>nájomcom s celkovou sumou nájmu 30</w:t>
            </w:r>
            <w:r>
              <w:rPr>
                <w:rFonts w:cs="Segoe UI"/>
                <w:color w:val="000000" w:themeColor="text1"/>
                <w:sz w:val="18"/>
                <w:szCs w:val="20"/>
              </w:rPr>
              <w:t>,5</w:t>
            </w:r>
            <w:r w:rsidRPr="00122CA4">
              <w:rPr>
                <w:rFonts w:cs="Segoe UI"/>
                <w:color w:val="000000" w:themeColor="text1"/>
                <w:sz w:val="18"/>
                <w:szCs w:val="20"/>
              </w:rPr>
              <w:t xml:space="preserve"> </w:t>
            </w:r>
            <w:r>
              <w:rPr>
                <w:rFonts w:cs="Segoe UI"/>
                <w:color w:val="000000" w:themeColor="text1"/>
                <w:sz w:val="18"/>
                <w:szCs w:val="20"/>
              </w:rPr>
              <w:t>mil.</w:t>
            </w:r>
            <w:r w:rsidRPr="00122CA4">
              <w:rPr>
                <w:rFonts w:cs="Segoe UI"/>
                <w:color w:val="000000" w:themeColor="text1"/>
                <w:sz w:val="18"/>
                <w:szCs w:val="20"/>
              </w:rPr>
              <w:t xml:space="preserve"> eur</w:t>
            </w:r>
            <w:r w:rsidR="00A64606">
              <w:rPr>
                <w:rFonts w:cs="Segoe UI"/>
                <w:color w:val="000000" w:themeColor="text1"/>
                <w:sz w:val="18"/>
                <w:szCs w:val="20"/>
              </w:rPr>
              <w:t xml:space="preserve"> na </w:t>
            </w:r>
            <w:r w:rsidR="004A4EAA" w:rsidRPr="004A4EAA">
              <w:rPr>
                <w:rFonts w:cs="Segoe UI"/>
                <w:color w:val="000000" w:themeColor="text1"/>
                <w:sz w:val="18"/>
                <w:szCs w:val="20"/>
              </w:rPr>
              <w:t>10 rokov od prevzatia priestorov s predĺžením o 24 mesiacov</w:t>
            </w:r>
            <w:r w:rsidRPr="00122CA4">
              <w:rPr>
                <w:rFonts w:cs="Segoe UI"/>
                <w:color w:val="000000" w:themeColor="text1"/>
                <w:sz w:val="18"/>
                <w:szCs w:val="20"/>
              </w:rPr>
              <w:t>.</w:t>
            </w:r>
          </w:p>
        </w:tc>
      </w:tr>
    </w:tbl>
    <w:p w14:paraId="6E62D2EF" w14:textId="3C2120A6" w:rsidR="00522970" w:rsidRDefault="00522970" w:rsidP="00A13B95">
      <w:pPr>
        <w:spacing w:before="120"/>
        <w:rPr>
          <w:rFonts w:cs="Segoe UI"/>
          <w:b/>
          <w:color w:val="000000" w:themeColor="text1"/>
          <w:szCs w:val="20"/>
        </w:rPr>
      </w:pPr>
      <w:r w:rsidRPr="00BB314F">
        <w:rPr>
          <w:rFonts w:cs="Segoe UI"/>
          <w:b/>
          <w:color w:val="000000" w:themeColor="text1"/>
          <w:szCs w:val="20"/>
        </w:rPr>
        <w:t>Naopak, prudký pokles nastal pri materiáli, kde výdavky klesli o 41 % na 304 mil</w:t>
      </w:r>
      <w:r w:rsidR="00A13B95">
        <w:rPr>
          <w:rFonts w:cs="Segoe UI"/>
          <w:b/>
          <w:color w:val="000000" w:themeColor="text1"/>
          <w:szCs w:val="20"/>
        </w:rPr>
        <w:t>.</w:t>
      </w:r>
      <w:r w:rsidRPr="00BB314F">
        <w:rPr>
          <w:rFonts w:cs="Segoe UI"/>
          <w:b/>
          <w:color w:val="000000" w:themeColor="text1"/>
          <w:szCs w:val="20"/>
        </w:rPr>
        <w:t xml:space="preserve"> eur a pri energiách, vode a komunikáciách, ktor</w:t>
      </w:r>
      <w:r w:rsidR="00A13B95">
        <w:rPr>
          <w:rFonts w:cs="Segoe UI"/>
          <w:b/>
          <w:color w:val="000000" w:themeColor="text1"/>
          <w:szCs w:val="20"/>
        </w:rPr>
        <w:t>ých výdavky</w:t>
      </w:r>
      <w:r w:rsidRPr="00BB314F">
        <w:rPr>
          <w:rFonts w:cs="Segoe UI"/>
          <w:b/>
          <w:color w:val="000000" w:themeColor="text1"/>
          <w:szCs w:val="20"/>
        </w:rPr>
        <w:t xml:space="preserve"> sa znížili o 18 % na 232 mil</w:t>
      </w:r>
      <w:r w:rsidR="00A13B95">
        <w:rPr>
          <w:rFonts w:cs="Segoe UI"/>
          <w:b/>
          <w:color w:val="000000" w:themeColor="text1"/>
          <w:szCs w:val="20"/>
        </w:rPr>
        <w:t>.</w:t>
      </w:r>
      <w:r w:rsidRPr="00BB314F">
        <w:rPr>
          <w:rFonts w:cs="Segoe UI"/>
          <w:b/>
          <w:color w:val="000000" w:themeColor="text1"/>
          <w:szCs w:val="20"/>
        </w:rPr>
        <w:t xml:space="preserve"> eur.</w:t>
      </w:r>
      <w:r w:rsidRPr="003D2A95">
        <w:rPr>
          <w:rFonts w:cs="Segoe UI"/>
          <w:color w:val="000000" w:themeColor="text1"/>
          <w:szCs w:val="20"/>
        </w:rPr>
        <w:t xml:space="preserve"> Celkov</w:t>
      </w:r>
      <w:r>
        <w:rPr>
          <w:rFonts w:cs="Segoe UI"/>
          <w:color w:val="000000" w:themeColor="text1"/>
          <w:szCs w:val="20"/>
        </w:rPr>
        <w:t>o</w:t>
      </w:r>
      <w:r w:rsidRPr="003D2A95">
        <w:rPr>
          <w:rFonts w:cs="Segoe UI"/>
          <w:color w:val="000000" w:themeColor="text1"/>
          <w:szCs w:val="20"/>
        </w:rPr>
        <w:t xml:space="preserve"> </w:t>
      </w:r>
      <w:r>
        <w:rPr>
          <w:rFonts w:cs="Segoe UI"/>
          <w:color w:val="000000" w:themeColor="text1"/>
          <w:szCs w:val="20"/>
        </w:rPr>
        <w:t xml:space="preserve">sa síce </w:t>
      </w:r>
      <w:r w:rsidRPr="00BB314F">
        <w:rPr>
          <w:rFonts w:cs="Segoe UI"/>
          <w:bCs/>
          <w:color w:val="000000" w:themeColor="text1"/>
          <w:szCs w:val="20"/>
        </w:rPr>
        <w:t xml:space="preserve">suma výdavkov </w:t>
      </w:r>
      <w:r>
        <w:rPr>
          <w:rFonts w:cs="Segoe UI"/>
          <w:bCs/>
          <w:color w:val="000000" w:themeColor="text1"/>
          <w:szCs w:val="20"/>
        </w:rPr>
        <w:t>na tovary a služby oproti</w:t>
      </w:r>
      <w:r w:rsidRPr="00BB314F">
        <w:rPr>
          <w:rFonts w:cs="Segoe UI"/>
          <w:bCs/>
          <w:color w:val="000000" w:themeColor="text1"/>
          <w:szCs w:val="20"/>
        </w:rPr>
        <w:t> rok</w:t>
      </w:r>
      <w:r>
        <w:rPr>
          <w:rFonts w:cs="Segoe UI"/>
          <w:bCs/>
          <w:color w:val="000000" w:themeColor="text1"/>
          <w:szCs w:val="20"/>
        </w:rPr>
        <w:t>u</w:t>
      </w:r>
      <w:r w:rsidRPr="00BB314F">
        <w:rPr>
          <w:rFonts w:cs="Segoe UI"/>
          <w:bCs/>
          <w:color w:val="000000" w:themeColor="text1"/>
          <w:szCs w:val="20"/>
        </w:rPr>
        <w:t xml:space="preserve"> 2023 výrazne nezmenila, </w:t>
      </w:r>
      <w:r>
        <w:rPr>
          <w:rFonts w:cs="Segoe UI"/>
          <w:bCs/>
          <w:color w:val="000000" w:themeColor="text1"/>
          <w:szCs w:val="20"/>
        </w:rPr>
        <w:t xml:space="preserve">no </w:t>
      </w:r>
      <w:r w:rsidRPr="00E65673">
        <w:rPr>
          <w:rFonts w:cs="Segoe UI"/>
          <w:color w:val="000000" w:themeColor="text1"/>
          <w:szCs w:val="20"/>
        </w:rPr>
        <w:t>dochádza k presunu zdrojov z materiálových a energetických nákladov smerom k službám a</w:t>
      </w:r>
      <w:r>
        <w:rPr>
          <w:rFonts w:cs="Segoe UI"/>
          <w:color w:val="000000" w:themeColor="text1"/>
          <w:szCs w:val="20"/>
        </w:rPr>
        <w:t> </w:t>
      </w:r>
      <w:r w:rsidRPr="00E65673">
        <w:rPr>
          <w:rFonts w:cs="Segoe UI"/>
          <w:color w:val="000000" w:themeColor="text1"/>
          <w:szCs w:val="20"/>
        </w:rPr>
        <w:t>prenájmom</w:t>
      </w:r>
      <w:r>
        <w:rPr>
          <w:rFonts w:cs="Segoe UI"/>
          <w:color w:val="000000" w:themeColor="text1"/>
          <w:szCs w:val="20"/>
        </w:rPr>
        <w:t>.</w:t>
      </w:r>
      <w:r w:rsidRPr="00BB314F">
        <w:rPr>
          <w:rFonts w:cs="Segoe UI"/>
          <w:bCs/>
          <w:color w:val="000000" w:themeColor="text1"/>
          <w:szCs w:val="20"/>
        </w:rPr>
        <w:t xml:space="preserve"> </w:t>
      </w:r>
      <w:r w:rsidRPr="00D52361">
        <w:rPr>
          <w:rFonts w:cs="Segoe UI"/>
          <w:b/>
          <w:color w:val="000000" w:themeColor="text1"/>
          <w:szCs w:val="20"/>
        </w:rPr>
        <w:t>Tento trend poukazuje na rastúcu závislosť štátu od externých služieb a prenajatých priestorov.</w:t>
      </w:r>
    </w:p>
    <w:p w14:paraId="731CEC29" w14:textId="77777777" w:rsidR="00CB0C68" w:rsidRPr="00633F5C" w:rsidRDefault="00CB0C68" w:rsidP="00CB0C68">
      <w:pPr>
        <w:rPr>
          <w:rFonts w:cs="Segoe UI"/>
          <w:b/>
          <w:bCs/>
          <w:color w:val="3C527B" w:themeColor="text2" w:themeTint="E6"/>
          <w:szCs w:val="20"/>
        </w:rPr>
      </w:pPr>
      <w:r>
        <w:rPr>
          <w:rFonts w:cs="Segoe UI"/>
          <w:b/>
          <w:bCs/>
          <w:color w:val="3C527B" w:themeColor="text2" w:themeTint="E6"/>
          <w:szCs w:val="20"/>
        </w:rPr>
        <w:t>Výdavky na informatizáciu a digitalizáciu</w:t>
      </w:r>
    </w:p>
    <w:p w14:paraId="1A9A9841" w14:textId="58224EAD" w:rsidR="00A13B95" w:rsidRDefault="00A13B95" w:rsidP="00A13B95">
      <w:pPr>
        <w:rPr>
          <w:rFonts w:cs="Segoe UI"/>
          <w:szCs w:val="20"/>
        </w:rPr>
      </w:pPr>
      <w:r w:rsidRPr="00D26752">
        <w:rPr>
          <w:rFonts w:cs="Segoe UI"/>
          <w:b/>
          <w:bCs/>
          <w:szCs w:val="20"/>
        </w:rPr>
        <w:t xml:space="preserve">Kvalita digitálnych verejných služieb pre občanov dlhodobo zaostáva za priemerom EÚ </w:t>
      </w:r>
      <w:r w:rsidRPr="00BB314F">
        <w:rPr>
          <w:rFonts w:cs="Segoe UI"/>
          <w:bCs/>
          <w:szCs w:val="20"/>
        </w:rPr>
        <w:t>(graf 20)</w:t>
      </w:r>
      <w:r>
        <w:rPr>
          <w:rFonts w:cs="Segoe UI"/>
          <w:b/>
          <w:bCs/>
          <w:szCs w:val="20"/>
        </w:rPr>
        <w:t>,</w:t>
      </w:r>
      <w:r w:rsidRPr="00D26752">
        <w:rPr>
          <w:rFonts w:cs="Segoe UI"/>
          <w:b/>
          <w:bCs/>
          <w:szCs w:val="20"/>
        </w:rPr>
        <w:t xml:space="preserve"> </w:t>
      </w:r>
      <w:r>
        <w:rPr>
          <w:rFonts w:cs="Segoe UI"/>
          <w:b/>
          <w:bCs/>
          <w:szCs w:val="20"/>
        </w:rPr>
        <w:t xml:space="preserve">a to </w:t>
      </w:r>
      <w:r w:rsidRPr="00D26752">
        <w:rPr>
          <w:rFonts w:cs="Segoe UI"/>
          <w:b/>
          <w:bCs/>
          <w:szCs w:val="20"/>
        </w:rPr>
        <w:t>napriek</w:t>
      </w:r>
      <w:r>
        <w:rPr>
          <w:rFonts w:cs="Segoe UI"/>
          <w:b/>
          <w:bCs/>
          <w:szCs w:val="20"/>
        </w:rPr>
        <w:t xml:space="preserve"> tomu, že </w:t>
      </w:r>
      <w:r w:rsidRPr="00D26752">
        <w:rPr>
          <w:rFonts w:cs="Segoe UI"/>
          <w:b/>
          <w:bCs/>
          <w:szCs w:val="20"/>
        </w:rPr>
        <w:t>výdavk</w:t>
      </w:r>
      <w:r>
        <w:rPr>
          <w:rFonts w:cs="Segoe UI"/>
          <w:b/>
          <w:bCs/>
          <w:szCs w:val="20"/>
        </w:rPr>
        <w:t>y</w:t>
      </w:r>
      <w:r w:rsidRPr="00D26752">
        <w:rPr>
          <w:rFonts w:cs="Segoe UI"/>
          <w:b/>
          <w:bCs/>
          <w:szCs w:val="20"/>
        </w:rPr>
        <w:t xml:space="preserve"> </w:t>
      </w:r>
      <w:r>
        <w:rPr>
          <w:rFonts w:cs="Segoe UI"/>
          <w:b/>
          <w:bCs/>
          <w:szCs w:val="20"/>
        </w:rPr>
        <w:t>na IT a digitalizáciu sa</w:t>
      </w:r>
      <w:r w:rsidRPr="00D26752">
        <w:rPr>
          <w:rFonts w:cs="Segoe UI"/>
          <w:b/>
          <w:bCs/>
          <w:szCs w:val="20"/>
        </w:rPr>
        <w:t xml:space="preserve"> medziročne zvyšujú.</w:t>
      </w:r>
      <w:r>
        <w:rPr>
          <w:rFonts w:cs="Segoe UI"/>
          <w:szCs w:val="20"/>
        </w:rPr>
        <w:t xml:space="preserve"> Pre rok 2026 sú v ŠR rozpočtované výdavky na medzirezortný program 0EK vo výške 512 mil. eur. Okrem toho sú významným zdrojom financovania aj zdroje z </w:t>
      </w:r>
      <w:r w:rsidR="00D52361">
        <w:rPr>
          <w:rFonts w:cs="Segoe UI"/>
          <w:szCs w:val="20"/>
        </w:rPr>
        <w:t>POO</w:t>
      </w:r>
      <w:r>
        <w:rPr>
          <w:rFonts w:cs="Segoe UI"/>
          <w:szCs w:val="20"/>
        </w:rPr>
        <w:t xml:space="preserve"> (118 mil. eur v rámci komponentu 17 – Digitálne Slovensko) a z</w:t>
      </w:r>
      <w:r w:rsidR="00D52361">
        <w:rPr>
          <w:rFonts w:cs="Segoe UI"/>
          <w:szCs w:val="20"/>
        </w:rPr>
        <w:t> </w:t>
      </w:r>
      <w:r>
        <w:rPr>
          <w:rFonts w:cs="Segoe UI"/>
          <w:szCs w:val="20"/>
        </w:rPr>
        <w:t>P</w:t>
      </w:r>
      <w:r w:rsidR="00CB0C68">
        <w:rPr>
          <w:rFonts w:cs="Segoe UI"/>
          <w:szCs w:val="20"/>
        </w:rPr>
        <w:t> SK </w:t>
      </w:r>
      <w:r>
        <w:rPr>
          <w:rFonts w:cs="Segoe UI"/>
          <w:szCs w:val="20"/>
        </w:rPr>
        <w:t xml:space="preserve"> vo výške 134 mil. eur. </w:t>
      </w:r>
    </w:p>
    <w:p w14:paraId="37CFAB43" w14:textId="6B50F5DF" w:rsidR="00A13B95" w:rsidRPr="003D2A95" w:rsidRDefault="00A13B95" w:rsidP="00A13B95">
      <w:pPr>
        <w:spacing w:after="0"/>
        <w:rPr>
          <w:rFonts w:cs="Segoe UI"/>
          <w:b/>
          <w:bCs/>
          <w:color w:val="000000" w:themeColor="text1"/>
          <w:szCs w:val="20"/>
        </w:rPr>
      </w:pPr>
      <w:r>
        <w:rPr>
          <w:b/>
          <w:iCs/>
          <w:color w:val="314364"/>
          <w:szCs w:val="18"/>
        </w:rPr>
        <w:t>Graf 20: Digitálne verejné služby v rámci DESI index</w:t>
      </w:r>
      <w:r w:rsidR="00D52361">
        <w:rPr>
          <w:b/>
          <w:iCs/>
          <w:color w:val="314364"/>
          <w:szCs w:val="18"/>
        </w:rPr>
        <w:t>u</w:t>
      </w:r>
      <w:r>
        <w:rPr>
          <w:b/>
          <w:iCs/>
          <w:color w:val="314364"/>
          <w:szCs w:val="18"/>
        </w:rPr>
        <w:t xml:space="preserve"> 2024 </w:t>
      </w:r>
      <w:r w:rsidRPr="001C68C1">
        <w:rPr>
          <w:b/>
          <w:iCs/>
          <w:color w:val="314364"/>
          <w:szCs w:val="18"/>
        </w:rPr>
        <w:t xml:space="preserve"> (v</w:t>
      </w:r>
      <w:r>
        <w:rPr>
          <w:b/>
          <w:iCs/>
          <w:color w:val="314364"/>
          <w:szCs w:val="18"/>
        </w:rPr>
        <w:t xml:space="preserve"> %)</w:t>
      </w:r>
    </w:p>
    <w:tbl>
      <w:tblPr>
        <w:tblStyle w:val="Mriekatabuky"/>
        <w:tblW w:w="5000" w:type="pct"/>
        <w:tblBorders>
          <w:left w:val="none" w:sz="0" w:space="0" w:color="auto"/>
          <w:right w:val="none" w:sz="0" w:space="0" w:color="auto"/>
        </w:tblBorders>
        <w:tblLook w:val="04A0" w:firstRow="1" w:lastRow="0" w:firstColumn="1" w:lastColumn="0" w:noHBand="0" w:noVBand="1"/>
      </w:tblPr>
      <w:tblGrid>
        <w:gridCol w:w="9070"/>
      </w:tblGrid>
      <w:tr w:rsidR="00A13B95" w14:paraId="10D949C4" w14:textId="77777777" w:rsidTr="00BB314F">
        <w:tc>
          <w:tcPr>
            <w:tcW w:w="5000" w:type="pct"/>
          </w:tcPr>
          <w:p w14:paraId="34EA0547" w14:textId="77777777" w:rsidR="00A13B95" w:rsidRDefault="00A13B95" w:rsidP="00BB314F">
            <w:pPr>
              <w:spacing w:after="0" w:line="240" w:lineRule="auto"/>
              <w:rPr>
                <w:rFonts w:cs="Segoe UI"/>
                <w:szCs w:val="20"/>
              </w:rPr>
            </w:pPr>
            <w:r>
              <w:rPr>
                <w:noProof/>
                <w:lang w:eastAsia="sk-SK"/>
                <w14:ligatures w14:val="standardContextual"/>
              </w:rPr>
              <w:drawing>
                <wp:inline distT="0" distB="0" distL="0" distR="0" wp14:anchorId="6A6BAC80" wp14:editId="3FC58E4E">
                  <wp:extent cx="5732145" cy="1440000"/>
                  <wp:effectExtent l="0" t="0" r="0" b="0"/>
                  <wp:docPr id="116775208" name="Graf 1">
                    <a:extLst xmlns:a="http://schemas.openxmlformats.org/drawingml/2006/main">
                      <a:ext uri="{FF2B5EF4-FFF2-40B4-BE49-F238E27FC236}">
                        <a16:creationId xmlns:a16="http://schemas.microsoft.com/office/drawing/2014/main" id="{07E5C10E-2E0F-6776-E1ED-6D9C735133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7AEF96ED" w14:textId="1BF56972" w:rsidR="00A13B95" w:rsidRDefault="00A13B95" w:rsidP="00A13B95">
      <w:pPr>
        <w:pStyle w:val="Zdroj"/>
      </w:pPr>
      <w:r w:rsidRPr="006647A7">
        <w:t>Zdroj:</w:t>
      </w:r>
      <w:r>
        <w:t xml:space="preserve"> EK</w:t>
      </w:r>
      <w:r w:rsidR="00D52361">
        <w:t>.</w:t>
      </w:r>
    </w:p>
    <w:p w14:paraId="547E012D" w14:textId="3C255AE3" w:rsidR="00A13B95" w:rsidRDefault="00A13B95" w:rsidP="00A13B95">
      <w:pPr>
        <w:rPr>
          <w:rFonts w:cs="Segoe UI"/>
          <w:szCs w:val="20"/>
        </w:rPr>
      </w:pPr>
      <w:r w:rsidRPr="00BB314F">
        <w:rPr>
          <w:rFonts w:cs="Segoe UI"/>
          <w:b/>
          <w:szCs w:val="20"/>
        </w:rPr>
        <w:lastRenderedPageBreak/>
        <w:t xml:space="preserve">Výdavky ŠR v medzirezortnom programe 0EK medziročne rastú </w:t>
      </w:r>
      <w:r w:rsidRPr="009F545F">
        <w:rPr>
          <w:rFonts w:cs="Segoe UI"/>
          <w:szCs w:val="20"/>
        </w:rPr>
        <w:t>(graf 21)</w:t>
      </w:r>
      <w:r w:rsidRPr="00BB314F">
        <w:rPr>
          <w:rFonts w:cs="Segoe UI"/>
          <w:b/>
          <w:szCs w:val="20"/>
        </w:rPr>
        <w:t xml:space="preserve">, pričom skutočné čerpanie </w:t>
      </w:r>
      <w:r>
        <w:rPr>
          <w:rFonts w:cs="Segoe UI"/>
          <w:b/>
          <w:szCs w:val="20"/>
        </w:rPr>
        <w:t>každoročne</w:t>
      </w:r>
      <w:r w:rsidRPr="00BB314F">
        <w:rPr>
          <w:rFonts w:cs="Segoe UI"/>
          <w:b/>
          <w:szCs w:val="20"/>
        </w:rPr>
        <w:t xml:space="preserve"> </w:t>
      </w:r>
      <w:r>
        <w:rPr>
          <w:rFonts w:cs="Segoe UI"/>
          <w:b/>
          <w:szCs w:val="20"/>
        </w:rPr>
        <w:t>pre</w:t>
      </w:r>
      <w:r w:rsidRPr="00BB314F">
        <w:rPr>
          <w:rFonts w:cs="Segoe UI"/>
          <w:b/>
          <w:szCs w:val="20"/>
        </w:rPr>
        <w:t>vyš</w:t>
      </w:r>
      <w:r>
        <w:rPr>
          <w:rFonts w:cs="Segoe UI"/>
          <w:b/>
          <w:szCs w:val="20"/>
        </w:rPr>
        <w:t>uje</w:t>
      </w:r>
      <w:r w:rsidRPr="00BB314F">
        <w:rPr>
          <w:rFonts w:cs="Segoe UI"/>
          <w:b/>
          <w:szCs w:val="20"/>
        </w:rPr>
        <w:t xml:space="preserve"> </w:t>
      </w:r>
      <w:r>
        <w:rPr>
          <w:rFonts w:cs="Segoe UI"/>
          <w:b/>
          <w:szCs w:val="20"/>
        </w:rPr>
        <w:t xml:space="preserve">pôvodne </w:t>
      </w:r>
      <w:r w:rsidRPr="00BB314F">
        <w:rPr>
          <w:rFonts w:cs="Segoe UI"/>
          <w:b/>
          <w:szCs w:val="20"/>
        </w:rPr>
        <w:t xml:space="preserve">rozpočtované </w:t>
      </w:r>
      <w:r>
        <w:rPr>
          <w:rFonts w:cs="Segoe UI"/>
          <w:b/>
          <w:szCs w:val="20"/>
        </w:rPr>
        <w:t>sumy</w:t>
      </w:r>
      <w:r w:rsidRPr="00BB314F">
        <w:rPr>
          <w:rFonts w:cs="Segoe UI"/>
          <w:b/>
          <w:szCs w:val="20"/>
        </w:rPr>
        <w:t>.</w:t>
      </w:r>
      <w:r w:rsidRPr="001D19BE">
        <w:rPr>
          <w:rFonts w:cs="Segoe UI"/>
          <w:szCs w:val="20"/>
        </w:rPr>
        <w:t xml:space="preserve"> </w:t>
      </w:r>
      <w:r>
        <w:rPr>
          <w:rFonts w:cs="Segoe UI"/>
          <w:szCs w:val="20"/>
        </w:rPr>
        <w:t xml:space="preserve">Od roku 2020 bolo z tohto programu skutočne vynaložených viac ako 3,1 mld. eur. Do </w:t>
      </w:r>
      <w:r w:rsidR="00D52361">
        <w:rPr>
          <w:rFonts w:cs="Segoe UI"/>
          <w:szCs w:val="20"/>
        </w:rPr>
        <w:t>očakávanej skutočnosti</w:t>
      </w:r>
      <w:r>
        <w:rPr>
          <w:rFonts w:cs="Segoe UI"/>
          <w:szCs w:val="20"/>
        </w:rPr>
        <w:t xml:space="preserve"> za rok 2025 pritom ešte nie sú započítané nové projekty na modernizáciu </w:t>
      </w:r>
      <w:r w:rsidRPr="00A93ACE">
        <w:rPr>
          <w:rFonts w:cs="Segoe UI"/>
          <w:szCs w:val="20"/>
        </w:rPr>
        <w:t>Ú</w:t>
      </w:r>
      <w:r>
        <w:rPr>
          <w:rFonts w:cs="Segoe UI"/>
          <w:szCs w:val="20"/>
        </w:rPr>
        <w:t xml:space="preserve">PVS </w:t>
      </w:r>
      <w:r w:rsidRPr="00A93ACE">
        <w:rPr>
          <w:rFonts w:cs="Segoe UI"/>
          <w:szCs w:val="20"/>
        </w:rPr>
        <w:t>slovensko.sk</w:t>
      </w:r>
      <w:r>
        <w:rPr>
          <w:rFonts w:cs="Segoe UI"/>
          <w:szCs w:val="20"/>
        </w:rPr>
        <w:t xml:space="preserve">, na ktoré NASES (príspevková organizácia MIRRI SR) v septembri 2025 vyhlásila </w:t>
      </w:r>
      <w:r w:rsidR="00D52361">
        <w:rPr>
          <w:rFonts w:cs="Segoe UI"/>
          <w:szCs w:val="20"/>
        </w:rPr>
        <w:t>VO</w:t>
      </w:r>
      <w:r>
        <w:rPr>
          <w:rFonts w:cs="Segoe UI"/>
          <w:szCs w:val="20"/>
        </w:rPr>
        <w:t xml:space="preserve"> v hodnote viac ako 80 mil. eur. </w:t>
      </w:r>
    </w:p>
    <w:p w14:paraId="00FFF797" w14:textId="77777777" w:rsidR="00A13B95" w:rsidRPr="001D19BE" w:rsidRDefault="00A13B95" w:rsidP="00A13B95">
      <w:pPr>
        <w:keepNext/>
        <w:spacing w:after="0"/>
        <w:rPr>
          <w:rFonts w:eastAsia="Calibri"/>
          <w:b/>
          <w:iCs/>
          <w:color w:val="314364"/>
          <w:szCs w:val="18"/>
        </w:rPr>
      </w:pPr>
      <w:r w:rsidRPr="001D19BE">
        <w:rPr>
          <w:rFonts w:eastAsia="Calibri"/>
          <w:b/>
          <w:iCs/>
          <w:color w:val="314364"/>
          <w:szCs w:val="18"/>
        </w:rPr>
        <w:t>Graf</w:t>
      </w:r>
      <w:r>
        <w:rPr>
          <w:rFonts w:eastAsia="Calibri"/>
          <w:b/>
          <w:iCs/>
          <w:color w:val="314364"/>
          <w:szCs w:val="18"/>
        </w:rPr>
        <w:t xml:space="preserve"> 21</w:t>
      </w:r>
      <w:r w:rsidRPr="001D19BE">
        <w:rPr>
          <w:rFonts w:eastAsia="Calibri"/>
          <w:b/>
          <w:iCs/>
          <w:color w:val="314364"/>
          <w:szCs w:val="18"/>
        </w:rPr>
        <w:t xml:space="preserve">: Porovnanie rozpočtovaných (R) a skutočných (S) výdavkov v programe 0EK v rokoch 2020 až 2027 (v tis. eur) </w:t>
      </w:r>
    </w:p>
    <w:tbl>
      <w:tblPr>
        <w:tblStyle w:val="Mriekatabuky2"/>
        <w:tblW w:w="5000" w:type="pct"/>
        <w:tblCellMar>
          <w:left w:w="70" w:type="dxa"/>
          <w:right w:w="70" w:type="dxa"/>
        </w:tblCellMar>
        <w:tblLook w:val="04A0" w:firstRow="1" w:lastRow="0" w:firstColumn="1" w:lastColumn="0" w:noHBand="0" w:noVBand="1"/>
      </w:tblPr>
      <w:tblGrid>
        <w:gridCol w:w="9070"/>
      </w:tblGrid>
      <w:tr w:rsidR="00A13B95" w:rsidRPr="001D19BE" w14:paraId="3E6DBC10" w14:textId="77777777" w:rsidTr="00BB314F">
        <w:trPr>
          <w:trHeight w:val="2835"/>
        </w:trPr>
        <w:tc>
          <w:tcPr>
            <w:tcW w:w="5000" w:type="pct"/>
            <w:tcBorders>
              <w:top w:val="single" w:sz="4" w:space="0" w:color="314364"/>
              <w:left w:val="nil"/>
              <w:bottom w:val="single" w:sz="4" w:space="0" w:color="314364"/>
              <w:right w:val="nil"/>
            </w:tcBorders>
            <w:hideMark/>
          </w:tcPr>
          <w:p w14:paraId="76C9FFF8" w14:textId="77777777" w:rsidR="00A13B95" w:rsidRPr="001D19BE" w:rsidRDefault="00A13B95" w:rsidP="00BB314F">
            <w:pPr>
              <w:keepNext/>
              <w:spacing w:after="0" w:line="240" w:lineRule="auto"/>
              <w:rPr>
                <w:rFonts w:eastAsia="Calibri"/>
                <w:b/>
                <w:iCs/>
                <w:color w:val="314364"/>
                <w:szCs w:val="18"/>
              </w:rPr>
            </w:pPr>
            <w:r>
              <w:rPr>
                <w:noProof/>
                <w:lang w:eastAsia="sk-SK"/>
                <w14:ligatures w14:val="standardContextual"/>
              </w:rPr>
              <w:drawing>
                <wp:inline distT="0" distB="0" distL="0" distR="0" wp14:anchorId="18F1298B" wp14:editId="76D37FDA">
                  <wp:extent cx="5676900" cy="1799590"/>
                  <wp:effectExtent l="0" t="0" r="0" b="0"/>
                  <wp:docPr id="620783021" name="Graf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bl>
    <w:p w14:paraId="12D497A5" w14:textId="001C7ACE" w:rsidR="00A13B95" w:rsidRPr="001D19BE" w:rsidRDefault="00A13B95" w:rsidP="00A13B95">
      <w:pPr>
        <w:pStyle w:val="Zdroj"/>
      </w:pPr>
      <w:r w:rsidRPr="001D19BE">
        <w:t>Zdroj: RIS</w:t>
      </w:r>
      <w:r>
        <w:t>, NRVS</w:t>
      </w:r>
      <w:r w:rsidR="00D52361">
        <w:t>.</w:t>
      </w:r>
    </w:p>
    <w:p w14:paraId="00CA42A7" w14:textId="77777777" w:rsidR="00A13B95" w:rsidRDefault="00A13B95" w:rsidP="00A13B95">
      <w:pPr>
        <w:rPr>
          <w:rFonts w:eastAsia="Calibri"/>
          <w:bCs/>
        </w:rPr>
      </w:pPr>
      <w:r w:rsidRPr="00BB314F">
        <w:rPr>
          <w:rFonts w:eastAsia="Calibri"/>
          <w:b/>
          <w:bCs/>
        </w:rPr>
        <w:t xml:space="preserve">Najväčšie výdavky na IT na rok 2026 majú rozpočtované kapitoly MF SR </w:t>
      </w:r>
      <w:r w:rsidRPr="00145882">
        <w:rPr>
          <w:rFonts w:eastAsia="Calibri"/>
          <w:bCs/>
        </w:rPr>
        <w:t>(141,3 mil. eur)</w:t>
      </w:r>
      <w:r w:rsidRPr="00BB314F">
        <w:rPr>
          <w:rFonts w:eastAsia="Calibri"/>
          <w:b/>
          <w:bCs/>
        </w:rPr>
        <w:t xml:space="preserve"> a MV SR </w:t>
      </w:r>
      <w:r w:rsidRPr="00145882">
        <w:rPr>
          <w:rFonts w:eastAsia="Calibri"/>
          <w:bCs/>
        </w:rPr>
        <w:t>(137, 2 mil. eur)</w:t>
      </w:r>
      <w:r w:rsidRPr="00BB314F">
        <w:rPr>
          <w:rFonts w:eastAsia="Calibri"/>
          <w:b/>
          <w:bCs/>
        </w:rPr>
        <w:t xml:space="preserve">, ktoré spolu predstavujú viac ako polovicu </w:t>
      </w:r>
      <w:r w:rsidRPr="00145882">
        <w:rPr>
          <w:rFonts w:eastAsia="Calibri"/>
          <w:bCs/>
        </w:rPr>
        <w:t>(54,4 %)</w:t>
      </w:r>
      <w:r w:rsidRPr="00BB314F">
        <w:rPr>
          <w:rFonts w:eastAsia="Calibri"/>
          <w:b/>
          <w:bCs/>
        </w:rPr>
        <w:t xml:space="preserve"> všetkých výdavkov v rámci programu 0EK. </w:t>
      </w:r>
      <w:r>
        <w:rPr>
          <w:rFonts w:eastAsia="Calibri"/>
          <w:bCs/>
        </w:rPr>
        <w:t>V kapitole VPS sú vyčlenené prostriedky</w:t>
      </w:r>
      <w:r w:rsidRPr="00A93ACE">
        <w:rPr>
          <w:rFonts w:eastAsia="Calibri"/>
          <w:bCs/>
        </w:rPr>
        <w:t xml:space="preserve"> na multilicenčnú zmluvu s</w:t>
      </w:r>
      <w:r>
        <w:rPr>
          <w:rFonts w:eastAsia="Calibri"/>
          <w:bCs/>
        </w:rPr>
        <w:t> </w:t>
      </w:r>
      <w:r w:rsidRPr="00A93ACE">
        <w:rPr>
          <w:rFonts w:eastAsia="Calibri"/>
          <w:bCs/>
        </w:rPr>
        <w:t>Microsoft</w:t>
      </w:r>
      <w:r>
        <w:rPr>
          <w:rFonts w:eastAsia="Calibri"/>
          <w:bCs/>
        </w:rPr>
        <w:t>om</w:t>
      </w:r>
      <w:r w:rsidRPr="00A93ACE">
        <w:rPr>
          <w:rFonts w:eastAsia="Calibri"/>
          <w:bCs/>
        </w:rPr>
        <w:t xml:space="preserve"> a</w:t>
      </w:r>
      <w:r>
        <w:rPr>
          <w:rFonts w:eastAsia="Calibri"/>
          <w:bCs/>
        </w:rPr>
        <w:t xml:space="preserve"> ďalšie </w:t>
      </w:r>
      <w:r w:rsidRPr="00A93ACE">
        <w:rPr>
          <w:rFonts w:eastAsia="Calibri"/>
          <w:bCs/>
        </w:rPr>
        <w:t>IT výdavky v</w:t>
      </w:r>
      <w:r>
        <w:rPr>
          <w:rFonts w:eastAsia="Calibri"/>
          <w:bCs/>
        </w:rPr>
        <w:t xml:space="preserve"> celkovej výške </w:t>
      </w:r>
      <w:r w:rsidRPr="00A93ACE">
        <w:rPr>
          <w:rFonts w:eastAsia="Calibri"/>
          <w:bCs/>
        </w:rPr>
        <w:t>98 mil. eur</w:t>
      </w:r>
      <w:r>
        <w:rPr>
          <w:rFonts w:eastAsia="Calibri"/>
          <w:bCs/>
        </w:rPr>
        <w:t>. V porovnaní s rokom 2025 ide o medziročný nárast o 164,5 %. Rozpočtované výdavky na roky 2027 a 2028 sú stanovené v rovnakej výške, čo naznačuje, že ide o dlhodobý výdavok ŠR a nie jednorazovú investíciu.</w:t>
      </w:r>
    </w:p>
    <w:p w14:paraId="78BD1275" w14:textId="567F2C4F" w:rsidR="004708FE" w:rsidRDefault="007F6CCC" w:rsidP="00440621">
      <w:pPr>
        <w:pStyle w:val="Nadpis2"/>
      </w:pPr>
      <w:r>
        <w:t xml:space="preserve"> </w:t>
      </w:r>
      <w:bookmarkStart w:id="19" w:name="_Toc211249081"/>
      <w:r w:rsidR="00C33950">
        <w:t>Limit verejných výdavkov</w:t>
      </w:r>
      <w:bookmarkEnd w:id="19"/>
    </w:p>
    <w:p w14:paraId="2D7E98A7" w14:textId="57CE50FC" w:rsidR="00AC2FEA" w:rsidRPr="00393D9E" w:rsidRDefault="00AC2FEA" w:rsidP="00AC2FEA">
      <w:pPr>
        <w:rPr>
          <w:rFonts w:eastAsia="Calibri" w:cs="Times New Roman"/>
        </w:rPr>
      </w:pPr>
      <w:r w:rsidRPr="00393D9E">
        <w:rPr>
          <w:rFonts w:eastAsia="Calibri" w:cs="Segoe UI"/>
          <w:b/>
          <w:szCs w:val="20"/>
        </w:rPr>
        <w:t xml:space="preserve">Limit verejných výdavkov </w:t>
      </w:r>
      <w:r w:rsidRPr="00393D9E">
        <w:rPr>
          <w:rFonts w:eastAsia="Calibri" w:cs="Segoe UI"/>
          <w:szCs w:val="20"/>
        </w:rPr>
        <w:t xml:space="preserve">(LVV) </w:t>
      </w:r>
      <w:r w:rsidRPr="00393D9E">
        <w:rPr>
          <w:rFonts w:eastAsia="Calibri" w:cs="Segoe UI"/>
          <w:b/>
          <w:szCs w:val="20"/>
        </w:rPr>
        <w:t>predstavuje nástroj na zabezpečenie dlhodobej udržateľnosti</w:t>
      </w:r>
      <w:r w:rsidRPr="00393D9E">
        <w:rPr>
          <w:rFonts w:eastAsia="Calibri" w:cs="Segoe UI"/>
          <w:szCs w:val="20"/>
        </w:rPr>
        <w:t xml:space="preserve"> </w:t>
      </w:r>
      <w:r w:rsidRPr="00393D9E">
        <w:rPr>
          <w:rFonts w:eastAsia="Calibri" w:cs="Segoe UI"/>
          <w:b/>
          <w:szCs w:val="20"/>
        </w:rPr>
        <w:t xml:space="preserve">verejných financií. </w:t>
      </w:r>
      <w:r w:rsidRPr="00393D9E">
        <w:rPr>
          <w:rFonts w:eastAsia="Calibri" w:cs="Times New Roman"/>
        </w:rPr>
        <w:t>Výpočet LVV sa od roku 2024 zmenil a zjednodušil. Limit vychádza z medziročného rastu čistých výdavkov, počíta ho MF SR v súlade s MTP</w:t>
      </w:r>
      <w:r w:rsidRPr="00393D9E">
        <w:rPr>
          <w:rFonts w:eastAsia="Calibri" w:cs="Times New Roman"/>
          <w:vertAlign w:val="superscript"/>
        </w:rPr>
        <w:footnoteReference w:id="25"/>
      </w:r>
      <w:r w:rsidRPr="00393D9E">
        <w:rPr>
          <w:rFonts w:eastAsia="Calibri" w:cs="Times New Roman"/>
        </w:rPr>
        <w:t>. Výročná správa o pokroku</w:t>
      </w:r>
      <w:r w:rsidRPr="00393D9E">
        <w:rPr>
          <w:rFonts w:eastAsia="Calibri" w:cs="Times New Roman"/>
          <w:vertAlign w:val="superscript"/>
        </w:rPr>
        <w:footnoteReference w:id="26"/>
      </w:r>
      <w:r w:rsidRPr="00393D9E">
        <w:rPr>
          <w:rFonts w:eastAsia="Calibri" w:cs="Times New Roman"/>
        </w:rPr>
        <w:t>sumarizuje plnenie fiškálno-štrukturálneho plánu, ku ktorému RRZ</w:t>
      </w:r>
      <w:r w:rsidRPr="00393D9E">
        <w:rPr>
          <w:rFonts w:eastAsia="Calibri" w:cs="Times New Roman"/>
          <w:vertAlign w:val="superscript"/>
        </w:rPr>
        <w:footnoteReference w:id="27"/>
      </w:r>
      <w:r w:rsidRPr="00393D9E">
        <w:rPr>
          <w:rFonts w:eastAsia="Calibri" w:cs="Times New Roman"/>
        </w:rPr>
        <w:t xml:space="preserve"> vypracúva </w:t>
      </w:r>
      <w:r w:rsidR="00565C49">
        <w:rPr>
          <w:rFonts w:eastAsia="Calibri" w:cs="Times New Roman"/>
        </w:rPr>
        <w:t>v</w:t>
      </w:r>
      <w:r w:rsidRPr="00393D9E">
        <w:rPr>
          <w:rFonts w:eastAsia="Calibri" w:cs="Times New Roman"/>
        </w:rPr>
        <w:t xml:space="preserve"> zmysle novelizovaných rozpočtových pravidiel svoje hodnotenie. </w:t>
      </w:r>
      <w:r w:rsidRPr="00393D9E">
        <w:rPr>
          <w:rFonts w:eastAsia="Times New Roman" w:cs="Segoe UI"/>
          <w:szCs w:val="20"/>
        </w:rPr>
        <w:t>Samotný postup výpočtu LVV sme popísali vo vlaňajšom stanovisku NKÚ SR k návrhu ŠR na rok 2025</w:t>
      </w:r>
      <w:r w:rsidRPr="00393D9E">
        <w:rPr>
          <w:rFonts w:eastAsia="Times New Roman" w:cs="Segoe UI"/>
          <w:szCs w:val="20"/>
          <w:vertAlign w:val="superscript"/>
        </w:rPr>
        <w:footnoteReference w:id="28"/>
      </w:r>
      <w:r w:rsidRPr="00393D9E">
        <w:rPr>
          <w:rFonts w:eastAsia="Times New Roman" w:cs="Segoe UI"/>
          <w:szCs w:val="20"/>
        </w:rPr>
        <w:t>.</w:t>
      </w:r>
    </w:p>
    <w:p w14:paraId="6CB30C84" w14:textId="3D46B2DC" w:rsidR="00AC2FEA" w:rsidRDefault="00AC2FEA" w:rsidP="00AC2FEA">
      <w:pPr>
        <w:rPr>
          <w:rFonts w:eastAsia="Times New Roman" w:cs="Segoe UI"/>
          <w:szCs w:val="20"/>
        </w:rPr>
      </w:pPr>
      <w:r w:rsidRPr="00393D9E">
        <w:rPr>
          <w:rFonts w:eastAsia="Times New Roman" w:cs="Segoe UI"/>
          <w:b/>
          <w:bCs/>
          <w:szCs w:val="20"/>
        </w:rPr>
        <w:t>Vypočítaný limit schvaľuje NR SR uznesením k </w:t>
      </w:r>
      <w:r w:rsidR="00565C49">
        <w:rPr>
          <w:rFonts w:eastAsia="Times New Roman" w:cs="Segoe UI"/>
          <w:b/>
          <w:bCs/>
          <w:szCs w:val="20"/>
        </w:rPr>
        <w:t>RVS</w:t>
      </w:r>
      <w:r w:rsidRPr="00393D9E">
        <w:rPr>
          <w:rFonts w:eastAsia="Times New Roman" w:cs="Segoe UI"/>
          <w:b/>
          <w:bCs/>
          <w:szCs w:val="20"/>
        </w:rPr>
        <w:t xml:space="preserve"> na nadchádzajúce tri roky </w:t>
      </w:r>
      <w:r w:rsidRPr="00393D9E">
        <w:rPr>
          <w:rFonts w:eastAsia="Times New Roman" w:cs="Segoe UI"/>
          <w:szCs w:val="20"/>
        </w:rPr>
        <w:t>(jedna suma pre každý rok)</w:t>
      </w:r>
      <w:r w:rsidRPr="00393D9E">
        <w:rPr>
          <w:rFonts w:eastAsia="Times New Roman" w:cs="Segoe UI"/>
          <w:b/>
          <w:bCs/>
          <w:szCs w:val="20"/>
        </w:rPr>
        <w:t>.</w:t>
      </w:r>
      <w:r w:rsidRPr="00393D9E">
        <w:rPr>
          <w:rFonts w:eastAsia="Times New Roman" w:cs="Segoe UI"/>
          <w:szCs w:val="20"/>
        </w:rPr>
        <w:t xml:space="preserve"> Súčasťou uznesenia sú aj limity subjektov VS a ďalších súčastí RVS rozpočtovaných v RVS na príslušný rok. NR SR uznesením zároveň splnomocňuje vládu upravovať limity jednotlivých subjektov pri dodržaní celkového LVV. Súčasťou LVV nie sú prostriedky z rozpočtu EÚ, vrátane POO a spolufinancovania, úrokové náklady, cyklické výdavky na dávky v nezamestnanosti a jednorazové výdavky (tabuľka </w:t>
      </w:r>
      <w:r w:rsidR="003B7772">
        <w:rPr>
          <w:rFonts w:eastAsia="Times New Roman" w:cs="Segoe UI"/>
          <w:szCs w:val="20"/>
        </w:rPr>
        <w:t>5</w:t>
      </w:r>
      <w:r w:rsidRPr="00393D9E">
        <w:rPr>
          <w:rFonts w:eastAsia="Times New Roman" w:cs="Segoe UI"/>
          <w:szCs w:val="20"/>
        </w:rPr>
        <w:t>).</w:t>
      </w:r>
    </w:p>
    <w:p w14:paraId="312FE5E4" w14:textId="77777777" w:rsidR="00847B9D" w:rsidRPr="00393D9E" w:rsidRDefault="00847B9D" w:rsidP="00AC2FEA">
      <w:pPr>
        <w:rPr>
          <w:rFonts w:eastAsia="Times New Roman" w:cs="Segoe UI"/>
          <w:szCs w:val="20"/>
        </w:rPr>
      </w:pPr>
    </w:p>
    <w:p w14:paraId="09EF8AA8" w14:textId="77777777" w:rsidR="008F16D1" w:rsidRPr="00393D9E" w:rsidRDefault="008F16D1" w:rsidP="008F16D1">
      <w:pPr>
        <w:keepNext/>
        <w:spacing w:after="0" w:line="240" w:lineRule="auto"/>
        <w:rPr>
          <w:rFonts w:eastAsia="Calibri" w:cs="Times New Roman"/>
          <w:b/>
          <w:iCs/>
          <w:color w:val="314364"/>
          <w:szCs w:val="18"/>
        </w:rPr>
      </w:pPr>
      <w:r w:rsidRPr="00393D9E">
        <w:rPr>
          <w:rFonts w:eastAsia="Calibri" w:cs="Times New Roman"/>
          <w:b/>
          <w:iCs/>
          <w:color w:val="314364"/>
          <w:szCs w:val="18"/>
        </w:rPr>
        <w:lastRenderedPageBreak/>
        <w:t xml:space="preserve">Tabuľka </w:t>
      </w:r>
      <w:r>
        <w:rPr>
          <w:rFonts w:eastAsia="Calibri" w:cs="Times New Roman"/>
          <w:b/>
          <w:iCs/>
          <w:color w:val="314364"/>
          <w:szCs w:val="18"/>
        </w:rPr>
        <w:t>5</w:t>
      </w:r>
      <w:r w:rsidRPr="00393D9E">
        <w:rPr>
          <w:rFonts w:eastAsia="Calibri" w:cs="Times New Roman"/>
          <w:b/>
          <w:iCs/>
          <w:color w:val="314364"/>
          <w:szCs w:val="18"/>
        </w:rPr>
        <w:t>: Porovnanie LVV medzi RVS 2025</w:t>
      </w:r>
      <w:r>
        <w:rPr>
          <w:rFonts w:eastAsia="Calibri" w:cs="Times New Roman"/>
          <w:b/>
          <w:iCs/>
          <w:color w:val="314364"/>
          <w:szCs w:val="18"/>
        </w:rPr>
        <w:t xml:space="preserve"> – </w:t>
      </w:r>
      <w:r w:rsidRPr="00393D9E">
        <w:rPr>
          <w:rFonts w:eastAsia="Calibri" w:cs="Times New Roman"/>
          <w:b/>
          <w:iCs/>
          <w:color w:val="314364"/>
          <w:szCs w:val="18"/>
        </w:rPr>
        <w:t>2027 a</w:t>
      </w:r>
      <w:r>
        <w:rPr>
          <w:rFonts w:eastAsia="Calibri" w:cs="Times New Roman"/>
          <w:b/>
          <w:iCs/>
          <w:color w:val="314364"/>
          <w:szCs w:val="18"/>
        </w:rPr>
        <w:t> </w:t>
      </w:r>
      <w:r w:rsidRPr="00393D9E">
        <w:rPr>
          <w:rFonts w:eastAsia="Calibri" w:cs="Times New Roman"/>
          <w:b/>
          <w:iCs/>
          <w:color w:val="314364"/>
          <w:szCs w:val="18"/>
        </w:rPr>
        <w:t>2026</w:t>
      </w:r>
      <w:r>
        <w:rPr>
          <w:rFonts w:eastAsia="Calibri" w:cs="Times New Roman"/>
          <w:b/>
          <w:iCs/>
          <w:color w:val="314364"/>
          <w:szCs w:val="18"/>
        </w:rPr>
        <w:t xml:space="preserve"> – </w:t>
      </w:r>
      <w:r w:rsidRPr="00393D9E">
        <w:rPr>
          <w:rFonts w:eastAsia="Calibri" w:cs="Times New Roman"/>
          <w:b/>
          <w:iCs/>
          <w:color w:val="314364"/>
          <w:szCs w:val="18"/>
        </w:rPr>
        <w:t>2028 (akruálne a konsolidované, v mil. eur)</w:t>
      </w:r>
    </w:p>
    <w:tbl>
      <w:tblPr>
        <w:tblpPr w:leftFromText="141" w:rightFromText="141" w:vertAnchor="text" w:horzAnchor="margin" w:tblpXSpec="center" w:tblpY="72"/>
        <w:tblOverlap w:val="never"/>
        <w:tblW w:w="5000" w:type="pct"/>
        <w:tblCellMar>
          <w:top w:w="28" w:type="dxa"/>
        </w:tblCellMar>
        <w:tblLook w:val="04A0" w:firstRow="1" w:lastRow="0" w:firstColumn="1" w:lastColumn="0" w:noHBand="0" w:noVBand="1"/>
      </w:tblPr>
      <w:tblGrid>
        <w:gridCol w:w="2802"/>
        <w:gridCol w:w="783"/>
        <w:gridCol w:w="784"/>
        <w:gridCol w:w="784"/>
        <w:gridCol w:w="784"/>
        <w:gridCol w:w="784"/>
        <w:gridCol w:w="789"/>
        <w:gridCol w:w="784"/>
        <w:gridCol w:w="776"/>
      </w:tblGrid>
      <w:tr w:rsidR="008F16D1" w:rsidRPr="00393D9E" w14:paraId="043EF318" w14:textId="77777777" w:rsidTr="00BB314F">
        <w:trPr>
          <w:trHeight w:val="57"/>
        </w:trPr>
        <w:tc>
          <w:tcPr>
            <w:tcW w:w="1545" w:type="pct"/>
            <w:shd w:val="clear" w:color="auto" w:fill="314364" w:themeFill="text2"/>
            <w:vAlign w:val="center"/>
          </w:tcPr>
          <w:p w14:paraId="45A71457" w14:textId="77777777" w:rsidR="008F16D1" w:rsidRPr="00BB314F" w:rsidRDefault="008F16D1" w:rsidP="00BB314F">
            <w:pPr>
              <w:spacing w:after="0" w:line="259" w:lineRule="auto"/>
              <w:rPr>
                <w:rFonts w:eastAsia="Calibri" w:cs="Segoe UI"/>
                <w:b/>
                <w:color w:val="FFFFFF" w:themeColor="background1"/>
                <w:sz w:val="16"/>
                <w:szCs w:val="16"/>
              </w:rPr>
            </w:pPr>
          </w:p>
        </w:tc>
        <w:tc>
          <w:tcPr>
            <w:tcW w:w="1296" w:type="pct"/>
            <w:gridSpan w:val="3"/>
            <w:tcBorders>
              <w:right w:val="single" w:sz="4" w:space="0" w:color="auto"/>
            </w:tcBorders>
            <w:shd w:val="clear" w:color="auto" w:fill="314364" w:themeFill="text2"/>
            <w:vAlign w:val="center"/>
          </w:tcPr>
          <w:p w14:paraId="35C4281F"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Calibri" w:cs="Segoe UI"/>
                <w:b/>
                <w:color w:val="FFFFFF" w:themeColor="background1"/>
                <w:sz w:val="16"/>
                <w:szCs w:val="16"/>
              </w:rPr>
              <w:t xml:space="preserve">RVS 2025 – 2027 </w:t>
            </w:r>
          </w:p>
        </w:tc>
        <w:tc>
          <w:tcPr>
            <w:tcW w:w="1299" w:type="pct"/>
            <w:gridSpan w:val="3"/>
            <w:tcBorders>
              <w:top w:val="single" w:sz="4" w:space="0" w:color="auto"/>
              <w:left w:val="single" w:sz="4" w:space="0" w:color="auto"/>
              <w:right w:val="single" w:sz="4" w:space="0" w:color="auto"/>
            </w:tcBorders>
            <w:shd w:val="clear" w:color="auto" w:fill="314364" w:themeFill="text2"/>
          </w:tcPr>
          <w:p w14:paraId="4143F0EC"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Calibri" w:cs="Segoe UI"/>
                <w:b/>
                <w:color w:val="FFFFFF" w:themeColor="background1"/>
                <w:sz w:val="16"/>
                <w:szCs w:val="16"/>
              </w:rPr>
              <w:t xml:space="preserve">RVS 2026 – 2028 </w:t>
            </w:r>
          </w:p>
        </w:tc>
        <w:tc>
          <w:tcPr>
            <w:tcW w:w="432" w:type="pct"/>
            <w:vMerge w:val="restart"/>
            <w:tcBorders>
              <w:left w:val="single" w:sz="4" w:space="0" w:color="auto"/>
            </w:tcBorders>
            <w:shd w:val="clear" w:color="auto" w:fill="314364" w:themeFill="text2"/>
            <w:vAlign w:val="center"/>
          </w:tcPr>
          <w:p w14:paraId="667E6865"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Calibri" w:cs="Segoe UI"/>
                <w:b/>
                <w:color w:val="FFFFFF" w:themeColor="background1"/>
                <w:sz w:val="16"/>
                <w:szCs w:val="16"/>
              </w:rPr>
              <w:t>26N-25R</w:t>
            </w:r>
          </w:p>
        </w:tc>
        <w:tc>
          <w:tcPr>
            <w:tcW w:w="428" w:type="pct"/>
            <w:vMerge w:val="restart"/>
            <w:shd w:val="clear" w:color="auto" w:fill="314364" w:themeFill="text2"/>
            <w:vAlign w:val="center"/>
          </w:tcPr>
          <w:p w14:paraId="1A77E2A7"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Calibri" w:cs="Segoe UI"/>
                <w:b/>
                <w:color w:val="FFFFFF" w:themeColor="background1"/>
                <w:sz w:val="16"/>
                <w:szCs w:val="16"/>
              </w:rPr>
              <w:t>26N-26R</w:t>
            </w:r>
          </w:p>
        </w:tc>
      </w:tr>
      <w:tr w:rsidR="008F16D1" w:rsidRPr="00393D9E" w14:paraId="75CA1E8C" w14:textId="77777777" w:rsidTr="00BB314F">
        <w:trPr>
          <w:trHeight w:val="57"/>
        </w:trPr>
        <w:tc>
          <w:tcPr>
            <w:tcW w:w="1545" w:type="pct"/>
            <w:shd w:val="clear" w:color="auto" w:fill="314364" w:themeFill="text2"/>
          </w:tcPr>
          <w:p w14:paraId="7E008BB3" w14:textId="77777777" w:rsidR="008F16D1" w:rsidRPr="00BB314F" w:rsidRDefault="008F16D1" w:rsidP="00BB314F">
            <w:pPr>
              <w:spacing w:after="0" w:line="259" w:lineRule="auto"/>
              <w:rPr>
                <w:rFonts w:eastAsia="Calibri" w:cs="Segoe UI"/>
                <w:b/>
                <w:color w:val="FFFFFF" w:themeColor="background1"/>
                <w:sz w:val="16"/>
                <w:szCs w:val="16"/>
              </w:rPr>
            </w:pPr>
          </w:p>
        </w:tc>
        <w:tc>
          <w:tcPr>
            <w:tcW w:w="432" w:type="pct"/>
            <w:shd w:val="clear" w:color="auto" w:fill="314364" w:themeFill="text2"/>
          </w:tcPr>
          <w:p w14:paraId="75FC43C4" w14:textId="77777777" w:rsidR="008F16D1" w:rsidRPr="00BB314F" w:rsidRDefault="008F16D1" w:rsidP="00BB314F">
            <w:pPr>
              <w:spacing w:after="0" w:line="259" w:lineRule="auto"/>
              <w:jc w:val="center"/>
              <w:rPr>
                <w:rFonts w:eastAsia="Calibri" w:cs="Segoe UI"/>
                <w:b/>
                <w:bCs/>
                <w:color w:val="FFFFFF" w:themeColor="background1"/>
                <w:sz w:val="16"/>
                <w:szCs w:val="16"/>
              </w:rPr>
            </w:pPr>
            <w:r w:rsidRPr="00BB314F">
              <w:rPr>
                <w:rFonts w:eastAsia="Times New Roman" w:cs="Segoe UI"/>
                <w:b/>
                <w:bCs/>
                <w:color w:val="FFFFFF" w:themeColor="background1"/>
                <w:sz w:val="16"/>
                <w:szCs w:val="16"/>
                <w:lang w:eastAsia="sk-SK"/>
              </w:rPr>
              <w:t>2025</w:t>
            </w:r>
          </w:p>
        </w:tc>
        <w:tc>
          <w:tcPr>
            <w:tcW w:w="432" w:type="pct"/>
            <w:shd w:val="clear" w:color="auto" w:fill="314364" w:themeFill="text2"/>
          </w:tcPr>
          <w:p w14:paraId="69C0AC37" w14:textId="77777777" w:rsidR="008F16D1" w:rsidRPr="00BB314F" w:rsidRDefault="008F16D1" w:rsidP="00BB314F">
            <w:pPr>
              <w:spacing w:after="0" w:line="259" w:lineRule="auto"/>
              <w:jc w:val="center"/>
              <w:rPr>
                <w:rFonts w:eastAsia="Calibri" w:cs="Segoe UI"/>
                <w:b/>
                <w:bCs/>
                <w:color w:val="FFFFFF" w:themeColor="background1"/>
                <w:sz w:val="16"/>
                <w:szCs w:val="16"/>
              </w:rPr>
            </w:pPr>
            <w:r w:rsidRPr="00BB314F">
              <w:rPr>
                <w:rFonts w:eastAsia="Times New Roman" w:cs="Segoe UI"/>
                <w:b/>
                <w:bCs/>
                <w:color w:val="FFFFFF" w:themeColor="background1"/>
                <w:sz w:val="16"/>
                <w:szCs w:val="16"/>
                <w:lang w:eastAsia="sk-SK"/>
              </w:rPr>
              <w:t>2026</w:t>
            </w:r>
          </w:p>
        </w:tc>
        <w:tc>
          <w:tcPr>
            <w:tcW w:w="432" w:type="pct"/>
            <w:tcBorders>
              <w:right w:val="single" w:sz="4" w:space="0" w:color="auto"/>
            </w:tcBorders>
            <w:shd w:val="clear" w:color="auto" w:fill="314364" w:themeFill="text2"/>
          </w:tcPr>
          <w:p w14:paraId="1F9B971E" w14:textId="77777777" w:rsidR="008F16D1" w:rsidRPr="00BB314F" w:rsidRDefault="008F16D1" w:rsidP="00BB314F">
            <w:pPr>
              <w:spacing w:after="0" w:line="259" w:lineRule="auto"/>
              <w:jc w:val="center"/>
              <w:rPr>
                <w:rFonts w:eastAsia="Calibri" w:cs="Segoe UI"/>
                <w:b/>
                <w:bCs/>
                <w:color w:val="FFFFFF" w:themeColor="background1"/>
                <w:sz w:val="16"/>
                <w:szCs w:val="16"/>
              </w:rPr>
            </w:pPr>
            <w:r w:rsidRPr="00BB314F">
              <w:rPr>
                <w:rFonts w:eastAsia="Times New Roman" w:cs="Segoe UI"/>
                <w:b/>
                <w:bCs/>
                <w:color w:val="FFFFFF" w:themeColor="background1"/>
                <w:sz w:val="16"/>
                <w:szCs w:val="16"/>
                <w:lang w:eastAsia="sk-SK"/>
              </w:rPr>
              <w:t>2027</w:t>
            </w:r>
          </w:p>
        </w:tc>
        <w:tc>
          <w:tcPr>
            <w:tcW w:w="432" w:type="pct"/>
            <w:tcBorders>
              <w:left w:val="single" w:sz="4" w:space="0" w:color="auto"/>
            </w:tcBorders>
            <w:shd w:val="clear" w:color="auto" w:fill="314364" w:themeFill="text2"/>
          </w:tcPr>
          <w:p w14:paraId="2F012B46" w14:textId="77777777" w:rsidR="008F16D1" w:rsidRPr="00BB314F" w:rsidRDefault="008F16D1" w:rsidP="00BB314F">
            <w:pPr>
              <w:spacing w:after="0" w:line="259" w:lineRule="auto"/>
              <w:jc w:val="center"/>
              <w:rPr>
                <w:rFonts w:eastAsia="Calibri" w:cs="Segoe UI"/>
                <w:b/>
                <w:bCs/>
                <w:color w:val="FFFFFF" w:themeColor="background1"/>
                <w:sz w:val="16"/>
                <w:szCs w:val="16"/>
              </w:rPr>
            </w:pPr>
            <w:r w:rsidRPr="00BB314F">
              <w:rPr>
                <w:rFonts w:eastAsia="Times New Roman" w:cs="Segoe UI"/>
                <w:b/>
                <w:bCs/>
                <w:color w:val="FFFFFF" w:themeColor="background1"/>
                <w:sz w:val="16"/>
                <w:szCs w:val="16"/>
                <w:lang w:eastAsia="sk-SK"/>
              </w:rPr>
              <w:t>2026</w:t>
            </w:r>
          </w:p>
        </w:tc>
        <w:tc>
          <w:tcPr>
            <w:tcW w:w="432" w:type="pct"/>
            <w:shd w:val="clear" w:color="auto" w:fill="314364" w:themeFill="text2"/>
          </w:tcPr>
          <w:p w14:paraId="5AE5D9F2" w14:textId="77777777" w:rsidR="008F16D1" w:rsidRPr="00BB314F" w:rsidRDefault="008F16D1" w:rsidP="00BB314F">
            <w:pPr>
              <w:spacing w:after="0" w:line="259" w:lineRule="auto"/>
              <w:jc w:val="center"/>
              <w:rPr>
                <w:rFonts w:eastAsia="Calibri" w:cs="Segoe UI"/>
                <w:b/>
                <w:bCs/>
                <w:color w:val="FFFFFF" w:themeColor="background1"/>
                <w:sz w:val="16"/>
                <w:szCs w:val="16"/>
              </w:rPr>
            </w:pPr>
            <w:r w:rsidRPr="00BB314F">
              <w:rPr>
                <w:rFonts w:eastAsia="Times New Roman" w:cs="Segoe UI"/>
                <w:b/>
                <w:bCs/>
                <w:color w:val="FFFFFF" w:themeColor="background1"/>
                <w:sz w:val="16"/>
                <w:szCs w:val="16"/>
                <w:lang w:eastAsia="sk-SK"/>
              </w:rPr>
              <w:t>2027</w:t>
            </w:r>
          </w:p>
        </w:tc>
        <w:tc>
          <w:tcPr>
            <w:tcW w:w="435" w:type="pct"/>
            <w:tcBorders>
              <w:right w:val="single" w:sz="4" w:space="0" w:color="auto"/>
            </w:tcBorders>
            <w:shd w:val="clear" w:color="auto" w:fill="314364" w:themeFill="text2"/>
          </w:tcPr>
          <w:p w14:paraId="3EE6F7A0" w14:textId="77777777" w:rsidR="008F16D1" w:rsidRPr="00BB314F" w:rsidRDefault="008F16D1" w:rsidP="00BB314F">
            <w:pPr>
              <w:spacing w:after="0" w:line="259" w:lineRule="auto"/>
              <w:jc w:val="center"/>
              <w:rPr>
                <w:rFonts w:eastAsia="Calibri" w:cs="Segoe UI"/>
                <w:b/>
                <w:bCs/>
                <w:color w:val="FFFFFF" w:themeColor="background1"/>
                <w:sz w:val="16"/>
                <w:szCs w:val="16"/>
              </w:rPr>
            </w:pPr>
            <w:r w:rsidRPr="00BB314F">
              <w:rPr>
                <w:rFonts w:eastAsia="Times New Roman" w:cs="Segoe UI"/>
                <w:b/>
                <w:bCs/>
                <w:color w:val="FFFFFF" w:themeColor="background1"/>
                <w:sz w:val="16"/>
                <w:szCs w:val="16"/>
                <w:lang w:eastAsia="sk-SK"/>
              </w:rPr>
              <w:t>2028</w:t>
            </w:r>
          </w:p>
        </w:tc>
        <w:tc>
          <w:tcPr>
            <w:tcW w:w="432" w:type="pct"/>
            <w:vMerge/>
            <w:tcBorders>
              <w:left w:val="single" w:sz="4" w:space="0" w:color="auto"/>
            </w:tcBorders>
            <w:shd w:val="clear" w:color="auto" w:fill="314364" w:themeFill="text2"/>
          </w:tcPr>
          <w:p w14:paraId="3DB67F61" w14:textId="77777777" w:rsidR="008F16D1" w:rsidRPr="00BB314F" w:rsidRDefault="008F16D1" w:rsidP="00BB314F">
            <w:pPr>
              <w:spacing w:after="0" w:line="259" w:lineRule="auto"/>
              <w:jc w:val="center"/>
              <w:rPr>
                <w:rFonts w:eastAsia="Calibri" w:cs="Segoe UI"/>
                <w:b/>
                <w:color w:val="FFFFFF" w:themeColor="background1"/>
                <w:sz w:val="16"/>
                <w:szCs w:val="16"/>
              </w:rPr>
            </w:pPr>
          </w:p>
        </w:tc>
        <w:tc>
          <w:tcPr>
            <w:tcW w:w="428" w:type="pct"/>
            <w:vMerge/>
            <w:shd w:val="clear" w:color="auto" w:fill="314364" w:themeFill="text2"/>
          </w:tcPr>
          <w:p w14:paraId="1D41864E" w14:textId="77777777" w:rsidR="008F16D1" w:rsidRPr="00BB314F" w:rsidRDefault="008F16D1" w:rsidP="00BB314F">
            <w:pPr>
              <w:spacing w:after="0" w:line="259" w:lineRule="auto"/>
              <w:jc w:val="center"/>
              <w:rPr>
                <w:rFonts w:eastAsia="Calibri" w:cs="Segoe UI"/>
                <w:b/>
                <w:color w:val="FFFFFF" w:themeColor="background1"/>
                <w:sz w:val="16"/>
                <w:szCs w:val="16"/>
              </w:rPr>
            </w:pPr>
          </w:p>
        </w:tc>
      </w:tr>
      <w:tr w:rsidR="008F16D1" w:rsidRPr="00393D9E" w14:paraId="47090410" w14:textId="77777777" w:rsidTr="00BB314F">
        <w:trPr>
          <w:trHeight w:val="57"/>
        </w:trPr>
        <w:tc>
          <w:tcPr>
            <w:tcW w:w="1545" w:type="pct"/>
            <w:shd w:val="clear" w:color="auto" w:fill="314364" w:themeFill="text2"/>
          </w:tcPr>
          <w:p w14:paraId="6602D43F"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1</w:t>
            </w:r>
          </w:p>
        </w:tc>
        <w:tc>
          <w:tcPr>
            <w:tcW w:w="432" w:type="pct"/>
            <w:shd w:val="clear" w:color="auto" w:fill="314364" w:themeFill="text2"/>
          </w:tcPr>
          <w:p w14:paraId="15956A9A"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2</w:t>
            </w:r>
          </w:p>
        </w:tc>
        <w:tc>
          <w:tcPr>
            <w:tcW w:w="432" w:type="pct"/>
            <w:shd w:val="clear" w:color="auto" w:fill="314364" w:themeFill="text2"/>
          </w:tcPr>
          <w:p w14:paraId="20275723"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3</w:t>
            </w:r>
          </w:p>
        </w:tc>
        <w:tc>
          <w:tcPr>
            <w:tcW w:w="432" w:type="pct"/>
            <w:tcBorders>
              <w:right w:val="single" w:sz="4" w:space="0" w:color="auto"/>
            </w:tcBorders>
            <w:shd w:val="clear" w:color="auto" w:fill="314364" w:themeFill="text2"/>
          </w:tcPr>
          <w:p w14:paraId="20468E3E"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4</w:t>
            </w:r>
          </w:p>
        </w:tc>
        <w:tc>
          <w:tcPr>
            <w:tcW w:w="432" w:type="pct"/>
            <w:tcBorders>
              <w:left w:val="single" w:sz="4" w:space="0" w:color="auto"/>
            </w:tcBorders>
            <w:shd w:val="clear" w:color="auto" w:fill="314364" w:themeFill="text2"/>
          </w:tcPr>
          <w:p w14:paraId="4DCBA0A9"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5</w:t>
            </w:r>
          </w:p>
        </w:tc>
        <w:tc>
          <w:tcPr>
            <w:tcW w:w="432" w:type="pct"/>
            <w:shd w:val="clear" w:color="auto" w:fill="314364" w:themeFill="text2"/>
          </w:tcPr>
          <w:p w14:paraId="17DF5FD2"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6</w:t>
            </w:r>
          </w:p>
        </w:tc>
        <w:tc>
          <w:tcPr>
            <w:tcW w:w="435" w:type="pct"/>
            <w:tcBorders>
              <w:right w:val="single" w:sz="4" w:space="0" w:color="auto"/>
            </w:tcBorders>
            <w:shd w:val="clear" w:color="auto" w:fill="314364" w:themeFill="text2"/>
          </w:tcPr>
          <w:p w14:paraId="6F6BA865"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7</w:t>
            </w:r>
          </w:p>
        </w:tc>
        <w:tc>
          <w:tcPr>
            <w:tcW w:w="432" w:type="pct"/>
            <w:tcBorders>
              <w:left w:val="single" w:sz="4" w:space="0" w:color="auto"/>
            </w:tcBorders>
            <w:shd w:val="clear" w:color="auto" w:fill="314364" w:themeFill="text2"/>
          </w:tcPr>
          <w:p w14:paraId="102811DF"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5-2</w:t>
            </w:r>
          </w:p>
        </w:tc>
        <w:tc>
          <w:tcPr>
            <w:tcW w:w="428" w:type="pct"/>
            <w:shd w:val="clear" w:color="auto" w:fill="314364" w:themeFill="text2"/>
          </w:tcPr>
          <w:p w14:paraId="6C425021" w14:textId="77777777" w:rsidR="008F16D1" w:rsidRPr="00BB314F" w:rsidRDefault="008F16D1" w:rsidP="00BB314F">
            <w:pPr>
              <w:spacing w:after="0" w:line="259" w:lineRule="auto"/>
              <w:jc w:val="center"/>
              <w:rPr>
                <w:rFonts w:eastAsia="Calibri" w:cs="Segoe UI"/>
                <w:b/>
                <w:color w:val="FFFFFF" w:themeColor="background1"/>
                <w:sz w:val="16"/>
                <w:szCs w:val="16"/>
              </w:rPr>
            </w:pPr>
            <w:r w:rsidRPr="00BB314F">
              <w:rPr>
                <w:rFonts w:eastAsia="Times New Roman" w:cs="Segoe UI"/>
                <w:color w:val="FFFFFF" w:themeColor="background1"/>
                <w:sz w:val="16"/>
                <w:szCs w:val="16"/>
                <w:lang w:eastAsia="sk-SK"/>
              </w:rPr>
              <w:t>5-3</w:t>
            </w:r>
          </w:p>
        </w:tc>
      </w:tr>
      <w:tr w:rsidR="008F16D1" w:rsidRPr="00393D9E" w14:paraId="34856517" w14:textId="77777777" w:rsidTr="00BB314F">
        <w:trPr>
          <w:trHeight w:val="57"/>
        </w:trPr>
        <w:tc>
          <w:tcPr>
            <w:tcW w:w="1545" w:type="pct"/>
            <w:vAlign w:val="center"/>
          </w:tcPr>
          <w:p w14:paraId="3FEDC03D" w14:textId="77777777" w:rsidR="008F16D1" w:rsidRPr="00393D9E" w:rsidRDefault="008F16D1" w:rsidP="00BB314F">
            <w:pPr>
              <w:spacing w:after="0" w:line="259" w:lineRule="auto"/>
              <w:rPr>
                <w:rFonts w:eastAsia="Calibri" w:cs="Segoe UI"/>
                <w:b/>
                <w:bCs/>
                <w:sz w:val="16"/>
                <w:szCs w:val="16"/>
              </w:rPr>
            </w:pPr>
            <w:r w:rsidRPr="00393D9E">
              <w:rPr>
                <w:rFonts w:eastAsia="Times New Roman" w:cs="Segoe UI"/>
                <w:b/>
                <w:bCs/>
                <w:sz w:val="16"/>
                <w:szCs w:val="16"/>
                <w:lang w:eastAsia="sk-SK"/>
              </w:rPr>
              <w:t>Celkové výdavky rozpočtu verejnej správy (ESA 2010)</w:t>
            </w:r>
          </w:p>
        </w:tc>
        <w:tc>
          <w:tcPr>
            <w:tcW w:w="432" w:type="pct"/>
            <w:vAlign w:val="center"/>
          </w:tcPr>
          <w:p w14:paraId="1EF4C99E"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b/>
                <w:bCs/>
                <w:color w:val="000000"/>
                <w:sz w:val="16"/>
                <w:szCs w:val="16"/>
                <w:lang w:eastAsia="sk-SK"/>
              </w:rPr>
              <w:t>66 511</w:t>
            </w:r>
          </w:p>
        </w:tc>
        <w:tc>
          <w:tcPr>
            <w:tcW w:w="432" w:type="pct"/>
            <w:vAlign w:val="center"/>
          </w:tcPr>
          <w:p w14:paraId="2FE763A1"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b/>
                <w:bCs/>
                <w:color w:val="000000"/>
                <w:sz w:val="16"/>
                <w:szCs w:val="16"/>
                <w:lang w:eastAsia="sk-SK"/>
              </w:rPr>
              <w:t>68 251</w:t>
            </w:r>
          </w:p>
        </w:tc>
        <w:tc>
          <w:tcPr>
            <w:tcW w:w="432" w:type="pct"/>
            <w:tcBorders>
              <w:right w:val="single" w:sz="4" w:space="0" w:color="auto"/>
            </w:tcBorders>
            <w:vAlign w:val="center"/>
          </w:tcPr>
          <w:p w14:paraId="5AE5D7ED"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b/>
                <w:bCs/>
                <w:color w:val="000000"/>
                <w:sz w:val="16"/>
                <w:szCs w:val="16"/>
                <w:lang w:eastAsia="sk-SK"/>
              </w:rPr>
              <w:t>70 646</w:t>
            </w:r>
          </w:p>
        </w:tc>
        <w:tc>
          <w:tcPr>
            <w:tcW w:w="432" w:type="pct"/>
            <w:tcBorders>
              <w:left w:val="single" w:sz="4" w:space="0" w:color="auto"/>
            </w:tcBorders>
            <w:vAlign w:val="center"/>
          </w:tcPr>
          <w:p w14:paraId="3E998108"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b/>
                <w:bCs/>
                <w:color w:val="000000"/>
                <w:sz w:val="16"/>
                <w:szCs w:val="16"/>
                <w:lang w:eastAsia="sk-SK"/>
              </w:rPr>
              <w:t>67 876</w:t>
            </w:r>
          </w:p>
        </w:tc>
        <w:tc>
          <w:tcPr>
            <w:tcW w:w="432" w:type="pct"/>
            <w:vAlign w:val="center"/>
          </w:tcPr>
          <w:p w14:paraId="21F7D2E5"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b/>
                <w:bCs/>
                <w:color w:val="000000"/>
                <w:sz w:val="16"/>
                <w:szCs w:val="16"/>
                <w:lang w:eastAsia="sk-SK"/>
              </w:rPr>
              <w:t>70 318</w:t>
            </w:r>
          </w:p>
        </w:tc>
        <w:tc>
          <w:tcPr>
            <w:tcW w:w="435" w:type="pct"/>
            <w:tcBorders>
              <w:right w:val="single" w:sz="4" w:space="0" w:color="auto"/>
            </w:tcBorders>
            <w:vAlign w:val="center"/>
          </w:tcPr>
          <w:p w14:paraId="3B625D81"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b/>
                <w:bCs/>
                <w:color w:val="000000"/>
                <w:sz w:val="16"/>
                <w:szCs w:val="16"/>
                <w:lang w:eastAsia="sk-SK"/>
              </w:rPr>
              <w:t>71 449</w:t>
            </w:r>
          </w:p>
        </w:tc>
        <w:tc>
          <w:tcPr>
            <w:tcW w:w="432" w:type="pct"/>
            <w:tcBorders>
              <w:left w:val="single" w:sz="4" w:space="0" w:color="auto"/>
            </w:tcBorders>
            <w:vAlign w:val="center"/>
          </w:tcPr>
          <w:p w14:paraId="47A9EE30"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b/>
                <w:bCs/>
                <w:color w:val="000000"/>
                <w:sz w:val="16"/>
                <w:szCs w:val="16"/>
                <w:lang w:eastAsia="sk-SK"/>
              </w:rPr>
              <w:t>1 365</w:t>
            </w:r>
          </w:p>
        </w:tc>
        <w:tc>
          <w:tcPr>
            <w:tcW w:w="428" w:type="pct"/>
            <w:vAlign w:val="center"/>
          </w:tcPr>
          <w:p w14:paraId="5D23767C" w14:textId="77777777" w:rsidR="008F16D1" w:rsidRPr="00393D9E" w:rsidRDefault="008F16D1" w:rsidP="00BB314F">
            <w:pPr>
              <w:spacing w:after="0" w:line="259" w:lineRule="auto"/>
              <w:jc w:val="right"/>
              <w:rPr>
                <w:rFonts w:eastAsia="Calibri" w:cs="Segoe UI"/>
                <w:i/>
                <w:iCs/>
                <w:sz w:val="16"/>
                <w:szCs w:val="16"/>
              </w:rPr>
            </w:pPr>
            <w:r w:rsidRPr="00393D9E">
              <w:rPr>
                <w:rFonts w:eastAsia="Times New Roman" w:cs="Segoe UI"/>
                <w:b/>
                <w:bCs/>
                <w:color w:val="000000"/>
                <w:sz w:val="16"/>
                <w:szCs w:val="16"/>
                <w:lang w:eastAsia="sk-SK"/>
              </w:rPr>
              <w:t>-375</w:t>
            </w:r>
          </w:p>
        </w:tc>
      </w:tr>
      <w:tr w:rsidR="008F16D1" w:rsidRPr="00393D9E" w14:paraId="4BF15A14" w14:textId="77777777" w:rsidTr="00BB314F">
        <w:trPr>
          <w:trHeight w:val="57"/>
        </w:trPr>
        <w:tc>
          <w:tcPr>
            <w:tcW w:w="1545" w:type="pct"/>
            <w:vAlign w:val="center"/>
          </w:tcPr>
          <w:p w14:paraId="7C83E85C" w14:textId="77777777" w:rsidR="008F16D1" w:rsidRPr="00393D9E" w:rsidRDefault="008F16D1" w:rsidP="00BB314F">
            <w:pPr>
              <w:spacing w:after="0" w:line="259" w:lineRule="auto"/>
              <w:rPr>
                <w:rFonts w:eastAsia="Calibri" w:cs="Segoe UI"/>
                <w:color w:val="000000"/>
                <w:sz w:val="16"/>
                <w:szCs w:val="16"/>
              </w:rPr>
            </w:pPr>
            <w:r w:rsidRPr="00393D9E">
              <w:rPr>
                <w:rFonts w:eastAsia="Times New Roman" w:cs="Segoe UI"/>
                <w:sz w:val="16"/>
                <w:szCs w:val="16"/>
                <w:lang w:eastAsia="sk-SK"/>
              </w:rPr>
              <w:t>Úrokové náklady</w:t>
            </w:r>
          </w:p>
        </w:tc>
        <w:tc>
          <w:tcPr>
            <w:tcW w:w="432" w:type="pct"/>
            <w:vAlign w:val="center"/>
          </w:tcPr>
          <w:p w14:paraId="6B761CC9" w14:textId="77777777" w:rsidR="008F16D1" w:rsidRPr="00393D9E" w:rsidRDefault="008F16D1" w:rsidP="00BB314F">
            <w:pPr>
              <w:spacing w:after="0" w:line="259" w:lineRule="auto"/>
              <w:jc w:val="right"/>
              <w:rPr>
                <w:rFonts w:eastAsia="Calibri" w:cs="Segoe UI"/>
                <w:color w:val="000000"/>
                <w:sz w:val="16"/>
                <w:szCs w:val="16"/>
              </w:rPr>
            </w:pPr>
            <w:r w:rsidRPr="00393D9E">
              <w:rPr>
                <w:rFonts w:eastAsia="Times New Roman" w:cs="Segoe UI"/>
                <w:color w:val="000000"/>
                <w:sz w:val="16"/>
                <w:szCs w:val="16"/>
                <w:lang w:eastAsia="sk-SK"/>
              </w:rPr>
              <w:t>-2 159</w:t>
            </w:r>
          </w:p>
        </w:tc>
        <w:tc>
          <w:tcPr>
            <w:tcW w:w="432" w:type="pct"/>
            <w:vAlign w:val="center"/>
          </w:tcPr>
          <w:p w14:paraId="2D3B4587"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-2 388</w:t>
            </w:r>
          </w:p>
        </w:tc>
        <w:tc>
          <w:tcPr>
            <w:tcW w:w="432" w:type="pct"/>
            <w:tcBorders>
              <w:right w:val="single" w:sz="4" w:space="0" w:color="auto"/>
            </w:tcBorders>
            <w:vAlign w:val="center"/>
          </w:tcPr>
          <w:p w14:paraId="55E72548"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-2 753</w:t>
            </w:r>
          </w:p>
        </w:tc>
        <w:tc>
          <w:tcPr>
            <w:tcW w:w="432" w:type="pct"/>
            <w:tcBorders>
              <w:left w:val="single" w:sz="4" w:space="0" w:color="auto"/>
            </w:tcBorders>
            <w:vAlign w:val="center"/>
          </w:tcPr>
          <w:p w14:paraId="1F8E21CF"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-2 420</w:t>
            </w:r>
          </w:p>
        </w:tc>
        <w:tc>
          <w:tcPr>
            <w:tcW w:w="432" w:type="pct"/>
            <w:vAlign w:val="center"/>
          </w:tcPr>
          <w:p w14:paraId="2AB3D632"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-2 730</w:t>
            </w:r>
          </w:p>
        </w:tc>
        <w:tc>
          <w:tcPr>
            <w:tcW w:w="435" w:type="pct"/>
            <w:tcBorders>
              <w:right w:val="single" w:sz="4" w:space="0" w:color="auto"/>
            </w:tcBorders>
            <w:vAlign w:val="center"/>
          </w:tcPr>
          <w:p w14:paraId="502D0764"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-3 085</w:t>
            </w:r>
          </w:p>
        </w:tc>
        <w:tc>
          <w:tcPr>
            <w:tcW w:w="432" w:type="pct"/>
            <w:tcBorders>
              <w:left w:val="single" w:sz="4" w:space="0" w:color="auto"/>
            </w:tcBorders>
            <w:vAlign w:val="center"/>
          </w:tcPr>
          <w:p w14:paraId="6A816F40" w14:textId="77777777" w:rsidR="008F16D1" w:rsidRPr="00393D9E" w:rsidRDefault="008F16D1" w:rsidP="00BB314F">
            <w:pPr>
              <w:spacing w:after="0" w:line="259" w:lineRule="auto"/>
              <w:jc w:val="right"/>
              <w:rPr>
                <w:rFonts w:eastAsia="Calibri" w:cs="Segoe UI"/>
                <w:color w:val="000000"/>
                <w:sz w:val="16"/>
                <w:szCs w:val="16"/>
              </w:rPr>
            </w:pPr>
            <w:r w:rsidRPr="00393D9E">
              <w:rPr>
                <w:rFonts w:eastAsia="Times New Roman" w:cs="Segoe UI"/>
                <w:color w:val="000000"/>
                <w:sz w:val="16"/>
                <w:szCs w:val="16"/>
                <w:lang w:eastAsia="sk-SK"/>
              </w:rPr>
              <w:t>-261</w:t>
            </w:r>
          </w:p>
        </w:tc>
        <w:tc>
          <w:tcPr>
            <w:tcW w:w="428" w:type="pct"/>
            <w:vAlign w:val="center"/>
          </w:tcPr>
          <w:p w14:paraId="0295E7FC" w14:textId="77777777" w:rsidR="008F16D1" w:rsidRPr="00393D9E" w:rsidRDefault="008F16D1" w:rsidP="00BB314F">
            <w:pPr>
              <w:spacing w:after="0" w:line="259" w:lineRule="auto"/>
              <w:jc w:val="right"/>
              <w:rPr>
                <w:rFonts w:eastAsia="Calibri" w:cs="Segoe UI"/>
                <w:i/>
                <w:iCs/>
                <w:color w:val="000000"/>
                <w:sz w:val="16"/>
                <w:szCs w:val="16"/>
              </w:rPr>
            </w:pPr>
            <w:r w:rsidRPr="00393D9E">
              <w:rPr>
                <w:rFonts w:eastAsia="Times New Roman" w:cs="Segoe UI"/>
                <w:color w:val="000000"/>
                <w:sz w:val="16"/>
                <w:szCs w:val="16"/>
                <w:lang w:eastAsia="sk-SK"/>
              </w:rPr>
              <w:t>-32</w:t>
            </w:r>
          </w:p>
        </w:tc>
      </w:tr>
      <w:tr w:rsidR="008F16D1" w:rsidRPr="00393D9E" w14:paraId="1C64EA95" w14:textId="77777777" w:rsidTr="00BB314F">
        <w:trPr>
          <w:trHeight w:val="57"/>
        </w:trPr>
        <w:tc>
          <w:tcPr>
            <w:tcW w:w="1545" w:type="pct"/>
            <w:vAlign w:val="center"/>
          </w:tcPr>
          <w:p w14:paraId="05199F91" w14:textId="77777777" w:rsidR="008F16D1" w:rsidRPr="00393D9E" w:rsidRDefault="008F16D1" w:rsidP="00BB314F">
            <w:pPr>
              <w:spacing w:after="0" w:line="259" w:lineRule="auto"/>
              <w:rPr>
                <w:rFonts w:eastAsia="Calibri" w:cs="Segoe UI"/>
                <w:sz w:val="16"/>
                <w:szCs w:val="16"/>
              </w:rPr>
            </w:pPr>
            <w:r w:rsidRPr="00393D9E">
              <w:rPr>
                <w:rFonts w:eastAsia="Times New Roman" w:cs="Segoe UI"/>
                <w:sz w:val="16"/>
                <w:szCs w:val="16"/>
                <w:lang w:eastAsia="sk-SK"/>
              </w:rPr>
              <w:t>Prostriedky z rozpočtu Európskej únie (vrátane POO)</w:t>
            </w:r>
          </w:p>
        </w:tc>
        <w:tc>
          <w:tcPr>
            <w:tcW w:w="432" w:type="pct"/>
            <w:vAlign w:val="center"/>
          </w:tcPr>
          <w:p w14:paraId="430B302D"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-2 839</w:t>
            </w:r>
          </w:p>
        </w:tc>
        <w:tc>
          <w:tcPr>
            <w:tcW w:w="432" w:type="pct"/>
            <w:vAlign w:val="center"/>
          </w:tcPr>
          <w:p w14:paraId="1F441886"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-2 739</w:t>
            </w:r>
          </w:p>
        </w:tc>
        <w:tc>
          <w:tcPr>
            <w:tcW w:w="432" w:type="pct"/>
            <w:tcBorders>
              <w:right w:val="single" w:sz="4" w:space="0" w:color="auto"/>
            </w:tcBorders>
            <w:vAlign w:val="center"/>
          </w:tcPr>
          <w:p w14:paraId="126D8EEB"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-2 160</w:t>
            </w:r>
          </w:p>
        </w:tc>
        <w:tc>
          <w:tcPr>
            <w:tcW w:w="432" w:type="pct"/>
            <w:tcBorders>
              <w:left w:val="single" w:sz="4" w:space="0" w:color="auto"/>
            </w:tcBorders>
            <w:vAlign w:val="center"/>
          </w:tcPr>
          <w:p w14:paraId="101096BB"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-2 895</w:t>
            </w:r>
          </w:p>
        </w:tc>
        <w:tc>
          <w:tcPr>
            <w:tcW w:w="432" w:type="pct"/>
            <w:vAlign w:val="center"/>
          </w:tcPr>
          <w:p w14:paraId="677330BD"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-2 397</w:t>
            </w:r>
          </w:p>
        </w:tc>
        <w:tc>
          <w:tcPr>
            <w:tcW w:w="435" w:type="pct"/>
            <w:tcBorders>
              <w:right w:val="single" w:sz="4" w:space="0" w:color="auto"/>
            </w:tcBorders>
            <w:vAlign w:val="center"/>
          </w:tcPr>
          <w:p w14:paraId="4921B453"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-2 526</w:t>
            </w:r>
          </w:p>
        </w:tc>
        <w:tc>
          <w:tcPr>
            <w:tcW w:w="432" w:type="pct"/>
            <w:tcBorders>
              <w:left w:val="single" w:sz="4" w:space="0" w:color="auto"/>
            </w:tcBorders>
            <w:vAlign w:val="center"/>
          </w:tcPr>
          <w:p w14:paraId="2D0FC30C"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-56</w:t>
            </w:r>
          </w:p>
        </w:tc>
        <w:tc>
          <w:tcPr>
            <w:tcW w:w="428" w:type="pct"/>
            <w:vAlign w:val="center"/>
          </w:tcPr>
          <w:p w14:paraId="50BA769B" w14:textId="77777777" w:rsidR="008F16D1" w:rsidRPr="00393D9E" w:rsidRDefault="008F16D1" w:rsidP="00BB314F">
            <w:pPr>
              <w:spacing w:after="0" w:line="259" w:lineRule="auto"/>
              <w:jc w:val="right"/>
              <w:rPr>
                <w:rFonts w:eastAsia="Calibri" w:cs="Segoe UI"/>
                <w:i/>
                <w:iCs/>
                <w:sz w:val="16"/>
                <w:szCs w:val="16"/>
              </w:rPr>
            </w:pPr>
            <w:r w:rsidRPr="00393D9E">
              <w:rPr>
                <w:rFonts w:eastAsia="Times New Roman" w:cs="Segoe UI"/>
                <w:color w:val="000000"/>
                <w:sz w:val="16"/>
                <w:szCs w:val="16"/>
                <w:lang w:eastAsia="sk-SK"/>
              </w:rPr>
              <w:t>-156</w:t>
            </w:r>
          </w:p>
        </w:tc>
      </w:tr>
      <w:tr w:rsidR="008F16D1" w:rsidRPr="00393D9E" w14:paraId="3B78FAB2" w14:textId="77777777" w:rsidTr="00BB314F">
        <w:trPr>
          <w:trHeight w:val="57"/>
        </w:trPr>
        <w:tc>
          <w:tcPr>
            <w:tcW w:w="1545" w:type="pct"/>
            <w:vAlign w:val="center"/>
          </w:tcPr>
          <w:p w14:paraId="66881A89" w14:textId="77777777" w:rsidR="008F16D1" w:rsidRPr="00393D9E" w:rsidRDefault="008F16D1" w:rsidP="00BB314F">
            <w:pPr>
              <w:spacing w:after="0" w:line="259" w:lineRule="auto"/>
              <w:rPr>
                <w:rFonts w:eastAsia="Calibri" w:cs="Segoe UI"/>
                <w:sz w:val="16"/>
                <w:szCs w:val="16"/>
              </w:rPr>
            </w:pPr>
            <w:r w:rsidRPr="00393D9E">
              <w:rPr>
                <w:rFonts w:eastAsia="Times New Roman" w:cs="Segoe UI"/>
                <w:sz w:val="16"/>
                <w:szCs w:val="16"/>
                <w:lang w:eastAsia="sk-SK"/>
              </w:rPr>
              <w:t>Spolufinancovanie</w:t>
            </w:r>
          </w:p>
        </w:tc>
        <w:tc>
          <w:tcPr>
            <w:tcW w:w="432" w:type="pct"/>
            <w:vAlign w:val="center"/>
          </w:tcPr>
          <w:p w14:paraId="0E6EF3C2"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-437</w:t>
            </w:r>
          </w:p>
        </w:tc>
        <w:tc>
          <w:tcPr>
            <w:tcW w:w="432" w:type="pct"/>
            <w:vAlign w:val="center"/>
          </w:tcPr>
          <w:p w14:paraId="518A01DD"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-649</w:t>
            </w:r>
          </w:p>
        </w:tc>
        <w:tc>
          <w:tcPr>
            <w:tcW w:w="432" w:type="pct"/>
            <w:tcBorders>
              <w:right w:val="single" w:sz="4" w:space="0" w:color="auto"/>
            </w:tcBorders>
            <w:vAlign w:val="center"/>
          </w:tcPr>
          <w:p w14:paraId="36765174"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-654</w:t>
            </w:r>
          </w:p>
        </w:tc>
        <w:tc>
          <w:tcPr>
            <w:tcW w:w="432" w:type="pct"/>
            <w:tcBorders>
              <w:left w:val="single" w:sz="4" w:space="0" w:color="auto"/>
            </w:tcBorders>
            <w:vAlign w:val="center"/>
          </w:tcPr>
          <w:p w14:paraId="741FA4A2"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-492</w:t>
            </w:r>
          </w:p>
        </w:tc>
        <w:tc>
          <w:tcPr>
            <w:tcW w:w="432" w:type="pct"/>
            <w:vAlign w:val="center"/>
          </w:tcPr>
          <w:p w14:paraId="7CFBBE5A"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-624</w:t>
            </w:r>
          </w:p>
        </w:tc>
        <w:tc>
          <w:tcPr>
            <w:tcW w:w="435" w:type="pct"/>
            <w:tcBorders>
              <w:right w:val="single" w:sz="4" w:space="0" w:color="auto"/>
            </w:tcBorders>
            <w:vAlign w:val="center"/>
          </w:tcPr>
          <w:p w14:paraId="60C28B4A"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-615</w:t>
            </w:r>
          </w:p>
        </w:tc>
        <w:tc>
          <w:tcPr>
            <w:tcW w:w="432" w:type="pct"/>
            <w:tcBorders>
              <w:left w:val="single" w:sz="4" w:space="0" w:color="auto"/>
            </w:tcBorders>
            <w:vAlign w:val="center"/>
          </w:tcPr>
          <w:p w14:paraId="226674D2"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-55</w:t>
            </w:r>
          </w:p>
        </w:tc>
        <w:tc>
          <w:tcPr>
            <w:tcW w:w="428" w:type="pct"/>
            <w:vAlign w:val="center"/>
          </w:tcPr>
          <w:p w14:paraId="4F9C5516" w14:textId="77777777" w:rsidR="008F16D1" w:rsidRPr="00393D9E" w:rsidRDefault="008F16D1" w:rsidP="00BB314F">
            <w:pPr>
              <w:spacing w:after="0" w:line="259" w:lineRule="auto"/>
              <w:jc w:val="right"/>
              <w:rPr>
                <w:rFonts w:eastAsia="Calibri" w:cs="Segoe UI"/>
                <w:i/>
                <w:iCs/>
                <w:sz w:val="16"/>
                <w:szCs w:val="16"/>
              </w:rPr>
            </w:pPr>
            <w:r w:rsidRPr="00393D9E">
              <w:rPr>
                <w:rFonts w:eastAsia="Times New Roman" w:cs="Segoe UI"/>
                <w:color w:val="000000"/>
                <w:sz w:val="16"/>
                <w:szCs w:val="16"/>
                <w:lang w:eastAsia="sk-SK"/>
              </w:rPr>
              <w:t>157</w:t>
            </w:r>
          </w:p>
        </w:tc>
      </w:tr>
      <w:tr w:rsidR="008F16D1" w:rsidRPr="00393D9E" w14:paraId="25BCF435" w14:textId="77777777" w:rsidTr="00BB314F">
        <w:trPr>
          <w:trHeight w:val="57"/>
        </w:trPr>
        <w:tc>
          <w:tcPr>
            <w:tcW w:w="1545" w:type="pct"/>
            <w:vAlign w:val="center"/>
          </w:tcPr>
          <w:p w14:paraId="2B364001" w14:textId="77777777" w:rsidR="008F16D1" w:rsidRPr="00393D9E" w:rsidRDefault="008F16D1" w:rsidP="00BB314F">
            <w:pPr>
              <w:spacing w:after="0" w:line="259" w:lineRule="auto"/>
              <w:rPr>
                <w:rFonts w:eastAsia="Calibri" w:cs="Segoe UI"/>
                <w:sz w:val="16"/>
                <w:szCs w:val="16"/>
              </w:rPr>
            </w:pPr>
            <w:r w:rsidRPr="00393D9E">
              <w:rPr>
                <w:rFonts w:eastAsia="Times New Roman" w:cs="Segoe UI"/>
                <w:sz w:val="16"/>
                <w:szCs w:val="16"/>
                <w:lang w:eastAsia="sk-SK"/>
              </w:rPr>
              <w:t>Cyklické výdavky na dávky v nezamestnanosti</w:t>
            </w:r>
          </w:p>
        </w:tc>
        <w:tc>
          <w:tcPr>
            <w:tcW w:w="432" w:type="pct"/>
            <w:vAlign w:val="center"/>
          </w:tcPr>
          <w:p w14:paraId="5B4228D3"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-12</w:t>
            </w:r>
          </w:p>
        </w:tc>
        <w:tc>
          <w:tcPr>
            <w:tcW w:w="432" w:type="pct"/>
            <w:vAlign w:val="center"/>
          </w:tcPr>
          <w:p w14:paraId="142504EA"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-10</w:t>
            </w:r>
          </w:p>
        </w:tc>
        <w:tc>
          <w:tcPr>
            <w:tcW w:w="432" w:type="pct"/>
            <w:tcBorders>
              <w:right w:val="single" w:sz="4" w:space="0" w:color="auto"/>
            </w:tcBorders>
            <w:vAlign w:val="center"/>
          </w:tcPr>
          <w:p w14:paraId="6B3A4BD0"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-30</w:t>
            </w:r>
          </w:p>
        </w:tc>
        <w:tc>
          <w:tcPr>
            <w:tcW w:w="432" w:type="pct"/>
            <w:tcBorders>
              <w:left w:val="single" w:sz="4" w:space="0" w:color="auto"/>
            </w:tcBorders>
            <w:vAlign w:val="center"/>
          </w:tcPr>
          <w:p w14:paraId="367B5D5B"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-27</w:t>
            </w:r>
          </w:p>
        </w:tc>
        <w:tc>
          <w:tcPr>
            <w:tcW w:w="432" w:type="pct"/>
            <w:vAlign w:val="center"/>
          </w:tcPr>
          <w:p w14:paraId="35B92A06"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-36</w:t>
            </w:r>
          </w:p>
        </w:tc>
        <w:tc>
          <w:tcPr>
            <w:tcW w:w="435" w:type="pct"/>
            <w:tcBorders>
              <w:right w:val="single" w:sz="4" w:space="0" w:color="auto"/>
            </w:tcBorders>
            <w:vAlign w:val="center"/>
          </w:tcPr>
          <w:p w14:paraId="1B8E0A57"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-35</w:t>
            </w:r>
          </w:p>
        </w:tc>
        <w:tc>
          <w:tcPr>
            <w:tcW w:w="432" w:type="pct"/>
            <w:tcBorders>
              <w:left w:val="single" w:sz="4" w:space="0" w:color="auto"/>
            </w:tcBorders>
            <w:vAlign w:val="center"/>
          </w:tcPr>
          <w:p w14:paraId="332F5D22"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-15</w:t>
            </w:r>
          </w:p>
        </w:tc>
        <w:tc>
          <w:tcPr>
            <w:tcW w:w="428" w:type="pct"/>
            <w:vAlign w:val="center"/>
          </w:tcPr>
          <w:p w14:paraId="3B14BDAA" w14:textId="77777777" w:rsidR="008F16D1" w:rsidRPr="00393D9E" w:rsidRDefault="008F16D1" w:rsidP="00BB314F">
            <w:pPr>
              <w:spacing w:after="0" w:line="259" w:lineRule="auto"/>
              <w:jc w:val="right"/>
              <w:rPr>
                <w:rFonts w:eastAsia="Calibri" w:cs="Segoe UI"/>
                <w:i/>
                <w:iCs/>
                <w:sz w:val="16"/>
                <w:szCs w:val="16"/>
              </w:rPr>
            </w:pPr>
            <w:r w:rsidRPr="00393D9E">
              <w:rPr>
                <w:rFonts w:eastAsia="Times New Roman" w:cs="Segoe UI"/>
                <w:color w:val="000000"/>
                <w:sz w:val="16"/>
                <w:szCs w:val="16"/>
                <w:lang w:eastAsia="sk-SK"/>
              </w:rPr>
              <w:t>-17</w:t>
            </w:r>
          </w:p>
        </w:tc>
      </w:tr>
      <w:tr w:rsidR="008F16D1" w:rsidRPr="00393D9E" w14:paraId="7199801A" w14:textId="77777777" w:rsidTr="00BB314F">
        <w:trPr>
          <w:trHeight w:val="57"/>
        </w:trPr>
        <w:tc>
          <w:tcPr>
            <w:tcW w:w="1545" w:type="pct"/>
            <w:vAlign w:val="center"/>
          </w:tcPr>
          <w:p w14:paraId="5CF159BD" w14:textId="77777777" w:rsidR="008F16D1" w:rsidRPr="00393D9E" w:rsidRDefault="008F16D1" w:rsidP="00BB314F">
            <w:pPr>
              <w:spacing w:after="0" w:line="259" w:lineRule="auto"/>
              <w:rPr>
                <w:rFonts w:eastAsia="Calibri" w:cs="Segoe UI"/>
                <w:sz w:val="16"/>
                <w:szCs w:val="16"/>
              </w:rPr>
            </w:pPr>
            <w:r w:rsidRPr="00393D9E">
              <w:rPr>
                <w:rFonts w:eastAsia="Times New Roman" w:cs="Segoe UI"/>
                <w:sz w:val="16"/>
                <w:szCs w:val="16"/>
                <w:lang w:eastAsia="sk-SK"/>
              </w:rPr>
              <w:t>Jednorazové výdavky</w:t>
            </w:r>
          </w:p>
        </w:tc>
        <w:tc>
          <w:tcPr>
            <w:tcW w:w="432" w:type="pct"/>
            <w:vAlign w:val="center"/>
          </w:tcPr>
          <w:p w14:paraId="320C8240"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0</w:t>
            </w:r>
          </w:p>
        </w:tc>
        <w:tc>
          <w:tcPr>
            <w:tcW w:w="432" w:type="pct"/>
            <w:vAlign w:val="center"/>
          </w:tcPr>
          <w:p w14:paraId="24ED9BE1"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0</w:t>
            </w:r>
          </w:p>
        </w:tc>
        <w:tc>
          <w:tcPr>
            <w:tcW w:w="432" w:type="pct"/>
            <w:tcBorders>
              <w:right w:val="single" w:sz="4" w:space="0" w:color="auto"/>
            </w:tcBorders>
            <w:vAlign w:val="center"/>
          </w:tcPr>
          <w:p w14:paraId="4A81DD48"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0</w:t>
            </w:r>
          </w:p>
        </w:tc>
        <w:tc>
          <w:tcPr>
            <w:tcW w:w="432" w:type="pct"/>
            <w:tcBorders>
              <w:left w:val="single" w:sz="4" w:space="0" w:color="auto"/>
            </w:tcBorders>
            <w:vAlign w:val="center"/>
          </w:tcPr>
          <w:p w14:paraId="7312E520"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0</w:t>
            </w:r>
          </w:p>
        </w:tc>
        <w:tc>
          <w:tcPr>
            <w:tcW w:w="432" w:type="pct"/>
            <w:vAlign w:val="center"/>
          </w:tcPr>
          <w:p w14:paraId="36ECF1E3"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0</w:t>
            </w:r>
          </w:p>
        </w:tc>
        <w:tc>
          <w:tcPr>
            <w:tcW w:w="435" w:type="pct"/>
            <w:tcBorders>
              <w:right w:val="single" w:sz="4" w:space="0" w:color="auto"/>
            </w:tcBorders>
            <w:vAlign w:val="center"/>
          </w:tcPr>
          <w:p w14:paraId="3B0875A5"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0</w:t>
            </w:r>
          </w:p>
        </w:tc>
        <w:tc>
          <w:tcPr>
            <w:tcW w:w="432" w:type="pct"/>
            <w:tcBorders>
              <w:left w:val="single" w:sz="4" w:space="0" w:color="auto"/>
            </w:tcBorders>
            <w:vAlign w:val="center"/>
          </w:tcPr>
          <w:p w14:paraId="4E960F29"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0</w:t>
            </w:r>
          </w:p>
        </w:tc>
        <w:tc>
          <w:tcPr>
            <w:tcW w:w="428" w:type="pct"/>
            <w:vAlign w:val="center"/>
          </w:tcPr>
          <w:p w14:paraId="6DD07806" w14:textId="77777777" w:rsidR="008F16D1" w:rsidRPr="00393D9E" w:rsidRDefault="008F16D1" w:rsidP="00BB314F">
            <w:pPr>
              <w:spacing w:after="0" w:line="259" w:lineRule="auto"/>
              <w:jc w:val="right"/>
              <w:rPr>
                <w:rFonts w:eastAsia="Calibri" w:cs="Segoe UI"/>
                <w:i/>
                <w:iCs/>
                <w:sz w:val="16"/>
                <w:szCs w:val="16"/>
              </w:rPr>
            </w:pPr>
            <w:r w:rsidRPr="00393D9E">
              <w:rPr>
                <w:rFonts w:eastAsia="Times New Roman" w:cs="Segoe UI"/>
                <w:color w:val="000000"/>
                <w:sz w:val="16"/>
                <w:szCs w:val="16"/>
                <w:lang w:eastAsia="sk-SK"/>
              </w:rPr>
              <w:t>0</w:t>
            </w:r>
          </w:p>
        </w:tc>
      </w:tr>
      <w:tr w:rsidR="008F16D1" w:rsidRPr="00393D9E" w14:paraId="1B9D052E" w14:textId="77777777" w:rsidTr="00BB314F">
        <w:trPr>
          <w:trHeight w:val="57"/>
        </w:trPr>
        <w:tc>
          <w:tcPr>
            <w:tcW w:w="1545" w:type="pct"/>
            <w:vAlign w:val="center"/>
          </w:tcPr>
          <w:p w14:paraId="28D46473" w14:textId="77777777" w:rsidR="008F16D1" w:rsidRPr="00393D9E" w:rsidRDefault="008F16D1" w:rsidP="00BB314F">
            <w:pPr>
              <w:spacing w:after="0" w:line="259" w:lineRule="auto"/>
              <w:rPr>
                <w:rFonts w:eastAsia="Calibri" w:cs="Segoe UI"/>
                <w:b/>
                <w:bCs/>
                <w:color w:val="000000"/>
                <w:sz w:val="16"/>
                <w:szCs w:val="16"/>
              </w:rPr>
            </w:pPr>
            <w:r w:rsidRPr="00393D9E">
              <w:rPr>
                <w:rFonts w:eastAsia="Times New Roman" w:cs="Segoe UI"/>
                <w:b/>
                <w:bCs/>
                <w:sz w:val="16"/>
                <w:szCs w:val="16"/>
                <w:lang w:eastAsia="sk-SK"/>
              </w:rPr>
              <w:t>Výdavky spadajúce pod LVV</w:t>
            </w:r>
          </w:p>
        </w:tc>
        <w:tc>
          <w:tcPr>
            <w:tcW w:w="432" w:type="pct"/>
            <w:vAlign w:val="center"/>
          </w:tcPr>
          <w:p w14:paraId="771E651E" w14:textId="77777777" w:rsidR="008F16D1" w:rsidRPr="00393D9E" w:rsidRDefault="008F16D1" w:rsidP="00BB314F">
            <w:pPr>
              <w:spacing w:after="0" w:line="259" w:lineRule="auto"/>
              <w:jc w:val="right"/>
              <w:rPr>
                <w:rFonts w:eastAsia="Calibri" w:cs="Segoe UI"/>
                <w:b/>
                <w:bCs/>
                <w:color w:val="000000"/>
                <w:sz w:val="16"/>
                <w:szCs w:val="16"/>
              </w:rPr>
            </w:pPr>
            <w:r w:rsidRPr="00393D9E">
              <w:rPr>
                <w:rFonts w:eastAsia="Times New Roman" w:cs="Segoe UI"/>
                <w:b/>
                <w:bCs/>
                <w:color w:val="000000"/>
                <w:sz w:val="16"/>
                <w:szCs w:val="16"/>
                <w:lang w:eastAsia="sk-SK"/>
              </w:rPr>
              <w:t>61 063</w:t>
            </w:r>
          </w:p>
        </w:tc>
        <w:tc>
          <w:tcPr>
            <w:tcW w:w="432" w:type="pct"/>
            <w:vAlign w:val="center"/>
          </w:tcPr>
          <w:p w14:paraId="641A2BD4"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62 465</w:t>
            </w:r>
          </w:p>
        </w:tc>
        <w:tc>
          <w:tcPr>
            <w:tcW w:w="432" w:type="pct"/>
            <w:tcBorders>
              <w:right w:val="single" w:sz="4" w:space="0" w:color="auto"/>
            </w:tcBorders>
            <w:vAlign w:val="center"/>
          </w:tcPr>
          <w:p w14:paraId="5B104EA3"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65 049</w:t>
            </w:r>
          </w:p>
        </w:tc>
        <w:tc>
          <w:tcPr>
            <w:tcW w:w="432" w:type="pct"/>
            <w:tcBorders>
              <w:left w:val="single" w:sz="4" w:space="0" w:color="auto"/>
            </w:tcBorders>
            <w:vAlign w:val="center"/>
          </w:tcPr>
          <w:p w14:paraId="1BA5AF44"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62 042</w:t>
            </w:r>
          </w:p>
        </w:tc>
        <w:tc>
          <w:tcPr>
            <w:tcW w:w="432" w:type="pct"/>
            <w:vAlign w:val="center"/>
          </w:tcPr>
          <w:p w14:paraId="3E417455"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64 531</w:t>
            </w:r>
          </w:p>
        </w:tc>
        <w:tc>
          <w:tcPr>
            <w:tcW w:w="435" w:type="pct"/>
            <w:tcBorders>
              <w:right w:val="single" w:sz="4" w:space="0" w:color="auto"/>
            </w:tcBorders>
            <w:vAlign w:val="center"/>
          </w:tcPr>
          <w:p w14:paraId="7018B64B"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65 188</w:t>
            </w:r>
          </w:p>
        </w:tc>
        <w:tc>
          <w:tcPr>
            <w:tcW w:w="432" w:type="pct"/>
            <w:tcBorders>
              <w:left w:val="single" w:sz="4" w:space="0" w:color="auto"/>
            </w:tcBorders>
            <w:vAlign w:val="center"/>
          </w:tcPr>
          <w:p w14:paraId="7F165E24" w14:textId="77777777" w:rsidR="008F16D1" w:rsidRPr="00393D9E" w:rsidRDefault="008F16D1" w:rsidP="00BB314F">
            <w:pPr>
              <w:spacing w:after="0" w:line="259" w:lineRule="auto"/>
              <w:jc w:val="right"/>
              <w:rPr>
                <w:rFonts w:eastAsia="Calibri" w:cs="Segoe UI"/>
                <w:b/>
                <w:bCs/>
                <w:color w:val="000000"/>
                <w:sz w:val="16"/>
                <w:szCs w:val="16"/>
              </w:rPr>
            </w:pPr>
            <w:r w:rsidRPr="00393D9E">
              <w:rPr>
                <w:rFonts w:eastAsia="Times New Roman" w:cs="Segoe UI"/>
                <w:b/>
                <w:bCs/>
                <w:color w:val="000000"/>
                <w:sz w:val="16"/>
                <w:szCs w:val="16"/>
                <w:lang w:eastAsia="sk-SK"/>
              </w:rPr>
              <w:t>979</w:t>
            </w:r>
          </w:p>
        </w:tc>
        <w:tc>
          <w:tcPr>
            <w:tcW w:w="428" w:type="pct"/>
            <w:vAlign w:val="center"/>
          </w:tcPr>
          <w:p w14:paraId="182697DF" w14:textId="77777777" w:rsidR="008F16D1" w:rsidRPr="00393D9E" w:rsidRDefault="008F16D1" w:rsidP="00BB314F">
            <w:pPr>
              <w:spacing w:after="0" w:line="259" w:lineRule="auto"/>
              <w:jc w:val="right"/>
              <w:rPr>
                <w:rFonts w:eastAsia="Calibri" w:cs="Segoe UI"/>
                <w:b/>
                <w:bCs/>
                <w:i/>
                <w:iCs/>
                <w:color w:val="000000"/>
                <w:sz w:val="16"/>
                <w:szCs w:val="16"/>
              </w:rPr>
            </w:pPr>
            <w:r w:rsidRPr="00393D9E">
              <w:rPr>
                <w:rFonts w:eastAsia="Times New Roman" w:cs="Segoe UI"/>
                <w:b/>
                <w:bCs/>
                <w:color w:val="000000"/>
                <w:sz w:val="16"/>
                <w:szCs w:val="16"/>
                <w:lang w:eastAsia="sk-SK"/>
              </w:rPr>
              <w:t>-423</w:t>
            </w:r>
          </w:p>
        </w:tc>
      </w:tr>
      <w:tr w:rsidR="008F16D1" w:rsidRPr="00393D9E" w14:paraId="5C692FFC" w14:textId="77777777" w:rsidTr="00BB314F">
        <w:trPr>
          <w:trHeight w:val="57"/>
        </w:trPr>
        <w:tc>
          <w:tcPr>
            <w:tcW w:w="1545" w:type="pct"/>
            <w:vAlign w:val="center"/>
          </w:tcPr>
          <w:p w14:paraId="71DC6DE8" w14:textId="77777777" w:rsidR="008F16D1" w:rsidRPr="00393D9E" w:rsidRDefault="008F16D1" w:rsidP="00BB314F">
            <w:pPr>
              <w:spacing w:after="0" w:line="259" w:lineRule="auto"/>
              <w:rPr>
                <w:rFonts w:eastAsia="Calibri" w:cs="Segoe UI"/>
                <w:b/>
                <w:bCs/>
                <w:color w:val="000000"/>
                <w:sz w:val="16"/>
                <w:szCs w:val="16"/>
              </w:rPr>
            </w:pPr>
            <w:r w:rsidRPr="00393D9E">
              <w:rPr>
                <w:rFonts w:eastAsia="Times New Roman" w:cs="Segoe UI"/>
                <w:b/>
                <w:bCs/>
                <w:sz w:val="16"/>
                <w:szCs w:val="16"/>
                <w:lang w:eastAsia="sk-SK"/>
              </w:rPr>
              <w:t>Limit verejných výdavkov</w:t>
            </w:r>
          </w:p>
        </w:tc>
        <w:tc>
          <w:tcPr>
            <w:tcW w:w="432" w:type="pct"/>
            <w:vAlign w:val="center"/>
          </w:tcPr>
          <w:p w14:paraId="30713FF7" w14:textId="77777777" w:rsidR="008F16D1" w:rsidRPr="00393D9E" w:rsidRDefault="008F16D1" w:rsidP="00BB314F">
            <w:pPr>
              <w:spacing w:after="0" w:line="259" w:lineRule="auto"/>
              <w:jc w:val="right"/>
              <w:rPr>
                <w:rFonts w:eastAsia="Calibri" w:cs="Segoe UI"/>
                <w:b/>
                <w:bCs/>
                <w:color w:val="000000"/>
                <w:sz w:val="16"/>
                <w:szCs w:val="16"/>
              </w:rPr>
            </w:pPr>
            <w:r w:rsidRPr="00393D9E">
              <w:rPr>
                <w:rFonts w:eastAsia="Times New Roman" w:cs="Segoe UI"/>
                <w:b/>
                <w:bCs/>
                <w:color w:val="000000"/>
                <w:sz w:val="16"/>
                <w:szCs w:val="16"/>
                <w:lang w:eastAsia="sk-SK"/>
              </w:rPr>
              <w:t>61 150</w:t>
            </w:r>
          </w:p>
        </w:tc>
        <w:tc>
          <w:tcPr>
            <w:tcW w:w="432" w:type="pct"/>
            <w:vAlign w:val="center"/>
          </w:tcPr>
          <w:p w14:paraId="03AFA2C1"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62 120</w:t>
            </w:r>
          </w:p>
        </w:tc>
        <w:tc>
          <w:tcPr>
            <w:tcW w:w="432" w:type="pct"/>
            <w:tcBorders>
              <w:right w:val="single" w:sz="4" w:space="0" w:color="auto"/>
            </w:tcBorders>
            <w:vAlign w:val="center"/>
          </w:tcPr>
          <w:p w14:paraId="04036630"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63 110</w:t>
            </w:r>
          </w:p>
        </w:tc>
        <w:tc>
          <w:tcPr>
            <w:tcW w:w="432" w:type="pct"/>
            <w:tcBorders>
              <w:left w:val="single" w:sz="4" w:space="0" w:color="auto"/>
            </w:tcBorders>
            <w:vAlign w:val="center"/>
          </w:tcPr>
          <w:p w14:paraId="1173E907"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62 936</w:t>
            </w:r>
          </w:p>
        </w:tc>
        <w:tc>
          <w:tcPr>
            <w:tcW w:w="432" w:type="pct"/>
            <w:vAlign w:val="center"/>
          </w:tcPr>
          <w:p w14:paraId="26BF5DC1"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63 931</w:t>
            </w:r>
          </w:p>
        </w:tc>
        <w:tc>
          <w:tcPr>
            <w:tcW w:w="435" w:type="pct"/>
            <w:tcBorders>
              <w:right w:val="single" w:sz="4" w:space="0" w:color="auto"/>
            </w:tcBorders>
            <w:vAlign w:val="center"/>
          </w:tcPr>
          <w:p w14:paraId="167C6F09" w14:textId="77777777" w:rsidR="008F16D1" w:rsidRPr="00393D9E" w:rsidRDefault="008F16D1" w:rsidP="00BB314F">
            <w:pPr>
              <w:spacing w:after="0" w:line="259" w:lineRule="auto"/>
              <w:jc w:val="right"/>
              <w:rPr>
                <w:rFonts w:eastAsia="Calibri" w:cs="Segoe UI"/>
                <w:b/>
                <w:bCs/>
                <w:sz w:val="16"/>
                <w:szCs w:val="16"/>
              </w:rPr>
            </w:pPr>
            <w:r w:rsidRPr="00393D9E">
              <w:rPr>
                <w:rFonts w:eastAsia="Times New Roman" w:cs="Segoe UI"/>
                <w:b/>
                <w:bCs/>
                <w:color w:val="000000"/>
                <w:sz w:val="16"/>
                <w:szCs w:val="16"/>
                <w:lang w:eastAsia="sk-SK"/>
              </w:rPr>
              <w:t>64 571</w:t>
            </w:r>
          </w:p>
        </w:tc>
        <w:tc>
          <w:tcPr>
            <w:tcW w:w="432" w:type="pct"/>
            <w:tcBorders>
              <w:left w:val="single" w:sz="4" w:space="0" w:color="auto"/>
            </w:tcBorders>
            <w:vAlign w:val="center"/>
          </w:tcPr>
          <w:p w14:paraId="3EBC6F68" w14:textId="77777777" w:rsidR="008F16D1" w:rsidRPr="00393D9E" w:rsidRDefault="008F16D1" w:rsidP="00BB314F">
            <w:pPr>
              <w:spacing w:after="0" w:line="259" w:lineRule="auto"/>
              <w:jc w:val="right"/>
              <w:rPr>
                <w:rFonts w:eastAsia="Calibri" w:cs="Segoe UI"/>
                <w:b/>
                <w:bCs/>
                <w:color w:val="000000"/>
                <w:sz w:val="16"/>
                <w:szCs w:val="16"/>
              </w:rPr>
            </w:pPr>
            <w:r w:rsidRPr="00393D9E">
              <w:rPr>
                <w:rFonts w:eastAsia="Times New Roman" w:cs="Segoe UI"/>
                <w:b/>
                <w:bCs/>
                <w:color w:val="000000"/>
                <w:sz w:val="16"/>
                <w:szCs w:val="16"/>
                <w:lang w:eastAsia="sk-SK"/>
              </w:rPr>
              <w:t>1 786</w:t>
            </w:r>
          </w:p>
        </w:tc>
        <w:tc>
          <w:tcPr>
            <w:tcW w:w="428" w:type="pct"/>
            <w:vAlign w:val="center"/>
          </w:tcPr>
          <w:p w14:paraId="5E0AB907" w14:textId="77777777" w:rsidR="008F16D1" w:rsidRPr="00393D9E" w:rsidRDefault="008F16D1" w:rsidP="00BB314F">
            <w:pPr>
              <w:spacing w:after="0" w:line="259" w:lineRule="auto"/>
              <w:jc w:val="right"/>
              <w:rPr>
                <w:rFonts w:eastAsia="Calibri" w:cs="Segoe UI"/>
                <w:b/>
                <w:bCs/>
                <w:i/>
                <w:iCs/>
                <w:color w:val="000000"/>
                <w:sz w:val="16"/>
                <w:szCs w:val="16"/>
              </w:rPr>
            </w:pPr>
            <w:r w:rsidRPr="00393D9E">
              <w:rPr>
                <w:rFonts w:eastAsia="Times New Roman" w:cs="Segoe UI"/>
                <w:b/>
                <w:bCs/>
                <w:color w:val="000000"/>
                <w:sz w:val="16"/>
                <w:szCs w:val="16"/>
                <w:lang w:eastAsia="sk-SK"/>
              </w:rPr>
              <w:t>816</w:t>
            </w:r>
          </w:p>
        </w:tc>
      </w:tr>
      <w:tr w:rsidR="008F16D1" w:rsidRPr="00393D9E" w14:paraId="05E2AE8A" w14:textId="77777777" w:rsidTr="00BB314F">
        <w:trPr>
          <w:trHeight w:val="57"/>
        </w:trPr>
        <w:tc>
          <w:tcPr>
            <w:tcW w:w="1545" w:type="pct"/>
            <w:tcBorders>
              <w:bottom w:val="single" w:sz="4" w:space="0" w:color="auto"/>
            </w:tcBorders>
            <w:vAlign w:val="center"/>
          </w:tcPr>
          <w:p w14:paraId="4A62CCB5" w14:textId="77777777" w:rsidR="008F16D1" w:rsidRPr="00393D9E" w:rsidRDefault="008F16D1" w:rsidP="00BB314F">
            <w:pPr>
              <w:spacing w:after="0" w:line="259" w:lineRule="auto"/>
              <w:rPr>
                <w:rFonts w:eastAsia="Calibri" w:cs="Segoe UI"/>
                <w:sz w:val="16"/>
                <w:szCs w:val="16"/>
              </w:rPr>
            </w:pPr>
            <w:r w:rsidRPr="00393D9E">
              <w:rPr>
                <w:rFonts w:eastAsia="Times New Roman" w:cs="Segoe UI"/>
                <w:sz w:val="16"/>
                <w:szCs w:val="16"/>
                <w:lang w:eastAsia="sk-SK"/>
              </w:rPr>
              <w:t>Rozdiel</w:t>
            </w:r>
          </w:p>
        </w:tc>
        <w:tc>
          <w:tcPr>
            <w:tcW w:w="432" w:type="pct"/>
            <w:tcBorders>
              <w:bottom w:val="single" w:sz="4" w:space="0" w:color="auto"/>
            </w:tcBorders>
            <w:vAlign w:val="center"/>
          </w:tcPr>
          <w:p w14:paraId="4B5426C0"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-87</w:t>
            </w:r>
          </w:p>
        </w:tc>
        <w:tc>
          <w:tcPr>
            <w:tcW w:w="432" w:type="pct"/>
            <w:tcBorders>
              <w:bottom w:val="single" w:sz="4" w:space="0" w:color="auto"/>
            </w:tcBorders>
            <w:vAlign w:val="center"/>
          </w:tcPr>
          <w:p w14:paraId="765F7C46"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345</w:t>
            </w:r>
          </w:p>
        </w:tc>
        <w:tc>
          <w:tcPr>
            <w:tcW w:w="432" w:type="pct"/>
            <w:tcBorders>
              <w:bottom w:val="single" w:sz="4" w:space="0" w:color="auto"/>
              <w:right w:val="single" w:sz="4" w:space="0" w:color="auto"/>
            </w:tcBorders>
            <w:vAlign w:val="center"/>
          </w:tcPr>
          <w:p w14:paraId="482F722E"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1 939</w:t>
            </w:r>
          </w:p>
        </w:tc>
        <w:tc>
          <w:tcPr>
            <w:tcW w:w="432" w:type="pct"/>
            <w:tcBorders>
              <w:left w:val="single" w:sz="4" w:space="0" w:color="auto"/>
              <w:bottom w:val="single" w:sz="4" w:space="0" w:color="auto"/>
            </w:tcBorders>
            <w:vAlign w:val="center"/>
          </w:tcPr>
          <w:p w14:paraId="5F3C2627"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-894</w:t>
            </w:r>
          </w:p>
        </w:tc>
        <w:tc>
          <w:tcPr>
            <w:tcW w:w="432" w:type="pct"/>
            <w:tcBorders>
              <w:bottom w:val="single" w:sz="4" w:space="0" w:color="auto"/>
            </w:tcBorders>
            <w:vAlign w:val="center"/>
          </w:tcPr>
          <w:p w14:paraId="21907F09"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600</w:t>
            </w:r>
          </w:p>
        </w:tc>
        <w:tc>
          <w:tcPr>
            <w:tcW w:w="435" w:type="pct"/>
            <w:tcBorders>
              <w:bottom w:val="single" w:sz="4" w:space="0" w:color="auto"/>
              <w:right w:val="single" w:sz="4" w:space="0" w:color="auto"/>
            </w:tcBorders>
            <w:vAlign w:val="center"/>
          </w:tcPr>
          <w:p w14:paraId="3F664014"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617</w:t>
            </w:r>
          </w:p>
        </w:tc>
        <w:tc>
          <w:tcPr>
            <w:tcW w:w="432" w:type="pct"/>
            <w:tcBorders>
              <w:left w:val="single" w:sz="4" w:space="0" w:color="auto"/>
              <w:bottom w:val="single" w:sz="4" w:space="0" w:color="auto"/>
            </w:tcBorders>
            <w:vAlign w:val="center"/>
          </w:tcPr>
          <w:p w14:paraId="50B527DD" w14:textId="77777777" w:rsidR="008F16D1" w:rsidRPr="00393D9E" w:rsidRDefault="008F16D1" w:rsidP="00BB314F">
            <w:pPr>
              <w:spacing w:after="0" w:line="259" w:lineRule="auto"/>
              <w:jc w:val="right"/>
              <w:rPr>
                <w:rFonts w:eastAsia="Calibri" w:cs="Segoe UI"/>
                <w:sz w:val="16"/>
                <w:szCs w:val="16"/>
              </w:rPr>
            </w:pPr>
            <w:r w:rsidRPr="00393D9E">
              <w:rPr>
                <w:rFonts w:eastAsia="Times New Roman" w:cs="Segoe UI"/>
                <w:color w:val="000000"/>
                <w:sz w:val="16"/>
                <w:szCs w:val="16"/>
                <w:lang w:eastAsia="sk-SK"/>
              </w:rPr>
              <w:t>-807</w:t>
            </w:r>
          </w:p>
        </w:tc>
        <w:tc>
          <w:tcPr>
            <w:tcW w:w="428" w:type="pct"/>
            <w:tcBorders>
              <w:bottom w:val="single" w:sz="4" w:space="0" w:color="auto"/>
            </w:tcBorders>
            <w:vAlign w:val="center"/>
          </w:tcPr>
          <w:p w14:paraId="50C73901" w14:textId="77777777" w:rsidR="008F16D1" w:rsidRPr="00393D9E" w:rsidRDefault="008F16D1" w:rsidP="00BB314F">
            <w:pPr>
              <w:spacing w:after="0" w:line="259" w:lineRule="auto"/>
              <w:jc w:val="right"/>
              <w:rPr>
                <w:rFonts w:eastAsia="Calibri" w:cs="Segoe UI"/>
                <w:i/>
                <w:iCs/>
                <w:sz w:val="16"/>
                <w:szCs w:val="16"/>
              </w:rPr>
            </w:pPr>
            <w:r w:rsidRPr="00393D9E">
              <w:rPr>
                <w:rFonts w:eastAsia="Times New Roman" w:cs="Segoe UI"/>
                <w:color w:val="000000"/>
                <w:sz w:val="16"/>
                <w:szCs w:val="16"/>
                <w:lang w:eastAsia="sk-SK"/>
              </w:rPr>
              <w:t>-1 239</w:t>
            </w:r>
          </w:p>
        </w:tc>
      </w:tr>
    </w:tbl>
    <w:p w14:paraId="644E8912" w14:textId="7AEEA5DB" w:rsidR="008F16D1" w:rsidRPr="00393D9E" w:rsidRDefault="008F16D1" w:rsidP="008F16D1">
      <w:pPr>
        <w:spacing w:line="240" w:lineRule="auto"/>
        <w:rPr>
          <w:rFonts w:eastAsia="Calibri" w:cs="Times New Roman"/>
          <w:i/>
          <w:color w:val="314364"/>
          <w:sz w:val="16"/>
        </w:rPr>
      </w:pPr>
      <w:r w:rsidRPr="00393D9E">
        <w:rPr>
          <w:rFonts w:eastAsia="Calibri" w:cs="Times New Roman"/>
          <w:i/>
          <w:color w:val="314364"/>
          <w:sz w:val="16"/>
        </w:rPr>
        <w:t>Zdroj: Návrh RVS 2025 – 2027 (t. 13), Návrh RVS 2026 – 2028 (t. 17)</w:t>
      </w:r>
      <w:r>
        <w:rPr>
          <w:rFonts w:eastAsia="Calibri" w:cs="Times New Roman"/>
          <w:i/>
          <w:color w:val="314364"/>
          <w:sz w:val="16"/>
          <w:lang w:val="en-US"/>
        </w:rPr>
        <w:t>;</w:t>
      </w:r>
      <w:r w:rsidRPr="00393D9E">
        <w:rPr>
          <w:rFonts w:eastAsia="Calibri" w:cs="Times New Roman"/>
          <w:i/>
          <w:color w:val="314364"/>
          <w:sz w:val="16"/>
        </w:rPr>
        <w:t xml:space="preserve"> spracovanie NKÚ SR</w:t>
      </w:r>
      <w:r>
        <w:rPr>
          <w:rFonts w:eastAsia="Calibri" w:cs="Times New Roman"/>
          <w:i/>
          <w:color w:val="314364"/>
          <w:sz w:val="16"/>
        </w:rPr>
        <w:t>.</w:t>
      </w:r>
    </w:p>
    <w:p w14:paraId="7F1E684F" w14:textId="65E5F0CD" w:rsidR="00AC2FEA" w:rsidRPr="00393D9E" w:rsidRDefault="00AC2FEA" w:rsidP="00AC2FEA">
      <w:pPr>
        <w:rPr>
          <w:rFonts w:eastAsia="Times New Roman" w:cs="Segoe UI"/>
          <w:szCs w:val="20"/>
        </w:rPr>
      </w:pPr>
      <w:r w:rsidRPr="00393D9E">
        <w:rPr>
          <w:rFonts w:eastAsia="Times New Roman" w:cs="Segoe UI"/>
          <w:b/>
          <w:bCs/>
          <w:szCs w:val="20"/>
        </w:rPr>
        <w:t xml:space="preserve">Celkové akruálne a konsolidované výdavky celej </w:t>
      </w:r>
      <w:r w:rsidR="00565C49">
        <w:rPr>
          <w:rFonts w:eastAsia="Times New Roman" w:cs="Segoe UI"/>
          <w:b/>
          <w:bCs/>
          <w:szCs w:val="20"/>
        </w:rPr>
        <w:t>VS</w:t>
      </w:r>
      <w:r w:rsidRPr="00393D9E">
        <w:rPr>
          <w:rFonts w:eastAsia="Times New Roman" w:cs="Segoe UI"/>
          <w:b/>
          <w:bCs/>
          <w:szCs w:val="20"/>
        </w:rPr>
        <w:t xml:space="preserve"> stanovuje RVS 2026 – 2028 na rok 2026 vo výške 67 876 mil. eur.</w:t>
      </w:r>
      <w:r w:rsidRPr="00393D9E">
        <w:rPr>
          <w:rFonts w:eastAsia="Times New Roman" w:cs="Segoe UI"/>
          <w:szCs w:val="20"/>
        </w:rPr>
        <w:t xml:space="preserve"> Medziročne narástli celkové výdavky o 1 365 mil. eur, z čoho 979 mil. eur spadá pod LVV. Najväčší medziročný nárast výdavkov mimo LVV je vykázaný pri úrokových nákladoch o 261 mil. eur. Porovnať môžeme aj vlaňajší rozpočet na 2026 (súčasť RVS 2025</w:t>
      </w:r>
      <w:r w:rsidR="00565C49">
        <w:rPr>
          <w:rFonts w:eastAsia="Times New Roman" w:cs="Segoe UI"/>
          <w:szCs w:val="20"/>
        </w:rPr>
        <w:t xml:space="preserve"> – </w:t>
      </w:r>
      <w:r w:rsidRPr="00393D9E">
        <w:rPr>
          <w:rFonts w:eastAsia="Times New Roman" w:cs="Segoe UI"/>
          <w:szCs w:val="20"/>
        </w:rPr>
        <w:t>2027) a tohoročný rozpočet na 2026 (súčasť RVS 2026</w:t>
      </w:r>
      <w:r w:rsidR="00565C49">
        <w:rPr>
          <w:rFonts w:eastAsia="Times New Roman" w:cs="Segoe UI"/>
          <w:szCs w:val="20"/>
        </w:rPr>
        <w:t xml:space="preserve"> – </w:t>
      </w:r>
      <w:r w:rsidRPr="00393D9E">
        <w:rPr>
          <w:rFonts w:eastAsia="Times New Roman" w:cs="Segoe UI"/>
          <w:szCs w:val="20"/>
        </w:rPr>
        <w:t xml:space="preserve">2028), pričom celkové výdavky sa vlani rozpočtovali o 375 mil. eur vyššie ako tento rok. Na druhej strane LVV sa vlani stanovil o 816 mil. eur nižšie ako tento rok, čo je umožnené prebiehajúcou konsolidáciou, úpravami na príjmovej aj výdavkovej strane.  </w:t>
      </w:r>
    </w:p>
    <w:p w14:paraId="4C94ACC3" w14:textId="448CF674" w:rsidR="00AC2FEA" w:rsidRPr="00393D9E" w:rsidRDefault="00AC2FEA" w:rsidP="00AC2FEA">
      <w:pPr>
        <w:rPr>
          <w:rFonts w:eastAsia="Times New Roman" w:cs="Segoe UI"/>
          <w:b/>
          <w:bCs/>
          <w:szCs w:val="20"/>
        </w:rPr>
      </w:pPr>
      <w:r w:rsidRPr="00393D9E">
        <w:rPr>
          <w:rFonts w:eastAsia="Times New Roman" w:cs="Segoe UI"/>
          <w:b/>
          <w:bCs/>
          <w:szCs w:val="20"/>
        </w:rPr>
        <w:t xml:space="preserve">Fiškálny vankúš predstavujúci rozdiel </w:t>
      </w:r>
      <w:r w:rsidR="00565C49">
        <w:rPr>
          <w:rFonts w:eastAsia="Times New Roman" w:cs="Segoe UI"/>
          <w:b/>
          <w:bCs/>
          <w:szCs w:val="20"/>
        </w:rPr>
        <w:t xml:space="preserve">medzi </w:t>
      </w:r>
      <w:r w:rsidRPr="00393D9E">
        <w:rPr>
          <w:rFonts w:eastAsia="Times New Roman" w:cs="Segoe UI"/>
          <w:b/>
          <w:bCs/>
          <w:szCs w:val="20"/>
        </w:rPr>
        <w:t>rozpočtovaný</w:t>
      </w:r>
      <w:r w:rsidR="00565C49">
        <w:rPr>
          <w:rFonts w:eastAsia="Times New Roman" w:cs="Segoe UI"/>
          <w:b/>
          <w:bCs/>
          <w:szCs w:val="20"/>
        </w:rPr>
        <w:t>mi</w:t>
      </w:r>
      <w:r w:rsidRPr="00393D9E">
        <w:rPr>
          <w:rFonts w:eastAsia="Times New Roman" w:cs="Segoe UI"/>
          <w:b/>
          <w:bCs/>
          <w:szCs w:val="20"/>
        </w:rPr>
        <w:t xml:space="preserve"> výdavk</w:t>
      </w:r>
      <w:r w:rsidR="00565C49">
        <w:rPr>
          <w:rFonts w:eastAsia="Times New Roman" w:cs="Segoe UI"/>
          <w:b/>
          <w:bCs/>
          <w:szCs w:val="20"/>
        </w:rPr>
        <w:t>ami patriacimi</w:t>
      </w:r>
      <w:r w:rsidRPr="00393D9E">
        <w:rPr>
          <w:rFonts w:eastAsia="Times New Roman" w:cs="Segoe UI"/>
          <w:b/>
          <w:bCs/>
          <w:szCs w:val="20"/>
        </w:rPr>
        <w:t xml:space="preserve"> pod LVV </w:t>
      </w:r>
      <w:r w:rsidRPr="00393D9E">
        <w:rPr>
          <w:rFonts w:eastAsia="Times New Roman" w:cs="Segoe UI"/>
          <w:szCs w:val="20"/>
        </w:rPr>
        <w:t>(62 042 mil. eur)</w:t>
      </w:r>
      <w:r w:rsidRPr="00393D9E">
        <w:rPr>
          <w:rFonts w:eastAsia="Times New Roman" w:cs="Segoe UI"/>
          <w:b/>
          <w:bCs/>
          <w:szCs w:val="20"/>
        </w:rPr>
        <w:t xml:space="preserve"> a samotným LVV </w:t>
      </w:r>
      <w:r w:rsidRPr="00393D9E">
        <w:rPr>
          <w:rFonts w:eastAsia="Times New Roman" w:cs="Segoe UI"/>
          <w:szCs w:val="20"/>
        </w:rPr>
        <w:t xml:space="preserve">(62 936 mil. eur) </w:t>
      </w:r>
      <w:r w:rsidRPr="00393D9E">
        <w:rPr>
          <w:rFonts w:eastAsia="Times New Roman" w:cs="Segoe UI"/>
          <w:b/>
          <w:bCs/>
          <w:szCs w:val="20"/>
        </w:rPr>
        <w:t xml:space="preserve">dosahuje pre rok 2026 hodnotu 894 mil. eur. </w:t>
      </w:r>
      <w:r w:rsidRPr="00393D9E">
        <w:rPr>
          <w:rFonts w:eastAsia="Times New Roman" w:cs="Segoe UI"/>
          <w:szCs w:val="20"/>
        </w:rPr>
        <w:t xml:space="preserve">Oproti rozpočtu na rok 2025 je fiškálny vankúš viac než 10-násobný, no stále zodpovedá 1,42 % celkového LVV. Na ďalšie roky sú rozpočtované výdavky spadajúce pod LVV vyššie ako samotný LVV počítaný z aktuálneho rastu čistých výdavkov, čo implikuje potrebu dodatočných konsolidačných opatrení v nasledujúcich rokoch. </w:t>
      </w:r>
      <w:r w:rsidRPr="00393D9E">
        <w:rPr>
          <w:rFonts w:eastAsia="Times New Roman" w:cs="Segoe UI"/>
          <w:b/>
          <w:bCs/>
          <w:szCs w:val="20"/>
        </w:rPr>
        <w:t xml:space="preserve">NKÚ SR konštatuje, že navrhované výdavky spadajúce pod LVV sú nižšie, než aktuálne platný LVV, schválený v 2025, aj navrhovaný LVV v rámci RVS 2026 – 2028. </w:t>
      </w:r>
    </w:p>
    <w:p w14:paraId="7EB49DA9" w14:textId="7B4DA269" w:rsidR="00AC2FEA" w:rsidRPr="00393D9E" w:rsidRDefault="00AC2FEA" w:rsidP="00AC2FEA">
      <w:pPr>
        <w:rPr>
          <w:rFonts w:eastAsia="Times New Roman" w:cs="Segoe UI"/>
          <w:szCs w:val="20"/>
        </w:rPr>
      </w:pPr>
      <w:r w:rsidRPr="00393D9E">
        <w:rPr>
          <w:rFonts w:eastAsia="Times New Roman" w:cs="Segoe UI"/>
          <w:b/>
          <w:bCs/>
          <w:szCs w:val="20"/>
        </w:rPr>
        <w:t xml:space="preserve">Celkový LVV sa delí medzi ŠR, vrátane jednotlivých kapitol a subjekty </w:t>
      </w:r>
      <w:r w:rsidR="00565C49">
        <w:rPr>
          <w:rFonts w:eastAsia="Times New Roman" w:cs="Segoe UI"/>
          <w:b/>
          <w:bCs/>
          <w:szCs w:val="20"/>
        </w:rPr>
        <w:t>VS</w:t>
      </w:r>
      <w:r w:rsidRPr="00393D9E">
        <w:rPr>
          <w:rFonts w:eastAsia="Times New Roman" w:cs="Segoe UI"/>
          <w:szCs w:val="20"/>
        </w:rPr>
        <w:t xml:space="preserve"> (tabuľky </w:t>
      </w:r>
      <w:r w:rsidR="004C7E0F" w:rsidRPr="004C7E0F">
        <w:rPr>
          <w:rFonts w:eastAsia="Times New Roman" w:cs="Segoe UI"/>
          <w:szCs w:val="20"/>
        </w:rPr>
        <w:t>1</w:t>
      </w:r>
      <w:r w:rsidR="0032471C">
        <w:rPr>
          <w:rFonts w:eastAsia="Times New Roman" w:cs="Segoe UI"/>
          <w:szCs w:val="20"/>
        </w:rPr>
        <w:t>6</w:t>
      </w:r>
      <w:r w:rsidRPr="004C7E0F">
        <w:rPr>
          <w:rFonts w:eastAsia="Times New Roman" w:cs="Segoe UI"/>
          <w:szCs w:val="20"/>
        </w:rPr>
        <w:t xml:space="preserve"> </w:t>
      </w:r>
      <w:r w:rsidR="004C7E0F" w:rsidRPr="004C7E0F">
        <w:rPr>
          <w:rFonts w:eastAsia="Times New Roman" w:cs="Segoe UI"/>
          <w:szCs w:val="20"/>
        </w:rPr>
        <w:t>a 1</w:t>
      </w:r>
      <w:r w:rsidR="0032471C">
        <w:rPr>
          <w:rFonts w:eastAsia="Times New Roman" w:cs="Segoe UI"/>
          <w:szCs w:val="20"/>
        </w:rPr>
        <w:t>7</w:t>
      </w:r>
      <w:r w:rsidRPr="004C7E0F">
        <w:rPr>
          <w:rFonts w:eastAsia="Times New Roman" w:cs="Segoe UI"/>
          <w:szCs w:val="20"/>
        </w:rPr>
        <w:t xml:space="preserve"> v prílohe</w:t>
      </w:r>
      <w:r w:rsidRPr="00393D9E">
        <w:rPr>
          <w:rFonts w:eastAsia="Times New Roman" w:cs="Segoe UI"/>
          <w:szCs w:val="20"/>
        </w:rPr>
        <w:t>)</w:t>
      </w:r>
      <w:r w:rsidRPr="00393D9E">
        <w:rPr>
          <w:rFonts w:eastAsia="Times New Roman" w:cs="Segoe UI"/>
          <w:b/>
          <w:bCs/>
          <w:szCs w:val="20"/>
        </w:rPr>
        <w:t>.</w:t>
      </w:r>
      <w:r w:rsidRPr="00393D9E">
        <w:rPr>
          <w:rFonts w:eastAsia="Times New Roman" w:cs="Segoe UI"/>
          <w:szCs w:val="20"/>
        </w:rPr>
        <w:t xml:space="preserve"> Najväčšia časť ide tradične do Sociálnej poisťovne (15 mld. eur a 24,2 % celkového LVV), na verejné zdravotné poistenie a zdravotnícke zariadenia (spolu 10,2 mld. eur a 16,4 % LVV) a do samosprávy (9,9 mld. eur a 15,9 % LVV). Na ŠR pripadá 22,5 mld. eur alebo aj 36,3 % celkového LVV, pričom tri prvé kapitoly </w:t>
      </w:r>
      <w:r w:rsidR="00565C49">
        <w:rPr>
          <w:rFonts w:eastAsia="Times New Roman" w:cs="Segoe UI"/>
          <w:szCs w:val="20"/>
        </w:rPr>
        <w:t>minú</w:t>
      </w:r>
      <w:r w:rsidRPr="00393D9E">
        <w:rPr>
          <w:rFonts w:eastAsia="Times New Roman" w:cs="Segoe UI"/>
          <w:szCs w:val="20"/>
        </w:rPr>
        <w:t xml:space="preserve"> takmer polovicu celkových výdavkov ŠR spadajúcich pod LVV (MPSVR SR – 3,8 mld. eur, MO SR – 3,1 mld. eur a MZ SR – 3,0 mld. eur).</w:t>
      </w:r>
    </w:p>
    <w:p w14:paraId="1AEBAD67" w14:textId="402630A7" w:rsidR="00691C61" w:rsidRDefault="00691C61" w:rsidP="00440621">
      <w:pPr>
        <w:pStyle w:val="Nadpis2"/>
      </w:pPr>
      <w:bookmarkStart w:id="21" w:name="_Toc211249082"/>
      <w:r w:rsidRPr="00432AD8">
        <w:t xml:space="preserve">Fiškálny rámec návrhu </w:t>
      </w:r>
      <w:r w:rsidR="00032ADE">
        <w:t>rozpočtu verejnej správy</w:t>
      </w:r>
      <w:bookmarkEnd w:id="14"/>
      <w:bookmarkEnd w:id="21"/>
    </w:p>
    <w:p w14:paraId="51D3E8A5" w14:textId="77777777" w:rsidR="00014FCF" w:rsidRDefault="00014FCF" w:rsidP="00014FCF">
      <w:pPr>
        <w:rPr>
          <w:bCs/>
        </w:rPr>
      </w:pPr>
      <w:r w:rsidRPr="00792B23">
        <w:rPr>
          <w:b/>
          <w:bCs/>
        </w:rPr>
        <w:t>NKÚ SR dlhodobo upozorňuje na pretrvávajúce riziká vo verejných financiách, ktoré ohrozujú ich dlhodobú udržateľnosť.</w:t>
      </w:r>
      <w:r>
        <w:rPr>
          <w:b/>
          <w:bCs/>
        </w:rPr>
        <w:t xml:space="preserve"> </w:t>
      </w:r>
      <w:r>
        <w:rPr>
          <w:bCs/>
        </w:rPr>
        <w:t xml:space="preserve">Napriek trom prijatým konsolidačným balíkom od roku 2023 v celkovej hodnote približne 7,4 mld. eur (2 mld. eur v roku 2023, 2,7 mld. eur v roku 2024 a 2,7 mld. eur v roku 2025) deficit verejných financií naďalej prekračuje očakávania. </w:t>
      </w:r>
      <w:r w:rsidRPr="00BB314F">
        <w:rPr>
          <w:bCs/>
        </w:rPr>
        <w:t>Kým rozpočet na rok 2025 predpokladal deficit na úrovni 4,7 % HDP, aktuálne odhady naznačujú jeho nárast na približne 5 % HDP.</w:t>
      </w:r>
      <w:r>
        <w:rPr>
          <w:bCs/>
        </w:rPr>
        <w:t xml:space="preserve"> Tretí konsolidačný balík by mal podľa odhadov znížiť deficit </w:t>
      </w:r>
      <w:r w:rsidRPr="00BB314F">
        <w:rPr>
          <w:bCs/>
        </w:rPr>
        <w:t>v roku 2026 na 4,1 % HDP</w:t>
      </w:r>
      <w:r>
        <w:rPr>
          <w:bCs/>
        </w:rPr>
        <w:t xml:space="preserve">, avšak bez hlbších štrukturálnych reforiem, najmä na strane výdavkov, zostáva ozdravenie verejných financií nedostatočné. </w:t>
      </w:r>
    </w:p>
    <w:p w14:paraId="4990DC88" w14:textId="6DDD936B" w:rsidR="00014FCF" w:rsidRPr="00792B23" w:rsidRDefault="00014FCF" w:rsidP="00014FCF">
      <w:pPr>
        <w:rPr>
          <w:bCs/>
        </w:rPr>
      </w:pPr>
      <w:r w:rsidRPr="00BB314F">
        <w:rPr>
          <w:b/>
          <w:bCs/>
        </w:rPr>
        <w:lastRenderedPageBreak/>
        <w:t xml:space="preserve">Napriek poklesu </w:t>
      </w:r>
      <w:r>
        <w:rPr>
          <w:b/>
          <w:bCs/>
        </w:rPr>
        <w:t xml:space="preserve">v roku 2026 </w:t>
      </w:r>
      <w:r w:rsidR="00240FAD">
        <w:rPr>
          <w:b/>
          <w:bCs/>
        </w:rPr>
        <w:t>má byť</w:t>
      </w:r>
      <w:r w:rsidRPr="00BB314F">
        <w:rPr>
          <w:b/>
          <w:bCs/>
        </w:rPr>
        <w:t xml:space="preserve"> deficit výrazne nad hranicou 3 % HDP, ktorú stanovuje Pakt stability a rastu EÚ</w:t>
      </w:r>
      <w:r w:rsidR="00240FAD">
        <w:rPr>
          <w:b/>
          <w:bCs/>
        </w:rPr>
        <w:t xml:space="preserve"> </w:t>
      </w:r>
      <w:r w:rsidR="00240FAD">
        <w:t>(graf 22)</w:t>
      </w:r>
      <w:r w:rsidRPr="00BB314F">
        <w:rPr>
          <w:b/>
          <w:bCs/>
        </w:rPr>
        <w:t>.</w:t>
      </w:r>
      <w:r>
        <w:rPr>
          <w:bCs/>
        </w:rPr>
        <w:t xml:space="preserve"> Z rozpočtového výhľadu pritom vyplýva, že v roku 2027 sa deficit zvýši na 5,1 % HDP, čo potvrdzuje, že konsolidácia nemá trvalý charakter a jej výsledky sú len dočasné. V rozpočte chýbajú systémové opatrenia so stálym efektom na výdavkovej strane, pričom viaceré úspory sú len účtovného charakteru, ako napríklad </w:t>
      </w:r>
      <w:r w:rsidR="00BA6E74">
        <w:rPr>
          <w:bCs/>
        </w:rPr>
        <w:t xml:space="preserve">zmena zdroja </w:t>
      </w:r>
      <w:r w:rsidR="00BA6E74" w:rsidRPr="00BA6E74">
        <w:rPr>
          <w:bCs/>
        </w:rPr>
        <w:t>financovania</w:t>
      </w:r>
      <w:r w:rsidRPr="00BA6E74">
        <w:rPr>
          <w:bCs/>
        </w:rPr>
        <w:t xml:space="preserve"> energopomoc</w:t>
      </w:r>
      <w:r w:rsidR="00BA6E74" w:rsidRPr="00BA6E74">
        <w:rPr>
          <w:bCs/>
        </w:rPr>
        <w:t>i</w:t>
      </w:r>
      <w:r>
        <w:rPr>
          <w:bCs/>
        </w:rPr>
        <w:t>, čo neznižuje reálne výdavky štátu, iba mení ich zdroj financovania.</w:t>
      </w:r>
    </w:p>
    <w:p w14:paraId="010D6A7C" w14:textId="77777777" w:rsidR="00933176" w:rsidRPr="00972B28" w:rsidRDefault="00933176" w:rsidP="00933176">
      <w:pPr>
        <w:pStyle w:val="Popis"/>
        <w:keepNext/>
        <w:rPr>
          <w:color w:val="314364"/>
        </w:rPr>
      </w:pPr>
      <w:r w:rsidRPr="00987D5D">
        <w:rPr>
          <w:color w:val="314364"/>
        </w:rPr>
        <w:t xml:space="preserve">Graf </w:t>
      </w:r>
      <w:r>
        <w:rPr>
          <w:color w:val="314364"/>
        </w:rPr>
        <w:t>22: Vývoj schodku verejnej správy v rokoch 2022 až 2028 (v % HDP)</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rsidRPr="000F43AE" w14:paraId="68158996" w14:textId="77777777" w:rsidTr="00BB314F">
        <w:trPr>
          <w:trHeight w:val="2835"/>
        </w:trPr>
        <w:tc>
          <w:tcPr>
            <w:tcW w:w="9070" w:type="dxa"/>
            <w:tcBorders>
              <w:top w:val="single" w:sz="4" w:space="0" w:color="314364"/>
              <w:bottom w:val="single" w:sz="4" w:space="0" w:color="314364"/>
            </w:tcBorders>
            <w:vAlign w:val="center"/>
          </w:tcPr>
          <w:p w14:paraId="7ABAB743" w14:textId="77777777" w:rsidR="00933176" w:rsidRPr="000F43AE" w:rsidRDefault="00933176" w:rsidP="00BB314F">
            <w:pPr>
              <w:spacing w:after="0"/>
              <w:rPr>
                <w:b/>
                <w:color w:val="576431"/>
                <w:highlight w:val="yellow"/>
              </w:rPr>
            </w:pPr>
            <w:r>
              <w:rPr>
                <w:noProof/>
                <w:lang w:eastAsia="sk-SK"/>
              </w:rPr>
              <w:drawing>
                <wp:inline distT="0" distB="0" distL="0" distR="0" wp14:anchorId="3B397751" wp14:editId="26A33F89">
                  <wp:extent cx="5760000" cy="1980000"/>
                  <wp:effectExtent l="0" t="0" r="0" b="1270"/>
                  <wp:docPr id="12"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1D4C3BCD" w14:textId="77777777" w:rsidR="00933176" w:rsidRDefault="00933176" w:rsidP="00933176">
      <w:pPr>
        <w:pStyle w:val="Zdroj"/>
        <w:spacing w:after="0"/>
        <w:jc w:val="both"/>
      </w:pPr>
      <w:r>
        <w:t xml:space="preserve">Zdroj: Návrh RVS </w:t>
      </w:r>
      <w:r w:rsidRPr="009865B5">
        <w:t>202</w:t>
      </w:r>
      <w:r>
        <w:t>6 až 2028.</w:t>
      </w:r>
    </w:p>
    <w:p w14:paraId="109EE810" w14:textId="77777777" w:rsidR="00933176" w:rsidRDefault="00933176" w:rsidP="00933176">
      <w:pPr>
        <w:pStyle w:val="Zdroj"/>
        <w:jc w:val="both"/>
      </w:pPr>
      <w:r>
        <w:t>Poznámky: Hodnoty dosiahnutého nominálneho salda za roky 2023 a 2024 zodpovedajú jarnej notifikácii Eurostatu. Rozpočtové hodnoty na rok 2025 sú podľa údajov, ktoré vchádzali do RVS na roky 2025 až 2027. Pre pokles deficitu pod 3 % HDP do roku 2028 bude potrebné ešte prijať v budúcich rozpočtoch konsolidačné opatrenia v objeme 1,8 % HDP.</w:t>
      </w:r>
    </w:p>
    <w:p w14:paraId="47492116" w14:textId="0E6B54B1" w:rsidR="00AB6CA8" w:rsidRDefault="0021660F" w:rsidP="00AB6CA8">
      <w:r w:rsidRPr="0080295E">
        <w:rPr>
          <w:b/>
        </w:rPr>
        <w:t>Dodatočným rizikovým faktorom je skutočnosť, že už v roku 2026 bude Slovensko povinné predložiť návrh vyrovnaného rozpočtu v súlade so strednodobým fiškálno-štrukturálnym plánom a novým európskym fiškálnym rámcom.</w:t>
      </w:r>
      <w:r>
        <w:t xml:space="preserve"> EK však vo svojej Správe o krajine upozorňuje, že aj napriek prijatému konsolidačnému balíku sa deficit verejných financií očakáva na úrovni 5,1 % HDP. Dosiahnutie vyrovnaného rozpočtu si preto bude vyžadovať ďalšie významné konsolidačné opatrenia, a to buď na príjmovej alebo na výdavkovej strane, pričom riziká spojené s dlhodobo rastúcimi výdavkami na dôchodky a zdravotníctvo zostávajú vysoké.</w:t>
      </w:r>
    </w:p>
    <w:p w14:paraId="68864C9F" w14:textId="7E66A415" w:rsidR="00D20A30" w:rsidRDefault="00D20A30" w:rsidP="00440621">
      <w:pPr>
        <w:pStyle w:val="Nadpis2"/>
      </w:pPr>
      <w:bookmarkStart w:id="22" w:name="_Toc86396375"/>
      <w:bookmarkStart w:id="23" w:name="_Toc211249083"/>
      <w:r w:rsidRPr="00D20A30">
        <w:t xml:space="preserve">Prognóza hrubého dlhu </w:t>
      </w:r>
      <w:r w:rsidR="00032ADE">
        <w:t>verejnej správy</w:t>
      </w:r>
      <w:bookmarkEnd w:id="22"/>
      <w:bookmarkEnd w:id="23"/>
    </w:p>
    <w:p w14:paraId="34063BFD" w14:textId="7DD8B3E4" w:rsidR="00295CCC" w:rsidRDefault="00295CCC" w:rsidP="00295CCC">
      <w:pPr>
        <w:spacing w:after="160"/>
        <w:rPr>
          <w:rFonts w:cs="Segoe UI"/>
          <w:b/>
          <w:szCs w:val="20"/>
        </w:rPr>
      </w:pPr>
      <w:r w:rsidRPr="00295CCC">
        <w:rPr>
          <w:rFonts w:cs="Segoe UI"/>
          <w:b/>
          <w:szCs w:val="20"/>
        </w:rPr>
        <w:t>NKÚ SR pozitívne hodnotí potrebu konsolidácie a snahu o ozdravenie verejných financií</w:t>
      </w:r>
      <w:r w:rsidR="00460A96">
        <w:rPr>
          <w:rFonts w:cs="Segoe UI"/>
          <w:b/>
          <w:szCs w:val="20"/>
        </w:rPr>
        <w:t>, ale n</w:t>
      </w:r>
      <w:r w:rsidRPr="00295CCC">
        <w:rPr>
          <w:rFonts w:cs="Segoe UI"/>
          <w:b/>
          <w:szCs w:val="20"/>
        </w:rPr>
        <w:t xml:space="preserve">apriek </w:t>
      </w:r>
      <w:r w:rsidR="004670E3">
        <w:rPr>
          <w:rFonts w:cs="Segoe UI"/>
          <w:b/>
          <w:szCs w:val="20"/>
        </w:rPr>
        <w:t xml:space="preserve">doteraz </w:t>
      </w:r>
      <w:r w:rsidRPr="00295CCC">
        <w:rPr>
          <w:rFonts w:cs="Segoe UI"/>
          <w:b/>
          <w:szCs w:val="20"/>
        </w:rPr>
        <w:t>prijatý</w:t>
      </w:r>
      <w:r w:rsidR="00460A96">
        <w:rPr>
          <w:rFonts w:cs="Segoe UI"/>
          <w:b/>
          <w:szCs w:val="20"/>
        </w:rPr>
        <w:t>m</w:t>
      </w:r>
      <w:r w:rsidRPr="00295CCC">
        <w:rPr>
          <w:rFonts w:cs="Segoe UI"/>
          <w:b/>
          <w:szCs w:val="20"/>
        </w:rPr>
        <w:t xml:space="preserve"> </w:t>
      </w:r>
      <w:r w:rsidR="004670E3">
        <w:rPr>
          <w:rFonts w:cs="Segoe UI"/>
          <w:b/>
          <w:szCs w:val="20"/>
        </w:rPr>
        <w:t xml:space="preserve">opatreniam </w:t>
      </w:r>
      <w:r w:rsidRPr="00295CCC">
        <w:rPr>
          <w:rFonts w:cs="Segoe UI"/>
          <w:b/>
          <w:szCs w:val="20"/>
        </w:rPr>
        <w:t>sa nepodarilo dosiahn</w:t>
      </w:r>
      <w:r>
        <w:rPr>
          <w:rFonts w:cs="Segoe UI"/>
          <w:b/>
          <w:szCs w:val="20"/>
        </w:rPr>
        <w:t xml:space="preserve">uť skutočné zníženie deficitu a </w:t>
      </w:r>
      <w:r w:rsidRPr="00295CCC">
        <w:rPr>
          <w:rFonts w:cs="Segoe UI"/>
          <w:b/>
          <w:szCs w:val="20"/>
        </w:rPr>
        <w:t xml:space="preserve">dlhu. </w:t>
      </w:r>
      <w:r w:rsidRPr="00460A96">
        <w:rPr>
          <w:rFonts w:cs="Segoe UI"/>
          <w:bCs/>
          <w:szCs w:val="20"/>
        </w:rPr>
        <w:t>Tretí rok po sebe zaznamenáva</w:t>
      </w:r>
      <w:r w:rsidR="00F1202E">
        <w:rPr>
          <w:rFonts w:cs="Segoe UI"/>
          <w:bCs/>
          <w:szCs w:val="20"/>
        </w:rPr>
        <w:t xml:space="preserve"> SR</w:t>
      </w:r>
      <w:r w:rsidRPr="00460A96">
        <w:rPr>
          <w:rFonts w:cs="Segoe UI"/>
          <w:bCs/>
          <w:szCs w:val="20"/>
        </w:rPr>
        <w:t xml:space="preserve"> výrazný nárast dlhu, ktorý aktuálne presahuje úroveň 8</w:t>
      </w:r>
      <w:r w:rsidR="00050429">
        <w:rPr>
          <w:rFonts w:cs="Segoe UI"/>
          <w:bCs/>
          <w:szCs w:val="20"/>
        </w:rPr>
        <w:t>4</w:t>
      </w:r>
      <w:r w:rsidRPr="00460A96">
        <w:rPr>
          <w:rFonts w:cs="Segoe UI"/>
          <w:bCs/>
          <w:szCs w:val="20"/>
        </w:rPr>
        <w:t xml:space="preserve"> mld. eur.</w:t>
      </w:r>
    </w:p>
    <w:p w14:paraId="5683605B" w14:textId="3677BFC9" w:rsidR="00050429" w:rsidRPr="006B2061" w:rsidRDefault="00050429" w:rsidP="00050429">
      <w:r>
        <w:rPr>
          <w:b/>
        </w:rPr>
        <w:t>H</w:t>
      </w:r>
      <w:r w:rsidRPr="0089547D">
        <w:rPr>
          <w:b/>
        </w:rPr>
        <w:t>rub</w:t>
      </w:r>
      <w:r>
        <w:rPr>
          <w:b/>
        </w:rPr>
        <w:t>ý</w:t>
      </w:r>
      <w:r w:rsidRPr="0089547D">
        <w:rPr>
          <w:b/>
        </w:rPr>
        <w:t xml:space="preserve"> dlh VS </w:t>
      </w:r>
      <w:r>
        <w:rPr>
          <w:b/>
        </w:rPr>
        <w:t xml:space="preserve">sa očakáva </w:t>
      </w:r>
      <w:r w:rsidRPr="0089547D">
        <w:rPr>
          <w:b/>
        </w:rPr>
        <w:t>v tomto roku</w:t>
      </w:r>
      <w:r>
        <w:rPr>
          <w:b/>
        </w:rPr>
        <w:t xml:space="preserve"> o 975 mil. eur vyšší</w:t>
      </w:r>
      <w:r w:rsidRPr="0089547D">
        <w:rPr>
          <w:b/>
        </w:rPr>
        <w:t xml:space="preserve"> oproti návrhu rozpočtu na rok 2025</w:t>
      </w:r>
      <w:r w:rsidRPr="0089547D">
        <w:rPr>
          <w:rFonts w:cs="Segoe UI"/>
          <w:b/>
          <w:szCs w:val="20"/>
        </w:rPr>
        <w:t>.</w:t>
      </w:r>
      <w:r w:rsidRPr="00107FA4">
        <w:t xml:space="preserve"> </w:t>
      </w:r>
      <w:r w:rsidRPr="00107FA4">
        <w:rPr>
          <w:rFonts w:cs="Segoe UI"/>
          <w:szCs w:val="20"/>
        </w:rPr>
        <w:t xml:space="preserve">MF SR v návrhu rozpočtu na rok 2025 predpokladalo, že hrubý dlh VS </w:t>
      </w:r>
      <w:r>
        <w:rPr>
          <w:rFonts w:cs="Segoe UI"/>
          <w:szCs w:val="20"/>
        </w:rPr>
        <w:t xml:space="preserve">dosiahne 59,6 % HDP, </w:t>
      </w:r>
      <w:r w:rsidRPr="00107FA4">
        <w:rPr>
          <w:rFonts w:cs="Segoe UI"/>
          <w:szCs w:val="20"/>
        </w:rPr>
        <w:t>no očakávaná hodnota je</w:t>
      </w:r>
      <w:r>
        <w:rPr>
          <w:rFonts w:cs="Segoe UI"/>
          <w:szCs w:val="20"/>
        </w:rPr>
        <w:t xml:space="preserve"> vyššia o 1,9 p. b. na úrovni 61,5 % HDP (graf </w:t>
      </w:r>
      <w:r w:rsidR="00240FAD">
        <w:rPr>
          <w:rFonts w:cs="Segoe UI"/>
          <w:szCs w:val="20"/>
        </w:rPr>
        <w:t>23</w:t>
      </w:r>
      <w:r>
        <w:rPr>
          <w:rFonts w:cs="Segoe UI"/>
          <w:szCs w:val="20"/>
        </w:rPr>
        <w:t xml:space="preserve">). </w:t>
      </w:r>
      <w:r w:rsidRPr="00C37A0D">
        <w:rPr>
          <w:rFonts w:cs="Segoe UI"/>
          <w:szCs w:val="20"/>
        </w:rPr>
        <w:t xml:space="preserve">Za prehlbujúcim sa zadlžením stojí najmä vyšší očakávaný deficit verejných financií </w:t>
      </w:r>
      <w:r>
        <w:rPr>
          <w:rFonts w:cs="Segoe UI"/>
          <w:szCs w:val="20"/>
        </w:rPr>
        <w:t>(</w:t>
      </w:r>
      <w:r w:rsidRPr="00C37A0D">
        <w:rPr>
          <w:rFonts w:cs="Segoe UI"/>
          <w:szCs w:val="20"/>
        </w:rPr>
        <w:t>5 % HDP</w:t>
      </w:r>
      <w:r>
        <w:rPr>
          <w:rFonts w:cs="Segoe UI"/>
          <w:szCs w:val="20"/>
        </w:rPr>
        <w:t>)</w:t>
      </w:r>
      <w:r w:rsidRPr="00C37A0D">
        <w:rPr>
          <w:rFonts w:cs="Segoe UI"/>
          <w:szCs w:val="20"/>
        </w:rPr>
        <w:t xml:space="preserve"> a zárov</w:t>
      </w:r>
      <w:r>
        <w:rPr>
          <w:rFonts w:cs="Segoe UI"/>
          <w:szCs w:val="20"/>
        </w:rPr>
        <w:t>eň slabý ekonomický rast (</w:t>
      </w:r>
      <w:r w:rsidRPr="00C37A0D">
        <w:rPr>
          <w:rFonts w:cs="Segoe UI"/>
          <w:szCs w:val="20"/>
        </w:rPr>
        <w:t>0,8 % HDP</w:t>
      </w:r>
      <w:r>
        <w:rPr>
          <w:rFonts w:cs="Segoe UI"/>
          <w:szCs w:val="20"/>
        </w:rPr>
        <w:t xml:space="preserve">). Spomalenie ekonomiky aj z dôvodu prijatých konsolidačných opatrení nedokáže </w:t>
      </w:r>
      <w:r w:rsidRPr="006B2061">
        <w:t>kompenzovať narastajúci dlh a stabilizovať jeho podiel na HDP.</w:t>
      </w:r>
    </w:p>
    <w:p w14:paraId="7F7D4C5D" w14:textId="77777777" w:rsidR="008F16D1" w:rsidRPr="00776E01" w:rsidRDefault="008F16D1" w:rsidP="008F16D1">
      <w:pPr>
        <w:pStyle w:val="Popis"/>
        <w:keepNext/>
      </w:pPr>
      <w:r w:rsidRPr="00240FAD">
        <w:lastRenderedPageBreak/>
        <w:t>Graf 23: Vývoj</w:t>
      </w:r>
      <w:r w:rsidRPr="00776E01">
        <w:t xml:space="preserve"> hrubého dlhu </w:t>
      </w:r>
      <w:r>
        <w:t>verejnej správy</w:t>
      </w:r>
      <w:r w:rsidRPr="00776E01">
        <w:t xml:space="preserve"> v rokoch 2020 až 2028 (v mil. eur a v % HDP) </w:t>
      </w:r>
    </w:p>
    <w:p w14:paraId="04E7785C" w14:textId="77777777" w:rsidR="008F16D1" w:rsidRDefault="008F16D1" w:rsidP="008F16D1">
      <w:pPr>
        <w:keepNext/>
        <w:pBdr>
          <w:top w:val="single" w:sz="4" w:space="1" w:color="auto"/>
          <w:bottom w:val="single" w:sz="4" w:space="1" w:color="auto"/>
        </w:pBdr>
        <w:spacing w:after="0"/>
      </w:pPr>
      <w:r>
        <w:rPr>
          <w:noProof/>
          <w:lang w:eastAsia="sk-SK"/>
        </w:rPr>
        <w:drawing>
          <wp:inline distT="0" distB="0" distL="0" distR="0" wp14:anchorId="28B0C009" wp14:editId="3144937E">
            <wp:extent cx="5759450" cy="2143125"/>
            <wp:effectExtent l="0" t="0" r="0" b="0"/>
            <wp:docPr id="2079782617" name="Graf 20797826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F011C8A" w14:textId="77777777" w:rsidR="008F16D1" w:rsidRPr="002E2633" w:rsidRDefault="008F16D1" w:rsidP="008F16D1">
      <w:pPr>
        <w:pStyle w:val="Popis"/>
        <w:rPr>
          <w:rFonts w:cs="Segoe UI"/>
          <w:b w:val="0"/>
          <w:i/>
          <w:sz w:val="16"/>
          <w:szCs w:val="16"/>
        </w:rPr>
      </w:pPr>
      <w:r w:rsidRPr="00966CF5">
        <w:rPr>
          <w:rFonts w:cs="Segoe UI"/>
          <w:b w:val="0"/>
          <w:i/>
          <w:sz w:val="16"/>
          <w:szCs w:val="16"/>
        </w:rPr>
        <w:t>Zdroj: MF SR</w:t>
      </w:r>
      <w:r>
        <w:rPr>
          <w:rFonts w:cs="Segoe UI"/>
          <w:b w:val="0"/>
          <w:i/>
          <w:sz w:val="16"/>
          <w:szCs w:val="16"/>
        </w:rPr>
        <w:t>.</w:t>
      </w:r>
      <w:r w:rsidRPr="00966CF5">
        <w:rPr>
          <w:rFonts w:cs="Segoe UI"/>
          <w:b w:val="0"/>
          <w:i/>
          <w:sz w:val="16"/>
          <w:szCs w:val="16"/>
        </w:rPr>
        <w:t xml:space="preserve"> *</w:t>
      </w:r>
      <w:r>
        <w:rPr>
          <w:rFonts w:cs="Segoe UI"/>
          <w:b w:val="0"/>
          <w:i/>
          <w:sz w:val="16"/>
          <w:szCs w:val="16"/>
        </w:rPr>
        <w:t>očakávaná skutočnosť **prognóza</w:t>
      </w:r>
    </w:p>
    <w:p w14:paraId="13F96C18" w14:textId="30C08FEA" w:rsidR="00050429" w:rsidRDefault="00050429" w:rsidP="00050429">
      <w:pPr>
        <w:spacing w:before="120" w:after="0"/>
      </w:pPr>
      <w:r w:rsidRPr="0089547D">
        <w:rPr>
          <w:b/>
        </w:rPr>
        <w:t xml:space="preserve">Podľa návrhu </w:t>
      </w:r>
      <w:r>
        <w:rPr>
          <w:b/>
        </w:rPr>
        <w:t xml:space="preserve">ŠR </w:t>
      </w:r>
      <w:r w:rsidRPr="00317C82">
        <w:rPr>
          <w:b/>
        </w:rPr>
        <w:t xml:space="preserve">na rok 2026 </w:t>
      </w:r>
      <w:r>
        <w:rPr>
          <w:b/>
        </w:rPr>
        <w:t xml:space="preserve">hrubý dlh VS prekročí limit </w:t>
      </w:r>
      <w:r w:rsidRPr="00317C82">
        <w:rPr>
          <w:b/>
        </w:rPr>
        <w:t>najvyššieho pásma dlhovej brzdy o viac ako 10 p. b.</w:t>
      </w:r>
      <w:r>
        <w:t xml:space="preserve"> </w:t>
      </w:r>
      <w:r w:rsidRPr="00317C82">
        <w:t>Pre rok 2026 je stanovený horný limit najvyššie</w:t>
      </w:r>
      <w:r>
        <w:t>ho pásma dlhovej brzdy</w:t>
      </w:r>
      <w:r w:rsidRPr="00317C82">
        <w:t xml:space="preserve"> </w:t>
      </w:r>
      <w:r>
        <w:t>na 52 %</w:t>
      </w:r>
      <w:r w:rsidRPr="00317C82">
        <w:t xml:space="preserve">. </w:t>
      </w:r>
      <w:r w:rsidRPr="00C37A0D">
        <w:t>V roku 2026</w:t>
      </w:r>
      <w:r>
        <w:t xml:space="preserve"> očakávame hrubý dlh na úrovni 62,8 % HDP </w:t>
      </w:r>
      <w:r w:rsidRPr="00C37A0D">
        <w:t>v celkovej hodnote 90,5 mld. eur.</w:t>
      </w:r>
      <w:r>
        <w:t xml:space="preserve"> </w:t>
      </w:r>
    </w:p>
    <w:p w14:paraId="62B4A291" w14:textId="58E1CB9C" w:rsidR="00050429" w:rsidRPr="00077813" w:rsidRDefault="00050429" w:rsidP="00050429">
      <w:pPr>
        <w:rPr>
          <w:b/>
        </w:rPr>
      </w:pPr>
      <w:r w:rsidRPr="0089547D">
        <w:rPr>
          <w:b/>
        </w:rPr>
        <w:t xml:space="preserve">Dlh na jedného obyvateľa by mal v roku 2026 dosiahnuť približne 16 720 eur, čo je takmer o 1 </w:t>
      </w:r>
      <w:r>
        <w:rPr>
          <w:b/>
        </w:rPr>
        <w:t> </w:t>
      </w:r>
      <w:r w:rsidRPr="0089547D">
        <w:rPr>
          <w:b/>
        </w:rPr>
        <w:t>200 eur viac než</w:t>
      </w:r>
      <w:r w:rsidRPr="00077813">
        <w:rPr>
          <w:b/>
        </w:rPr>
        <w:t xml:space="preserve"> t</w:t>
      </w:r>
      <w:r>
        <w:rPr>
          <w:b/>
        </w:rPr>
        <w:t>en</w:t>
      </w:r>
      <w:r w:rsidRPr="00077813">
        <w:rPr>
          <w:b/>
        </w:rPr>
        <w:t>to rok.</w:t>
      </w:r>
      <w:r>
        <w:rPr>
          <w:b/>
        </w:rPr>
        <w:t xml:space="preserve"> </w:t>
      </w:r>
      <w:r w:rsidRPr="00FE1112">
        <w:t>V súvislosti s nepriazni</w:t>
      </w:r>
      <w:r>
        <w:t>vým demografickým vývojom – najmä</w:t>
      </w:r>
      <w:r w:rsidRPr="00FE1112">
        <w:t xml:space="preserve"> poklesom podielu </w:t>
      </w:r>
      <w:r>
        <w:t>EAO</w:t>
      </w:r>
      <w:r w:rsidRPr="00FE1112">
        <w:t xml:space="preserve">, je súčasne nastavený dôchodkový systém dlhodobo neudržateľný. Tento stav vytvára čoraz </w:t>
      </w:r>
      <w:r>
        <w:t xml:space="preserve">väčší tlak na verejné financie a ohrozuje </w:t>
      </w:r>
      <w:r w:rsidRPr="00FE1112">
        <w:t>fiškál</w:t>
      </w:r>
      <w:r>
        <w:t xml:space="preserve">nu stabilitu štátu v dlhodobom horizonte. </w:t>
      </w:r>
    </w:p>
    <w:p w14:paraId="1DF267B3" w14:textId="7A7F51F6" w:rsidR="00050429" w:rsidRPr="004D76E6" w:rsidRDefault="00050429" w:rsidP="00050429">
      <w:r w:rsidRPr="002E2633">
        <w:rPr>
          <w:b/>
        </w:rPr>
        <w:t xml:space="preserve">NKÚ SR dôrazne vyzýva na stabilizáciu verejných financií, keďže hrubý dlh </w:t>
      </w:r>
      <w:r>
        <w:rPr>
          <w:b/>
        </w:rPr>
        <w:t>VS</w:t>
      </w:r>
      <w:r w:rsidRPr="002E2633">
        <w:rPr>
          <w:b/>
        </w:rPr>
        <w:t xml:space="preserve"> by mohol v roku 2028 atakovať hranicu takmer 100 mld. eur.</w:t>
      </w:r>
      <w:r>
        <w:t xml:space="preserve"> </w:t>
      </w:r>
      <w:r w:rsidRPr="009F7052">
        <w:t xml:space="preserve">Od roku 2020 sa hrubý dlh VS nachádza v najvyššom, 5. sankčnom pásme </w:t>
      </w:r>
      <w:r>
        <w:t xml:space="preserve">ústavného </w:t>
      </w:r>
      <w:r w:rsidRPr="009F7052">
        <w:t>zákona o rozpočtovej zodpovednosti.</w:t>
      </w:r>
      <w:r w:rsidRPr="004D76E6">
        <w:rPr>
          <w:rFonts w:ascii="Arial Narrow" w:hAnsi="Arial Narrow"/>
          <w:sz w:val="22"/>
        </w:rPr>
        <w:t xml:space="preserve"> </w:t>
      </w:r>
      <w:r w:rsidRPr="004D76E6">
        <w:t>V posledných rokoch schválením PVV boli aktivované únikové klauzuly v rámci mechanizmu dlhovej brzdy, ktoré sa vzťahujú na obdobie nasledujúcich dvoch rokov. V tom</w:t>
      </w:r>
      <w:r>
        <w:t xml:space="preserve">to období sa uplatňujú sankcie </w:t>
      </w:r>
      <w:r w:rsidRPr="004D76E6">
        <w:t>z prvých dvoch pasem. Prvou sankciou je, že MF SR zasiela NR SR písomné zdôvodnenie výšky dlhu vrátane návrhu opatrení na jeho zníženie. Avšak tieto opatrenia sa ukazujú ako nedostatočné, keďže zadlženosť krajiny naďalej výrazne rastie. Druhou sankciou je zníženie platov členov vlády na úroveň predchádzajúceho roka, ktorá bola nepriamo porušená.</w:t>
      </w:r>
    </w:p>
    <w:p w14:paraId="5889CF17" w14:textId="77777777" w:rsidR="00B67D8E" w:rsidRDefault="00050429" w:rsidP="00050429">
      <w:pPr>
        <w:rPr>
          <w:b/>
        </w:rPr>
      </w:pPr>
      <w:r w:rsidRPr="00BA23ED">
        <w:rPr>
          <w:b/>
        </w:rPr>
        <w:t>Ak vláda SR neschváli</w:t>
      </w:r>
      <w:r>
        <w:rPr>
          <w:b/>
        </w:rPr>
        <w:t xml:space="preserve"> návrh RVS</w:t>
      </w:r>
      <w:r w:rsidRPr="00BA23ED">
        <w:rPr>
          <w:b/>
        </w:rPr>
        <w:t xml:space="preserve"> do 22. novembra 2025, od </w:t>
      </w:r>
      <w:r>
        <w:rPr>
          <w:b/>
        </w:rPr>
        <w:t>tohto dátumu začnú platiť</w:t>
      </w:r>
      <w:r w:rsidRPr="00BA23ED">
        <w:rPr>
          <w:b/>
        </w:rPr>
        <w:t xml:space="preserve"> tri</w:t>
      </w:r>
      <w:r>
        <w:rPr>
          <w:b/>
        </w:rPr>
        <w:t xml:space="preserve"> najprísnejšie</w:t>
      </w:r>
      <w:r w:rsidRPr="00BA23ED">
        <w:rPr>
          <w:b/>
        </w:rPr>
        <w:t xml:space="preserve"> sankcie dlhovej brzdy.</w:t>
      </w:r>
    </w:p>
    <w:p w14:paraId="2CA8E667" w14:textId="49F29BA5" w:rsidR="00050429" w:rsidRPr="004D76E6" w:rsidRDefault="00AB534D" w:rsidP="00050429">
      <w:r>
        <w:rPr>
          <w:b/>
          <w:bCs/>
        </w:rPr>
        <w:t>NKÚ SR upozorňuje, že v</w:t>
      </w:r>
      <w:r w:rsidR="00050429" w:rsidRPr="00B67D8E">
        <w:rPr>
          <w:b/>
          <w:bCs/>
        </w:rPr>
        <w:t xml:space="preserve"> roku 2026 existuje riziko, že vláda SR bude musieť</w:t>
      </w:r>
      <w:r w:rsidR="00050429" w:rsidRPr="004D76E6">
        <w:t>:</w:t>
      </w:r>
    </w:p>
    <w:p w14:paraId="669BC413" w14:textId="77777777" w:rsidR="00050429" w:rsidRDefault="00050429" w:rsidP="00050429">
      <w:pPr>
        <w:pStyle w:val="Odsekzoznamu"/>
        <w:numPr>
          <w:ilvl w:val="0"/>
          <w:numId w:val="17"/>
        </w:numPr>
      </w:pPr>
      <w:r>
        <w:t>viazať</w:t>
      </w:r>
      <w:r w:rsidRPr="008B1DD4">
        <w:t xml:space="preserve"> 3 </w:t>
      </w:r>
      <w:r>
        <w:t xml:space="preserve">% výdavkov aktuálneho rozpočtu – </w:t>
      </w:r>
      <w:r w:rsidRPr="008B1DD4">
        <w:t>vláda a samosprávy schvaľujú rozpočty na budúci rok be</w:t>
      </w:r>
      <w:r>
        <w:t>z medziročného nárastu výdavkov,</w:t>
      </w:r>
    </w:p>
    <w:p w14:paraId="00BDF1C3" w14:textId="77777777" w:rsidR="00050429" w:rsidRDefault="00050429" w:rsidP="00050429">
      <w:pPr>
        <w:pStyle w:val="Odsekzoznamu"/>
        <w:numPr>
          <w:ilvl w:val="0"/>
          <w:numId w:val="9"/>
        </w:numPr>
      </w:pPr>
      <w:r w:rsidRPr="008B1DD4">
        <w:t>predložiť</w:t>
      </w:r>
      <w:r>
        <w:t xml:space="preserve"> NR SR a schváliť rozpočet VS</w:t>
      </w:r>
      <w:r w:rsidRPr="008B1DD4">
        <w:t xml:space="preserve"> vyrovnaný, prípadne prebyt</w:t>
      </w:r>
      <w:r>
        <w:t>kový,</w:t>
      </w:r>
    </w:p>
    <w:p w14:paraId="11F065B0" w14:textId="379F07D5" w:rsidR="00050429" w:rsidRDefault="00050429" w:rsidP="00050429">
      <w:pPr>
        <w:pStyle w:val="Odsekzoznamu"/>
        <w:numPr>
          <w:ilvl w:val="0"/>
          <w:numId w:val="9"/>
        </w:numPr>
      </w:pPr>
      <w:r w:rsidRPr="008B1DD4">
        <w:t>požiada</w:t>
      </w:r>
      <w:r>
        <w:t>ť</w:t>
      </w:r>
      <w:r w:rsidRPr="008B1DD4">
        <w:t xml:space="preserve"> </w:t>
      </w:r>
      <w:r w:rsidR="00B67D8E">
        <w:t>NR SR</w:t>
      </w:r>
      <w:r w:rsidRPr="008B1DD4">
        <w:t xml:space="preserve"> o vyslovenie dôvery.</w:t>
      </w:r>
    </w:p>
    <w:p w14:paraId="3FA57DE3" w14:textId="660318E6" w:rsidR="007D02D8" w:rsidRDefault="00050429" w:rsidP="007D02D8">
      <w:pPr>
        <w:rPr>
          <w:rFonts w:eastAsia="Calibri" w:cs="Times New Roman"/>
          <w:b/>
          <w:iCs/>
          <w:color w:val="314364"/>
          <w:szCs w:val="18"/>
          <w:highlight w:val="yellow"/>
        </w:rPr>
      </w:pPr>
      <w:r w:rsidRPr="0021261A">
        <w:rPr>
          <w:b/>
        </w:rPr>
        <w:t xml:space="preserve">V roku 2026 sú rozpočtované výdavky na obsluhu štátneho dlhu vyššie o 424 mil. eur než </w:t>
      </w:r>
      <w:r>
        <w:rPr>
          <w:b/>
        </w:rPr>
        <w:t xml:space="preserve">sa očakáva v tomto roku </w:t>
      </w:r>
      <w:r w:rsidRPr="00B67D8E">
        <w:rPr>
          <w:bCs/>
        </w:rPr>
        <w:t xml:space="preserve">(graf </w:t>
      </w:r>
      <w:r w:rsidR="00240FAD">
        <w:rPr>
          <w:bCs/>
        </w:rPr>
        <w:t>24</w:t>
      </w:r>
      <w:r w:rsidRPr="00B67D8E">
        <w:rPr>
          <w:bCs/>
        </w:rPr>
        <w:t>)</w:t>
      </w:r>
      <w:r w:rsidRPr="0021261A">
        <w:rPr>
          <w:b/>
        </w:rPr>
        <w:t>.</w:t>
      </w:r>
      <w:r w:rsidRPr="00E74E6C">
        <w:t xml:space="preserve"> </w:t>
      </w:r>
      <w:r w:rsidRPr="00AD335C">
        <w:t>Zvýšenie nákladov na obsluhu štátneho dlhu v roku 2026</w:t>
      </w:r>
      <w:r>
        <w:t xml:space="preserve"> je spôsoben</w:t>
      </w:r>
      <w:r w:rsidR="00AB534D">
        <w:t>é</w:t>
      </w:r>
      <w:r>
        <w:t xml:space="preserve"> rastom </w:t>
      </w:r>
      <w:r w:rsidRPr="00AD335C">
        <w:t xml:space="preserve">nominálneho dlhu v dôsledku potreby zabezpečenia finančných prostriedkov na krytie deficitu </w:t>
      </w:r>
      <w:r w:rsidR="00AB534D">
        <w:t>ŠR</w:t>
      </w:r>
      <w:r w:rsidRPr="00AD335C">
        <w:t>, ako aj nárastom priemerného výnosu z emitovaných štátnych dlhopisov.</w:t>
      </w:r>
      <w:r>
        <w:t xml:space="preserve"> </w:t>
      </w:r>
      <w:r w:rsidRPr="00E74E6C">
        <w:t>Vysoké náklady na obsluhu štátneho dlhu znižujú dostupné finančné zdroje na ďalšie nevyhnutné výdavky štátu</w:t>
      </w:r>
      <w:r>
        <w:t xml:space="preserve">. </w:t>
      </w:r>
      <w:r w:rsidR="00C2223D">
        <w:rPr>
          <w:b/>
        </w:rPr>
        <w:t>Vý</w:t>
      </w:r>
      <w:r w:rsidRPr="00A34FF3">
        <w:rPr>
          <w:b/>
        </w:rPr>
        <w:t xml:space="preserve">davky na riadenie dlhu </w:t>
      </w:r>
      <w:r w:rsidR="00C2223D">
        <w:rPr>
          <w:b/>
        </w:rPr>
        <w:t xml:space="preserve">majú </w:t>
      </w:r>
      <w:r w:rsidRPr="00A34FF3">
        <w:rPr>
          <w:b/>
        </w:rPr>
        <w:t>od roku 2026 presahovať 2 mld. eur až po 2,6 mld. eur v roku 2028</w:t>
      </w:r>
      <w:r w:rsidR="00AB534D">
        <w:rPr>
          <w:b/>
        </w:rPr>
        <w:t>,</w:t>
      </w:r>
      <w:r w:rsidRPr="00A34FF3">
        <w:rPr>
          <w:b/>
        </w:rPr>
        <w:t xml:space="preserve"> čo je hodnota takmer celého</w:t>
      </w:r>
      <w:r w:rsidR="007D02D8" w:rsidRPr="00A34FF3">
        <w:rPr>
          <w:b/>
        </w:rPr>
        <w:t xml:space="preserve"> </w:t>
      </w:r>
      <w:r w:rsidR="007D02D8">
        <w:rPr>
          <w:b/>
        </w:rPr>
        <w:t>aktuálne prijatého tretieho konsolidačného balíka</w:t>
      </w:r>
      <w:r w:rsidR="007D02D8" w:rsidRPr="00A34FF3">
        <w:rPr>
          <w:b/>
        </w:rPr>
        <w:t>.</w:t>
      </w:r>
    </w:p>
    <w:p w14:paraId="3D6BB5B1" w14:textId="4ADB4C79" w:rsidR="008F16D1" w:rsidRDefault="008F16D1" w:rsidP="007D02D8">
      <w:pPr>
        <w:rPr>
          <w:rFonts w:eastAsia="Calibri" w:cs="Times New Roman"/>
          <w:b/>
          <w:iCs/>
          <w:color w:val="314364"/>
          <w:szCs w:val="18"/>
        </w:rPr>
      </w:pPr>
      <w:r w:rsidRPr="00240FAD">
        <w:rPr>
          <w:rFonts w:eastAsia="Calibri" w:cs="Times New Roman"/>
          <w:b/>
          <w:iCs/>
          <w:color w:val="314364"/>
          <w:szCs w:val="18"/>
        </w:rPr>
        <w:lastRenderedPageBreak/>
        <w:t xml:space="preserve">Graf 24: </w:t>
      </w:r>
      <w:r w:rsidRPr="00EC636A">
        <w:rPr>
          <w:rFonts w:eastAsia="Calibri" w:cs="Times New Roman"/>
          <w:b/>
          <w:iCs/>
          <w:color w:val="314364"/>
          <w:szCs w:val="18"/>
        </w:rPr>
        <w:t xml:space="preserve">Výdavky na správu štátneho dlhu v rokoch 2019 až 2028 (v mil. eur) </w:t>
      </w:r>
    </w:p>
    <w:p w14:paraId="682625C9" w14:textId="77777777" w:rsidR="008F16D1" w:rsidRPr="000C1228" w:rsidRDefault="008F16D1" w:rsidP="008F16D1">
      <w:pPr>
        <w:keepNext/>
        <w:pBdr>
          <w:top w:val="single" w:sz="4" w:space="1" w:color="auto"/>
          <w:bottom w:val="single" w:sz="4" w:space="1" w:color="auto"/>
        </w:pBdr>
        <w:spacing w:after="0" w:line="240" w:lineRule="auto"/>
        <w:rPr>
          <w:rFonts w:eastAsia="Calibri" w:cs="Times New Roman"/>
          <w:b/>
          <w:iCs/>
          <w:color w:val="314364"/>
          <w:szCs w:val="18"/>
        </w:rPr>
      </w:pPr>
      <w:r>
        <w:rPr>
          <w:noProof/>
          <w:lang w:eastAsia="sk-SK"/>
        </w:rPr>
        <w:drawing>
          <wp:inline distT="0" distB="0" distL="0" distR="0" wp14:anchorId="6525CB5C" wp14:editId="75F76DDF">
            <wp:extent cx="5859780" cy="1958340"/>
            <wp:effectExtent l="0" t="0" r="7620" b="3810"/>
            <wp:docPr id="36538150" name="Graf 36538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5DFEA7D" w14:textId="303F01F8" w:rsidR="00A51D9E" w:rsidRDefault="008F16D1" w:rsidP="008F16D1">
      <w:pPr>
        <w:rPr>
          <w:rFonts w:cs="Segoe UI"/>
          <w:szCs w:val="20"/>
        </w:rPr>
      </w:pPr>
      <w:r w:rsidRPr="000C1228">
        <w:rPr>
          <w:rFonts w:eastAsia="Calibri" w:cs="Segoe UI"/>
          <w:i/>
          <w:color w:val="314364"/>
          <w:sz w:val="16"/>
          <w:szCs w:val="16"/>
        </w:rPr>
        <w:t>Zdroj: MF SR</w:t>
      </w:r>
      <w:r>
        <w:rPr>
          <w:rFonts w:eastAsia="Calibri" w:cs="Segoe UI"/>
          <w:i/>
          <w:color w:val="314364"/>
          <w:sz w:val="16"/>
          <w:szCs w:val="16"/>
        </w:rPr>
        <w:t>.</w:t>
      </w:r>
      <w:r w:rsidRPr="000C1228">
        <w:rPr>
          <w:rFonts w:eastAsia="Calibri" w:cs="Segoe UI"/>
          <w:i/>
          <w:color w:val="314364"/>
          <w:sz w:val="16"/>
          <w:szCs w:val="16"/>
        </w:rPr>
        <w:t xml:space="preserve"> *očakávaná skutočnosť ** prognóza</w:t>
      </w:r>
      <w:r>
        <w:rPr>
          <w:rFonts w:cs="Segoe UI"/>
          <w:szCs w:val="20"/>
        </w:rPr>
        <w:t xml:space="preserve"> </w:t>
      </w:r>
      <w:r w:rsidR="00A51D9E">
        <w:rPr>
          <w:rFonts w:cs="Segoe UI"/>
          <w:szCs w:val="20"/>
        </w:rPr>
        <w:br w:type="page"/>
      </w:r>
    </w:p>
    <w:p w14:paraId="754B57D8" w14:textId="310A5E37" w:rsidR="00C30CC5" w:rsidRDefault="00C30CC5" w:rsidP="00C30CC5">
      <w:pPr>
        <w:pStyle w:val="Nadpis1"/>
      </w:pPr>
      <w:bookmarkStart w:id="24" w:name="_Toc86396376"/>
      <w:bookmarkStart w:id="25" w:name="_Toc211249084"/>
      <w:r>
        <w:lastRenderedPageBreak/>
        <w:t>Rozpočtové vzťahy S</w:t>
      </w:r>
      <w:r w:rsidR="00032ADE">
        <w:t>lovenska a Európskej únie</w:t>
      </w:r>
      <w:bookmarkEnd w:id="24"/>
      <w:bookmarkEnd w:id="25"/>
    </w:p>
    <w:p w14:paraId="6D29CBCD" w14:textId="2B3E446B" w:rsidR="007E6D39" w:rsidRPr="00BB314F" w:rsidRDefault="007E6D39" w:rsidP="007E6D39">
      <w:pPr>
        <w:rPr>
          <w:b/>
        </w:rPr>
      </w:pPr>
      <w:r w:rsidRPr="00BB314F">
        <w:rPr>
          <w:b/>
        </w:rPr>
        <w:t>Prostriedky z rozpočtu EÚ sa na rok 2026 rozpočtujú na úrovni 2,3 mld. eur. Spolu s prostriedkami z POO tak predstavujú sumu 2,9 mld. eur</w:t>
      </w:r>
      <w:r>
        <w:rPr>
          <w:b/>
        </w:rPr>
        <w:t xml:space="preserve"> </w:t>
      </w:r>
      <w:r>
        <w:rPr>
          <w:bCs/>
        </w:rPr>
        <w:t xml:space="preserve">(tabuľka </w:t>
      </w:r>
      <w:r w:rsidR="00240FAD">
        <w:rPr>
          <w:bCs/>
        </w:rPr>
        <w:t>6</w:t>
      </w:r>
      <w:r>
        <w:rPr>
          <w:bCs/>
        </w:rPr>
        <w:t>)</w:t>
      </w:r>
      <w:r w:rsidRPr="00BB314F">
        <w:rPr>
          <w:b/>
        </w:rPr>
        <w:t>.</w:t>
      </w:r>
      <w:r w:rsidRPr="00D83047">
        <w:rPr>
          <w:rFonts w:cs="Segoe UI"/>
          <w:b/>
          <w:szCs w:val="20"/>
        </w:rPr>
        <w:t xml:space="preserve"> </w:t>
      </w:r>
      <w:r w:rsidRPr="00272B13">
        <w:rPr>
          <w:rFonts w:cs="Segoe UI"/>
          <w:szCs w:val="20"/>
        </w:rPr>
        <w:t>Výdavky z</w:t>
      </w:r>
      <w:r w:rsidR="008B63FB">
        <w:rPr>
          <w:rFonts w:cs="Segoe UI"/>
          <w:szCs w:val="20"/>
        </w:rPr>
        <w:t> európskych zdrojov</w:t>
      </w:r>
      <w:r w:rsidRPr="00272B13">
        <w:rPr>
          <w:rFonts w:cs="Segoe UI"/>
          <w:szCs w:val="20"/>
        </w:rPr>
        <w:t xml:space="preserve"> sú plánované na rok 2026 v rámci ôsmich kapitol</w:t>
      </w:r>
      <w:r w:rsidRPr="00F421EC">
        <w:rPr>
          <w:rFonts w:cs="Segoe UI"/>
          <w:szCs w:val="20"/>
        </w:rPr>
        <w:t>,</w:t>
      </w:r>
      <w:r w:rsidRPr="00172A71">
        <w:rPr>
          <w:rFonts w:cs="Segoe UI"/>
          <w:szCs w:val="20"/>
        </w:rPr>
        <w:t xml:space="preserve"> </w:t>
      </w:r>
      <w:r w:rsidRPr="002B3A0E">
        <w:rPr>
          <w:rFonts w:cs="Segoe UI"/>
          <w:szCs w:val="20"/>
        </w:rPr>
        <w:t xml:space="preserve">z toho za oblasť poľnohospodárskych fondov v sume </w:t>
      </w:r>
      <w:r w:rsidRPr="00BB314F">
        <w:rPr>
          <w:rFonts w:cs="Segoe UI"/>
          <w:szCs w:val="20"/>
        </w:rPr>
        <w:t>405</w:t>
      </w:r>
      <w:r w:rsidRPr="002B3A0E">
        <w:rPr>
          <w:rFonts w:cs="Segoe UI"/>
          <w:szCs w:val="20"/>
        </w:rPr>
        <w:t>,9 mil. eur a zvyšných 1 942,3</w:t>
      </w:r>
      <w:r w:rsidRPr="00BB314F">
        <w:rPr>
          <w:rFonts w:cs="Segoe UI"/>
          <w:szCs w:val="20"/>
        </w:rPr>
        <w:t xml:space="preserve"> </w:t>
      </w:r>
      <w:r w:rsidRPr="002B3A0E">
        <w:rPr>
          <w:rFonts w:cs="Segoe UI"/>
          <w:szCs w:val="20"/>
        </w:rPr>
        <w:t>mil. eur za štrukturálne fondy</w:t>
      </w:r>
      <w:r>
        <w:rPr>
          <w:rFonts w:cs="Segoe UI"/>
          <w:szCs w:val="20"/>
        </w:rPr>
        <w:t xml:space="preserve"> (graf </w:t>
      </w:r>
      <w:r w:rsidR="00240FAD">
        <w:rPr>
          <w:rFonts w:cs="Segoe UI"/>
          <w:szCs w:val="20"/>
        </w:rPr>
        <w:t>25</w:t>
      </w:r>
      <w:r>
        <w:rPr>
          <w:rFonts w:cs="Segoe UI"/>
          <w:szCs w:val="20"/>
        </w:rPr>
        <w:t>)</w:t>
      </w:r>
      <w:r w:rsidRPr="002B3A0E">
        <w:rPr>
          <w:rFonts w:cs="Segoe UI"/>
          <w:szCs w:val="20"/>
        </w:rPr>
        <w:t>. Prostriedky EÚ sa rozpočtujú s neutrálnym dopadom na verejné financie, preto sú rozpočtované v rovnakej sume ako príjmy (2,3 mld. eur).</w:t>
      </w:r>
    </w:p>
    <w:p w14:paraId="31B82BF8" w14:textId="77777777" w:rsidR="008F16D1" w:rsidRDefault="008F16D1" w:rsidP="008F16D1">
      <w:pPr>
        <w:pStyle w:val="Popis"/>
        <w:keepNext/>
      </w:pPr>
      <w:r w:rsidRPr="00D81BEB">
        <w:rPr>
          <w:color w:val="314364"/>
        </w:rPr>
        <w:t>Tabuľka</w:t>
      </w:r>
      <w:r>
        <w:rPr>
          <w:color w:val="314364"/>
        </w:rPr>
        <w:t xml:space="preserve"> 6</w:t>
      </w:r>
      <w:r w:rsidRPr="00D81BEB">
        <w:rPr>
          <w:color w:val="314364"/>
        </w:rPr>
        <w:t xml:space="preserve">: </w:t>
      </w:r>
      <w:r w:rsidRPr="002B62C8">
        <w:t>Rozpočtov</w:t>
      </w:r>
      <w:r>
        <w:t>an</w:t>
      </w:r>
      <w:r w:rsidRPr="002B62C8">
        <w:t xml:space="preserve">é </w:t>
      </w:r>
      <w:r>
        <w:t xml:space="preserve">príjmy za prostriedky EÚ </w:t>
      </w:r>
      <w:r w:rsidRPr="002B62C8">
        <w:t>na rok 202</w:t>
      </w:r>
      <w:r>
        <w:t>6</w:t>
      </w:r>
      <w:r w:rsidRPr="002B62C8">
        <w:t xml:space="preserve"> </w:t>
      </w:r>
      <w:r>
        <w:t>(</w:t>
      </w:r>
      <w:r w:rsidRPr="002B62C8">
        <w:t>v mil. eur</w:t>
      </w:r>
      <w:r>
        <w:t>)</w:t>
      </w:r>
    </w:p>
    <w:tbl>
      <w:tblPr>
        <w:tblW w:w="5000" w:type="pct"/>
        <w:tblCellMar>
          <w:left w:w="70" w:type="dxa"/>
          <w:right w:w="70" w:type="dxa"/>
        </w:tblCellMar>
        <w:tblLook w:val="04A0" w:firstRow="1" w:lastRow="0" w:firstColumn="1" w:lastColumn="0" w:noHBand="0" w:noVBand="1"/>
      </w:tblPr>
      <w:tblGrid>
        <w:gridCol w:w="5346"/>
        <w:gridCol w:w="3724"/>
      </w:tblGrid>
      <w:tr w:rsidR="008F16D1" w:rsidRPr="00E36FE0" w14:paraId="7738B23F" w14:textId="77777777" w:rsidTr="00BB314F">
        <w:trPr>
          <w:trHeight w:val="283"/>
        </w:trPr>
        <w:tc>
          <w:tcPr>
            <w:tcW w:w="2947" w:type="pct"/>
            <w:tcBorders>
              <w:top w:val="nil"/>
              <w:bottom w:val="nil"/>
            </w:tcBorders>
            <w:shd w:val="clear" w:color="000000" w:fill="314364"/>
            <w:vAlign w:val="center"/>
            <w:hideMark/>
          </w:tcPr>
          <w:p w14:paraId="017B8DE2" w14:textId="77777777" w:rsidR="008F16D1" w:rsidRPr="00E36FE0" w:rsidRDefault="008F16D1" w:rsidP="00BB314F">
            <w:pPr>
              <w:spacing w:after="0" w:line="240" w:lineRule="auto"/>
              <w:jc w:val="left"/>
              <w:rPr>
                <w:rFonts w:ascii="Arial Narrow" w:eastAsia="Times New Roman" w:hAnsi="Arial Narrow" w:cs="Times New Roman"/>
                <w:color w:val="000000"/>
                <w:sz w:val="22"/>
                <w:lang w:eastAsia="sk-SK"/>
              </w:rPr>
            </w:pPr>
            <w:r w:rsidRPr="00E36FE0">
              <w:rPr>
                <w:rFonts w:ascii="Arial Narrow" w:eastAsia="Times New Roman" w:hAnsi="Arial Narrow" w:cs="Times New Roman"/>
                <w:color w:val="000000"/>
                <w:sz w:val="22"/>
                <w:lang w:eastAsia="sk-SK"/>
              </w:rPr>
              <w:t> </w:t>
            </w:r>
          </w:p>
        </w:tc>
        <w:tc>
          <w:tcPr>
            <w:tcW w:w="2053" w:type="pct"/>
            <w:tcBorders>
              <w:top w:val="nil"/>
              <w:left w:val="nil"/>
              <w:bottom w:val="single" w:sz="8" w:space="0" w:color="FFFFFF"/>
              <w:right w:val="nil"/>
            </w:tcBorders>
            <w:shd w:val="clear" w:color="000000" w:fill="314364"/>
            <w:vAlign w:val="center"/>
            <w:hideMark/>
          </w:tcPr>
          <w:p w14:paraId="7BFEC0D5" w14:textId="77777777" w:rsidR="008F16D1" w:rsidRPr="00E36FE0" w:rsidRDefault="008F16D1" w:rsidP="00BB314F">
            <w:pPr>
              <w:spacing w:after="0" w:line="240" w:lineRule="auto"/>
              <w:jc w:val="center"/>
              <w:rPr>
                <w:rFonts w:eastAsia="Times New Roman" w:cs="Segoe UI"/>
                <w:b/>
                <w:bCs/>
                <w:color w:val="FFFFFF"/>
                <w:sz w:val="18"/>
                <w:szCs w:val="18"/>
                <w:lang w:eastAsia="sk-SK"/>
              </w:rPr>
            </w:pPr>
            <w:r>
              <w:rPr>
                <w:rFonts w:eastAsia="Times New Roman" w:cs="Segoe UI"/>
                <w:b/>
                <w:bCs/>
                <w:color w:val="FFFFFF"/>
                <w:sz w:val="18"/>
                <w:szCs w:val="18"/>
                <w:lang w:eastAsia="sk-SK"/>
              </w:rPr>
              <w:t>Suma</w:t>
            </w:r>
            <w:r w:rsidRPr="00E36FE0">
              <w:rPr>
                <w:rFonts w:eastAsia="Times New Roman" w:cs="Segoe UI"/>
                <w:b/>
                <w:bCs/>
                <w:color w:val="FFFFFF"/>
                <w:sz w:val="18"/>
                <w:szCs w:val="18"/>
                <w:lang w:eastAsia="sk-SK"/>
              </w:rPr>
              <w:t xml:space="preserve"> prostriedkov</w:t>
            </w:r>
            <w:r>
              <w:rPr>
                <w:rFonts w:eastAsia="Times New Roman" w:cs="Segoe UI"/>
                <w:b/>
                <w:bCs/>
                <w:color w:val="FFFFFF"/>
                <w:sz w:val="18"/>
                <w:szCs w:val="18"/>
                <w:lang w:eastAsia="sk-SK"/>
              </w:rPr>
              <w:t xml:space="preserve"> EÚ</w:t>
            </w:r>
          </w:p>
        </w:tc>
      </w:tr>
      <w:tr w:rsidR="008F16D1" w:rsidRPr="00E36FE0" w14:paraId="540A7297" w14:textId="77777777" w:rsidTr="00BB314F">
        <w:trPr>
          <w:trHeight w:val="283"/>
        </w:trPr>
        <w:tc>
          <w:tcPr>
            <w:tcW w:w="2947" w:type="pct"/>
            <w:tcBorders>
              <w:top w:val="nil"/>
              <w:left w:val="single" w:sz="8" w:space="0" w:color="FFFFFF"/>
              <w:bottom w:val="nil"/>
              <w:right w:val="single" w:sz="8" w:space="0" w:color="FFFFFF"/>
            </w:tcBorders>
            <w:shd w:val="clear" w:color="000000" w:fill="FFFFFF"/>
            <w:noWrap/>
            <w:vAlign w:val="center"/>
            <w:hideMark/>
          </w:tcPr>
          <w:p w14:paraId="551B24D4" w14:textId="77777777" w:rsidR="008F16D1" w:rsidRPr="00BB314F" w:rsidRDefault="008F16D1" w:rsidP="00BB314F">
            <w:pPr>
              <w:spacing w:after="0" w:line="240" w:lineRule="auto"/>
              <w:rPr>
                <w:rFonts w:eastAsia="Times New Roman" w:cs="Segoe UI"/>
                <w:sz w:val="18"/>
                <w:szCs w:val="18"/>
                <w:lang w:eastAsia="sk-SK"/>
              </w:rPr>
            </w:pPr>
            <w:r w:rsidRPr="00BB314F">
              <w:rPr>
                <w:rFonts w:eastAsia="Times New Roman" w:cs="Segoe UI"/>
                <w:sz w:val="18"/>
                <w:szCs w:val="18"/>
                <w:lang w:eastAsia="sk-SK"/>
              </w:rPr>
              <w:t xml:space="preserve">Poľnohospodárske fondy </w:t>
            </w:r>
          </w:p>
        </w:tc>
        <w:tc>
          <w:tcPr>
            <w:tcW w:w="2053" w:type="pct"/>
            <w:tcBorders>
              <w:top w:val="nil"/>
              <w:left w:val="nil"/>
              <w:bottom w:val="nil"/>
              <w:right w:val="single" w:sz="8" w:space="0" w:color="FFFFFF"/>
            </w:tcBorders>
            <w:shd w:val="clear" w:color="000000" w:fill="FFFFFF"/>
            <w:noWrap/>
            <w:vAlign w:val="center"/>
            <w:hideMark/>
          </w:tcPr>
          <w:p w14:paraId="0D60C24B" w14:textId="77777777" w:rsidR="008F16D1" w:rsidRPr="00BB314F" w:rsidRDefault="008F16D1" w:rsidP="00BB314F">
            <w:pPr>
              <w:spacing w:after="0" w:line="240" w:lineRule="auto"/>
              <w:jc w:val="center"/>
              <w:rPr>
                <w:rFonts w:eastAsia="Times New Roman" w:cs="Segoe UI"/>
                <w:sz w:val="18"/>
                <w:szCs w:val="18"/>
                <w:lang w:eastAsia="sk-SK"/>
              </w:rPr>
            </w:pPr>
            <w:r w:rsidRPr="00BB314F">
              <w:rPr>
                <w:rFonts w:eastAsia="Times New Roman" w:cs="Segoe UI"/>
                <w:sz w:val="18"/>
                <w:szCs w:val="18"/>
                <w:lang w:eastAsia="sk-SK"/>
              </w:rPr>
              <w:t>405,9</w:t>
            </w:r>
          </w:p>
        </w:tc>
      </w:tr>
      <w:tr w:rsidR="008F16D1" w:rsidRPr="00E36FE0" w14:paraId="1A89BE82" w14:textId="77777777" w:rsidTr="00BB314F">
        <w:trPr>
          <w:trHeight w:val="283"/>
        </w:trPr>
        <w:tc>
          <w:tcPr>
            <w:tcW w:w="2947" w:type="pct"/>
            <w:tcBorders>
              <w:top w:val="nil"/>
              <w:left w:val="single" w:sz="8" w:space="0" w:color="FFFFFF"/>
              <w:bottom w:val="single" w:sz="8" w:space="0" w:color="FFFFFF"/>
              <w:right w:val="single" w:sz="8" w:space="0" w:color="FFFFFF"/>
            </w:tcBorders>
            <w:shd w:val="clear" w:color="000000" w:fill="FFFFFF"/>
            <w:noWrap/>
            <w:vAlign w:val="center"/>
            <w:hideMark/>
          </w:tcPr>
          <w:p w14:paraId="2FDADF4D" w14:textId="77777777" w:rsidR="008F16D1" w:rsidRPr="00BB314F" w:rsidRDefault="008F16D1" w:rsidP="00BB314F">
            <w:pPr>
              <w:spacing w:after="0" w:line="240" w:lineRule="auto"/>
              <w:rPr>
                <w:rFonts w:eastAsia="Times New Roman" w:cs="Segoe UI"/>
                <w:sz w:val="18"/>
                <w:szCs w:val="18"/>
                <w:lang w:eastAsia="sk-SK"/>
              </w:rPr>
            </w:pPr>
            <w:r w:rsidRPr="00BB314F">
              <w:rPr>
                <w:rFonts w:eastAsia="Times New Roman" w:cs="Segoe UI"/>
                <w:sz w:val="18"/>
                <w:szCs w:val="18"/>
                <w:lang w:eastAsia="sk-SK"/>
              </w:rPr>
              <w:t>Štrukturálne fondy</w:t>
            </w:r>
          </w:p>
        </w:tc>
        <w:tc>
          <w:tcPr>
            <w:tcW w:w="2053" w:type="pct"/>
            <w:tcBorders>
              <w:top w:val="nil"/>
              <w:left w:val="nil"/>
              <w:bottom w:val="single" w:sz="8" w:space="0" w:color="FFFFFF"/>
              <w:right w:val="single" w:sz="8" w:space="0" w:color="FFFFFF"/>
            </w:tcBorders>
            <w:shd w:val="clear" w:color="000000" w:fill="FFFFFF"/>
            <w:noWrap/>
            <w:vAlign w:val="center"/>
            <w:hideMark/>
          </w:tcPr>
          <w:p w14:paraId="7AB55BA5" w14:textId="77777777" w:rsidR="008F16D1" w:rsidRPr="00BB314F" w:rsidRDefault="008F16D1" w:rsidP="00BB314F">
            <w:pPr>
              <w:spacing w:after="0" w:line="240" w:lineRule="auto"/>
              <w:jc w:val="center"/>
              <w:rPr>
                <w:rFonts w:eastAsia="Times New Roman" w:cs="Segoe UI"/>
                <w:sz w:val="18"/>
                <w:szCs w:val="18"/>
                <w:lang w:eastAsia="sk-SK"/>
              </w:rPr>
            </w:pPr>
            <w:r w:rsidRPr="00BB314F">
              <w:rPr>
                <w:rFonts w:eastAsia="Times New Roman" w:cs="Segoe UI"/>
                <w:sz w:val="18"/>
                <w:szCs w:val="18"/>
                <w:lang w:eastAsia="sk-SK"/>
              </w:rPr>
              <w:t>1 942,3</w:t>
            </w:r>
          </w:p>
        </w:tc>
      </w:tr>
      <w:tr w:rsidR="008F16D1" w:rsidRPr="00E36FE0" w14:paraId="1F73FE6C" w14:textId="77777777" w:rsidTr="00BB314F">
        <w:trPr>
          <w:trHeight w:val="283"/>
        </w:trPr>
        <w:tc>
          <w:tcPr>
            <w:tcW w:w="2947" w:type="pct"/>
            <w:tcBorders>
              <w:top w:val="nil"/>
              <w:left w:val="nil"/>
              <w:bottom w:val="nil"/>
              <w:right w:val="nil"/>
            </w:tcBorders>
            <w:shd w:val="clear" w:color="000000" w:fill="FFFFFF"/>
            <w:noWrap/>
            <w:vAlign w:val="center"/>
            <w:hideMark/>
          </w:tcPr>
          <w:p w14:paraId="315E348E" w14:textId="77777777" w:rsidR="008F16D1" w:rsidRPr="00BB314F" w:rsidRDefault="008F16D1" w:rsidP="00BB314F">
            <w:pPr>
              <w:spacing w:after="0" w:line="240" w:lineRule="auto"/>
              <w:rPr>
                <w:rFonts w:eastAsia="Times New Roman" w:cs="Segoe UI"/>
                <w:b/>
                <w:bCs/>
                <w:i/>
                <w:sz w:val="18"/>
                <w:szCs w:val="18"/>
                <w:lang w:eastAsia="sk-SK"/>
              </w:rPr>
            </w:pPr>
            <w:r w:rsidRPr="00BB314F">
              <w:rPr>
                <w:rFonts w:eastAsia="Times New Roman" w:cs="Segoe UI"/>
                <w:b/>
                <w:bCs/>
                <w:i/>
                <w:sz w:val="18"/>
                <w:szCs w:val="18"/>
                <w:lang w:eastAsia="sk-SK"/>
              </w:rPr>
              <w:t>Prostriedky z rozpočtu EÚ spolu</w:t>
            </w:r>
          </w:p>
        </w:tc>
        <w:tc>
          <w:tcPr>
            <w:tcW w:w="2053" w:type="pct"/>
            <w:tcBorders>
              <w:top w:val="nil"/>
              <w:left w:val="nil"/>
              <w:bottom w:val="nil"/>
              <w:right w:val="nil"/>
            </w:tcBorders>
            <w:shd w:val="clear" w:color="000000" w:fill="FFFFFF"/>
            <w:noWrap/>
            <w:vAlign w:val="center"/>
            <w:hideMark/>
          </w:tcPr>
          <w:p w14:paraId="0612EF53" w14:textId="77777777" w:rsidR="008F16D1" w:rsidRPr="00BB314F" w:rsidRDefault="008F16D1" w:rsidP="00BB314F">
            <w:pPr>
              <w:spacing w:after="0" w:line="240" w:lineRule="auto"/>
              <w:jc w:val="center"/>
              <w:rPr>
                <w:rFonts w:eastAsia="Times New Roman" w:cs="Segoe UI"/>
                <w:b/>
                <w:bCs/>
                <w:i/>
                <w:sz w:val="18"/>
                <w:szCs w:val="18"/>
                <w:lang w:eastAsia="sk-SK"/>
              </w:rPr>
            </w:pPr>
            <w:r w:rsidRPr="00BB314F">
              <w:rPr>
                <w:rFonts w:eastAsia="Times New Roman" w:cs="Segoe UI"/>
                <w:b/>
                <w:bCs/>
                <w:i/>
                <w:sz w:val="18"/>
                <w:szCs w:val="18"/>
                <w:lang w:eastAsia="sk-SK"/>
              </w:rPr>
              <w:t>2 348,3</w:t>
            </w:r>
          </w:p>
        </w:tc>
      </w:tr>
      <w:tr w:rsidR="008F16D1" w:rsidRPr="00E36FE0" w14:paraId="35D269D5" w14:textId="77777777" w:rsidTr="00BB314F">
        <w:trPr>
          <w:trHeight w:val="283"/>
        </w:trPr>
        <w:tc>
          <w:tcPr>
            <w:tcW w:w="2947" w:type="pct"/>
            <w:tcBorders>
              <w:top w:val="nil"/>
              <w:left w:val="nil"/>
              <w:bottom w:val="single" w:sz="8" w:space="0" w:color="auto"/>
              <w:right w:val="nil"/>
            </w:tcBorders>
            <w:shd w:val="clear" w:color="000000" w:fill="FFFFFF"/>
            <w:vAlign w:val="center"/>
            <w:hideMark/>
          </w:tcPr>
          <w:p w14:paraId="3FF442B6" w14:textId="77777777" w:rsidR="008F16D1" w:rsidRPr="00BB314F" w:rsidRDefault="008F16D1" w:rsidP="00BB314F">
            <w:pPr>
              <w:spacing w:after="0" w:line="240" w:lineRule="auto"/>
              <w:jc w:val="left"/>
              <w:rPr>
                <w:rFonts w:eastAsia="Times New Roman" w:cs="Segoe UI"/>
                <w:bCs/>
                <w:sz w:val="18"/>
                <w:szCs w:val="18"/>
                <w:lang w:eastAsia="sk-SK"/>
              </w:rPr>
            </w:pPr>
            <w:r w:rsidRPr="00BB314F">
              <w:rPr>
                <w:rFonts w:eastAsia="Times New Roman" w:cs="Segoe UI"/>
                <w:bCs/>
                <w:sz w:val="18"/>
                <w:szCs w:val="18"/>
                <w:lang w:eastAsia="sk-SK"/>
              </w:rPr>
              <w:t>Prostriedky z POO</w:t>
            </w:r>
          </w:p>
        </w:tc>
        <w:tc>
          <w:tcPr>
            <w:tcW w:w="2053" w:type="pct"/>
            <w:tcBorders>
              <w:top w:val="nil"/>
              <w:left w:val="nil"/>
              <w:bottom w:val="single" w:sz="8" w:space="0" w:color="auto"/>
              <w:right w:val="nil"/>
            </w:tcBorders>
            <w:shd w:val="clear" w:color="000000" w:fill="FFFFFF"/>
            <w:vAlign w:val="center"/>
            <w:hideMark/>
          </w:tcPr>
          <w:p w14:paraId="18B012EA" w14:textId="77777777" w:rsidR="008F16D1" w:rsidRPr="00BB314F" w:rsidRDefault="008F16D1" w:rsidP="00BB314F">
            <w:pPr>
              <w:spacing w:after="0" w:line="240" w:lineRule="auto"/>
              <w:jc w:val="center"/>
              <w:rPr>
                <w:rFonts w:eastAsia="Times New Roman" w:cs="Segoe UI"/>
                <w:sz w:val="18"/>
                <w:szCs w:val="18"/>
                <w:lang w:eastAsia="sk-SK"/>
              </w:rPr>
            </w:pPr>
            <w:r w:rsidRPr="00F421EC">
              <w:rPr>
                <w:rFonts w:eastAsia="Times New Roman" w:cs="Segoe UI"/>
                <w:bCs/>
                <w:sz w:val="18"/>
                <w:szCs w:val="18"/>
                <w:lang w:eastAsia="sk-SK"/>
              </w:rPr>
              <w:t>554,0</w:t>
            </w:r>
          </w:p>
        </w:tc>
      </w:tr>
      <w:tr w:rsidR="008F16D1" w:rsidRPr="00E36FE0" w14:paraId="649BFE08" w14:textId="77777777" w:rsidTr="00BB314F">
        <w:trPr>
          <w:trHeight w:val="283"/>
        </w:trPr>
        <w:tc>
          <w:tcPr>
            <w:tcW w:w="2947" w:type="pct"/>
            <w:tcBorders>
              <w:top w:val="nil"/>
              <w:left w:val="nil"/>
              <w:bottom w:val="single" w:sz="8" w:space="0" w:color="auto"/>
              <w:right w:val="nil"/>
            </w:tcBorders>
            <w:shd w:val="clear" w:color="000000" w:fill="FFFFFF"/>
            <w:vAlign w:val="center"/>
          </w:tcPr>
          <w:p w14:paraId="6432ED83" w14:textId="77777777" w:rsidR="008F16D1" w:rsidRPr="00F421EC" w:rsidRDefault="008F16D1" w:rsidP="00BB314F">
            <w:pPr>
              <w:spacing w:after="0" w:line="240" w:lineRule="auto"/>
              <w:jc w:val="left"/>
              <w:rPr>
                <w:rFonts w:eastAsia="Times New Roman" w:cs="Segoe UI"/>
                <w:b/>
                <w:bCs/>
                <w:sz w:val="18"/>
                <w:szCs w:val="18"/>
                <w:lang w:eastAsia="sk-SK"/>
              </w:rPr>
            </w:pPr>
            <w:r w:rsidRPr="00F421EC">
              <w:rPr>
                <w:rFonts w:eastAsia="Times New Roman" w:cs="Segoe UI"/>
                <w:b/>
                <w:bCs/>
                <w:sz w:val="18"/>
                <w:szCs w:val="18"/>
                <w:lang w:eastAsia="sk-SK"/>
              </w:rPr>
              <w:t>Prostriedky z EÚ spolu</w:t>
            </w:r>
          </w:p>
        </w:tc>
        <w:tc>
          <w:tcPr>
            <w:tcW w:w="2053" w:type="pct"/>
            <w:tcBorders>
              <w:top w:val="nil"/>
              <w:left w:val="nil"/>
              <w:bottom w:val="single" w:sz="8" w:space="0" w:color="auto"/>
              <w:right w:val="nil"/>
            </w:tcBorders>
            <w:shd w:val="clear" w:color="000000" w:fill="FFFFFF"/>
            <w:vAlign w:val="center"/>
          </w:tcPr>
          <w:p w14:paraId="10CEB254" w14:textId="77777777" w:rsidR="008F16D1" w:rsidRPr="00BB314F" w:rsidRDefault="008F16D1" w:rsidP="00BB314F">
            <w:pPr>
              <w:spacing w:after="0" w:line="240" w:lineRule="auto"/>
              <w:jc w:val="center"/>
              <w:rPr>
                <w:rFonts w:eastAsia="Times New Roman" w:cs="Segoe UI"/>
                <w:b/>
                <w:bCs/>
                <w:sz w:val="18"/>
                <w:szCs w:val="18"/>
                <w:lang w:eastAsia="sk-SK"/>
              </w:rPr>
            </w:pPr>
            <w:r w:rsidRPr="00BB314F">
              <w:rPr>
                <w:rFonts w:eastAsia="Times New Roman" w:cs="Segoe UI"/>
                <w:b/>
                <w:bCs/>
                <w:sz w:val="18"/>
                <w:szCs w:val="18"/>
                <w:lang w:eastAsia="sk-SK"/>
              </w:rPr>
              <w:t>2 902,2</w:t>
            </w:r>
          </w:p>
        </w:tc>
      </w:tr>
    </w:tbl>
    <w:p w14:paraId="4F6D579D" w14:textId="77777777" w:rsidR="008F16D1" w:rsidRPr="00F850E2" w:rsidRDefault="008F16D1" w:rsidP="008F16D1">
      <w:pPr>
        <w:pStyle w:val="Zdroj"/>
      </w:pPr>
      <w:r w:rsidRPr="00F850E2">
        <w:t xml:space="preserve">Zdroj: Návrh RVS </w:t>
      </w:r>
      <w:r w:rsidRPr="00F421EC">
        <w:t>2026</w:t>
      </w:r>
      <w:r w:rsidRPr="00F850E2">
        <w:t xml:space="preserve"> – 202</w:t>
      </w:r>
      <w:r>
        <w:t>8.</w:t>
      </w:r>
    </w:p>
    <w:p w14:paraId="30C712A7" w14:textId="77777777" w:rsidR="008F16D1" w:rsidRDefault="008F16D1" w:rsidP="008F16D1">
      <w:pPr>
        <w:pStyle w:val="Popis"/>
        <w:keepNext/>
      </w:pPr>
      <w:r>
        <w:rPr>
          <w:color w:val="314364"/>
        </w:rPr>
        <w:t>Graf 25</w:t>
      </w:r>
      <w:r w:rsidRPr="00D81BEB">
        <w:rPr>
          <w:color w:val="314364"/>
        </w:rPr>
        <w:t xml:space="preserve">: </w:t>
      </w:r>
      <w:r w:rsidRPr="002B62C8">
        <w:t>Rozpočtov</w:t>
      </w:r>
      <w:r>
        <w:t>an</w:t>
      </w:r>
      <w:r w:rsidRPr="002B62C8">
        <w:t xml:space="preserve">é </w:t>
      </w:r>
      <w:r>
        <w:t xml:space="preserve">výdavky za prostriedky EÚ </w:t>
      </w:r>
      <w:r w:rsidRPr="002B62C8">
        <w:t>na rok 202</w:t>
      </w:r>
      <w:r>
        <w:t>6</w:t>
      </w:r>
      <w:r w:rsidRPr="002B62C8">
        <w:t xml:space="preserve"> </w:t>
      </w:r>
      <w:r>
        <w:t>(</w:t>
      </w:r>
      <w:r w:rsidRPr="002B62C8">
        <w:t>v mil. eur</w:t>
      </w:r>
      <w:r>
        <w:t>)</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8F16D1" w:rsidRPr="00C75134" w14:paraId="49C26E83" w14:textId="77777777" w:rsidTr="00BB314F">
        <w:trPr>
          <w:trHeight w:val="3118"/>
        </w:trPr>
        <w:tc>
          <w:tcPr>
            <w:tcW w:w="9070" w:type="dxa"/>
            <w:tcBorders>
              <w:top w:val="single" w:sz="4" w:space="0" w:color="314364"/>
              <w:bottom w:val="single" w:sz="4" w:space="0" w:color="314364"/>
            </w:tcBorders>
            <w:vAlign w:val="center"/>
          </w:tcPr>
          <w:p w14:paraId="60236ABB" w14:textId="77777777" w:rsidR="008F16D1" w:rsidRPr="00C75134" w:rsidRDefault="008F16D1" w:rsidP="00BB314F">
            <w:pPr>
              <w:spacing w:after="0"/>
              <w:rPr>
                <w:b/>
                <w:color w:val="576431"/>
              </w:rPr>
            </w:pPr>
            <w:r>
              <w:rPr>
                <w:noProof/>
                <w:lang w:eastAsia="sk-SK"/>
              </w:rPr>
              <w:drawing>
                <wp:inline distT="0" distB="0" distL="0" distR="0" wp14:anchorId="4D1ED0BF" wp14:editId="323B16F0">
                  <wp:extent cx="5654040" cy="2026920"/>
                  <wp:effectExtent l="0" t="0" r="3810" b="0"/>
                  <wp:docPr id="455564918" name="Graf 4555649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4316649E" w14:textId="77777777" w:rsidR="008F16D1" w:rsidRDefault="008F16D1" w:rsidP="008F16D1">
      <w:pPr>
        <w:pStyle w:val="Zdroj"/>
        <w:rPr>
          <w:rFonts w:cs="Segoe UI"/>
          <w:b/>
          <w:szCs w:val="20"/>
        </w:rPr>
      </w:pPr>
      <w:r w:rsidRPr="00F850E2">
        <w:t xml:space="preserve">Zdroj: Návrh RVS </w:t>
      </w:r>
      <w:r w:rsidRPr="00F421EC">
        <w:t>2026</w:t>
      </w:r>
      <w:r w:rsidRPr="00F850E2">
        <w:t xml:space="preserve"> – 202</w:t>
      </w:r>
      <w:r>
        <w:t>8.</w:t>
      </w:r>
    </w:p>
    <w:p w14:paraId="47594D63" w14:textId="6E961E0C" w:rsidR="0006275C" w:rsidRPr="00385462" w:rsidRDefault="0006275C" w:rsidP="0006275C">
      <w:pPr>
        <w:rPr>
          <w:rFonts w:cs="Segoe UI"/>
          <w:szCs w:val="20"/>
        </w:rPr>
      </w:pPr>
      <w:r w:rsidRPr="00385462">
        <w:rPr>
          <w:rFonts w:cs="Segoe UI"/>
          <w:b/>
          <w:szCs w:val="20"/>
        </w:rPr>
        <w:t xml:space="preserve">K prostriedkom EÚ sa rozpočtujú aj výdavky na spolufinancovanie zo ŠR, ktoré sa </w:t>
      </w:r>
      <w:r w:rsidRPr="00BB314F">
        <w:rPr>
          <w:rFonts w:cs="Segoe UI"/>
          <w:b/>
          <w:szCs w:val="20"/>
        </w:rPr>
        <w:t>v</w:t>
      </w:r>
      <w:r w:rsidRPr="00385462">
        <w:rPr>
          <w:rFonts w:cs="Segoe UI"/>
          <w:b/>
          <w:szCs w:val="20"/>
        </w:rPr>
        <w:t xml:space="preserve"> roku 202</w:t>
      </w:r>
      <w:r w:rsidR="00D35C9A">
        <w:rPr>
          <w:rFonts w:cs="Segoe UI"/>
          <w:b/>
          <w:szCs w:val="20"/>
        </w:rPr>
        <w:t>6</w:t>
      </w:r>
      <w:r w:rsidRPr="00385462">
        <w:rPr>
          <w:rFonts w:cs="Segoe UI"/>
          <w:b/>
          <w:szCs w:val="20"/>
        </w:rPr>
        <w:t xml:space="preserve"> </w:t>
      </w:r>
      <w:r w:rsidRPr="00E251CA">
        <w:rPr>
          <w:rFonts w:cs="Segoe UI"/>
          <w:b/>
          <w:bCs/>
          <w:szCs w:val="20"/>
        </w:rPr>
        <w:t>plánujú v celkovom objeme 525,2 mil. eur</w:t>
      </w:r>
      <w:r w:rsidR="00846047">
        <w:rPr>
          <w:rFonts w:cs="Segoe UI"/>
          <w:b/>
          <w:bCs/>
          <w:szCs w:val="20"/>
        </w:rPr>
        <w:t>.</w:t>
      </w:r>
      <w:r w:rsidRPr="00385462">
        <w:rPr>
          <w:rFonts w:cs="Segoe UI"/>
          <w:szCs w:val="20"/>
        </w:rPr>
        <w:t xml:space="preserve"> </w:t>
      </w:r>
      <w:r w:rsidR="00846047">
        <w:rPr>
          <w:rFonts w:cs="Segoe UI"/>
          <w:szCs w:val="20"/>
        </w:rPr>
        <w:t>Z</w:t>
      </w:r>
      <w:r w:rsidRPr="00385462">
        <w:rPr>
          <w:rFonts w:cs="Segoe UI"/>
          <w:szCs w:val="20"/>
        </w:rPr>
        <w:t xml:space="preserve"> toho výdavky na spolufinancovanie zo ŠR k prostriedkom EÚ </w:t>
      </w:r>
      <w:r w:rsidRPr="00BB314F">
        <w:rPr>
          <w:rFonts w:cs="Segoe UI"/>
          <w:szCs w:val="20"/>
        </w:rPr>
        <w:t xml:space="preserve">(na štrukturálne fondy) </w:t>
      </w:r>
      <w:r w:rsidRPr="00385462">
        <w:rPr>
          <w:rFonts w:cs="Segoe UI"/>
          <w:szCs w:val="20"/>
        </w:rPr>
        <w:t xml:space="preserve">v objeme </w:t>
      </w:r>
      <w:r w:rsidRPr="00BB314F">
        <w:rPr>
          <w:rFonts w:cs="Segoe UI"/>
          <w:szCs w:val="20"/>
        </w:rPr>
        <w:t>499,7</w:t>
      </w:r>
      <w:r w:rsidRPr="00385462">
        <w:rPr>
          <w:rFonts w:cs="Segoe UI"/>
          <w:szCs w:val="20"/>
        </w:rPr>
        <w:t> mil. eur</w:t>
      </w:r>
      <w:r w:rsidRPr="00385462">
        <w:rPr>
          <w:rStyle w:val="Odkaznapoznmkupodiarou"/>
          <w:rFonts w:cs="Segoe UI"/>
          <w:szCs w:val="20"/>
        </w:rPr>
        <w:footnoteReference w:id="29"/>
      </w:r>
      <w:r w:rsidRPr="00385462">
        <w:rPr>
          <w:rFonts w:cs="Segoe UI"/>
          <w:szCs w:val="20"/>
        </w:rPr>
        <w:t xml:space="preserve"> a zvyšnú sumu </w:t>
      </w:r>
      <w:r w:rsidRPr="00BB314F">
        <w:rPr>
          <w:rFonts w:cs="Segoe UI"/>
          <w:szCs w:val="20"/>
        </w:rPr>
        <w:t>25,5</w:t>
      </w:r>
      <w:r w:rsidRPr="00385462">
        <w:rPr>
          <w:rFonts w:cs="Segoe UI"/>
          <w:szCs w:val="20"/>
        </w:rPr>
        <w:t xml:space="preserve"> mil. eur tvoria výdavky </w:t>
      </w:r>
      <w:r w:rsidR="008B63FB">
        <w:rPr>
          <w:rFonts w:cs="Segoe UI"/>
          <w:szCs w:val="20"/>
        </w:rPr>
        <w:t xml:space="preserve">zo ŠR </w:t>
      </w:r>
      <w:r w:rsidRPr="00385462">
        <w:rPr>
          <w:rFonts w:cs="Segoe UI"/>
          <w:szCs w:val="20"/>
        </w:rPr>
        <w:t>na spolufinancovanie k zahraničným grantom.</w:t>
      </w:r>
    </w:p>
    <w:p w14:paraId="47FAAAD4" w14:textId="6F525492" w:rsidR="0006275C" w:rsidRPr="00172A71" w:rsidRDefault="0006275C" w:rsidP="0006275C">
      <w:pPr>
        <w:rPr>
          <w:rFonts w:cs="Segoe UI"/>
          <w:szCs w:val="20"/>
        </w:rPr>
      </w:pPr>
      <w:r w:rsidRPr="00385462">
        <w:rPr>
          <w:rFonts w:cs="Segoe UI"/>
          <w:b/>
          <w:szCs w:val="20"/>
        </w:rPr>
        <w:t>Príjmy ŠR z prostriedkov POO na rok 202</w:t>
      </w:r>
      <w:r w:rsidR="00D35C9A">
        <w:rPr>
          <w:rFonts w:cs="Segoe UI"/>
          <w:b/>
          <w:szCs w:val="20"/>
        </w:rPr>
        <w:t>6</w:t>
      </w:r>
      <w:r w:rsidRPr="00385462">
        <w:rPr>
          <w:rFonts w:cs="Segoe UI"/>
          <w:b/>
          <w:szCs w:val="20"/>
        </w:rPr>
        <w:t xml:space="preserve"> sú rozpočtované v rámci kapitoly VPS.</w:t>
      </w:r>
      <w:r w:rsidRPr="00385462">
        <w:rPr>
          <w:rFonts w:cs="Segoe UI"/>
          <w:szCs w:val="20"/>
          <w:vertAlign w:val="superscript"/>
        </w:rPr>
        <w:footnoteReference w:id="30"/>
      </w:r>
      <w:r w:rsidRPr="00385462">
        <w:rPr>
          <w:rFonts w:cs="Segoe UI"/>
          <w:szCs w:val="20"/>
        </w:rPr>
        <w:t xml:space="preserve"> Tie sú určené na krytie uskutočnených výdavkov na implementáciu POO, ktoré sú vo výdavkoch ŠR na budúci rok plánované v rámci 12 kapitol</w:t>
      </w:r>
      <w:r w:rsidRPr="00385462">
        <w:rPr>
          <w:rFonts w:cs="Segoe UI"/>
          <w:szCs w:val="20"/>
          <w:vertAlign w:val="superscript"/>
        </w:rPr>
        <w:footnoteReference w:id="31"/>
      </w:r>
      <w:r w:rsidRPr="00385462">
        <w:rPr>
          <w:rFonts w:cs="Segoe UI"/>
          <w:szCs w:val="20"/>
        </w:rPr>
        <w:t xml:space="preserve"> v celkovej výške </w:t>
      </w:r>
      <w:r w:rsidRPr="00BB314F">
        <w:rPr>
          <w:rFonts w:cs="Segoe UI"/>
          <w:szCs w:val="20"/>
        </w:rPr>
        <w:t>554</w:t>
      </w:r>
      <w:r w:rsidRPr="00385462">
        <w:rPr>
          <w:rFonts w:cs="Segoe UI"/>
          <w:szCs w:val="20"/>
        </w:rPr>
        <w:t> mil. eur.</w:t>
      </w:r>
      <w:r w:rsidRPr="00172A71">
        <w:rPr>
          <w:rFonts w:cs="Segoe UI"/>
          <w:szCs w:val="20"/>
        </w:rPr>
        <w:t xml:space="preserve"> </w:t>
      </w:r>
    </w:p>
    <w:p w14:paraId="76785503" w14:textId="77777777" w:rsidR="0006275C" w:rsidRPr="00846047" w:rsidRDefault="0006275C" w:rsidP="0006275C">
      <w:pPr>
        <w:rPr>
          <w:b/>
        </w:rPr>
      </w:pPr>
      <w:r w:rsidRPr="00846047">
        <w:rPr>
          <w:b/>
        </w:rPr>
        <w:t>V roku 2026 budú v rozpočte kapitol, okrem rozpočtovaných prostriedkov za štrukturálne fondy a POO, k dispozícii aj nevyčerpané prostriedky viazané ku koncu roka 2025, ktoré sa v zmysle § 8 ods. 6 zákona č. 523/2004 Z. z. uvoľnia na použitie.</w:t>
      </w:r>
    </w:p>
    <w:p w14:paraId="0F03DB34" w14:textId="67D3A39F" w:rsidR="0093260F" w:rsidRPr="00E126DF" w:rsidRDefault="007F6CCC" w:rsidP="00440621">
      <w:pPr>
        <w:pStyle w:val="Nadpis2"/>
      </w:pPr>
      <w:bookmarkStart w:id="26" w:name="_Toc153363158"/>
      <w:bookmarkStart w:id="27" w:name="_Toc181017726"/>
      <w:bookmarkStart w:id="28" w:name="_Toc204257004"/>
      <w:bookmarkEnd w:id="26"/>
      <w:r>
        <w:t xml:space="preserve"> </w:t>
      </w:r>
      <w:bookmarkStart w:id="29" w:name="_Toc211249085"/>
      <w:r w:rsidR="0093260F" w:rsidRPr="00E126DF">
        <w:t>Fondy EÚ programového obdobia 2021 – 2027</w:t>
      </w:r>
      <w:bookmarkEnd w:id="27"/>
      <w:bookmarkEnd w:id="28"/>
      <w:bookmarkEnd w:id="29"/>
    </w:p>
    <w:p w14:paraId="7BD79EBD" w14:textId="3A002E27" w:rsidR="003816FB" w:rsidRDefault="003816FB" w:rsidP="003816FB">
      <w:bookmarkStart w:id="30" w:name="_Toc181017727"/>
      <w:bookmarkStart w:id="31" w:name="_Toc204257005"/>
      <w:r w:rsidRPr="00C3688C">
        <w:rPr>
          <w:b/>
          <w:bCs/>
        </w:rPr>
        <w:t>Po uplynutí viac ako polovice obdobia oprávnenosti stav čerpania nosného P</w:t>
      </w:r>
      <w:r w:rsidR="008B63FB">
        <w:rPr>
          <w:b/>
          <w:bCs/>
        </w:rPr>
        <w:t>rogramu Slovensko</w:t>
      </w:r>
      <w:r>
        <w:rPr>
          <w:b/>
          <w:bCs/>
        </w:rPr>
        <w:t xml:space="preserve"> </w:t>
      </w:r>
      <w:r w:rsidR="008B63FB" w:rsidRPr="008B63FB">
        <w:t xml:space="preserve">(P </w:t>
      </w:r>
      <w:r w:rsidRPr="008B63FB">
        <w:t>SK</w:t>
      </w:r>
      <w:r w:rsidR="008B63FB" w:rsidRPr="008B63FB">
        <w:t>)</w:t>
      </w:r>
      <w:r w:rsidRPr="00C3688C">
        <w:rPr>
          <w:b/>
          <w:bCs/>
        </w:rPr>
        <w:t xml:space="preserve"> dosahuje jednu desatinu celkového prideleného balíka prostriedkov </w:t>
      </w:r>
      <w:r w:rsidRPr="00C3688C">
        <w:t>(</w:t>
      </w:r>
      <w:r>
        <w:t xml:space="preserve">tabuľka </w:t>
      </w:r>
      <w:r w:rsidR="00240FAD">
        <w:t>7</w:t>
      </w:r>
      <w:r w:rsidRPr="00C3688C">
        <w:t>)</w:t>
      </w:r>
      <w:r w:rsidRPr="00C3688C">
        <w:rPr>
          <w:b/>
          <w:bCs/>
        </w:rPr>
        <w:t>.</w:t>
      </w:r>
      <w:r w:rsidRPr="00C3688C">
        <w:t xml:space="preserve"> Za účelom </w:t>
      </w:r>
      <w:r w:rsidRPr="00C3688C">
        <w:lastRenderedPageBreak/>
        <w:t>vyhnutia sa prepadu časti alokácie</w:t>
      </w:r>
      <w:r>
        <w:t>,</w:t>
      </w:r>
      <w:r w:rsidRPr="00C3688C">
        <w:t xml:space="preserve"> pridelenej k prvému ročnému záväzku</w:t>
      </w:r>
      <w:r>
        <w:t>,</w:t>
      </w:r>
      <w:r w:rsidRPr="00C3688C">
        <w:t xml:space="preserve"> bude do konca roka 2025 potrebné zúčtovať na EK výdavky vo výške 215,7 mil. eur</w:t>
      </w:r>
      <w:r w:rsidRPr="00C3688C">
        <w:rPr>
          <w:rStyle w:val="Odkaznapoznmkupodiarou"/>
        </w:rPr>
        <w:footnoteReference w:id="32"/>
      </w:r>
      <w:r w:rsidRPr="00C3688C">
        <w:t>. Pri udržaní aktuálneho tempa čerpania by plnenie prvého finančného míľnika nemalo byť ohrozené</w:t>
      </w:r>
      <w:r w:rsidRPr="00C3688C">
        <w:rPr>
          <w:rStyle w:val="Odkaznapoznmkupodiarou"/>
        </w:rPr>
        <w:footnoteReference w:id="33"/>
      </w:r>
      <w:r>
        <w:t>.</w:t>
      </w:r>
    </w:p>
    <w:p w14:paraId="1134B2CE" w14:textId="6574DF5B" w:rsidR="003816FB" w:rsidRDefault="003816FB" w:rsidP="003816FB">
      <w:pPr>
        <w:pStyle w:val="Popis"/>
        <w:keepNext/>
        <w:rPr>
          <w:color w:val="314364"/>
        </w:rPr>
      </w:pPr>
      <w:r w:rsidRPr="00B41B14">
        <w:rPr>
          <w:color w:val="314364"/>
        </w:rPr>
        <w:t>Tabuľka</w:t>
      </w:r>
      <w:r>
        <w:rPr>
          <w:color w:val="314364"/>
        </w:rPr>
        <w:t xml:space="preserve"> </w:t>
      </w:r>
      <w:r w:rsidR="00240FAD">
        <w:rPr>
          <w:color w:val="314364"/>
        </w:rPr>
        <w:t>7</w:t>
      </w:r>
      <w:r w:rsidRPr="00B41B14">
        <w:rPr>
          <w:color w:val="314364"/>
        </w:rPr>
        <w:t xml:space="preserve">: </w:t>
      </w:r>
      <w:r>
        <w:rPr>
          <w:color w:val="314364"/>
        </w:rPr>
        <w:t>Čerpanie programov v rámci PO 2021 – 2027 k 30. 9. 2025</w:t>
      </w:r>
      <w:r w:rsidRPr="00B41B14">
        <w:rPr>
          <w:color w:val="314364"/>
        </w:rPr>
        <w:t xml:space="preserve"> (v </w:t>
      </w:r>
      <w:r>
        <w:rPr>
          <w:color w:val="314364"/>
        </w:rPr>
        <w:t>mil</w:t>
      </w:r>
      <w:r w:rsidRPr="00B41B14">
        <w:rPr>
          <w:color w:val="314364"/>
        </w:rPr>
        <w:t>. eur)</w:t>
      </w:r>
    </w:p>
    <w:tbl>
      <w:tblPr>
        <w:tblW w:w="9053" w:type="dxa"/>
        <w:tblCellMar>
          <w:left w:w="70" w:type="dxa"/>
          <w:right w:w="70" w:type="dxa"/>
        </w:tblCellMar>
        <w:tblLook w:val="04A0" w:firstRow="1" w:lastRow="0" w:firstColumn="1" w:lastColumn="0" w:noHBand="0" w:noVBand="1"/>
      </w:tblPr>
      <w:tblGrid>
        <w:gridCol w:w="1560"/>
        <w:gridCol w:w="957"/>
        <w:gridCol w:w="1169"/>
        <w:gridCol w:w="1290"/>
        <w:gridCol w:w="2087"/>
        <w:gridCol w:w="1990"/>
      </w:tblGrid>
      <w:tr w:rsidR="003816FB" w:rsidRPr="005B6152" w14:paraId="0BA571D3" w14:textId="77777777" w:rsidTr="00BB314F">
        <w:trPr>
          <w:trHeight w:val="283"/>
        </w:trPr>
        <w:tc>
          <w:tcPr>
            <w:tcW w:w="1560" w:type="dxa"/>
            <w:tcBorders>
              <w:top w:val="nil"/>
              <w:left w:val="nil"/>
              <w:bottom w:val="nil"/>
              <w:right w:val="nil"/>
            </w:tcBorders>
            <w:shd w:val="clear" w:color="000000" w:fill="314364"/>
            <w:vAlign w:val="center"/>
            <w:hideMark/>
          </w:tcPr>
          <w:p w14:paraId="2DBC4D06" w14:textId="77777777" w:rsidR="003816FB" w:rsidRPr="005B6152" w:rsidRDefault="003816FB" w:rsidP="00BB314F">
            <w:pPr>
              <w:spacing w:after="0" w:line="240" w:lineRule="auto"/>
              <w:jc w:val="left"/>
              <w:rPr>
                <w:rFonts w:eastAsia="Times New Roman" w:cs="Segoe UI"/>
                <w:b/>
                <w:bCs/>
                <w:color w:val="FFFFFF"/>
                <w:sz w:val="16"/>
                <w:szCs w:val="16"/>
                <w:lang w:eastAsia="sk-SK"/>
              </w:rPr>
            </w:pPr>
            <w:r w:rsidRPr="005B6152">
              <w:rPr>
                <w:rFonts w:eastAsia="Times New Roman" w:cs="Segoe UI"/>
                <w:b/>
                <w:bCs/>
                <w:color w:val="FFFFFF"/>
                <w:sz w:val="16"/>
                <w:szCs w:val="16"/>
                <w:lang w:eastAsia="sk-SK"/>
              </w:rPr>
              <w:t>Program</w:t>
            </w:r>
          </w:p>
        </w:tc>
        <w:tc>
          <w:tcPr>
            <w:tcW w:w="957" w:type="dxa"/>
            <w:tcBorders>
              <w:top w:val="nil"/>
              <w:left w:val="nil"/>
              <w:bottom w:val="nil"/>
              <w:right w:val="nil"/>
            </w:tcBorders>
            <w:shd w:val="clear" w:color="000000" w:fill="314364"/>
            <w:vAlign w:val="center"/>
            <w:hideMark/>
          </w:tcPr>
          <w:p w14:paraId="2BE39DE5" w14:textId="77777777" w:rsidR="003816FB" w:rsidRPr="005B6152" w:rsidRDefault="003816FB" w:rsidP="00BB314F">
            <w:pPr>
              <w:spacing w:after="0" w:line="240" w:lineRule="auto"/>
              <w:jc w:val="center"/>
              <w:rPr>
                <w:rFonts w:eastAsia="Times New Roman" w:cs="Segoe UI"/>
                <w:b/>
                <w:bCs/>
                <w:color w:val="FFFFFF"/>
                <w:sz w:val="16"/>
                <w:szCs w:val="16"/>
                <w:lang w:eastAsia="sk-SK"/>
              </w:rPr>
            </w:pPr>
            <w:r w:rsidRPr="005B6152">
              <w:rPr>
                <w:rFonts w:eastAsia="Times New Roman" w:cs="Segoe UI"/>
                <w:b/>
                <w:bCs/>
                <w:color w:val="FFFFFF"/>
                <w:sz w:val="16"/>
                <w:szCs w:val="16"/>
                <w:lang w:eastAsia="sk-SK"/>
              </w:rPr>
              <w:t>Alokácia</w:t>
            </w:r>
          </w:p>
        </w:tc>
        <w:tc>
          <w:tcPr>
            <w:tcW w:w="1169" w:type="dxa"/>
            <w:tcBorders>
              <w:top w:val="nil"/>
              <w:left w:val="nil"/>
              <w:bottom w:val="nil"/>
              <w:right w:val="nil"/>
            </w:tcBorders>
            <w:shd w:val="clear" w:color="000000" w:fill="314364"/>
            <w:vAlign w:val="center"/>
            <w:hideMark/>
          </w:tcPr>
          <w:p w14:paraId="562D354E" w14:textId="405C96B8" w:rsidR="003816FB" w:rsidRPr="005B6152" w:rsidRDefault="003816FB" w:rsidP="00BB314F">
            <w:pPr>
              <w:spacing w:after="0" w:line="240" w:lineRule="auto"/>
              <w:jc w:val="center"/>
              <w:rPr>
                <w:rFonts w:eastAsia="Times New Roman" w:cs="Segoe UI"/>
                <w:b/>
                <w:bCs/>
                <w:color w:val="FFFFFF"/>
                <w:sz w:val="16"/>
                <w:szCs w:val="16"/>
                <w:lang w:eastAsia="sk-SK"/>
              </w:rPr>
            </w:pPr>
            <w:r w:rsidRPr="005B6152">
              <w:rPr>
                <w:rFonts w:eastAsia="Times New Roman" w:cs="Segoe UI"/>
                <w:b/>
                <w:bCs/>
                <w:color w:val="FFFFFF"/>
                <w:sz w:val="16"/>
                <w:szCs w:val="16"/>
                <w:lang w:eastAsia="sk-SK"/>
              </w:rPr>
              <w:t>Čerpanie k 30.</w:t>
            </w:r>
            <w:r>
              <w:rPr>
                <w:rFonts w:eastAsia="Times New Roman" w:cs="Segoe UI"/>
                <w:b/>
                <w:bCs/>
                <w:color w:val="FFFFFF"/>
                <w:sz w:val="16"/>
                <w:szCs w:val="16"/>
                <w:lang w:eastAsia="sk-SK"/>
              </w:rPr>
              <w:t xml:space="preserve"> </w:t>
            </w:r>
            <w:r w:rsidRPr="005B6152">
              <w:rPr>
                <w:rFonts w:eastAsia="Times New Roman" w:cs="Segoe UI"/>
                <w:b/>
                <w:bCs/>
                <w:color w:val="FFFFFF"/>
                <w:sz w:val="16"/>
                <w:szCs w:val="16"/>
                <w:lang w:eastAsia="sk-SK"/>
              </w:rPr>
              <w:t>9.</w:t>
            </w:r>
            <w:r>
              <w:rPr>
                <w:rFonts w:eastAsia="Times New Roman" w:cs="Segoe UI"/>
                <w:b/>
                <w:bCs/>
                <w:color w:val="FFFFFF"/>
                <w:sz w:val="16"/>
                <w:szCs w:val="16"/>
                <w:lang w:eastAsia="sk-SK"/>
              </w:rPr>
              <w:t xml:space="preserve"> </w:t>
            </w:r>
            <w:r w:rsidRPr="005B6152">
              <w:rPr>
                <w:rFonts w:eastAsia="Times New Roman" w:cs="Segoe UI"/>
                <w:b/>
                <w:bCs/>
                <w:color w:val="FFFFFF"/>
                <w:sz w:val="16"/>
                <w:szCs w:val="16"/>
                <w:lang w:eastAsia="sk-SK"/>
              </w:rPr>
              <w:t>2025</w:t>
            </w:r>
          </w:p>
        </w:tc>
        <w:tc>
          <w:tcPr>
            <w:tcW w:w="1290" w:type="dxa"/>
            <w:tcBorders>
              <w:top w:val="nil"/>
              <w:left w:val="nil"/>
              <w:bottom w:val="nil"/>
              <w:right w:val="nil"/>
            </w:tcBorders>
            <w:shd w:val="clear" w:color="000000" w:fill="314364"/>
            <w:vAlign w:val="center"/>
            <w:hideMark/>
          </w:tcPr>
          <w:p w14:paraId="1F62C662" w14:textId="77777777" w:rsidR="003816FB" w:rsidRDefault="003816FB" w:rsidP="00BB314F">
            <w:pPr>
              <w:spacing w:after="0" w:line="240" w:lineRule="auto"/>
              <w:jc w:val="center"/>
              <w:rPr>
                <w:rFonts w:eastAsia="Times New Roman" w:cs="Segoe UI"/>
                <w:b/>
                <w:bCs/>
                <w:strike/>
                <w:color w:val="FFFFFF"/>
                <w:sz w:val="16"/>
                <w:szCs w:val="16"/>
                <w:lang w:eastAsia="sk-SK"/>
              </w:rPr>
            </w:pPr>
            <w:r w:rsidRPr="005B6152">
              <w:rPr>
                <w:rFonts w:eastAsia="Times New Roman" w:cs="Segoe UI"/>
                <w:b/>
                <w:bCs/>
                <w:color w:val="FFFFFF"/>
                <w:sz w:val="16"/>
                <w:szCs w:val="16"/>
                <w:lang w:eastAsia="sk-SK"/>
              </w:rPr>
              <w:t xml:space="preserve">Podiel </w:t>
            </w:r>
            <w:r>
              <w:rPr>
                <w:rFonts w:eastAsia="Times New Roman" w:cs="Segoe UI"/>
                <w:b/>
                <w:bCs/>
                <w:color w:val="FFFFFF"/>
                <w:sz w:val="16"/>
                <w:szCs w:val="16"/>
                <w:lang w:eastAsia="sk-SK"/>
              </w:rPr>
              <w:t xml:space="preserve"> čerpania </w:t>
            </w:r>
            <w:r w:rsidRPr="00BB314F">
              <w:rPr>
                <w:rFonts w:eastAsia="Times New Roman" w:cs="Segoe UI"/>
                <w:b/>
                <w:bCs/>
                <w:strike/>
                <w:color w:val="FFFFFF"/>
                <w:sz w:val="16"/>
                <w:szCs w:val="16"/>
                <w:lang w:eastAsia="sk-SK"/>
              </w:rPr>
              <w:t xml:space="preserve">k </w:t>
            </w:r>
          </w:p>
          <w:p w14:paraId="2B61574C" w14:textId="44C15F18" w:rsidR="003816FB" w:rsidRPr="005B6152" w:rsidRDefault="003816FB" w:rsidP="00BB314F">
            <w:pPr>
              <w:spacing w:after="0" w:line="240" w:lineRule="auto"/>
              <w:jc w:val="center"/>
              <w:rPr>
                <w:rFonts w:eastAsia="Times New Roman" w:cs="Segoe UI"/>
                <w:b/>
                <w:bCs/>
                <w:color w:val="FFFFFF"/>
                <w:sz w:val="16"/>
                <w:szCs w:val="16"/>
                <w:lang w:eastAsia="sk-SK"/>
              </w:rPr>
            </w:pPr>
            <w:r w:rsidRPr="00BB314F">
              <w:rPr>
                <w:rFonts w:eastAsia="Times New Roman" w:cs="Segoe UI"/>
                <w:b/>
                <w:bCs/>
                <w:color w:val="FFFFFF"/>
                <w:sz w:val="16"/>
                <w:szCs w:val="16"/>
                <w:lang w:eastAsia="sk-SK"/>
              </w:rPr>
              <w:t>30.</w:t>
            </w:r>
            <w:r w:rsidR="00CE49EB">
              <w:rPr>
                <w:rFonts w:eastAsia="Times New Roman" w:cs="Segoe UI"/>
                <w:b/>
                <w:bCs/>
                <w:color w:val="FFFFFF"/>
                <w:sz w:val="16"/>
                <w:szCs w:val="16"/>
                <w:lang w:eastAsia="sk-SK"/>
              </w:rPr>
              <w:t xml:space="preserve"> </w:t>
            </w:r>
            <w:r w:rsidRPr="00BB314F">
              <w:rPr>
                <w:rFonts w:eastAsia="Times New Roman" w:cs="Segoe UI"/>
                <w:b/>
                <w:bCs/>
                <w:color w:val="FFFFFF"/>
                <w:sz w:val="16"/>
                <w:szCs w:val="16"/>
                <w:lang w:eastAsia="sk-SK"/>
              </w:rPr>
              <w:t>9.</w:t>
            </w:r>
            <w:r w:rsidR="00CE49EB">
              <w:rPr>
                <w:rFonts w:eastAsia="Times New Roman" w:cs="Segoe UI"/>
                <w:b/>
                <w:bCs/>
                <w:color w:val="FFFFFF"/>
                <w:sz w:val="16"/>
                <w:szCs w:val="16"/>
                <w:lang w:eastAsia="sk-SK"/>
              </w:rPr>
              <w:t xml:space="preserve"> </w:t>
            </w:r>
            <w:r w:rsidRPr="00BB314F">
              <w:rPr>
                <w:rFonts w:eastAsia="Times New Roman" w:cs="Segoe UI"/>
                <w:b/>
                <w:bCs/>
                <w:color w:val="FFFFFF"/>
                <w:sz w:val="16"/>
                <w:szCs w:val="16"/>
                <w:lang w:eastAsia="sk-SK"/>
              </w:rPr>
              <w:t>2025</w:t>
            </w:r>
          </w:p>
        </w:tc>
        <w:tc>
          <w:tcPr>
            <w:tcW w:w="2087" w:type="dxa"/>
            <w:tcBorders>
              <w:top w:val="nil"/>
              <w:left w:val="nil"/>
              <w:bottom w:val="nil"/>
              <w:right w:val="nil"/>
            </w:tcBorders>
            <w:shd w:val="clear" w:color="000000" w:fill="314364"/>
            <w:vAlign w:val="center"/>
            <w:hideMark/>
          </w:tcPr>
          <w:p w14:paraId="505ED334" w14:textId="77777777" w:rsidR="003816FB" w:rsidRPr="005B6152" w:rsidRDefault="003816FB" w:rsidP="00BB314F">
            <w:pPr>
              <w:spacing w:after="0" w:line="240" w:lineRule="auto"/>
              <w:jc w:val="center"/>
              <w:rPr>
                <w:rFonts w:eastAsia="Times New Roman" w:cs="Segoe UI"/>
                <w:b/>
                <w:bCs/>
                <w:color w:val="FFFFFF"/>
                <w:sz w:val="16"/>
                <w:szCs w:val="16"/>
                <w:lang w:eastAsia="sk-SK"/>
              </w:rPr>
            </w:pPr>
            <w:r w:rsidRPr="005B6152">
              <w:rPr>
                <w:rFonts w:eastAsia="Times New Roman" w:cs="Segoe UI"/>
                <w:b/>
                <w:bCs/>
                <w:color w:val="FFFFFF"/>
                <w:sz w:val="16"/>
                <w:szCs w:val="16"/>
                <w:lang w:eastAsia="sk-SK"/>
              </w:rPr>
              <w:t xml:space="preserve">Potrebné </w:t>
            </w:r>
            <w:r>
              <w:rPr>
                <w:rFonts w:eastAsia="Times New Roman" w:cs="Segoe UI"/>
                <w:b/>
                <w:bCs/>
                <w:color w:val="FFFFFF"/>
                <w:sz w:val="16"/>
                <w:szCs w:val="16"/>
                <w:lang w:eastAsia="sk-SK"/>
              </w:rPr>
              <w:t>vy</w:t>
            </w:r>
            <w:r w:rsidRPr="005B6152">
              <w:rPr>
                <w:rFonts w:eastAsia="Times New Roman" w:cs="Segoe UI"/>
                <w:b/>
                <w:bCs/>
                <w:color w:val="FFFFFF"/>
                <w:sz w:val="16"/>
                <w:szCs w:val="16"/>
                <w:lang w:eastAsia="sk-SK"/>
              </w:rPr>
              <w:t xml:space="preserve">čerpať do </w:t>
            </w:r>
            <w:r>
              <w:rPr>
                <w:rFonts w:eastAsia="Times New Roman" w:cs="Segoe UI"/>
                <w:b/>
                <w:bCs/>
                <w:color w:val="FFFFFF"/>
                <w:sz w:val="16"/>
                <w:szCs w:val="16"/>
                <w:lang w:eastAsia="sk-SK"/>
              </w:rPr>
              <w:br/>
            </w:r>
            <w:r w:rsidRPr="005B6152">
              <w:rPr>
                <w:rFonts w:eastAsia="Times New Roman" w:cs="Segoe UI"/>
                <w:b/>
                <w:bCs/>
                <w:color w:val="FFFFFF"/>
                <w:sz w:val="16"/>
                <w:szCs w:val="16"/>
                <w:lang w:eastAsia="sk-SK"/>
              </w:rPr>
              <w:t>31. 12. 2025</w:t>
            </w:r>
          </w:p>
        </w:tc>
        <w:tc>
          <w:tcPr>
            <w:tcW w:w="1990" w:type="dxa"/>
            <w:tcBorders>
              <w:top w:val="nil"/>
              <w:left w:val="nil"/>
              <w:bottom w:val="nil"/>
              <w:right w:val="nil"/>
            </w:tcBorders>
            <w:shd w:val="clear" w:color="000000" w:fill="314364"/>
            <w:vAlign w:val="center"/>
            <w:hideMark/>
          </w:tcPr>
          <w:p w14:paraId="60D94E80" w14:textId="77777777" w:rsidR="003816FB" w:rsidRPr="005B6152" w:rsidRDefault="003816FB" w:rsidP="00BB314F">
            <w:pPr>
              <w:spacing w:after="0" w:line="240" w:lineRule="auto"/>
              <w:jc w:val="center"/>
              <w:rPr>
                <w:rFonts w:eastAsia="Times New Roman" w:cs="Segoe UI"/>
                <w:b/>
                <w:bCs/>
                <w:color w:val="FFFFFF"/>
                <w:sz w:val="16"/>
                <w:szCs w:val="16"/>
                <w:lang w:eastAsia="sk-SK"/>
              </w:rPr>
            </w:pPr>
            <w:r w:rsidRPr="005B6152">
              <w:rPr>
                <w:rFonts w:eastAsia="Times New Roman" w:cs="Segoe UI"/>
                <w:b/>
                <w:bCs/>
                <w:color w:val="FFFFFF"/>
                <w:sz w:val="16"/>
                <w:szCs w:val="16"/>
                <w:lang w:eastAsia="sk-SK"/>
              </w:rPr>
              <w:t xml:space="preserve">Potrebné </w:t>
            </w:r>
            <w:r>
              <w:rPr>
                <w:rFonts w:eastAsia="Times New Roman" w:cs="Segoe UI"/>
                <w:b/>
                <w:bCs/>
                <w:color w:val="FFFFFF"/>
                <w:sz w:val="16"/>
                <w:szCs w:val="16"/>
                <w:lang w:eastAsia="sk-SK"/>
              </w:rPr>
              <w:t>vy</w:t>
            </w:r>
            <w:r w:rsidRPr="005B6152">
              <w:rPr>
                <w:rFonts w:eastAsia="Times New Roman" w:cs="Segoe UI"/>
                <w:b/>
                <w:bCs/>
                <w:color w:val="FFFFFF"/>
                <w:sz w:val="16"/>
                <w:szCs w:val="16"/>
                <w:lang w:eastAsia="sk-SK"/>
              </w:rPr>
              <w:t>čerpať do 31. 12. 2026</w:t>
            </w:r>
          </w:p>
        </w:tc>
      </w:tr>
      <w:tr w:rsidR="003816FB" w:rsidRPr="005B6152" w14:paraId="1B4FCD71" w14:textId="77777777" w:rsidTr="00BB314F">
        <w:trPr>
          <w:trHeight w:val="283"/>
        </w:trPr>
        <w:tc>
          <w:tcPr>
            <w:tcW w:w="1560" w:type="dxa"/>
            <w:tcBorders>
              <w:top w:val="nil"/>
              <w:left w:val="nil"/>
              <w:bottom w:val="nil"/>
              <w:right w:val="nil"/>
            </w:tcBorders>
            <w:vAlign w:val="center"/>
            <w:hideMark/>
          </w:tcPr>
          <w:p w14:paraId="650C5FA7" w14:textId="77777777" w:rsidR="003816FB" w:rsidRPr="005B6152" w:rsidRDefault="003816FB" w:rsidP="00BB314F">
            <w:pPr>
              <w:spacing w:after="0" w:line="240" w:lineRule="auto"/>
              <w:jc w:val="left"/>
              <w:rPr>
                <w:rFonts w:eastAsia="Times New Roman" w:cs="Segoe UI"/>
                <w:color w:val="000000"/>
                <w:sz w:val="16"/>
                <w:szCs w:val="16"/>
                <w:lang w:eastAsia="sk-SK"/>
              </w:rPr>
            </w:pPr>
            <w:r w:rsidRPr="005B6152">
              <w:rPr>
                <w:rFonts w:eastAsia="Times New Roman" w:cs="Segoe UI"/>
                <w:color w:val="000000"/>
                <w:sz w:val="16"/>
                <w:szCs w:val="16"/>
                <w:lang w:eastAsia="sk-SK"/>
              </w:rPr>
              <w:t>Program Slovensko</w:t>
            </w:r>
          </w:p>
        </w:tc>
        <w:tc>
          <w:tcPr>
            <w:tcW w:w="957" w:type="dxa"/>
            <w:tcBorders>
              <w:top w:val="nil"/>
              <w:left w:val="nil"/>
              <w:bottom w:val="nil"/>
              <w:right w:val="nil"/>
            </w:tcBorders>
            <w:vAlign w:val="center"/>
            <w:hideMark/>
          </w:tcPr>
          <w:p w14:paraId="26BE65C2"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12 593,7</w:t>
            </w:r>
          </w:p>
        </w:tc>
        <w:tc>
          <w:tcPr>
            <w:tcW w:w="1169" w:type="dxa"/>
            <w:tcBorders>
              <w:top w:val="nil"/>
              <w:left w:val="nil"/>
              <w:bottom w:val="nil"/>
              <w:right w:val="nil"/>
            </w:tcBorders>
            <w:vAlign w:val="center"/>
            <w:hideMark/>
          </w:tcPr>
          <w:p w14:paraId="71528004"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1 302,5</w:t>
            </w:r>
          </w:p>
        </w:tc>
        <w:tc>
          <w:tcPr>
            <w:tcW w:w="1290" w:type="dxa"/>
            <w:tcBorders>
              <w:top w:val="nil"/>
              <w:left w:val="nil"/>
              <w:bottom w:val="nil"/>
              <w:right w:val="nil"/>
            </w:tcBorders>
            <w:vAlign w:val="center"/>
            <w:hideMark/>
          </w:tcPr>
          <w:p w14:paraId="050610AB"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10,3%</w:t>
            </w:r>
          </w:p>
        </w:tc>
        <w:tc>
          <w:tcPr>
            <w:tcW w:w="2087" w:type="dxa"/>
            <w:tcBorders>
              <w:top w:val="nil"/>
              <w:left w:val="nil"/>
              <w:bottom w:val="nil"/>
              <w:right w:val="nil"/>
            </w:tcBorders>
            <w:vAlign w:val="center"/>
            <w:hideMark/>
          </w:tcPr>
          <w:p w14:paraId="54BA234C"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215,7</w:t>
            </w:r>
          </w:p>
        </w:tc>
        <w:tc>
          <w:tcPr>
            <w:tcW w:w="1990" w:type="dxa"/>
            <w:tcBorders>
              <w:top w:val="nil"/>
              <w:left w:val="nil"/>
              <w:bottom w:val="nil"/>
              <w:right w:val="nil"/>
            </w:tcBorders>
            <w:vAlign w:val="center"/>
            <w:hideMark/>
          </w:tcPr>
          <w:p w14:paraId="03E8F6C6"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2 331,7</w:t>
            </w:r>
            <w:r>
              <w:rPr>
                <w:rFonts w:eastAsia="Times New Roman" w:cs="Segoe UI"/>
                <w:color w:val="000000"/>
                <w:sz w:val="16"/>
                <w:szCs w:val="16"/>
                <w:lang w:eastAsia="sk-SK"/>
              </w:rPr>
              <w:t>*</w:t>
            </w:r>
          </w:p>
        </w:tc>
      </w:tr>
      <w:tr w:rsidR="003816FB" w:rsidRPr="005B6152" w14:paraId="4E085C7B" w14:textId="77777777" w:rsidTr="00BB314F">
        <w:trPr>
          <w:trHeight w:val="283"/>
        </w:trPr>
        <w:tc>
          <w:tcPr>
            <w:tcW w:w="1560" w:type="dxa"/>
            <w:tcBorders>
              <w:top w:val="nil"/>
              <w:left w:val="nil"/>
              <w:bottom w:val="nil"/>
              <w:right w:val="nil"/>
            </w:tcBorders>
            <w:vAlign w:val="center"/>
            <w:hideMark/>
          </w:tcPr>
          <w:p w14:paraId="5F8934C7" w14:textId="77777777" w:rsidR="003816FB" w:rsidRPr="005B6152" w:rsidRDefault="003816FB" w:rsidP="00BB314F">
            <w:pPr>
              <w:spacing w:after="0" w:line="240" w:lineRule="auto"/>
              <w:jc w:val="left"/>
              <w:rPr>
                <w:rFonts w:eastAsia="Times New Roman" w:cs="Segoe UI"/>
                <w:color w:val="000000"/>
                <w:sz w:val="16"/>
                <w:szCs w:val="16"/>
                <w:lang w:eastAsia="sk-SK"/>
              </w:rPr>
            </w:pPr>
            <w:r w:rsidRPr="005B6152">
              <w:rPr>
                <w:rFonts w:eastAsia="Times New Roman" w:cs="Segoe UI"/>
                <w:color w:val="000000"/>
                <w:sz w:val="16"/>
                <w:szCs w:val="16"/>
                <w:lang w:eastAsia="sk-SK"/>
              </w:rPr>
              <w:t>Interreg SK-CZ</w:t>
            </w:r>
          </w:p>
        </w:tc>
        <w:tc>
          <w:tcPr>
            <w:tcW w:w="957" w:type="dxa"/>
            <w:tcBorders>
              <w:top w:val="nil"/>
              <w:left w:val="nil"/>
              <w:bottom w:val="nil"/>
              <w:right w:val="nil"/>
            </w:tcBorders>
            <w:vAlign w:val="center"/>
            <w:hideMark/>
          </w:tcPr>
          <w:p w14:paraId="2DBA9022"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85,3</w:t>
            </w:r>
          </w:p>
        </w:tc>
        <w:tc>
          <w:tcPr>
            <w:tcW w:w="1169" w:type="dxa"/>
            <w:tcBorders>
              <w:top w:val="nil"/>
              <w:left w:val="nil"/>
              <w:bottom w:val="nil"/>
              <w:right w:val="nil"/>
            </w:tcBorders>
            <w:vAlign w:val="center"/>
            <w:hideMark/>
          </w:tcPr>
          <w:p w14:paraId="69383A05"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3,0</w:t>
            </w:r>
          </w:p>
        </w:tc>
        <w:tc>
          <w:tcPr>
            <w:tcW w:w="1290" w:type="dxa"/>
            <w:tcBorders>
              <w:top w:val="nil"/>
              <w:left w:val="nil"/>
              <w:bottom w:val="nil"/>
              <w:right w:val="nil"/>
            </w:tcBorders>
            <w:vAlign w:val="center"/>
            <w:hideMark/>
          </w:tcPr>
          <w:p w14:paraId="2D16D192"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3,5%</w:t>
            </w:r>
          </w:p>
        </w:tc>
        <w:tc>
          <w:tcPr>
            <w:tcW w:w="2087" w:type="dxa"/>
            <w:tcBorders>
              <w:top w:val="nil"/>
              <w:left w:val="nil"/>
              <w:bottom w:val="nil"/>
              <w:right w:val="nil"/>
            </w:tcBorders>
            <w:vAlign w:val="center"/>
            <w:hideMark/>
          </w:tcPr>
          <w:p w14:paraId="5F729C43"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2,2</w:t>
            </w:r>
          </w:p>
        </w:tc>
        <w:tc>
          <w:tcPr>
            <w:tcW w:w="1990" w:type="dxa"/>
            <w:tcBorders>
              <w:top w:val="nil"/>
              <w:left w:val="nil"/>
              <w:bottom w:val="nil"/>
              <w:right w:val="nil"/>
            </w:tcBorders>
            <w:vAlign w:val="center"/>
            <w:hideMark/>
          </w:tcPr>
          <w:p w14:paraId="4AE1A875"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14,4</w:t>
            </w:r>
          </w:p>
        </w:tc>
      </w:tr>
      <w:tr w:rsidR="003816FB" w:rsidRPr="005B6152" w14:paraId="5F1E17D9" w14:textId="77777777" w:rsidTr="00BB314F">
        <w:trPr>
          <w:trHeight w:val="283"/>
        </w:trPr>
        <w:tc>
          <w:tcPr>
            <w:tcW w:w="1560" w:type="dxa"/>
            <w:tcBorders>
              <w:top w:val="nil"/>
              <w:left w:val="nil"/>
              <w:bottom w:val="nil"/>
              <w:right w:val="nil"/>
            </w:tcBorders>
            <w:vAlign w:val="center"/>
            <w:hideMark/>
          </w:tcPr>
          <w:p w14:paraId="31D0BB91" w14:textId="77777777" w:rsidR="003816FB" w:rsidRPr="005B6152" w:rsidRDefault="003816FB" w:rsidP="00BB314F">
            <w:pPr>
              <w:spacing w:after="0" w:line="240" w:lineRule="auto"/>
              <w:jc w:val="left"/>
              <w:rPr>
                <w:rFonts w:eastAsia="Times New Roman" w:cs="Segoe UI"/>
                <w:color w:val="000000"/>
                <w:sz w:val="16"/>
                <w:szCs w:val="16"/>
                <w:lang w:eastAsia="sk-SK"/>
              </w:rPr>
            </w:pPr>
            <w:r w:rsidRPr="005B6152">
              <w:rPr>
                <w:rFonts w:eastAsia="Times New Roman" w:cs="Segoe UI"/>
                <w:color w:val="000000"/>
                <w:sz w:val="16"/>
                <w:szCs w:val="16"/>
                <w:lang w:eastAsia="sk-SK"/>
              </w:rPr>
              <w:t>Interreg SK-AT</w:t>
            </w:r>
          </w:p>
        </w:tc>
        <w:tc>
          <w:tcPr>
            <w:tcW w:w="957" w:type="dxa"/>
            <w:tcBorders>
              <w:top w:val="nil"/>
              <w:left w:val="nil"/>
              <w:bottom w:val="nil"/>
              <w:right w:val="nil"/>
            </w:tcBorders>
            <w:vAlign w:val="center"/>
            <w:hideMark/>
          </w:tcPr>
          <w:p w14:paraId="2FB87E32"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55,5</w:t>
            </w:r>
          </w:p>
        </w:tc>
        <w:tc>
          <w:tcPr>
            <w:tcW w:w="1169" w:type="dxa"/>
            <w:tcBorders>
              <w:top w:val="nil"/>
              <w:left w:val="nil"/>
              <w:bottom w:val="nil"/>
              <w:right w:val="nil"/>
            </w:tcBorders>
            <w:vAlign w:val="center"/>
            <w:hideMark/>
          </w:tcPr>
          <w:p w14:paraId="53CE19CE"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0,4</w:t>
            </w:r>
          </w:p>
        </w:tc>
        <w:tc>
          <w:tcPr>
            <w:tcW w:w="1290" w:type="dxa"/>
            <w:tcBorders>
              <w:top w:val="nil"/>
              <w:left w:val="nil"/>
              <w:bottom w:val="nil"/>
              <w:right w:val="nil"/>
            </w:tcBorders>
            <w:vAlign w:val="center"/>
            <w:hideMark/>
          </w:tcPr>
          <w:p w14:paraId="24C0E548"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0,7%</w:t>
            </w:r>
          </w:p>
        </w:tc>
        <w:tc>
          <w:tcPr>
            <w:tcW w:w="2087" w:type="dxa"/>
            <w:tcBorders>
              <w:top w:val="nil"/>
              <w:left w:val="nil"/>
              <w:bottom w:val="nil"/>
              <w:right w:val="nil"/>
            </w:tcBorders>
            <w:vAlign w:val="center"/>
            <w:hideMark/>
          </w:tcPr>
          <w:p w14:paraId="1728AEC9"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3,0</w:t>
            </w:r>
          </w:p>
        </w:tc>
        <w:tc>
          <w:tcPr>
            <w:tcW w:w="1990" w:type="dxa"/>
            <w:tcBorders>
              <w:top w:val="nil"/>
              <w:left w:val="nil"/>
              <w:bottom w:val="nil"/>
              <w:right w:val="nil"/>
            </w:tcBorders>
            <w:vAlign w:val="center"/>
            <w:hideMark/>
          </w:tcPr>
          <w:p w14:paraId="0EC60E45"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11,0</w:t>
            </w:r>
          </w:p>
        </w:tc>
      </w:tr>
      <w:tr w:rsidR="003816FB" w:rsidRPr="005B6152" w14:paraId="78D962BA" w14:textId="77777777" w:rsidTr="00BB314F">
        <w:trPr>
          <w:trHeight w:val="283"/>
        </w:trPr>
        <w:tc>
          <w:tcPr>
            <w:tcW w:w="1560" w:type="dxa"/>
            <w:tcBorders>
              <w:top w:val="nil"/>
              <w:left w:val="nil"/>
              <w:bottom w:val="nil"/>
              <w:right w:val="nil"/>
            </w:tcBorders>
            <w:vAlign w:val="center"/>
            <w:hideMark/>
          </w:tcPr>
          <w:p w14:paraId="2085D52C" w14:textId="77777777" w:rsidR="003816FB" w:rsidRPr="005B6152" w:rsidRDefault="003816FB" w:rsidP="00BB314F">
            <w:pPr>
              <w:spacing w:after="0" w:line="240" w:lineRule="auto"/>
              <w:jc w:val="left"/>
              <w:rPr>
                <w:rFonts w:eastAsia="Times New Roman" w:cs="Segoe UI"/>
                <w:color w:val="000000"/>
                <w:sz w:val="16"/>
                <w:szCs w:val="16"/>
                <w:lang w:eastAsia="sk-SK"/>
              </w:rPr>
            </w:pPr>
            <w:r w:rsidRPr="005B6152">
              <w:rPr>
                <w:rFonts w:eastAsia="Times New Roman" w:cs="Segoe UI"/>
                <w:color w:val="000000"/>
                <w:sz w:val="16"/>
                <w:szCs w:val="16"/>
                <w:lang w:eastAsia="sk-SK"/>
              </w:rPr>
              <w:t>Program Rybné hospodárstvo</w:t>
            </w:r>
          </w:p>
        </w:tc>
        <w:tc>
          <w:tcPr>
            <w:tcW w:w="957" w:type="dxa"/>
            <w:tcBorders>
              <w:top w:val="nil"/>
              <w:left w:val="nil"/>
              <w:bottom w:val="nil"/>
              <w:right w:val="nil"/>
            </w:tcBorders>
            <w:vAlign w:val="center"/>
            <w:hideMark/>
          </w:tcPr>
          <w:p w14:paraId="494FBDB2"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15,2</w:t>
            </w:r>
          </w:p>
        </w:tc>
        <w:tc>
          <w:tcPr>
            <w:tcW w:w="1169" w:type="dxa"/>
            <w:tcBorders>
              <w:top w:val="nil"/>
              <w:left w:val="nil"/>
              <w:bottom w:val="nil"/>
              <w:right w:val="nil"/>
            </w:tcBorders>
            <w:vAlign w:val="center"/>
            <w:hideMark/>
          </w:tcPr>
          <w:p w14:paraId="132D1ECC"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0,0</w:t>
            </w:r>
          </w:p>
        </w:tc>
        <w:tc>
          <w:tcPr>
            <w:tcW w:w="1290" w:type="dxa"/>
            <w:tcBorders>
              <w:top w:val="nil"/>
              <w:left w:val="nil"/>
              <w:bottom w:val="nil"/>
              <w:right w:val="nil"/>
            </w:tcBorders>
            <w:vAlign w:val="center"/>
            <w:hideMark/>
          </w:tcPr>
          <w:p w14:paraId="45033660"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0,0%</w:t>
            </w:r>
          </w:p>
        </w:tc>
        <w:tc>
          <w:tcPr>
            <w:tcW w:w="2087" w:type="dxa"/>
            <w:tcBorders>
              <w:top w:val="nil"/>
              <w:left w:val="nil"/>
              <w:bottom w:val="nil"/>
              <w:right w:val="nil"/>
            </w:tcBorders>
            <w:vAlign w:val="center"/>
            <w:hideMark/>
          </w:tcPr>
          <w:p w14:paraId="2749D88B" w14:textId="19FC0681" w:rsidR="003816FB" w:rsidRPr="00E5565F" w:rsidRDefault="00E5565F" w:rsidP="00E5565F">
            <w:pPr>
              <w:pStyle w:val="Odsekzoznamu"/>
              <w:numPr>
                <w:ilvl w:val="0"/>
                <w:numId w:val="23"/>
              </w:numPr>
              <w:spacing w:after="0" w:line="240" w:lineRule="auto"/>
              <w:jc w:val="center"/>
              <w:rPr>
                <w:rFonts w:eastAsia="Times New Roman" w:cs="Segoe UI"/>
                <w:color w:val="000000"/>
                <w:sz w:val="16"/>
                <w:szCs w:val="16"/>
                <w:lang w:eastAsia="sk-SK"/>
              </w:rPr>
            </w:pPr>
            <w:r>
              <w:rPr>
                <w:rFonts w:eastAsia="Times New Roman" w:cs="Segoe UI"/>
                <w:color w:val="000000"/>
                <w:sz w:val="16"/>
                <w:szCs w:val="16"/>
                <w:lang w:eastAsia="sk-SK"/>
              </w:rPr>
              <w:t xml:space="preserve"> </w:t>
            </w:r>
          </w:p>
        </w:tc>
        <w:tc>
          <w:tcPr>
            <w:tcW w:w="1990" w:type="dxa"/>
            <w:tcBorders>
              <w:top w:val="nil"/>
              <w:left w:val="nil"/>
              <w:bottom w:val="nil"/>
              <w:right w:val="nil"/>
            </w:tcBorders>
            <w:vAlign w:val="center"/>
            <w:hideMark/>
          </w:tcPr>
          <w:p w14:paraId="570513E7"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5,4</w:t>
            </w:r>
          </w:p>
        </w:tc>
      </w:tr>
      <w:tr w:rsidR="003816FB" w:rsidRPr="005B6152" w14:paraId="1DA7E127" w14:textId="77777777" w:rsidTr="00BB314F">
        <w:trPr>
          <w:trHeight w:val="283"/>
        </w:trPr>
        <w:tc>
          <w:tcPr>
            <w:tcW w:w="1560" w:type="dxa"/>
            <w:tcBorders>
              <w:top w:val="nil"/>
              <w:left w:val="nil"/>
              <w:bottom w:val="nil"/>
              <w:right w:val="nil"/>
            </w:tcBorders>
            <w:vAlign w:val="center"/>
            <w:hideMark/>
          </w:tcPr>
          <w:p w14:paraId="46AD634B" w14:textId="77777777" w:rsidR="003816FB" w:rsidRPr="005B6152" w:rsidRDefault="003816FB" w:rsidP="00BB314F">
            <w:pPr>
              <w:spacing w:after="0" w:line="240" w:lineRule="auto"/>
              <w:jc w:val="left"/>
              <w:rPr>
                <w:rFonts w:eastAsia="Times New Roman" w:cs="Segoe UI"/>
                <w:color w:val="000000"/>
                <w:sz w:val="16"/>
                <w:szCs w:val="16"/>
                <w:lang w:eastAsia="sk-SK"/>
              </w:rPr>
            </w:pPr>
            <w:r w:rsidRPr="005B6152">
              <w:rPr>
                <w:rFonts w:eastAsia="Times New Roman" w:cs="Segoe UI"/>
                <w:color w:val="000000"/>
                <w:sz w:val="16"/>
                <w:szCs w:val="16"/>
                <w:lang w:eastAsia="sk-SK"/>
              </w:rPr>
              <w:t>Interact IV</w:t>
            </w:r>
          </w:p>
        </w:tc>
        <w:tc>
          <w:tcPr>
            <w:tcW w:w="957" w:type="dxa"/>
            <w:tcBorders>
              <w:top w:val="nil"/>
              <w:left w:val="nil"/>
              <w:bottom w:val="nil"/>
              <w:right w:val="nil"/>
            </w:tcBorders>
            <w:vAlign w:val="center"/>
            <w:hideMark/>
          </w:tcPr>
          <w:p w14:paraId="04C7197A"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45,0</w:t>
            </w:r>
          </w:p>
        </w:tc>
        <w:tc>
          <w:tcPr>
            <w:tcW w:w="1169" w:type="dxa"/>
            <w:tcBorders>
              <w:top w:val="nil"/>
              <w:left w:val="nil"/>
              <w:bottom w:val="nil"/>
              <w:right w:val="nil"/>
            </w:tcBorders>
            <w:vAlign w:val="center"/>
            <w:hideMark/>
          </w:tcPr>
          <w:p w14:paraId="65292001"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11,9</w:t>
            </w:r>
          </w:p>
        </w:tc>
        <w:tc>
          <w:tcPr>
            <w:tcW w:w="1290" w:type="dxa"/>
            <w:tcBorders>
              <w:top w:val="nil"/>
              <w:left w:val="nil"/>
              <w:bottom w:val="nil"/>
              <w:right w:val="nil"/>
            </w:tcBorders>
            <w:vAlign w:val="center"/>
            <w:hideMark/>
          </w:tcPr>
          <w:p w14:paraId="75BDB986"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26,4%</w:t>
            </w:r>
          </w:p>
        </w:tc>
        <w:tc>
          <w:tcPr>
            <w:tcW w:w="2087" w:type="dxa"/>
            <w:tcBorders>
              <w:top w:val="nil"/>
              <w:left w:val="nil"/>
              <w:bottom w:val="nil"/>
              <w:right w:val="nil"/>
            </w:tcBorders>
            <w:vAlign w:val="center"/>
            <w:hideMark/>
          </w:tcPr>
          <w:p w14:paraId="0A8350DB"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0,0</w:t>
            </w:r>
          </w:p>
        </w:tc>
        <w:tc>
          <w:tcPr>
            <w:tcW w:w="1990" w:type="dxa"/>
            <w:tcBorders>
              <w:top w:val="nil"/>
              <w:left w:val="nil"/>
              <w:bottom w:val="nil"/>
              <w:right w:val="nil"/>
            </w:tcBorders>
            <w:vAlign w:val="center"/>
            <w:hideMark/>
          </w:tcPr>
          <w:p w14:paraId="6AC188BE" w14:textId="77777777" w:rsidR="003816FB" w:rsidRPr="005B6152" w:rsidRDefault="003816FB" w:rsidP="00BB314F">
            <w:pPr>
              <w:spacing w:after="0" w:line="240" w:lineRule="auto"/>
              <w:jc w:val="center"/>
              <w:rPr>
                <w:rFonts w:eastAsia="Times New Roman" w:cs="Segoe UI"/>
                <w:color w:val="000000"/>
                <w:sz w:val="16"/>
                <w:szCs w:val="16"/>
                <w:lang w:eastAsia="sk-SK"/>
              </w:rPr>
            </w:pPr>
            <w:r w:rsidRPr="005B6152">
              <w:rPr>
                <w:rFonts w:eastAsia="Times New Roman" w:cs="Segoe UI"/>
                <w:color w:val="000000"/>
                <w:sz w:val="16"/>
                <w:szCs w:val="16"/>
                <w:lang w:eastAsia="sk-SK"/>
              </w:rPr>
              <w:t>0,0</w:t>
            </w:r>
          </w:p>
        </w:tc>
      </w:tr>
      <w:tr w:rsidR="003816FB" w:rsidRPr="005B6152" w14:paraId="3326E03E" w14:textId="77777777" w:rsidTr="00BB314F">
        <w:trPr>
          <w:trHeight w:val="283"/>
        </w:trPr>
        <w:tc>
          <w:tcPr>
            <w:tcW w:w="1560" w:type="dxa"/>
            <w:tcBorders>
              <w:top w:val="single" w:sz="4" w:space="0" w:color="auto"/>
              <w:left w:val="nil"/>
              <w:bottom w:val="single" w:sz="4" w:space="0" w:color="auto"/>
              <w:right w:val="nil"/>
            </w:tcBorders>
            <w:shd w:val="clear" w:color="000000" w:fill="FFFFFF"/>
            <w:vAlign w:val="center"/>
            <w:hideMark/>
          </w:tcPr>
          <w:p w14:paraId="4C755FDF" w14:textId="77777777" w:rsidR="003816FB" w:rsidRPr="005B6152" w:rsidRDefault="003816FB" w:rsidP="00BB314F">
            <w:pPr>
              <w:spacing w:after="0" w:line="240" w:lineRule="auto"/>
              <w:jc w:val="left"/>
              <w:rPr>
                <w:rFonts w:eastAsia="Times New Roman" w:cs="Segoe UI"/>
                <w:b/>
                <w:bCs/>
                <w:color w:val="000000"/>
                <w:sz w:val="16"/>
                <w:szCs w:val="16"/>
                <w:lang w:eastAsia="sk-SK"/>
              </w:rPr>
            </w:pPr>
            <w:r w:rsidRPr="005B6152">
              <w:rPr>
                <w:rFonts w:eastAsia="Times New Roman" w:cs="Segoe UI"/>
                <w:b/>
                <w:bCs/>
                <w:color w:val="000000"/>
                <w:sz w:val="16"/>
                <w:szCs w:val="16"/>
                <w:lang w:eastAsia="sk-SK"/>
              </w:rPr>
              <w:t>SPOLU</w:t>
            </w:r>
          </w:p>
        </w:tc>
        <w:tc>
          <w:tcPr>
            <w:tcW w:w="957" w:type="dxa"/>
            <w:tcBorders>
              <w:top w:val="single" w:sz="4" w:space="0" w:color="auto"/>
              <w:left w:val="nil"/>
              <w:bottom w:val="single" w:sz="4" w:space="0" w:color="auto"/>
              <w:right w:val="nil"/>
            </w:tcBorders>
            <w:shd w:val="clear" w:color="000000" w:fill="FFFFFF"/>
            <w:vAlign w:val="center"/>
            <w:hideMark/>
          </w:tcPr>
          <w:p w14:paraId="4DEBCB86" w14:textId="77777777" w:rsidR="003816FB" w:rsidRPr="005B6152" w:rsidRDefault="003816FB" w:rsidP="00BB314F">
            <w:pPr>
              <w:spacing w:after="0" w:line="240" w:lineRule="auto"/>
              <w:jc w:val="center"/>
              <w:rPr>
                <w:rFonts w:eastAsia="Times New Roman" w:cs="Segoe UI"/>
                <w:b/>
                <w:bCs/>
                <w:color w:val="000000"/>
                <w:sz w:val="16"/>
                <w:szCs w:val="16"/>
                <w:lang w:eastAsia="sk-SK"/>
              </w:rPr>
            </w:pPr>
            <w:r w:rsidRPr="005B6152">
              <w:rPr>
                <w:rFonts w:eastAsia="Times New Roman" w:cs="Segoe UI"/>
                <w:b/>
                <w:bCs/>
                <w:color w:val="000000"/>
                <w:sz w:val="16"/>
                <w:szCs w:val="16"/>
                <w:lang w:eastAsia="sk-SK"/>
              </w:rPr>
              <w:t>12 794,8</w:t>
            </w:r>
          </w:p>
        </w:tc>
        <w:tc>
          <w:tcPr>
            <w:tcW w:w="1169" w:type="dxa"/>
            <w:tcBorders>
              <w:top w:val="single" w:sz="4" w:space="0" w:color="auto"/>
              <w:left w:val="nil"/>
              <w:bottom w:val="single" w:sz="4" w:space="0" w:color="auto"/>
              <w:right w:val="nil"/>
            </w:tcBorders>
            <w:shd w:val="clear" w:color="000000" w:fill="FFFFFF"/>
            <w:vAlign w:val="center"/>
            <w:hideMark/>
          </w:tcPr>
          <w:p w14:paraId="69EBA187" w14:textId="77777777" w:rsidR="003816FB" w:rsidRPr="005B6152" w:rsidRDefault="003816FB" w:rsidP="00BB314F">
            <w:pPr>
              <w:spacing w:after="0" w:line="240" w:lineRule="auto"/>
              <w:jc w:val="center"/>
              <w:rPr>
                <w:rFonts w:eastAsia="Times New Roman" w:cs="Segoe UI"/>
                <w:b/>
                <w:bCs/>
                <w:color w:val="000000"/>
                <w:sz w:val="16"/>
                <w:szCs w:val="16"/>
                <w:lang w:eastAsia="sk-SK"/>
              </w:rPr>
            </w:pPr>
            <w:r w:rsidRPr="005B6152">
              <w:rPr>
                <w:rFonts w:eastAsia="Times New Roman" w:cs="Segoe UI"/>
                <w:b/>
                <w:bCs/>
                <w:color w:val="000000"/>
                <w:sz w:val="16"/>
                <w:szCs w:val="16"/>
                <w:lang w:eastAsia="sk-SK"/>
              </w:rPr>
              <w:t>1 317,8</w:t>
            </w:r>
          </w:p>
        </w:tc>
        <w:tc>
          <w:tcPr>
            <w:tcW w:w="1290" w:type="dxa"/>
            <w:tcBorders>
              <w:top w:val="single" w:sz="4" w:space="0" w:color="auto"/>
              <w:left w:val="nil"/>
              <w:bottom w:val="single" w:sz="4" w:space="0" w:color="auto"/>
              <w:right w:val="nil"/>
            </w:tcBorders>
            <w:shd w:val="clear" w:color="000000" w:fill="FFFFFF"/>
            <w:vAlign w:val="center"/>
            <w:hideMark/>
          </w:tcPr>
          <w:p w14:paraId="0FA0ADAF" w14:textId="77777777" w:rsidR="003816FB" w:rsidRPr="005B6152" w:rsidRDefault="003816FB" w:rsidP="00BB314F">
            <w:pPr>
              <w:spacing w:after="0" w:line="240" w:lineRule="auto"/>
              <w:jc w:val="center"/>
              <w:rPr>
                <w:rFonts w:eastAsia="Times New Roman" w:cs="Segoe UI"/>
                <w:b/>
                <w:bCs/>
                <w:color w:val="000000"/>
                <w:sz w:val="16"/>
                <w:szCs w:val="16"/>
                <w:lang w:eastAsia="sk-SK"/>
              </w:rPr>
            </w:pPr>
            <w:r w:rsidRPr="005B6152">
              <w:rPr>
                <w:rFonts w:eastAsia="Times New Roman" w:cs="Segoe UI"/>
                <w:b/>
                <w:bCs/>
                <w:color w:val="000000"/>
                <w:sz w:val="16"/>
                <w:szCs w:val="16"/>
                <w:lang w:eastAsia="sk-SK"/>
              </w:rPr>
              <w:t>10,3%</w:t>
            </w:r>
          </w:p>
        </w:tc>
        <w:tc>
          <w:tcPr>
            <w:tcW w:w="2087" w:type="dxa"/>
            <w:tcBorders>
              <w:top w:val="single" w:sz="4" w:space="0" w:color="auto"/>
              <w:left w:val="nil"/>
              <w:bottom w:val="single" w:sz="4" w:space="0" w:color="auto"/>
              <w:right w:val="nil"/>
            </w:tcBorders>
            <w:shd w:val="clear" w:color="000000" w:fill="FFFFFF"/>
            <w:vAlign w:val="center"/>
            <w:hideMark/>
          </w:tcPr>
          <w:p w14:paraId="2233CCCC" w14:textId="77777777" w:rsidR="003816FB" w:rsidRPr="005B6152" w:rsidRDefault="003816FB" w:rsidP="00BB314F">
            <w:pPr>
              <w:spacing w:after="0" w:line="240" w:lineRule="auto"/>
              <w:jc w:val="center"/>
              <w:rPr>
                <w:rFonts w:eastAsia="Times New Roman" w:cs="Segoe UI"/>
                <w:b/>
                <w:bCs/>
                <w:color w:val="000000"/>
                <w:sz w:val="16"/>
                <w:szCs w:val="16"/>
                <w:lang w:eastAsia="sk-SK"/>
              </w:rPr>
            </w:pPr>
            <w:r w:rsidRPr="005B6152">
              <w:rPr>
                <w:rFonts w:eastAsia="Times New Roman" w:cs="Segoe UI"/>
                <w:b/>
                <w:bCs/>
                <w:color w:val="000000"/>
                <w:sz w:val="16"/>
                <w:szCs w:val="16"/>
                <w:lang w:eastAsia="sk-SK"/>
              </w:rPr>
              <w:t>220,9</w:t>
            </w:r>
          </w:p>
        </w:tc>
        <w:tc>
          <w:tcPr>
            <w:tcW w:w="1990" w:type="dxa"/>
            <w:tcBorders>
              <w:top w:val="single" w:sz="4" w:space="0" w:color="auto"/>
              <w:left w:val="nil"/>
              <w:bottom w:val="single" w:sz="4" w:space="0" w:color="auto"/>
              <w:right w:val="nil"/>
            </w:tcBorders>
            <w:shd w:val="clear" w:color="000000" w:fill="FFFFFF"/>
            <w:vAlign w:val="center"/>
            <w:hideMark/>
          </w:tcPr>
          <w:p w14:paraId="384466C2" w14:textId="77777777" w:rsidR="003816FB" w:rsidRPr="005B6152" w:rsidRDefault="003816FB" w:rsidP="00BB314F">
            <w:pPr>
              <w:spacing w:after="0" w:line="240" w:lineRule="auto"/>
              <w:jc w:val="center"/>
              <w:rPr>
                <w:rFonts w:eastAsia="Times New Roman" w:cs="Segoe UI"/>
                <w:b/>
                <w:bCs/>
                <w:color w:val="000000"/>
                <w:sz w:val="16"/>
                <w:szCs w:val="16"/>
                <w:lang w:eastAsia="sk-SK"/>
              </w:rPr>
            </w:pPr>
            <w:r w:rsidRPr="005B6152">
              <w:rPr>
                <w:rFonts w:eastAsia="Times New Roman" w:cs="Segoe UI"/>
                <w:b/>
                <w:bCs/>
                <w:color w:val="000000"/>
                <w:sz w:val="16"/>
                <w:szCs w:val="16"/>
                <w:lang w:eastAsia="sk-SK"/>
              </w:rPr>
              <w:t>2 362,5</w:t>
            </w:r>
          </w:p>
        </w:tc>
      </w:tr>
    </w:tbl>
    <w:p w14:paraId="7575741A" w14:textId="77777777" w:rsidR="003816FB" w:rsidRDefault="003816FB" w:rsidP="003816FB">
      <w:pPr>
        <w:pStyle w:val="Zdroj"/>
        <w:spacing w:after="0"/>
        <w:rPr>
          <w:lang w:eastAsia="sk-SK"/>
        </w:rPr>
      </w:pPr>
      <w:r w:rsidRPr="00D73D9E">
        <w:rPr>
          <w:lang w:eastAsia="sk-SK"/>
        </w:rPr>
        <w:t>Zdroj: PO (MF SR)</w:t>
      </w:r>
      <w:r>
        <w:rPr>
          <w:lang w:eastAsia="sk-SK"/>
        </w:rPr>
        <w:t>.</w:t>
      </w:r>
    </w:p>
    <w:p w14:paraId="35F3F186" w14:textId="77777777" w:rsidR="003816FB" w:rsidRDefault="003816FB" w:rsidP="003816FB">
      <w:pPr>
        <w:pStyle w:val="Zdroj"/>
        <w:jc w:val="both"/>
        <w:rPr>
          <w:lang w:eastAsia="sk-SK"/>
        </w:rPr>
      </w:pPr>
      <w:r>
        <w:rPr>
          <w:lang w:eastAsia="sk-SK"/>
        </w:rPr>
        <w:t>*Z</w:t>
      </w:r>
      <w:r w:rsidRPr="00932368">
        <w:rPr>
          <w:lang w:eastAsia="sk-SK"/>
        </w:rPr>
        <w:t>droje NextGeneration EU</w:t>
      </w:r>
      <w:r>
        <w:rPr>
          <w:lang w:eastAsia="sk-SK"/>
        </w:rPr>
        <w:t>,</w:t>
      </w:r>
      <w:r w:rsidRPr="00932368">
        <w:rPr>
          <w:lang w:eastAsia="sk-SK"/>
        </w:rPr>
        <w:t xml:space="preserve"> alokované </w:t>
      </w:r>
      <w:r>
        <w:rPr>
          <w:lang w:eastAsia="sk-SK"/>
        </w:rPr>
        <w:t xml:space="preserve">podľa </w:t>
      </w:r>
      <w:r w:rsidRPr="00932368">
        <w:rPr>
          <w:lang w:eastAsia="sk-SK"/>
        </w:rPr>
        <w:t>čl. 4  Nariadenia EP a Rady (EÚ) 2021/1056</w:t>
      </w:r>
      <w:r>
        <w:rPr>
          <w:lang w:eastAsia="sk-SK"/>
        </w:rPr>
        <w:t xml:space="preserve"> </w:t>
      </w:r>
      <w:r w:rsidRPr="00932368">
        <w:rPr>
          <w:lang w:eastAsia="sk-SK"/>
        </w:rPr>
        <w:t>v</w:t>
      </w:r>
      <w:r>
        <w:rPr>
          <w:lang w:eastAsia="sk-SK"/>
        </w:rPr>
        <w:t> </w:t>
      </w:r>
      <w:r w:rsidRPr="00932368">
        <w:rPr>
          <w:lang w:eastAsia="sk-SK"/>
        </w:rPr>
        <w:t>P</w:t>
      </w:r>
      <w:r>
        <w:rPr>
          <w:lang w:eastAsia="sk-SK"/>
        </w:rPr>
        <w:t xml:space="preserve"> </w:t>
      </w:r>
      <w:r w:rsidRPr="00932368">
        <w:rPr>
          <w:lang w:eastAsia="sk-SK"/>
        </w:rPr>
        <w:t>SK v rámci Priority 7 Fond spravodlivej transformácie</w:t>
      </w:r>
      <w:r>
        <w:rPr>
          <w:lang w:eastAsia="sk-SK"/>
        </w:rPr>
        <w:t xml:space="preserve">, </w:t>
      </w:r>
      <w:r w:rsidRPr="00932368">
        <w:rPr>
          <w:lang w:eastAsia="sk-SK"/>
        </w:rPr>
        <w:t>musia byť vyčerpané</w:t>
      </w:r>
      <w:r>
        <w:rPr>
          <w:lang w:eastAsia="sk-SK"/>
        </w:rPr>
        <w:t xml:space="preserve"> v roku</w:t>
      </w:r>
      <w:r w:rsidRPr="00932368">
        <w:rPr>
          <w:lang w:eastAsia="sk-SK"/>
        </w:rPr>
        <w:t xml:space="preserve"> 2026 v plnej výške. Hraničný termín 31.</w:t>
      </w:r>
      <w:r>
        <w:rPr>
          <w:lang w:eastAsia="sk-SK"/>
        </w:rPr>
        <w:t xml:space="preserve"> </w:t>
      </w:r>
      <w:r w:rsidRPr="00932368">
        <w:rPr>
          <w:lang w:eastAsia="sk-SK"/>
        </w:rPr>
        <w:t>12.</w:t>
      </w:r>
      <w:r>
        <w:rPr>
          <w:lang w:eastAsia="sk-SK"/>
        </w:rPr>
        <w:t xml:space="preserve"> </w:t>
      </w:r>
      <w:r w:rsidRPr="00932368">
        <w:rPr>
          <w:lang w:eastAsia="sk-SK"/>
        </w:rPr>
        <w:t>2026 však</w:t>
      </w:r>
      <w:r>
        <w:rPr>
          <w:lang w:eastAsia="sk-SK"/>
        </w:rPr>
        <w:t xml:space="preserve"> pre tieto prostriedky</w:t>
      </w:r>
      <w:r w:rsidRPr="00932368">
        <w:rPr>
          <w:lang w:eastAsia="sk-SK"/>
        </w:rPr>
        <w:t xml:space="preserve"> neplatí, keďže musia byť vyčerpané a následne deklarované EK najneskôr do konca októbra 2026, aby ich EK stihla vyplatiť do 31.</w:t>
      </w:r>
      <w:r>
        <w:rPr>
          <w:lang w:eastAsia="sk-SK"/>
        </w:rPr>
        <w:t xml:space="preserve"> </w:t>
      </w:r>
      <w:r w:rsidRPr="00932368">
        <w:rPr>
          <w:lang w:eastAsia="sk-SK"/>
        </w:rPr>
        <w:t>12.</w:t>
      </w:r>
      <w:r>
        <w:rPr>
          <w:lang w:eastAsia="sk-SK"/>
        </w:rPr>
        <w:t xml:space="preserve"> </w:t>
      </w:r>
      <w:r w:rsidRPr="00932368">
        <w:rPr>
          <w:lang w:eastAsia="sk-SK"/>
        </w:rPr>
        <w:t xml:space="preserve">2026. Na dočerpanie pridelenej alokácie </w:t>
      </w:r>
      <w:r>
        <w:rPr>
          <w:lang w:eastAsia="sk-SK"/>
        </w:rPr>
        <w:t xml:space="preserve">ešte </w:t>
      </w:r>
      <w:r w:rsidRPr="00932368">
        <w:rPr>
          <w:lang w:eastAsia="sk-SK"/>
        </w:rPr>
        <w:t>zostáva 96,45 mil. eur.</w:t>
      </w:r>
    </w:p>
    <w:p w14:paraId="670520C3" w14:textId="77777777" w:rsidR="00DC70CB" w:rsidRPr="00BB314F" w:rsidRDefault="00DC70CB" w:rsidP="00DC70CB">
      <w:pPr>
        <w:rPr>
          <w:b/>
          <w:bCs/>
          <w:i/>
          <w:color w:val="314364" w:themeColor="text2"/>
          <w:sz w:val="16"/>
          <w:lang w:eastAsia="sk-SK"/>
        </w:rPr>
      </w:pPr>
      <w:r w:rsidRPr="00C3688C">
        <w:rPr>
          <w:b/>
          <w:bCs/>
        </w:rPr>
        <w:t xml:space="preserve">Z pohľadu plnenia záväzkov ku koncu roka 2026 sa ako najrizikovejší javí Program Rybné hospodárstvo </w:t>
      </w:r>
      <w:r w:rsidRPr="00C3688C">
        <w:t>(MPRV SR)</w:t>
      </w:r>
      <w:r w:rsidRPr="00C3688C">
        <w:rPr>
          <w:b/>
          <w:bCs/>
        </w:rPr>
        <w:t xml:space="preserve">, ktorý ku koncu septembra 2025 nemá zazmluvnený ani jeden projekt. </w:t>
      </w:r>
      <w:r w:rsidRPr="00C3688C">
        <w:t>Program má vyhlásené štyri výzvy v celkovej výške 12,1 mil. eur (80 % alokácie), pričom doteraz bolo predložených 26 žiadostí o NFP</w:t>
      </w:r>
      <w:r w:rsidRPr="00C3688C">
        <w:rPr>
          <w:rStyle w:val="Odkaznapoznmkupodiarou"/>
        </w:rPr>
        <w:footnoteReference w:id="34"/>
      </w:r>
      <w:r w:rsidRPr="00C3688C">
        <w:t xml:space="preserve">. </w:t>
      </w:r>
      <w:r w:rsidRPr="00C3688C">
        <w:rPr>
          <w:b/>
          <w:bCs/>
        </w:rPr>
        <w:t xml:space="preserve">NKÚ SR upozorňuje, že za účelom vyhnutia sa prepadu prostriedkov ku koncu roka 2026 bude potrebné voči EK zúčtovať čerpanie vo výške viac ako jednej tretiny celkovej alokácie. </w:t>
      </w:r>
    </w:p>
    <w:p w14:paraId="43C06456" w14:textId="450102F9" w:rsidR="003816FB" w:rsidRPr="00BB314F" w:rsidRDefault="005F41CF" w:rsidP="003816FB">
      <w:pPr>
        <w:rPr>
          <w:strike/>
        </w:rPr>
      </w:pPr>
      <w:r>
        <w:rPr>
          <w:b/>
          <w:bCs/>
        </w:rPr>
        <w:t>V prípade P SK je k</w:t>
      </w:r>
      <w:r w:rsidR="003816FB" w:rsidRPr="00C3688C">
        <w:rPr>
          <w:b/>
          <w:bCs/>
        </w:rPr>
        <w:t xml:space="preserve">ritickejší rok 2026, ktorý </w:t>
      </w:r>
      <w:r w:rsidR="003816FB">
        <w:rPr>
          <w:b/>
          <w:bCs/>
        </w:rPr>
        <w:t xml:space="preserve">si </w:t>
      </w:r>
      <w:r w:rsidR="003816FB" w:rsidRPr="00C3688C">
        <w:rPr>
          <w:b/>
          <w:bCs/>
        </w:rPr>
        <w:t xml:space="preserve">bude vyžadovať čerpanie takmer dvojnásobku doteraz realizovaného </w:t>
      </w:r>
      <w:r w:rsidR="003816FB" w:rsidRPr="00940181">
        <w:rPr>
          <w:b/>
          <w:bCs/>
        </w:rPr>
        <w:t xml:space="preserve">čerpania </w:t>
      </w:r>
      <w:r w:rsidR="003816FB" w:rsidRPr="00392A41">
        <w:t>(2 331,7 mil. eur)</w:t>
      </w:r>
      <w:r w:rsidR="003816FB" w:rsidRPr="00392A41">
        <w:rPr>
          <w:b/>
          <w:bCs/>
        </w:rPr>
        <w:t>.</w:t>
      </w:r>
      <w:r w:rsidR="003816FB" w:rsidRPr="00C3688C">
        <w:t xml:space="preserve"> </w:t>
      </w:r>
      <w:r w:rsidR="003816FB" w:rsidRPr="00C3688C" w:rsidDel="001F15B9">
        <w:rPr>
          <w:b/>
          <w:bCs/>
        </w:rPr>
        <w:t>NKÚ SR upozorňuje na riziko možného prepadu finančných prostriedkov ku koncu roku 2026 v prípade, ak nedôjde k výraznému zdynamizovaniu čerpania.</w:t>
      </w:r>
      <w:r w:rsidR="003816FB" w:rsidRPr="00901201" w:rsidDel="001F15B9">
        <w:t xml:space="preserve"> </w:t>
      </w:r>
      <w:r w:rsidR="003816FB" w:rsidRPr="00901201">
        <w:t xml:space="preserve">Významne by mohlo pomôcť urýchlenie čerpania veľkých fázovaných </w:t>
      </w:r>
      <w:r w:rsidR="003816FB">
        <w:t xml:space="preserve">dopravných </w:t>
      </w:r>
      <w:r w:rsidR="003816FB" w:rsidRPr="00901201">
        <w:t>projektov z </w:t>
      </w:r>
      <w:r w:rsidR="003816FB">
        <w:t>PO</w:t>
      </w:r>
      <w:r w:rsidR="003816FB" w:rsidRPr="00901201">
        <w:t xml:space="preserve"> 2014 – 2020</w:t>
      </w:r>
      <w:r w:rsidR="003816FB">
        <w:rPr>
          <w:rStyle w:val="Odkaznapoznmkupodiarou"/>
        </w:rPr>
        <w:footnoteReference w:id="35"/>
      </w:r>
      <w:r w:rsidR="003816FB">
        <w:t>,</w:t>
      </w:r>
      <w:r w:rsidR="003816FB" w:rsidRPr="00901201">
        <w:t xml:space="preserve"> vyplatenie ďalších </w:t>
      </w:r>
      <w:r w:rsidR="003816FB" w:rsidRPr="00753BFA">
        <w:t>tranží za finančné nástroje</w:t>
      </w:r>
      <w:r w:rsidR="003816FB" w:rsidRPr="00753BFA">
        <w:rPr>
          <w:rStyle w:val="Odkaznapoznmkupodiarou"/>
        </w:rPr>
        <w:footnoteReference w:id="36"/>
      </w:r>
      <w:r w:rsidR="003816FB" w:rsidRPr="00753BFA">
        <w:t xml:space="preserve"> a urýchlenie implementácie národných projektov</w:t>
      </w:r>
      <w:r w:rsidR="003816FB" w:rsidRPr="00753BFA">
        <w:rPr>
          <w:rStyle w:val="Odkaznapoznmkupodiarou"/>
        </w:rPr>
        <w:footnoteReference w:id="37"/>
      </w:r>
      <w:r w:rsidR="003816FB" w:rsidRPr="00753BFA">
        <w:t>. Kľúčov</w:t>
      </w:r>
      <w:r w:rsidR="003816FB">
        <w:t>ým predpokladom pre zrýchlenie implementácie zakontrahovaných projektov je aj zabezpečenie podmienok pre včasné a úspešné ukončenie procesov VO na výber dodávateľov. Jedným z predpokladov je dosiahnutie dostatočného počtu kvalifikovaných administratívnych kapacít na ÚVO.</w:t>
      </w:r>
      <w:r w:rsidR="003816FB">
        <w:rPr>
          <w:rStyle w:val="Odkaznapoznmkupodiarou"/>
        </w:rPr>
        <w:footnoteReference w:id="38"/>
      </w:r>
    </w:p>
    <w:p w14:paraId="3906FF57" w14:textId="7376A89A" w:rsidR="00383B98" w:rsidRPr="005F41CF" w:rsidRDefault="00383B98" w:rsidP="00383B98">
      <w:pPr>
        <w:rPr>
          <w:b/>
          <w:bCs/>
        </w:rPr>
      </w:pPr>
      <w:r w:rsidRPr="00C3688C">
        <w:rPr>
          <w:b/>
          <w:bCs/>
        </w:rPr>
        <w:lastRenderedPageBreak/>
        <w:t>K minimalizácii rizika prepadu prostriedkov EÚ</w:t>
      </w:r>
      <w:r>
        <w:rPr>
          <w:b/>
          <w:bCs/>
        </w:rPr>
        <w:t xml:space="preserve"> z</w:t>
      </w:r>
      <w:r w:rsidR="00234632">
        <w:rPr>
          <w:b/>
          <w:bCs/>
        </w:rPr>
        <w:t> </w:t>
      </w:r>
      <w:r>
        <w:rPr>
          <w:b/>
          <w:bCs/>
        </w:rPr>
        <w:t>P</w:t>
      </w:r>
      <w:r w:rsidR="00234632">
        <w:rPr>
          <w:b/>
          <w:bCs/>
        </w:rPr>
        <w:t xml:space="preserve"> </w:t>
      </w:r>
      <w:r>
        <w:rPr>
          <w:b/>
          <w:bCs/>
        </w:rPr>
        <w:t>SK</w:t>
      </w:r>
      <w:r w:rsidRPr="00C3688C">
        <w:rPr>
          <w:b/>
          <w:bCs/>
        </w:rPr>
        <w:t xml:space="preserve"> ku koncu roka 2026 môže pomôcť aj realokácia časti prostriedkov</w:t>
      </w:r>
      <w:r>
        <w:rPr>
          <w:b/>
          <w:bCs/>
        </w:rPr>
        <w:t xml:space="preserve"> z</w:t>
      </w:r>
      <w:r w:rsidRPr="00C3688C">
        <w:rPr>
          <w:b/>
          <w:bCs/>
        </w:rPr>
        <w:t xml:space="preserve"> flexibilit</w:t>
      </w:r>
      <w:r>
        <w:rPr>
          <w:b/>
          <w:bCs/>
        </w:rPr>
        <w:t>y</w:t>
      </w:r>
      <w:r w:rsidRPr="00C3688C">
        <w:rPr>
          <w:b/>
          <w:bCs/>
        </w:rPr>
        <w:t xml:space="preserve"> </w:t>
      </w:r>
      <w:r w:rsidRPr="00C3688C">
        <w:t>(1 976,5 mil. eur)</w:t>
      </w:r>
      <w:r w:rsidRPr="00C3688C">
        <w:rPr>
          <w:rStyle w:val="Odkaznapoznmkupodiarou"/>
        </w:rPr>
        <w:footnoteReference w:id="39"/>
      </w:r>
      <w:r w:rsidRPr="00C3688C">
        <w:rPr>
          <w:b/>
          <w:bCs/>
        </w:rPr>
        <w:t xml:space="preserve"> do priorít Modernizovanej kohéznej politiky schválenej v rámci Strednodobej revízie.</w:t>
      </w:r>
      <w:r w:rsidRPr="00901201">
        <w:rPr>
          <w:rStyle w:val="Odkaznapoznmkupodiarou"/>
        </w:rPr>
        <w:footnoteReference w:id="40"/>
      </w:r>
      <w:r>
        <w:t xml:space="preserve"> Táto legislatíva </w:t>
      </w:r>
      <w:r w:rsidRPr="00901201">
        <w:t>umožňuje</w:t>
      </w:r>
      <w:r>
        <w:t xml:space="preserve"> členským štátom na</w:t>
      </w:r>
      <w:r w:rsidRPr="00901201">
        <w:t xml:space="preserve"> dobrovoľnej báze presunúť </w:t>
      </w:r>
      <w:r>
        <w:t>časť alokácie programu</w:t>
      </w:r>
      <w:r w:rsidRPr="00901201">
        <w:t xml:space="preserve"> na nové priority EK</w:t>
      </w:r>
      <w:r w:rsidRPr="00E22898">
        <w:t xml:space="preserve"> v oblasti konkurencieschopnosti a dekarbonizácie, obrany a bezpečnosti, dostupného bývania, agendy miest, vodnej odolnosti a energetickej transformácie.</w:t>
      </w:r>
      <w:r>
        <w:t xml:space="preserve"> </w:t>
      </w:r>
      <w:r w:rsidRPr="00BC7355">
        <w:t xml:space="preserve">EK </w:t>
      </w:r>
      <w:r>
        <w:t>touto</w:t>
      </w:r>
      <w:r w:rsidRPr="00BC7355">
        <w:t xml:space="preserve"> legislatívou deklaruje možnosť predĺženia obdobia oprávnenosti o jeden rok </w:t>
      </w:r>
      <w:r>
        <w:t>(</w:t>
      </w:r>
      <w:r w:rsidRPr="00BC7355">
        <w:t>do konca roka 2030</w:t>
      </w:r>
      <w:r>
        <w:t>)</w:t>
      </w:r>
      <w:r w:rsidRPr="00BC7355">
        <w:t xml:space="preserve"> v prípade, ak členský štát presunie min</w:t>
      </w:r>
      <w:r>
        <w:t>imálne</w:t>
      </w:r>
      <w:r w:rsidRPr="00BC7355">
        <w:t xml:space="preserve"> 10</w:t>
      </w:r>
      <w:r>
        <w:t xml:space="preserve"> </w:t>
      </w:r>
      <w:r w:rsidRPr="00BC7355">
        <w:t xml:space="preserve">% alokácie </w:t>
      </w:r>
      <w:r>
        <w:t>programu</w:t>
      </w:r>
      <w:r w:rsidRPr="00BC7355">
        <w:t xml:space="preserve"> na tieto nové priority</w:t>
      </w:r>
      <w:r>
        <w:t>. Súčasne výhodou je aj</w:t>
      </w:r>
      <w:r w:rsidRPr="00901201">
        <w:t xml:space="preserve"> vyplatenie dodatočných zálohových platieb</w:t>
      </w:r>
      <w:r w:rsidRPr="00901201">
        <w:rPr>
          <w:rStyle w:val="Odkaznapoznmkupodiarou"/>
        </w:rPr>
        <w:footnoteReference w:id="41"/>
      </w:r>
      <w:r>
        <w:t xml:space="preserve"> a</w:t>
      </w:r>
      <w:r w:rsidRPr="00901201">
        <w:t xml:space="preserve"> zvýšenie miery spolufinancovania zo zdrojov EÚ o 10 p</w:t>
      </w:r>
      <w:r w:rsidR="00122E3D">
        <w:t>. b.</w:t>
      </w:r>
      <w:r>
        <w:rPr>
          <w:rStyle w:val="Odkaznapoznmkupodiarou"/>
        </w:rPr>
        <w:footnoteReference w:id="42"/>
      </w:r>
      <w:r w:rsidRPr="00901201">
        <w:t xml:space="preserve">, </w:t>
      </w:r>
      <w:r w:rsidRPr="007F44AC">
        <w:t xml:space="preserve">čo bude mať pozitívny vplyv na </w:t>
      </w:r>
      <w:r>
        <w:t>likviditu</w:t>
      </w:r>
      <w:r w:rsidRPr="007F44AC">
        <w:t xml:space="preserve"> platobného orgánu MF SR</w:t>
      </w:r>
      <w:r>
        <w:t>.</w:t>
      </w:r>
      <w:r w:rsidRPr="00754C09">
        <w:rPr>
          <w:i/>
        </w:rPr>
        <w:t xml:space="preserve"> </w:t>
      </w:r>
      <w:r w:rsidRPr="00825F21">
        <w:t>Uvedenými opatreniami sa však presúva riziko prepad</w:t>
      </w:r>
      <w:r w:rsidR="005F41CF">
        <w:t>n</w:t>
      </w:r>
      <w:r w:rsidRPr="00825F21">
        <w:t>u</w:t>
      </w:r>
      <w:r w:rsidR="005F41CF">
        <w:t>tia</w:t>
      </w:r>
      <w:r w:rsidRPr="00825F21">
        <w:t xml:space="preserve"> prostriedkov ku koncu </w:t>
      </w:r>
      <w:r>
        <w:t>PO</w:t>
      </w:r>
      <w:r w:rsidRPr="00825F21">
        <w:t>, kedy bude potrebné zúčtovať</w:t>
      </w:r>
      <w:r>
        <w:t xml:space="preserve"> okrem ročného záväzku aj</w:t>
      </w:r>
      <w:r w:rsidRPr="00825F21">
        <w:t xml:space="preserve"> všetky prijaté zálohové platby z EK. </w:t>
      </w:r>
      <w:r>
        <w:t xml:space="preserve">Vytvára to priestor pre opakovanie scenára z predchádzajúcich PO, kedy sa čerpanie presúvalo do posledných rokov a kulminovalo rok pred ukončením obdobia oprávnenosti. </w:t>
      </w:r>
      <w:r w:rsidR="005F41CF" w:rsidRPr="005F41CF">
        <w:rPr>
          <w:b/>
          <w:bCs/>
        </w:rPr>
        <w:t>NKÚ SR upozorňuje na súvisiace</w:t>
      </w:r>
      <w:r w:rsidRPr="005F41CF">
        <w:rPr>
          <w:b/>
          <w:bCs/>
        </w:rPr>
        <w:t xml:space="preserve"> riziko míňania prostriedkov na projekty bez väčšej pridanej hodnoty z dôvodu sústredenia sa na rýchle dočerpávanie alokácie na úkor kvality projektov.</w:t>
      </w:r>
    </w:p>
    <w:p w14:paraId="5C7E6FF7" w14:textId="18A6A18D" w:rsidR="00383B98" w:rsidRDefault="00383B98" w:rsidP="00383B98">
      <w:r w:rsidRPr="00DB668F">
        <w:rPr>
          <w:b/>
          <w:bCs/>
        </w:rPr>
        <w:t>K navýšeniu čerpania v roku 2026 by mohli prispieť pripravované úpravy P</w:t>
      </w:r>
      <w:r w:rsidR="00EC236F">
        <w:rPr>
          <w:b/>
          <w:bCs/>
        </w:rPr>
        <w:t xml:space="preserve"> </w:t>
      </w:r>
      <w:r w:rsidRPr="00DB668F">
        <w:rPr>
          <w:b/>
          <w:bCs/>
        </w:rPr>
        <w:t>SK v súvislosti so zabezpečením prostriedkov na krytie budúcoročných zvýšených cien plynu a tepla pre</w:t>
      </w:r>
      <w:r w:rsidR="00E251CA">
        <w:rPr>
          <w:b/>
          <w:bCs/>
        </w:rPr>
        <w:t xml:space="preserve"> energetické</w:t>
      </w:r>
      <w:r w:rsidRPr="00DB668F">
        <w:rPr>
          <w:b/>
          <w:bCs/>
        </w:rPr>
        <w:t xml:space="preserve"> domácnosti, tzv. energopomoc</w:t>
      </w:r>
      <w:r w:rsidR="00E251CA" w:rsidRPr="00E251CA">
        <w:rPr>
          <w:rStyle w:val="Odkaznapoznmkupodiarou"/>
        </w:rPr>
        <w:footnoteReference w:id="43"/>
      </w:r>
      <w:r w:rsidR="00E251CA" w:rsidRPr="00DB668F">
        <w:rPr>
          <w:b/>
          <w:bCs/>
        </w:rPr>
        <w:t xml:space="preserve"> </w:t>
      </w:r>
      <w:r w:rsidRPr="00DB668F">
        <w:rPr>
          <w:b/>
          <w:bCs/>
        </w:rPr>
        <w:t xml:space="preserve">v odhadovanej výške </w:t>
      </w:r>
      <w:r w:rsidR="00E251CA">
        <w:rPr>
          <w:b/>
          <w:bCs/>
        </w:rPr>
        <w:t xml:space="preserve">viac ako </w:t>
      </w:r>
      <w:r w:rsidRPr="00DB668F">
        <w:rPr>
          <w:b/>
          <w:bCs/>
        </w:rPr>
        <w:t>4</w:t>
      </w:r>
      <w:r w:rsidR="00E251CA">
        <w:rPr>
          <w:b/>
          <w:bCs/>
        </w:rPr>
        <w:t>20</w:t>
      </w:r>
      <w:r w:rsidRPr="00DB668F">
        <w:rPr>
          <w:b/>
          <w:bCs/>
        </w:rPr>
        <w:t xml:space="preserve"> mil. eur.</w:t>
      </w:r>
      <w:r w:rsidRPr="0089628C">
        <w:t xml:space="preserve"> Keďže legislatíva E</w:t>
      </w:r>
      <w:r>
        <w:t>K</w:t>
      </w:r>
      <w:r w:rsidRPr="0089628C">
        <w:t xml:space="preserve"> </w:t>
      </w:r>
      <w:r w:rsidR="00314A2F">
        <w:t>pre</w:t>
      </w:r>
      <w:r>
        <w:t xml:space="preserve"> </w:t>
      </w:r>
      <w:r w:rsidR="00EC236F">
        <w:t>PO</w:t>
      </w:r>
      <w:r>
        <w:t xml:space="preserve"> 2021 – 2027 </w:t>
      </w:r>
      <w:r w:rsidRPr="0089628C">
        <w:t>neumožňuje čerpať finančné prostriedky EÚ na kompenzáciu zvýšen</w:t>
      </w:r>
      <w:r>
        <w:t>ých</w:t>
      </w:r>
      <w:r w:rsidRPr="0089628C">
        <w:t xml:space="preserve"> c</w:t>
      </w:r>
      <w:r>
        <w:t>i</w:t>
      </w:r>
      <w:r w:rsidRPr="0089628C">
        <w:t>en energií, SR rokuje</w:t>
      </w:r>
      <w:r>
        <w:t xml:space="preserve"> s EK </w:t>
      </w:r>
      <w:r w:rsidRPr="0089628C">
        <w:t xml:space="preserve">o možnosti zaradenia </w:t>
      </w:r>
      <w:r w:rsidR="00314A2F">
        <w:t xml:space="preserve">vybraných </w:t>
      </w:r>
      <w:r w:rsidRPr="0089628C">
        <w:t>investícií</w:t>
      </w:r>
      <w:r w:rsidR="00314A2F">
        <w:t>,</w:t>
      </w:r>
      <w:r w:rsidRPr="0089628C">
        <w:t xml:space="preserve"> </w:t>
      </w:r>
      <w:r>
        <w:t>aktuálne financovaných</w:t>
      </w:r>
      <w:r w:rsidRPr="0089628C">
        <w:t xml:space="preserve"> zo zdrojov ŠR, do financovania</w:t>
      </w:r>
      <w:r>
        <w:t xml:space="preserve"> </w:t>
      </w:r>
      <w:r w:rsidRPr="0089628C">
        <w:t>P</w:t>
      </w:r>
      <w:r w:rsidR="00EC236F">
        <w:t xml:space="preserve"> </w:t>
      </w:r>
      <w:r w:rsidRPr="0089628C">
        <w:t>SK</w:t>
      </w:r>
      <w:r>
        <w:rPr>
          <w:rStyle w:val="Odkaznapoznmkupodiarou"/>
        </w:rPr>
        <w:footnoteReference w:id="44"/>
      </w:r>
      <w:r w:rsidRPr="0089628C">
        <w:t>. V</w:t>
      </w:r>
      <w:r w:rsidR="00EC236F">
        <w:t> </w:t>
      </w:r>
      <w:r w:rsidRPr="0089628C">
        <w:t>prípade</w:t>
      </w:r>
      <w:r w:rsidR="00EC236F">
        <w:t xml:space="preserve"> schválenia tejto možnosti by </w:t>
      </w:r>
      <w:r w:rsidRPr="0089628C">
        <w:t>takto ušetrené zdroje ŠR</w:t>
      </w:r>
      <w:r>
        <w:t xml:space="preserve"> </w:t>
      </w:r>
      <w:r w:rsidRPr="0089628C">
        <w:t xml:space="preserve">mohli byť použité na financovanie energopomoci. MIRRI </w:t>
      </w:r>
      <w:r w:rsidR="00EC236F">
        <w:t xml:space="preserve">SR </w:t>
      </w:r>
      <w:r>
        <w:t>pripravuje</w:t>
      </w:r>
      <w:r w:rsidRPr="0089628C">
        <w:t xml:space="preserve"> </w:t>
      </w:r>
      <w:r>
        <w:t>takúto úpravu P</w:t>
      </w:r>
      <w:r w:rsidR="00EC236F">
        <w:t xml:space="preserve"> </w:t>
      </w:r>
      <w:r>
        <w:t xml:space="preserve">SK v rámci najbližšej </w:t>
      </w:r>
      <w:r w:rsidRPr="0089628C">
        <w:t>revízie</w:t>
      </w:r>
      <w:r>
        <w:t xml:space="preserve"> programu, ktorú by mal</w:t>
      </w:r>
      <w:r w:rsidR="00EC236F">
        <w:t>o</w:t>
      </w:r>
      <w:r>
        <w:t xml:space="preserve"> predložiť </w:t>
      </w:r>
      <w:r w:rsidR="00EC236F">
        <w:t>E</w:t>
      </w:r>
      <w:r>
        <w:t>K do konca roka 2025.</w:t>
      </w:r>
      <w:r w:rsidR="004A235E" w:rsidRPr="004A235E">
        <w:t xml:space="preserve"> </w:t>
      </w:r>
      <w:r w:rsidR="004A235E">
        <w:t>EK má štyri mesiace na schválenie zmeny programu.</w:t>
      </w:r>
      <w:r w:rsidR="004A235E">
        <w:rPr>
          <w:rStyle w:val="Odkaznapoznmkupodiarou"/>
        </w:rPr>
        <w:footnoteReference w:id="45"/>
      </w:r>
    </w:p>
    <w:p w14:paraId="481AEE72" w14:textId="2B45B807" w:rsidR="00E126DF" w:rsidRDefault="00D83E5D" w:rsidP="00E126DF">
      <w:r w:rsidRPr="00D83E5D">
        <w:rPr>
          <w:b/>
          <w:bCs/>
        </w:rPr>
        <w:t xml:space="preserve">Kontrola NKÚ SR zameraná na čerpanie P SK cez mechanizmus integrovaných územných investícií </w:t>
      </w:r>
      <w:r w:rsidRPr="00D83E5D">
        <w:t>(IÚI)</w:t>
      </w:r>
      <w:r w:rsidRPr="00D83E5D">
        <w:rPr>
          <w:b/>
          <w:bCs/>
        </w:rPr>
        <w:t xml:space="preserve"> potvrdila viaceré identifikované riziká </w:t>
      </w:r>
      <w:r w:rsidRPr="00D83E5D">
        <w:t xml:space="preserve">(box </w:t>
      </w:r>
      <w:r w:rsidR="00240FAD">
        <w:t>4</w:t>
      </w:r>
      <w:r w:rsidRPr="00D83E5D">
        <w:t>)</w:t>
      </w:r>
      <w:r w:rsidRPr="00D83E5D">
        <w:rPr>
          <w:b/>
          <w:bCs/>
        </w:rPr>
        <w:t>.</w:t>
      </w:r>
      <w:r>
        <w:t xml:space="preserve"> </w:t>
      </w:r>
      <w:r w:rsidR="00383B98">
        <w:t xml:space="preserve">Významnou mierou </w:t>
      </w:r>
      <w:r>
        <w:t xml:space="preserve">sa na stave čerpania P SK </w:t>
      </w:r>
      <w:r w:rsidR="00383B98">
        <w:t xml:space="preserve">podieľajú aj projekty územnej samosprávy realizované cez mechanizmus </w:t>
      </w:r>
      <w:r w:rsidR="00383B98" w:rsidRPr="00C036EA">
        <w:t>I</w:t>
      </w:r>
      <w:r>
        <w:t>ÚI</w:t>
      </w:r>
      <w:r w:rsidR="00383B98">
        <w:t xml:space="preserve">. </w:t>
      </w:r>
      <w:r w:rsidR="00383B98" w:rsidRPr="005E7E65">
        <w:t xml:space="preserve">NKÚ SR vzhľadom na pomalé rozbiehanie implementácie vykonal </w:t>
      </w:r>
      <w:r w:rsidR="00383B98">
        <w:t xml:space="preserve">v roku 2025 </w:t>
      </w:r>
      <w:r w:rsidR="00383B98" w:rsidRPr="005E7E65">
        <w:t xml:space="preserve">kontrolu </w:t>
      </w:r>
      <w:r w:rsidR="00383B98">
        <w:t>na riadiacom orgáne MIRRI</w:t>
      </w:r>
      <w:r w:rsidR="00DE6643">
        <w:t xml:space="preserve"> SR</w:t>
      </w:r>
      <w:r w:rsidR="00383B98">
        <w:t xml:space="preserve"> a na </w:t>
      </w:r>
      <w:r w:rsidR="00E126DF">
        <w:t>vzorke riadiacich štruktúr v rámci Košického samosprávneho kraja.</w:t>
      </w:r>
    </w:p>
    <w:p w14:paraId="384A0839" w14:textId="77777777" w:rsidR="00BA6E74" w:rsidRDefault="00BA6E74" w:rsidP="00E126DF"/>
    <w:p w14:paraId="71572210" w14:textId="77777777" w:rsidR="00BA6E74" w:rsidRDefault="00BA6E74" w:rsidP="00E126DF"/>
    <w:p w14:paraId="6619C48C" w14:textId="77777777" w:rsidR="00BA6E74" w:rsidRDefault="00BA6E74" w:rsidP="00E126DF"/>
    <w:p w14:paraId="69231DD3" w14:textId="77777777" w:rsidR="00BA6E74" w:rsidRDefault="00BA6E74" w:rsidP="00E126DF"/>
    <w:p w14:paraId="33B8466A" w14:textId="77777777" w:rsidR="00BA6E74" w:rsidRDefault="00BA6E74" w:rsidP="00E126DF"/>
    <w:tbl>
      <w:tblPr>
        <w:tblStyle w:val="Mriekatabuky"/>
        <w:tblW w:w="0" w:type="auto"/>
        <w:tblBorders>
          <w:top w:val="single" w:sz="4" w:space="0" w:color="314364" w:themeColor="text2"/>
          <w:left w:val="single" w:sz="4" w:space="0" w:color="314364" w:themeColor="text2"/>
          <w:bottom w:val="single" w:sz="4" w:space="0" w:color="314364" w:themeColor="text2"/>
          <w:right w:val="single" w:sz="4" w:space="0" w:color="314364" w:themeColor="text2"/>
          <w:insideH w:val="none" w:sz="0" w:space="0" w:color="auto"/>
          <w:insideV w:val="none" w:sz="0" w:space="0" w:color="auto"/>
        </w:tblBorders>
        <w:shd w:val="clear" w:color="auto" w:fill="EBF0FB" w:themeFill="background2" w:themeFillTint="33"/>
        <w:tblLook w:val="04A0" w:firstRow="1" w:lastRow="0" w:firstColumn="1" w:lastColumn="0" w:noHBand="0" w:noVBand="1"/>
      </w:tblPr>
      <w:tblGrid>
        <w:gridCol w:w="9060"/>
      </w:tblGrid>
      <w:tr w:rsidR="00E126DF" w:rsidRPr="00AE2328" w14:paraId="653E2803" w14:textId="77777777" w:rsidTr="00BB314F">
        <w:tc>
          <w:tcPr>
            <w:tcW w:w="9060" w:type="dxa"/>
            <w:shd w:val="clear" w:color="auto" w:fill="EBF0FB" w:themeFill="background2" w:themeFillTint="33"/>
          </w:tcPr>
          <w:p w14:paraId="4C3A5405" w14:textId="3210CC6C" w:rsidR="00E126DF" w:rsidRPr="00BB314F" w:rsidRDefault="00E126DF" w:rsidP="00BB314F">
            <w:pPr>
              <w:tabs>
                <w:tab w:val="left" w:pos="3024"/>
              </w:tabs>
              <w:rPr>
                <w:b/>
              </w:rPr>
            </w:pPr>
            <w:r w:rsidRPr="00BB314F">
              <w:rPr>
                <w:b/>
              </w:rPr>
              <w:lastRenderedPageBreak/>
              <w:t xml:space="preserve">BOX </w:t>
            </w:r>
            <w:r w:rsidR="00240FAD">
              <w:rPr>
                <w:b/>
              </w:rPr>
              <w:t>4</w:t>
            </w:r>
            <w:r w:rsidRPr="00BB314F">
              <w:rPr>
                <w:b/>
              </w:rPr>
              <w:t>: Čerpanie Programu Slovensko cez mechanizmus Integrovaných územných investícií</w:t>
            </w:r>
          </w:p>
          <w:p w14:paraId="74B61E07" w14:textId="118507ED" w:rsidR="00E126DF" w:rsidRDefault="00E126DF" w:rsidP="00BB314F">
            <w:pPr>
              <w:rPr>
                <w:sz w:val="18"/>
              </w:rPr>
            </w:pPr>
            <w:r>
              <w:rPr>
                <w:b/>
                <w:bCs/>
                <w:sz w:val="18"/>
              </w:rPr>
              <w:t>V štvrtom PO sa z</w:t>
            </w:r>
            <w:r w:rsidRPr="008877BF">
              <w:rPr>
                <w:b/>
                <w:bCs/>
                <w:sz w:val="18"/>
              </w:rPr>
              <w:t>výšila rozhodovacia právomoc samospráv o využití prostriedkov z fondov EÚ.</w:t>
            </w:r>
            <w:r>
              <w:rPr>
                <w:sz w:val="18"/>
              </w:rPr>
              <w:t xml:space="preserve"> O použití takmer jednej pätiny alokácie P SK (</w:t>
            </w:r>
            <w:r w:rsidRPr="007B67B0">
              <w:rPr>
                <w:sz w:val="18"/>
              </w:rPr>
              <w:t>2,41 mld. eur</w:t>
            </w:r>
            <w:r>
              <w:rPr>
                <w:sz w:val="18"/>
              </w:rPr>
              <w:t>) rozhodujú regióny</w:t>
            </w:r>
            <w:r w:rsidRPr="00AE2328">
              <w:rPr>
                <w:sz w:val="18"/>
              </w:rPr>
              <w:t xml:space="preserve"> </w:t>
            </w:r>
            <w:r w:rsidRPr="00C05D89">
              <w:rPr>
                <w:sz w:val="18"/>
              </w:rPr>
              <w:t>prostredníctvom využitia integrovaného územného prístupu k implementácii fondov EÚ</w:t>
            </w:r>
            <w:r>
              <w:rPr>
                <w:sz w:val="18"/>
              </w:rPr>
              <w:t>. Princíp</w:t>
            </w:r>
            <w:r w:rsidRPr="005E5A06">
              <w:rPr>
                <w:sz w:val="18"/>
              </w:rPr>
              <w:t xml:space="preserve"> „zdola nahor“ </w:t>
            </w:r>
            <w:r>
              <w:rPr>
                <w:sz w:val="18"/>
              </w:rPr>
              <w:t>vytvára podmienky pre riešenie špecifických potrieb regiónov podľa požiadaviek</w:t>
            </w:r>
            <w:r w:rsidRPr="005E5A06">
              <w:rPr>
                <w:sz w:val="18"/>
              </w:rPr>
              <w:t xml:space="preserve"> samosprávnych krajov a združení samosprávy ob</w:t>
            </w:r>
            <w:r>
              <w:rPr>
                <w:sz w:val="18"/>
              </w:rPr>
              <w:t>cí (ZMOS, Únia miest Slovenska).</w:t>
            </w:r>
          </w:p>
          <w:p w14:paraId="09AAE70F" w14:textId="77777777" w:rsidR="00E126DF" w:rsidRDefault="00E126DF" w:rsidP="00BB314F">
            <w:pPr>
              <w:rPr>
                <w:sz w:val="18"/>
              </w:rPr>
            </w:pPr>
            <w:r w:rsidRPr="008877BF">
              <w:rPr>
                <w:b/>
                <w:bCs/>
                <w:sz w:val="18"/>
              </w:rPr>
              <w:t xml:space="preserve">Integrovaný územný rozvoj </w:t>
            </w:r>
            <w:r w:rsidRPr="008877BF">
              <w:rPr>
                <w:sz w:val="18"/>
              </w:rPr>
              <w:t>(IÚR)</w:t>
            </w:r>
            <w:r w:rsidRPr="008877BF">
              <w:rPr>
                <w:b/>
                <w:bCs/>
                <w:sz w:val="18"/>
              </w:rPr>
              <w:t xml:space="preserve"> sa realizuje na základe stratégií územného alebo miestneho rozvoja prostredníctvom IÚI.</w:t>
            </w:r>
            <w:r>
              <w:rPr>
                <w:sz w:val="18"/>
              </w:rPr>
              <w:t xml:space="preserve"> Tie</w:t>
            </w:r>
            <w:r w:rsidRPr="005E5A06">
              <w:rPr>
                <w:sz w:val="18"/>
              </w:rPr>
              <w:t xml:space="preserve"> </w:t>
            </w:r>
            <w:r>
              <w:rPr>
                <w:sz w:val="18"/>
              </w:rPr>
              <w:t>sú</w:t>
            </w:r>
            <w:r w:rsidRPr="005E5A06">
              <w:rPr>
                <w:sz w:val="18"/>
              </w:rPr>
              <w:t xml:space="preserve"> definované </w:t>
            </w:r>
            <w:r>
              <w:rPr>
                <w:sz w:val="18"/>
              </w:rPr>
              <w:t>projektovými zámermi</w:t>
            </w:r>
            <w:r w:rsidRPr="005E5A06">
              <w:rPr>
                <w:sz w:val="18"/>
              </w:rPr>
              <w:t xml:space="preserve"> </w:t>
            </w:r>
            <w:r>
              <w:rPr>
                <w:sz w:val="18"/>
              </w:rPr>
              <w:t>IÚI,</w:t>
            </w:r>
            <w:r w:rsidRPr="005E5A06">
              <w:rPr>
                <w:sz w:val="18"/>
              </w:rPr>
              <w:t xml:space="preserve"> pripravený</w:t>
            </w:r>
            <w:r>
              <w:rPr>
                <w:sz w:val="18"/>
              </w:rPr>
              <w:t>mi</w:t>
            </w:r>
            <w:r w:rsidRPr="005E5A06">
              <w:rPr>
                <w:sz w:val="18"/>
              </w:rPr>
              <w:t xml:space="preserve"> v spolupráci regionálnych a miestnych samospráv a</w:t>
            </w:r>
            <w:r>
              <w:rPr>
                <w:sz w:val="18"/>
              </w:rPr>
              <w:t> </w:t>
            </w:r>
            <w:r w:rsidRPr="005E5A06">
              <w:rPr>
                <w:sz w:val="18"/>
              </w:rPr>
              <w:t>partnerov</w:t>
            </w:r>
            <w:r>
              <w:rPr>
                <w:sz w:val="18"/>
              </w:rPr>
              <w:t>.</w:t>
            </w:r>
            <w:r w:rsidRPr="005E5A06">
              <w:rPr>
                <w:sz w:val="18"/>
              </w:rPr>
              <w:t xml:space="preserve"> </w:t>
            </w:r>
            <w:r>
              <w:rPr>
                <w:sz w:val="18"/>
              </w:rPr>
              <w:t>Úlohy regionálnych partnerov sú</w:t>
            </w:r>
            <w:r w:rsidRPr="005E5A06">
              <w:rPr>
                <w:sz w:val="18"/>
              </w:rPr>
              <w:t xml:space="preserve"> vykonávané v rámci vytvorených Rád partnerstva na území krajov</w:t>
            </w:r>
            <w:r>
              <w:rPr>
                <w:sz w:val="18"/>
              </w:rPr>
              <w:t xml:space="preserve"> na úrovni VÚC</w:t>
            </w:r>
            <w:r w:rsidRPr="005E5A06">
              <w:rPr>
                <w:sz w:val="18"/>
              </w:rPr>
              <w:t xml:space="preserve"> a Kooperačných rád udržateľného mestského rozvoja </w:t>
            </w:r>
            <w:r>
              <w:rPr>
                <w:sz w:val="18"/>
              </w:rPr>
              <w:t xml:space="preserve">(UMR) </w:t>
            </w:r>
            <w:r w:rsidRPr="005E5A06">
              <w:rPr>
                <w:sz w:val="18"/>
              </w:rPr>
              <w:t>ako riadiacich štruktúr koordinujúcich procesy plánovania, implementácie a monitorovania.</w:t>
            </w:r>
          </w:p>
          <w:p w14:paraId="7C6EEF4E" w14:textId="507B6AE3" w:rsidR="00E126DF" w:rsidRPr="00BB314F" w:rsidRDefault="00E126DF" w:rsidP="00BB314F">
            <w:pPr>
              <w:pStyle w:val="Textpoznmkypodiarou"/>
              <w:spacing w:after="120"/>
              <w:rPr>
                <w:b/>
                <w:bCs/>
                <w:sz w:val="18"/>
              </w:rPr>
            </w:pPr>
            <w:r w:rsidRPr="00A02B78">
              <w:rPr>
                <w:b/>
                <w:sz w:val="18"/>
              </w:rPr>
              <w:t>Stav čerpania pridelenej alokácie PSK na IÚI ku koncu septembra 2025 je nízky, v prípade 18 UMR dosahuje len 7 % z pridelenej alokácie 994 mil. eur</w:t>
            </w:r>
            <w:r w:rsidRPr="00D83E5D">
              <w:rPr>
                <w:bCs/>
                <w:vertAlign w:val="superscript"/>
              </w:rPr>
              <w:footnoteReference w:id="46"/>
            </w:r>
            <w:r w:rsidRPr="00D83E5D">
              <w:rPr>
                <w:bCs/>
                <w:sz w:val="18"/>
              </w:rPr>
              <w:t xml:space="preserve"> </w:t>
            </w:r>
            <w:r w:rsidRPr="00A02B78">
              <w:rPr>
                <w:b/>
                <w:sz w:val="18"/>
              </w:rPr>
              <w:t xml:space="preserve">a v prípade </w:t>
            </w:r>
            <w:r>
              <w:rPr>
                <w:b/>
                <w:sz w:val="18"/>
              </w:rPr>
              <w:t>ôsmich</w:t>
            </w:r>
            <w:r w:rsidRPr="00A02B78">
              <w:rPr>
                <w:b/>
                <w:sz w:val="18"/>
              </w:rPr>
              <w:t xml:space="preserve"> VÚC </w:t>
            </w:r>
            <w:r>
              <w:rPr>
                <w:b/>
                <w:sz w:val="18"/>
              </w:rPr>
              <w:t>je to 0,2 % z alokácie</w:t>
            </w:r>
            <w:r w:rsidRPr="00A02B78">
              <w:rPr>
                <w:b/>
                <w:sz w:val="18"/>
              </w:rPr>
              <w:t xml:space="preserve"> </w:t>
            </w:r>
            <w:r w:rsidRPr="00D83E5D">
              <w:rPr>
                <w:bCs/>
                <w:sz w:val="18"/>
              </w:rPr>
              <w:t>(1</w:t>
            </w:r>
            <w:r w:rsidRPr="00A02B78">
              <w:rPr>
                <w:bCs/>
                <w:sz w:val="18"/>
              </w:rPr>
              <w:t xml:space="preserve"> 417 mil. eur</w:t>
            </w:r>
            <w:r>
              <w:rPr>
                <w:bCs/>
                <w:sz w:val="18"/>
              </w:rPr>
              <w:t>)</w:t>
            </w:r>
            <w:r w:rsidRPr="00A02B78">
              <w:rPr>
                <w:bCs/>
                <w:vertAlign w:val="superscript"/>
              </w:rPr>
              <w:footnoteReference w:id="47"/>
            </w:r>
            <w:r w:rsidRPr="00A02B78">
              <w:rPr>
                <w:b/>
                <w:sz w:val="18"/>
              </w:rPr>
              <w:t xml:space="preserve">. </w:t>
            </w:r>
            <w:r>
              <w:rPr>
                <w:sz w:val="18"/>
              </w:rPr>
              <w:t xml:space="preserve">K rovnakému termínu stav kontrahovania predstavuje 23 % z alokácie na IÚI. </w:t>
            </w:r>
            <w:r w:rsidRPr="00F045F9">
              <w:rPr>
                <w:b/>
                <w:bCs/>
                <w:sz w:val="18"/>
              </w:rPr>
              <w:t>Vzhľadom k tomu, že už uplynula viac ako polovica obdobia oprávnenosti PO 2021 – 2027,</w:t>
            </w:r>
            <w:r>
              <w:rPr>
                <w:sz w:val="18"/>
              </w:rPr>
              <w:t xml:space="preserve"> </w:t>
            </w:r>
            <w:r w:rsidRPr="007A1CA2">
              <w:rPr>
                <w:b/>
                <w:sz w:val="18"/>
              </w:rPr>
              <w:t>hrozí riziko</w:t>
            </w:r>
            <w:r>
              <w:rPr>
                <w:sz w:val="18"/>
              </w:rPr>
              <w:t xml:space="preserve"> </w:t>
            </w:r>
            <w:r w:rsidRPr="00A02B78">
              <w:rPr>
                <w:b/>
                <w:bCs/>
                <w:sz w:val="18"/>
              </w:rPr>
              <w:t>že sa alokované prostriedky na IÚI</w:t>
            </w:r>
            <w:r>
              <w:rPr>
                <w:sz w:val="18"/>
              </w:rPr>
              <w:t xml:space="preserve"> </w:t>
            </w:r>
            <w:r w:rsidRPr="007A1CA2">
              <w:rPr>
                <w:b/>
                <w:sz w:val="18"/>
              </w:rPr>
              <w:t>nestihnú vyčerpať</w:t>
            </w:r>
            <w:r w:rsidRPr="00A02B78">
              <w:rPr>
                <w:bCs/>
                <w:sz w:val="18"/>
              </w:rPr>
              <w:t>.</w:t>
            </w:r>
            <w:r>
              <w:rPr>
                <w:bCs/>
                <w:sz w:val="18"/>
              </w:rPr>
              <w:t xml:space="preserve"> </w:t>
            </w:r>
            <w:r w:rsidRPr="00BB314F">
              <w:rPr>
                <w:b/>
                <w:bCs/>
                <w:sz w:val="18"/>
              </w:rPr>
              <w:t>Suma, ktorú je potrebné vyčerpať, predstavuje 2,3 mld. eur, čo je 97 % z alokácie na IÚI.</w:t>
            </w:r>
          </w:p>
          <w:p w14:paraId="46DF80C4" w14:textId="653FA6BC" w:rsidR="00E126DF" w:rsidRDefault="00E126DF" w:rsidP="00BB314F">
            <w:pPr>
              <w:rPr>
                <w:sz w:val="18"/>
              </w:rPr>
            </w:pPr>
            <w:r w:rsidRPr="00F045F9">
              <w:rPr>
                <w:b/>
                <w:bCs/>
                <w:sz w:val="18"/>
              </w:rPr>
              <w:t>Kontrola NKÚ SR zistila, že</w:t>
            </w:r>
            <w:r>
              <w:rPr>
                <w:sz w:val="18"/>
              </w:rPr>
              <w:t xml:space="preserve"> </w:t>
            </w:r>
            <w:r w:rsidRPr="007B64C4">
              <w:rPr>
                <w:b/>
                <w:sz w:val="18"/>
              </w:rPr>
              <w:t xml:space="preserve">MIRRI </w:t>
            </w:r>
            <w:r>
              <w:rPr>
                <w:b/>
                <w:sz w:val="18"/>
              </w:rPr>
              <w:t xml:space="preserve">SR </w:t>
            </w:r>
            <w:r w:rsidRPr="00A02B78">
              <w:rPr>
                <w:b/>
                <w:bCs/>
                <w:sz w:val="18"/>
              </w:rPr>
              <w:t>ako gestor IÚR</w:t>
            </w:r>
            <w:r>
              <w:rPr>
                <w:sz w:val="18"/>
              </w:rPr>
              <w:t xml:space="preserve"> </w:t>
            </w:r>
            <w:r w:rsidRPr="007B64C4">
              <w:rPr>
                <w:b/>
                <w:sz w:val="18"/>
              </w:rPr>
              <w:t>včas a jednoznačne nezabezpečil podmienky pre implementáciu IÚI</w:t>
            </w:r>
            <w:r w:rsidRPr="00F045F9">
              <w:rPr>
                <w:b/>
                <w:bCs/>
                <w:sz w:val="18"/>
              </w:rPr>
              <w:t>, čoho výsledkom bol oneskorený začiatok implementácie PSK.</w:t>
            </w:r>
            <w:r>
              <w:rPr>
                <w:sz w:val="18"/>
              </w:rPr>
              <w:t xml:space="preserve"> </w:t>
            </w:r>
            <w:r w:rsidRPr="008F0818">
              <w:rPr>
                <w:sz w:val="18"/>
              </w:rPr>
              <w:t xml:space="preserve">Prvá výzva na </w:t>
            </w:r>
            <w:r>
              <w:rPr>
                <w:sz w:val="18"/>
              </w:rPr>
              <w:t>projektový zámer</w:t>
            </w:r>
            <w:r w:rsidRPr="008F0818">
              <w:rPr>
                <w:sz w:val="18"/>
              </w:rPr>
              <w:t xml:space="preserve"> IÚI bola vyhlásená</w:t>
            </w:r>
            <w:r>
              <w:rPr>
                <w:sz w:val="18"/>
              </w:rPr>
              <w:t xml:space="preserve"> </w:t>
            </w:r>
            <w:r w:rsidRPr="008F0818">
              <w:rPr>
                <w:sz w:val="18"/>
              </w:rPr>
              <w:t xml:space="preserve">v decembri 2023, </w:t>
            </w:r>
            <w:r>
              <w:rPr>
                <w:sz w:val="18"/>
              </w:rPr>
              <w:t>pričom</w:t>
            </w:r>
            <w:r w:rsidRPr="008F0818">
              <w:rPr>
                <w:sz w:val="18"/>
              </w:rPr>
              <w:t xml:space="preserve"> MIRRI SR získal kompetencie </w:t>
            </w:r>
            <w:r w:rsidR="005F41CF">
              <w:rPr>
                <w:sz w:val="18"/>
              </w:rPr>
              <w:t>riadiaceho orgánu</w:t>
            </w:r>
            <w:r w:rsidRPr="008F0818">
              <w:rPr>
                <w:sz w:val="18"/>
              </w:rPr>
              <w:t xml:space="preserve"> v júli 2022.</w:t>
            </w:r>
            <w:r>
              <w:rPr>
                <w:sz w:val="18"/>
              </w:rPr>
              <w:t xml:space="preserve"> Z</w:t>
            </w:r>
            <w:r w:rsidRPr="00570EB1">
              <w:rPr>
                <w:sz w:val="18"/>
              </w:rPr>
              <w:t xml:space="preserve"> dôvodu nejednoznačnosti </w:t>
            </w:r>
            <w:r>
              <w:rPr>
                <w:sz w:val="18"/>
              </w:rPr>
              <w:t>toho</w:t>
            </w:r>
            <w:r w:rsidRPr="00570EB1">
              <w:rPr>
                <w:sz w:val="18"/>
              </w:rPr>
              <w:t xml:space="preserve">, či má vyhlásenie výzvy predchádzať schváleniu </w:t>
            </w:r>
            <w:r>
              <w:rPr>
                <w:sz w:val="18"/>
              </w:rPr>
              <w:t>projektového zámeru</w:t>
            </w:r>
            <w:r w:rsidRPr="00570EB1">
              <w:rPr>
                <w:sz w:val="18"/>
              </w:rPr>
              <w:t xml:space="preserve"> IÚI alebo naopak, dochádzalo k spoma</w:t>
            </w:r>
            <w:r>
              <w:rPr>
                <w:sz w:val="18"/>
              </w:rPr>
              <w:t xml:space="preserve">leniu procesu implementácie IÚI, keďže </w:t>
            </w:r>
            <w:r w:rsidR="005F41CF">
              <w:rPr>
                <w:sz w:val="18"/>
              </w:rPr>
              <w:t>Košický samosprávny kraj</w:t>
            </w:r>
            <w:r>
              <w:rPr>
                <w:sz w:val="18"/>
              </w:rPr>
              <w:t xml:space="preserve"> a UMR Košice</w:t>
            </w:r>
            <w:r w:rsidRPr="00570EB1">
              <w:rPr>
                <w:sz w:val="18"/>
              </w:rPr>
              <w:t xml:space="preserve"> </w:t>
            </w:r>
            <w:r>
              <w:rPr>
                <w:sz w:val="18"/>
              </w:rPr>
              <w:t>čakali</w:t>
            </w:r>
            <w:r w:rsidRPr="00570EB1">
              <w:rPr>
                <w:sz w:val="18"/>
              </w:rPr>
              <w:t xml:space="preserve"> so schvaľovaním projektových zámerov do vyhlásenia výzvy</w:t>
            </w:r>
            <w:r>
              <w:rPr>
                <w:sz w:val="18"/>
              </w:rPr>
              <w:t>,</w:t>
            </w:r>
            <w:r w:rsidRPr="00570EB1">
              <w:rPr>
                <w:sz w:val="18"/>
              </w:rPr>
              <w:t xml:space="preserve"> aby </w:t>
            </w:r>
            <w:r>
              <w:rPr>
                <w:sz w:val="18"/>
              </w:rPr>
              <w:t>n</w:t>
            </w:r>
            <w:r w:rsidRPr="00570EB1">
              <w:rPr>
                <w:sz w:val="18"/>
              </w:rPr>
              <w:t>ebolo potrebné opätovn</w:t>
            </w:r>
            <w:r>
              <w:rPr>
                <w:sz w:val="18"/>
              </w:rPr>
              <w:t>é</w:t>
            </w:r>
            <w:r w:rsidRPr="00570EB1">
              <w:rPr>
                <w:sz w:val="18"/>
              </w:rPr>
              <w:t xml:space="preserve"> schvaľova</w:t>
            </w:r>
            <w:r>
              <w:rPr>
                <w:sz w:val="18"/>
              </w:rPr>
              <w:t>nie</w:t>
            </w:r>
            <w:r w:rsidRPr="00570EB1">
              <w:rPr>
                <w:sz w:val="18"/>
              </w:rPr>
              <w:t>.</w:t>
            </w:r>
            <w:r>
              <w:rPr>
                <w:sz w:val="18"/>
              </w:rPr>
              <w:t xml:space="preserve"> MIRRI SR v roku 2022 nepostupovalo v súlade s </w:t>
            </w:r>
            <w:r w:rsidRPr="00A44472">
              <w:rPr>
                <w:sz w:val="18"/>
              </w:rPr>
              <w:t>princípom partnerstva, keď</w:t>
            </w:r>
            <w:r>
              <w:t xml:space="preserve"> </w:t>
            </w:r>
            <w:r>
              <w:rPr>
                <w:sz w:val="18"/>
              </w:rPr>
              <w:t>n</w:t>
            </w:r>
            <w:r w:rsidRPr="00A44472">
              <w:rPr>
                <w:sz w:val="18"/>
              </w:rPr>
              <w:t>ávrh prvého rozdelenia alokácií medzi jednotlivé opatrenia v rámci špecifických cieľov programu</w:t>
            </w:r>
            <w:r>
              <w:t xml:space="preserve"> </w:t>
            </w:r>
            <w:r>
              <w:rPr>
                <w:sz w:val="18"/>
              </w:rPr>
              <w:t>nebol diskutovaný so zástupcami územia</w:t>
            </w:r>
            <w:r w:rsidRPr="00A44472">
              <w:rPr>
                <w:sz w:val="18"/>
              </w:rPr>
              <w:t xml:space="preserve">. Obe rady </w:t>
            </w:r>
            <w:r>
              <w:rPr>
                <w:sz w:val="18"/>
              </w:rPr>
              <w:t xml:space="preserve">sa </w:t>
            </w:r>
            <w:r w:rsidRPr="00A44472">
              <w:rPr>
                <w:sz w:val="18"/>
              </w:rPr>
              <w:t xml:space="preserve">tak nemali možnosť </w:t>
            </w:r>
            <w:r>
              <w:rPr>
                <w:sz w:val="18"/>
              </w:rPr>
              <w:t xml:space="preserve">zapojiť do rozhodovania o prerozdelení finančných prostriedkov </w:t>
            </w:r>
            <w:r w:rsidRPr="00A44472">
              <w:rPr>
                <w:sz w:val="18"/>
              </w:rPr>
              <w:t>tam, kde bol</w:t>
            </w:r>
            <w:r>
              <w:rPr>
                <w:sz w:val="18"/>
              </w:rPr>
              <w:t>i</w:t>
            </w:r>
            <w:r w:rsidRPr="00A44472">
              <w:rPr>
                <w:sz w:val="18"/>
              </w:rPr>
              <w:t xml:space="preserve"> najviac potrebn</w:t>
            </w:r>
            <w:r>
              <w:rPr>
                <w:sz w:val="18"/>
              </w:rPr>
              <w:t>é</w:t>
            </w:r>
            <w:r w:rsidRPr="00A44472">
              <w:rPr>
                <w:sz w:val="18"/>
              </w:rPr>
              <w:t>.</w:t>
            </w:r>
            <w:r>
              <w:t xml:space="preserve"> </w:t>
            </w:r>
            <w:r w:rsidRPr="00A44472">
              <w:rPr>
                <w:sz w:val="18"/>
              </w:rPr>
              <w:t>Zásadný posun nastal v roku  2024, kedy MIRRI SR pristúpilo k séri</w:t>
            </w:r>
            <w:r>
              <w:rPr>
                <w:sz w:val="18"/>
              </w:rPr>
              <w:t>i</w:t>
            </w:r>
            <w:r w:rsidRPr="00A44472">
              <w:rPr>
                <w:sz w:val="18"/>
              </w:rPr>
              <w:t xml:space="preserve"> diskusií s územnými partnermi s cieľom nasmerovať alokáciu územia do tých opatrení, ktoré sú kľúčové a nosné pre napĺňanie potrieb územia.</w:t>
            </w:r>
          </w:p>
          <w:p w14:paraId="075BBBBE" w14:textId="01631C33" w:rsidR="00E126DF" w:rsidRPr="00EB4521" w:rsidRDefault="00E126DF" w:rsidP="00BB314F">
            <w:pPr>
              <w:rPr>
                <w:sz w:val="18"/>
              </w:rPr>
            </w:pPr>
            <w:r w:rsidRPr="00A02B78">
              <w:rPr>
                <w:b/>
                <w:bCs/>
                <w:sz w:val="18"/>
              </w:rPr>
              <w:t xml:space="preserve">Spoločným znakom </w:t>
            </w:r>
            <w:r>
              <w:rPr>
                <w:b/>
                <w:bCs/>
                <w:sz w:val="18"/>
              </w:rPr>
              <w:t xml:space="preserve">kooperačných rád </w:t>
            </w:r>
            <w:r w:rsidRPr="00A02B78">
              <w:rPr>
                <w:b/>
                <w:bCs/>
                <w:sz w:val="18"/>
              </w:rPr>
              <w:t>KSK a UMR Košice bola dlhodobá nečinnosť a oneskorený nábeh reálnej implementácie projektových aktivít.</w:t>
            </w:r>
            <w:r w:rsidRPr="00AE2328">
              <w:rPr>
                <w:sz w:val="18"/>
              </w:rPr>
              <w:t xml:space="preserve"> </w:t>
            </w:r>
            <w:r>
              <w:rPr>
                <w:sz w:val="18"/>
              </w:rPr>
              <w:t>S</w:t>
            </w:r>
            <w:r w:rsidRPr="00AE2328">
              <w:rPr>
                <w:sz w:val="18"/>
              </w:rPr>
              <w:t>poluprác</w:t>
            </w:r>
            <w:r>
              <w:rPr>
                <w:sz w:val="18"/>
              </w:rPr>
              <w:t>a</w:t>
            </w:r>
            <w:r w:rsidRPr="00AE2328">
              <w:rPr>
                <w:sz w:val="18"/>
              </w:rPr>
              <w:t xml:space="preserve"> medzi oboma radami</w:t>
            </w:r>
            <w:r>
              <w:rPr>
                <w:sz w:val="18"/>
              </w:rPr>
              <w:t xml:space="preserve"> </w:t>
            </w:r>
            <w:r w:rsidRPr="00AE2328">
              <w:rPr>
                <w:sz w:val="18"/>
              </w:rPr>
              <w:t>s cieľom identifikovať synergie a zosúladiť dopady intervencií</w:t>
            </w:r>
            <w:r>
              <w:rPr>
                <w:sz w:val="18"/>
              </w:rPr>
              <w:t xml:space="preserve"> bola</w:t>
            </w:r>
            <w:r w:rsidRPr="00AE2328">
              <w:rPr>
                <w:sz w:val="18"/>
              </w:rPr>
              <w:t xml:space="preserve"> obmedzená a nesystematická. </w:t>
            </w:r>
            <w:r>
              <w:rPr>
                <w:sz w:val="18"/>
              </w:rPr>
              <w:t>R</w:t>
            </w:r>
            <w:r w:rsidRPr="002E4818">
              <w:rPr>
                <w:sz w:val="18"/>
              </w:rPr>
              <w:t xml:space="preserve">ady nemali stanovené kritériá pre výber projektov. </w:t>
            </w:r>
            <w:r>
              <w:rPr>
                <w:sz w:val="18"/>
              </w:rPr>
              <w:t>V</w:t>
            </w:r>
            <w:r w:rsidRPr="002E4818">
              <w:rPr>
                <w:sz w:val="18"/>
              </w:rPr>
              <w:t xml:space="preserve">ýber projektových zámerov IÚI </w:t>
            </w:r>
            <w:r>
              <w:rPr>
                <w:sz w:val="18"/>
              </w:rPr>
              <w:t>prebiehal podľa</w:t>
            </w:r>
            <w:r w:rsidRPr="002E4818">
              <w:rPr>
                <w:sz w:val="18"/>
              </w:rPr>
              <w:t xml:space="preserve"> </w:t>
            </w:r>
            <w:r>
              <w:rPr>
                <w:sz w:val="18"/>
              </w:rPr>
              <w:t xml:space="preserve">stavu </w:t>
            </w:r>
            <w:r w:rsidRPr="002E4818">
              <w:rPr>
                <w:sz w:val="18"/>
              </w:rPr>
              <w:t>pripravenos</w:t>
            </w:r>
            <w:r>
              <w:rPr>
                <w:sz w:val="18"/>
              </w:rPr>
              <w:t>ti projektov, pričom sa n</w:t>
            </w:r>
            <w:r w:rsidRPr="002E4818">
              <w:rPr>
                <w:sz w:val="18"/>
              </w:rPr>
              <w:t xml:space="preserve">eskúmal ich prínos pre územie. </w:t>
            </w:r>
            <w:r w:rsidRPr="00A44472">
              <w:rPr>
                <w:sz w:val="18"/>
              </w:rPr>
              <w:t xml:space="preserve">Preverením projektových zámerov IÚI, ku ktorým boli podpísané </w:t>
            </w:r>
            <w:r>
              <w:rPr>
                <w:sz w:val="18"/>
              </w:rPr>
              <w:t>z</w:t>
            </w:r>
            <w:r w:rsidRPr="00A44472">
              <w:rPr>
                <w:sz w:val="18"/>
              </w:rPr>
              <w:t xml:space="preserve">mluvy o poskytnutí NFP </w:t>
            </w:r>
            <w:r>
              <w:rPr>
                <w:sz w:val="18"/>
              </w:rPr>
              <w:t>bolo zistené</w:t>
            </w:r>
            <w:r w:rsidRPr="00A44472">
              <w:rPr>
                <w:sz w:val="18"/>
              </w:rPr>
              <w:t>, že rady sa</w:t>
            </w:r>
            <w:r>
              <w:rPr>
                <w:sz w:val="18"/>
              </w:rPr>
              <w:t xml:space="preserve"> </w:t>
            </w:r>
            <w:r w:rsidRPr="00A44472">
              <w:rPr>
                <w:sz w:val="18"/>
              </w:rPr>
              <w:t>namiesto komplexných zámerov s rozvojovým potenciálom sústredili najmä na</w:t>
            </w:r>
            <w:r>
              <w:t xml:space="preserve"> </w:t>
            </w:r>
            <w:r w:rsidRPr="00A44472">
              <w:rPr>
                <w:sz w:val="18"/>
              </w:rPr>
              <w:t>čerpanie prostriedkov</w:t>
            </w:r>
            <w:r>
              <w:rPr>
                <w:sz w:val="18"/>
              </w:rPr>
              <w:t>.</w:t>
            </w:r>
            <w:r>
              <w:t xml:space="preserve"> </w:t>
            </w:r>
            <w:r w:rsidRPr="00A44472">
              <w:rPr>
                <w:sz w:val="18"/>
              </w:rPr>
              <w:t xml:space="preserve">Projektmi IÚI si mestá a obce </w:t>
            </w:r>
            <w:r w:rsidR="00564E89">
              <w:rPr>
                <w:sz w:val="18"/>
              </w:rPr>
              <w:t>znižovali</w:t>
            </w:r>
            <w:r w:rsidRPr="00A44472">
              <w:rPr>
                <w:sz w:val="18"/>
              </w:rPr>
              <w:t xml:space="preserve"> investičný dlh</w:t>
            </w:r>
            <w:r>
              <w:rPr>
                <w:sz w:val="18"/>
              </w:rPr>
              <w:t>, pričom prostriedky využívali</w:t>
            </w:r>
            <w:r>
              <w:t xml:space="preserve"> na </w:t>
            </w:r>
            <w:r w:rsidRPr="00A44472">
              <w:rPr>
                <w:sz w:val="18"/>
              </w:rPr>
              <w:t>dl</w:t>
            </w:r>
            <w:r>
              <w:rPr>
                <w:sz w:val="18"/>
              </w:rPr>
              <w:t xml:space="preserve">hodobo zanedbanú infraštruktúru (napr. </w:t>
            </w:r>
            <w:r w:rsidRPr="00401150">
              <w:rPr>
                <w:sz w:val="18"/>
              </w:rPr>
              <w:t>modernizáci</w:t>
            </w:r>
            <w:r>
              <w:rPr>
                <w:sz w:val="18"/>
              </w:rPr>
              <w:t>a</w:t>
            </w:r>
            <w:r w:rsidRPr="00401150">
              <w:rPr>
                <w:sz w:val="18"/>
              </w:rPr>
              <w:t xml:space="preserve"> miestnych komunikácií, revitalizáci</w:t>
            </w:r>
            <w:r>
              <w:rPr>
                <w:sz w:val="18"/>
              </w:rPr>
              <w:t>a</w:t>
            </w:r>
            <w:r w:rsidRPr="00401150">
              <w:rPr>
                <w:sz w:val="18"/>
              </w:rPr>
              <w:t xml:space="preserve"> vnútroblokov, oddychových zón, zelenej infraštruktúry či rekonštrukcie vstupného priestoru pred obecným úradom</w:t>
            </w:r>
            <w:r>
              <w:rPr>
                <w:sz w:val="18"/>
              </w:rPr>
              <w:t>). Išlo o</w:t>
            </w:r>
            <w:r w:rsidRPr="00A44472">
              <w:rPr>
                <w:sz w:val="18"/>
              </w:rPr>
              <w:t xml:space="preserve"> jednoúčelové a izolované projekty</w:t>
            </w:r>
            <w:r>
              <w:rPr>
                <w:sz w:val="18"/>
              </w:rPr>
              <w:t>,</w:t>
            </w:r>
            <w:r w:rsidRPr="00A44472">
              <w:rPr>
                <w:sz w:val="18"/>
              </w:rPr>
              <w:t xml:space="preserve"> realizované na území žiadateľa a bez strategického presahu</w:t>
            </w:r>
            <w:r>
              <w:rPr>
                <w:sz w:val="18"/>
              </w:rPr>
              <w:t xml:space="preserve">, čim nenaplnili zámer IÚI, ktorý </w:t>
            </w:r>
            <w:r w:rsidRPr="00666F96">
              <w:rPr>
                <w:sz w:val="18"/>
              </w:rPr>
              <w:t>spočíva v koordinovano</w:t>
            </w:r>
            <w:r>
              <w:rPr>
                <w:sz w:val="18"/>
              </w:rPr>
              <w:t>m a synergickom rozvoji územia.</w:t>
            </w:r>
          </w:p>
        </w:tc>
      </w:tr>
    </w:tbl>
    <w:p w14:paraId="54433503" w14:textId="77777777" w:rsidR="00E126DF" w:rsidRPr="00440621" w:rsidRDefault="00E126DF" w:rsidP="00440621">
      <w:pPr>
        <w:pStyle w:val="Nadpis2"/>
      </w:pPr>
      <w:bookmarkStart w:id="32" w:name="_Toc210894795"/>
      <w:bookmarkStart w:id="33" w:name="_Toc211249086"/>
      <w:bookmarkStart w:id="34" w:name="_Toc86396377"/>
      <w:bookmarkEnd w:id="30"/>
      <w:bookmarkEnd w:id="31"/>
      <w:r w:rsidRPr="00440621">
        <w:t>Plán obnovy a odolnosti</w:t>
      </w:r>
      <w:bookmarkEnd w:id="32"/>
      <w:bookmarkEnd w:id="33"/>
    </w:p>
    <w:p w14:paraId="59B63201" w14:textId="2F1F9D2D" w:rsidR="00C8132D" w:rsidRDefault="00C8132D" w:rsidP="00C8132D">
      <w:r w:rsidRPr="00516DDB">
        <w:rPr>
          <w:b/>
          <w:bCs/>
        </w:rPr>
        <w:t xml:space="preserve">Rok 2026 je posledným, </w:t>
      </w:r>
      <w:r>
        <w:rPr>
          <w:b/>
          <w:bCs/>
        </w:rPr>
        <w:t>v ktorom</w:t>
      </w:r>
      <w:r w:rsidRPr="00516DDB">
        <w:rPr>
          <w:b/>
          <w:bCs/>
        </w:rPr>
        <w:t xml:space="preserve"> je možné využiť potenciál prostriedkov POO na podporu hospodárskeho rastu Slovenska. </w:t>
      </w:r>
      <w:r>
        <w:t xml:space="preserve">Ide o jedinečný nástroj, slúžiaci na zotavenie ekonomík EÚ po pandémii a riešenie energetickej krízy,  o ktorom EK už  v rámci budúceho obdobia neuvažuje. Vzhľadom </w:t>
      </w:r>
      <w:r>
        <w:lastRenderedPageBreak/>
        <w:t>na nulové spolufinancovanie a jednoduchšie pravidlá implementácie je vážnym konkurentom štrukturálnych fondov.</w:t>
      </w:r>
      <w:r w:rsidRPr="00BA2891">
        <w:t xml:space="preserve"> </w:t>
      </w:r>
      <w:r>
        <w:t>POO sa realizuje prostredníctvom vopred zadefinovaných reforiem a investícií, ktorých plnenie členské krajiny odpočtujú EK v rámci predkladaných žiadostí o platbu.</w:t>
      </w:r>
    </w:p>
    <w:p w14:paraId="0005DCA0" w14:textId="6E89C102" w:rsidR="00516DDB" w:rsidRPr="00065D83" w:rsidRDefault="00516DDB" w:rsidP="00516DDB">
      <w:pPr>
        <w:rPr>
          <w:b/>
          <w:bCs/>
        </w:rPr>
      </w:pPr>
      <w:r w:rsidRPr="00065D83">
        <w:rPr>
          <w:b/>
          <w:bCs/>
        </w:rPr>
        <w:t>S</w:t>
      </w:r>
      <w:r w:rsidR="00FF7F8E">
        <w:rPr>
          <w:b/>
          <w:bCs/>
        </w:rPr>
        <w:t>lovensko k 2. 10. 2025</w:t>
      </w:r>
      <w:r w:rsidRPr="00065D83">
        <w:rPr>
          <w:b/>
          <w:bCs/>
        </w:rPr>
        <w:t xml:space="preserve"> </w:t>
      </w:r>
      <w:r w:rsidR="00FF7F8E">
        <w:rPr>
          <w:b/>
          <w:bCs/>
        </w:rPr>
        <w:t>s</w:t>
      </w:r>
      <w:r w:rsidRPr="00065D83">
        <w:rPr>
          <w:b/>
          <w:bCs/>
        </w:rPr>
        <w:t>pln</w:t>
      </w:r>
      <w:r w:rsidR="00FF7F8E">
        <w:rPr>
          <w:b/>
          <w:bCs/>
        </w:rPr>
        <w:t>ilo</w:t>
      </w:r>
      <w:r w:rsidRPr="00065D83">
        <w:rPr>
          <w:b/>
          <w:bCs/>
        </w:rPr>
        <w:t xml:space="preserve"> </w:t>
      </w:r>
      <w:r w:rsidR="00065D83" w:rsidRPr="00065D83">
        <w:rPr>
          <w:b/>
          <w:bCs/>
        </w:rPr>
        <w:t>42,1 %</w:t>
      </w:r>
      <w:r w:rsidRPr="00065D83">
        <w:rPr>
          <w:b/>
          <w:bCs/>
        </w:rPr>
        <w:t xml:space="preserve"> </w:t>
      </w:r>
      <w:r w:rsidR="00065D83" w:rsidRPr="00065D83">
        <w:rPr>
          <w:b/>
          <w:bCs/>
        </w:rPr>
        <w:t xml:space="preserve">celkového počtu </w:t>
      </w:r>
      <w:r w:rsidRPr="00065D83">
        <w:rPr>
          <w:b/>
          <w:bCs/>
        </w:rPr>
        <w:t>míľnikov a</w:t>
      </w:r>
      <w:r w:rsidR="00065D83" w:rsidRPr="00065D83">
        <w:rPr>
          <w:b/>
          <w:bCs/>
        </w:rPr>
        <w:t> </w:t>
      </w:r>
      <w:r w:rsidRPr="00065D83">
        <w:rPr>
          <w:b/>
          <w:bCs/>
        </w:rPr>
        <w:t>cieľov</w:t>
      </w:r>
      <w:r w:rsidR="00065D83" w:rsidRPr="00065D83">
        <w:rPr>
          <w:b/>
          <w:bCs/>
        </w:rPr>
        <w:t xml:space="preserve"> </w:t>
      </w:r>
      <w:r w:rsidRPr="00065D83">
        <w:rPr>
          <w:b/>
          <w:bCs/>
        </w:rPr>
        <w:t xml:space="preserve">a v súvislosti s tým prijala z EK </w:t>
      </w:r>
      <w:r w:rsidR="004203F8">
        <w:rPr>
          <w:b/>
          <w:bCs/>
        </w:rPr>
        <w:t xml:space="preserve">zatiaľ </w:t>
      </w:r>
      <w:r w:rsidRPr="00065D83">
        <w:rPr>
          <w:b/>
          <w:bCs/>
        </w:rPr>
        <w:t xml:space="preserve">61,9 % prostriedkov alokovaných na POO </w:t>
      </w:r>
      <w:r w:rsidRPr="00065D83">
        <w:t>(tabuľka</w:t>
      </w:r>
      <w:r w:rsidR="003B7772">
        <w:t xml:space="preserve"> </w:t>
      </w:r>
      <w:r w:rsidR="00240FAD">
        <w:t>8</w:t>
      </w:r>
      <w:r w:rsidRPr="00065D83">
        <w:t>)</w:t>
      </w:r>
      <w:r w:rsidRPr="00065D83">
        <w:rPr>
          <w:b/>
          <w:bCs/>
        </w:rPr>
        <w:t xml:space="preserve">. </w:t>
      </w:r>
    </w:p>
    <w:p w14:paraId="7BED9BEC" w14:textId="37B3E05D" w:rsidR="00516DDB" w:rsidRPr="008F29A5" w:rsidRDefault="00516DDB" w:rsidP="00516DDB">
      <w:pPr>
        <w:spacing w:after="0"/>
        <w:rPr>
          <w:b/>
          <w:iCs/>
          <w:color w:val="314364"/>
          <w:szCs w:val="18"/>
        </w:rPr>
      </w:pPr>
      <w:r w:rsidRPr="008F29A5">
        <w:rPr>
          <w:b/>
          <w:iCs/>
          <w:color w:val="314364"/>
          <w:szCs w:val="18"/>
        </w:rPr>
        <w:t>Tabuľka</w:t>
      </w:r>
      <w:r w:rsidR="003B7772">
        <w:rPr>
          <w:b/>
          <w:iCs/>
          <w:color w:val="314364"/>
          <w:szCs w:val="18"/>
        </w:rPr>
        <w:t xml:space="preserve"> </w:t>
      </w:r>
      <w:r w:rsidR="00240FAD">
        <w:rPr>
          <w:b/>
          <w:iCs/>
          <w:color w:val="314364"/>
          <w:szCs w:val="18"/>
        </w:rPr>
        <w:t>8</w:t>
      </w:r>
      <w:r w:rsidRPr="008F29A5">
        <w:rPr>
          <w:b/>
          <w:iCs/>
          <w:color w:val="314364"/>
          <w:szCs w:val="18"/>
        </w:rPr>
        <w:t>: Stav plnenia opatrení a prijatých platieb z EK v rámci POO</w:t>
      </w:r>
      <w:r>
        <w:rPr>
          <w:b/>
          <w:iCs/>
          <w:color w:val="314364"/>
          <w:szCs w:val="18"/>
        </w:rPr>
        <w:t xml:space="preserve"> k 2.</w:t>
      </w:r>
      <w:r w:rsidR="00065D83">
        <w:rPr>
          <w:b/>
          <w:iCs/>
          <w:color w:val="314364"/>
          <w:szCs w:val="18"/>
        </w:rPr>
        <w:t xml:space="preserve"> </w:t>
      </w:r>
      <w:r>
        <w:rPr>
          <w:b/>
          <w:iCs/>
          <w:color w:val="314364"/>
          <w:szCs w:val="18"/>
        </w:rPr>
        <w:t>10.</w:t>
      </w:r>
      <w:r w:rsidR="00065D83">
        <w:rPr>
          <w:b/>
          <w:iCs/>
          <w:color w:val="314364"/>
          <w:szCs w:val="18"/>
        </w:rPr>
        <w:t xml:space="preserve"> </w:t>
      </w:r>
      <w:r>
        <w:rPr>
          <w:b/>
          <w:iCs/>
          <w:color w:val="314364"/>
          <w:szCs w:val="18"/>
        </w:rPr>
        <w:t>2025</w:t>
      </w:r>
      <w:r w:rsidRPr="008F29A5">
        <w:rPr>
          <w:b/>
          <w:iCs/>
          <w:color w:val="314364"/>
          <w:szCs w:val="18"/>
        </w:rPr>
        <w:t xml:space="preserve"> (v mil. eur)</w:t>
      </w:r>
    </w:p>
    <w:tbl>
      <w:tblPr>
        <w:tblW w:w="0" w:type="auto"/>
        <w:tblCellMar>
          <w:left w:w="70" w:type="dxa"/>
          <w:right w:w="70" w:type="dxa"/>
        </w:tblCellMar>
        <w:tblLook w:val="04A0" w:firstRow="1" w:lastRow="0" w:firstColumn="1" w:lastColumn="0" w:noHBand="0" w:noVBand="1"/>
      </w:tblPr>
      <w:tblGrid>
        <w:gridCol w:w="1727"/>
        <w:gridCol w:w="1392"/>
        <w:gridCol w:w="767"/>
        <w:gridCol w:w="1093"/>
        <w:gridCol w:w="1058"/>
        <w:gridCol w:w="1188"/>
        <w:gridCol w:w="1002"/>
        <w:gridCol w:w="843"/>
      </w:tblGrid>
      <w:tr w:rsidR="00516DDB" w:rsidRPr="008F29A5" w14:paraId="36A09759" w14:textId="77777777" w:rsidTr="00392A41">
        <w:trPr>
          <w:trHeight w:val="283"/>
        </w:trPr>
        <w:tc>
          <w:tcPr>
            <w:tcW w:w="1727" w:type="dxa"/>
            <w:vMerge w:val="restart"/>
            <w:tcBorders>
              <w:top w:val="nil"/>
              <w:left w:val="nil"/>
              <w:bottom w:val="nil"/>
            </w:tcBorders>
            <w:shd w:val="clear" w:color="000000" w:fill="314364"/>
            <w:vAlign w:val="center"/>
            <w:hideMark/>
          </w:tcPr>
          <w:p w14:paraId="6583969C" w14:textId="77777777" w:rsidR="00516DDB" w:rsidRPr="008F29A5" w:rsidRDefault="00516DDB" w:rsidP="00392A41">
            <w:pPr>
              <w:spacing w:after="0" w:line="240" w:lineRule="auto"/>
              <w:jc w:val="center"/>
              <w:rPr>
                <w:rFonts w:eastAsia="Times New Roman" w:cs="Segoe UI"/>
                <w:b/>
                <w:bCs/>
                <w:color w:val="FFFFFF"/>
                <w:sz w:val="18"/>
                <w:szCs w:val="18"/>
                <w:lang w:eastAsia="sk-SK"/>
              </w:rPr>
            </w:pPr>
            <w:r w:rsidRPr="008F29A5">
              <w:rPr>
                <w:rFonts w:eastAsia="Times New Roman" w:cs="Segoe UI"/>
                <w:b/>
                <w:bCs/>
                <w:color w:val="FFFFFF"/>
                <w:sz w:val="18"/>
                <w:szCs w:val="18"/>
                <w:lang w:eastAsia="sk-SK"/>
              </w:rPr>
              <w:t>Identifikácia platby</w:t>
            </w:r>
          </w:p>
        </w:tc>
        <w:tc>
          <w:tcPr>
            <w:tcW w:w="1392" w:type="dxa"/>
            <w:vMerge w:val="restart"/>
            <w:tcBorders>
              <w:top w:val="nil"/>
              <w:bottom w:val="nil"/>
            </w:tcBorders>
            <w:shd w:val="clear" w:color="000000" w:fill="314364"/>
            <w:vAlign w:val="center"/>
            <w:hideMark/>
          </w:tcPr>
          <w:p w14:paraId="0435B944" w14:textId="77777777" w:rsidR="00516DDB" w:rsidRPr="008F29A5" w:rsidRDefault="00516DDB" w:rsidP="00392A41">
            <w:pPr>
              <w:spacing w:after="0" w:line="240" w:lineRule="auto"/>
              <w:jc w:val="center"/>
              <w:rPr>
                <w:rFonts w:eastAsia="Times New Roman" w:cs="Segoe UI"/>
                <w:b/>
                <w:bCs/>
                <w:color w:val="FFFFFF"/>
                <w:sz w:val="18"/>
                <w:szCs w:val="18"/>
                <w:lang w:eastAsia="sk-SK"/>
              </w:rPr>
            </w:pPr>
            <w:r w:rsidRPr="008F29A5">
              <w:rPr>
                <w:rFonts w:eastAsia="Times New Roman" w:cs="Segoe UI"/>
                <w:b/>
                <w:bCs/>
                <w:color w:val="FFFFFF"/>
                <w:sz w:val="18"/>
                <w:szCs w:val="18"/>
                <w:lang w:eastAsia="sk-SK"/>
              </w:rPr>
              <w:t>Dátum vyplatenia prostriedkov</w:t>
            </w:r>
          </w:p>
        </w:tc>
        <w:tc>
          <w:tcPr>
            <w:tcW w:w="767" w:type="dxa"/>
            <w:vMerge w:val="restart"/>
            <w:tcBorders>
              <w:top w:val="nil"/>
              <w:bottom w:val="nil"/>
            </w:tcBorders>
            <w:shd w:val="clear" w:color="000000" w:fill="314364"/>
            <w:vAlign w:val="center"/>
            <w:hideMark/>
          </w:tcPr>
          <w:p w14:paraId="1C1109F9" w14:textId="77777777" w:rsidR="00516DDB" w:rsidRPr="008F29A5" w:rsidRDefault="00516DDB" w:rsidP="00392A41">
            <w:pPr>
              <w:spacing w:after="0" w:line="240" w:lineRule="auto"/>
              <w:jc w:val="center"/>
              <w:rPr>
                <w:rFonts w:eastAsia="Times New Roman" w:cs="Segoe UI"/>
                <w:b/>
                <w:bCs/>
                <w:color w:val="FFFFFF"/>
                <w:sz w:val="18"/>
                <w:szCs w:val="18"/>
                <w:lang w:eastAsia="sk-SK"/>
              </w:rPr>
            </w:pPr>
            <w:r w:rsidRPr="008F29A5">
              <w:rPr>
                <w:rFonts w:eastAsia="Times New Roman" w:cs="Segoe UI"/>
                <w:b/>
                <w:bCs/>
                <w:color w:val="FFFFFF"/>
                <w:sz w:val="18"/>
                <w:szCs w:val="18"/>
                <w:lang w:eastAsia="sk-SK"/>
              </w:rPr>
              <w:t>Suma</w:t>
            </w:r>
          </w:p>
        </w:tc>
        <w:tc>
          <w:tcPr>
            <w:tcW w:w="0" w:type="auto"/>
            <w:vMerge w:val="restart"/>
            <w:tcBorders>
              <w:top w:val="nil"/>
              <w:bottom w:val="nil"/>
            </w:tcBorders>
            <w:shd w:val="clear" w:color="000000" w:fill="314364"/>
            <w:vAlign w:val="center"/>
            <w:hideMark/>
          </w:tcPr>
          <w:p w14:paraId="54B845A3" w14:textId="77777777" w:rsidR="00516DDB" w:rsidRPr="008F29A5" w:rsidRDefault="00516DDB" w:rsidP="00392A41">
            <w:pPr>
              <w:spacing w:after="0" w:line="240" w:lineRule="auto"/>
              <w:jc w:val="center"/>
              <w:rPr>
                <w:rFonts w:eastAsia="Times New Roman" w:cs="Segoe UI"/>
                <w:b/>
                <w:bCs/>
                <w:color w:val="FFFFFF"/>
                <w:sz w:val="18"/>
                <w:szCs w:val="18"/>
                <w:lang w:eastAsia="sk-SK"/>
              </w:rPr>
            </w:pPr>
            <w:r w:rsidRPr="008F29A5">
              <w:rPr>
                <w:rFonts w:eastAsia="Times New Roman" w:cs="Segoe UI"/>
                <w:b/>
                <w:bCs/>
                <w:color w:val="FFFFFF"/>
                <w:sz w:val="18"/>
                <w:szCs w:val="18"/>
                <w:lang w:eastAsia="sk-SK"/>
              </w:rPr>
              <w:t>Splnené opatrenia</w:t>
            </w:r>
          </w:p>
        </w:tc>
        <w:tc>
          <w:tcPr>
            <w:tcW w:w="0" w:type="auto"/>
            <w:gridSpan w:val="2"/>
            <w:tcBorders>
              <w:top w:val="nil"/>
              <w:bottom w:val="single" w:sz="4" w:space="0" w:color="FFFFFF" w:themeColor="background1"/>
              <w:right w:val="single" w:sz="4" w:space="0" w:color="FFFFFF" w:themeColor="background1"/>
            </w:tcBorders>
            <w:shd w:val="clear" w:color="000000" w:fill="314364"/>
            <w:vAlign w:val="center"/>
            <w:hideMark/>
          </w:tcPr>
          <w:p w14:paraId="3C545030" w14:textId="77777777" w:rsidR="00516DDB" w:rsidRPr="008F29A5" w:rsidRDefault="00516DDB" w:rsidP="00392A41">
            <w:pPr>
              <w:spacing w:after="0" w:line="240" w:lineRule="auto"/>
              <w:jc w:val="center"/>
              <w:rPr>
                <w:rFonts w:eastAsia="Times New Roman" w:cs="Segoe UI"/>
                <w:b/>
                <w:bCs/>
                <w:iCs/>
                <w:color w:val="FFFFFF"/>
                <w:sz w:val="18"/>
                <w:szCs w:val="18"/>
                <w:lang w:eastAsia="sk-SK"/>
              </w:rPr>
            </w:pPr>
            <w:r w:rsidRPr="008F29A5">
              <w:rPr>
                <w:rFonts w:eastAsia="Times New Roman" w:cs="Segoe UI"/>
                <w:b/>
                <w:bCs/>
                <w:iCs/>
                <w:color w:val="FFFFFF"/>
                <w:sz w:val="18"/>
                <w:szCs w:val="18"/>
                <w:lang w:eastAsia="sk-SK"/>
              </w:rPr>
              <w:t>Splnené opatrenia v členení na reformy/investície</w:t>
            </w:r>
          </w:p>
        </w:tc>
        <w:tc>
          <w:tcPr>
            <w:tcW w:w="0" w:type="auto"/>
            <w:gridSpan w:val="2"/>
            <w:tcBorders>
              <w:top w:val="nil"/>
              <w:left w:val="single" w:sz="4" w:space="0" w:color="FFFFFF" w:themeColor="background1"/>
              <w:bottom w:val="single" w:sz="4" w:space="0" w:color="FFFFFF" w:themeColor="background1"/>
              <w:right w:val="nil"/>
            </w:tcBorders>
            <w:shd w:val="clear" w:color="000000" w:fill="314364"/>
            <w:vAlign w:val="center"/>
            <w:hideMark/>
          </w:tcPr>
          <w:p w14:paraId="09951057" w14:textId="77777777" w:rsidR="00516DDB" w:rsidRPr="008F29A5" w:rsidRDefault="00516DDB" w:rsidP="00392A41">
            <w:pPr>
              <w:spacing w:after="0" w:line="240" w:lineRule="auto"/>
              <w:jc w:val="center"/>
              <w:rPr>
                <w:rFonts w:eastAsia="Times New Roman" w:cs="Segoe UI"/>
                <w:b/>
                <w:bCs/>
                <w:iCs/>
                <w:color w:val="FFFFFF"/>
                <w:sz w:val="18"/>
                <w:szCs w:val="18"/>
                <w:lang w:eastAsia="sk-SK"/>
              </w:rPr>
            </w:pPr>
            <w:r w:rsidRPr="008F29A5">
              <w:rPr>
                <w:rFonts w:eastAsia="Times New Roman" w:cs="Segoe UI"/>
                <w:b/>
                <w:bCs/>
                <w:iCs/>
                <w:color w:val="FFFFFF"/>
                <w:sz w:val="18"/>
                <w:szCs w:val="18"/>
                <w:lang w:eastAsia="sk-SK"/>
              </w:rPr>
              <w:t>Splnené opatrenia v členení na míľniky/ciele</w:t>
            </w:r>
          </w:p>
        </w:tc>
      </w:tr>
      <w:tr w:rsidR="00516DDB" w:rsidRPr="008F29A5" w14:paraId="33F5600B" w14:textId="77777777" w:rsidTr="00392A41">
        <w:trPr>
          <w:trHeight w:val="283"/>
        </w:trPr>
        <w:tc>
          <w:tcPr>
            <w:tcW w:w="1727" w:type="dxa"/>
            <w:vMerge/>
            <w:tcBorders>
              <w:top w:val="nil"/>
              <w:left w:val="nil"/>
              <w:bottom w:val="nil"/>
            </w:tcBorders>
            <w:vAlign w:val="center"/>
            <w:hideMark/>
          </w:tcPr>
          <w:p w14:paraId="49DAFE95" w14:textId="77777777" w:rsidR="00516DDB" w:rsidRPr="008F29A5" w:rsidRDefault="00516DDB" w:rsidP="00392A41">
            <w:pPr>
              <w:spacing w:after="0" w:line="240" w:lineRule="auto"/>
              <w:jc w:val="center"/>
              <w:rPr>
                <w:rFonts w:eastAsia="Times New Roman" w:cs="Segoe UI"/>
                <w:b/>
                <w:bCs/>
                <w:color w:val="FFFFFF"/>
                <w:sz w:val="18"/>
                <w:szCs w:val="18"/>
                <w:lang w:eastAsia="sk-SK"/>
              </w:rPr>
            </w:pPr>
          </w:p>
        </w:tc>
        <w:tc>
          <w:tcPr>
            <w:tcW w:w="1392" w:type="dxa"/>
            <w:vMerge/>
            <w:tcBorders>
              <w:top w:val="nil"/>
              <w:bottom w:val="nil"/>
            </w:tcBorders>
            <w:vAlign w:val="center"/>
            <w:hideMark/>
          </w:tcPr>
          <w:p w14:paraId="71657E61" w14:textId="77777777" w:rsidR="00516DDB" w:rsidRPr="008F29A5" w:rsidRDefault="00516DDB" w:rsidP="00392A41">
            <w:pPr>
              <w:spacing w:after="0" w:line="240" w:lineRule="auto"/>
              <w:jc w:val="center"/>
              <w:rPr>
                <w:rFonts w:eastAsia="Times New Roman" w:cs="Segoe UI"/>
                <w:b/>
                <w:bCs/>
                <w:color w:val="FFFFFF"/>
                <w:sz w:val="18"/>
                <w:szCs w:val="18"/>
                <w:lang w:eastAsia="sk-SK"/>
              </w:rPr>
            </w:pPr>
          </w:p>
        </w:tc>
        <w:tc>
          <w:tcPr>
            <w:tcW w:w="767" w:type="dxa"/>
            <w:vMerge/>
            <w:tcBorders>
              <w:top w:val="nil"/>
            </w:tcBorders>
            <w:vAlign w:val="center"/>
            <w:hideMark/>
          </w:tcPr>
          <w:p w14:paraId="5DAE50CA" w14:textId="77777777" w:rsidR="00516DDB" w:rsidRPr="008F29A5" w:rsidRDefault="00516DDB" w:rsidP="00392A41">
            <w:pPr>
              <w:spacing w:after="0" w:line="240" w:lineRule="auto"/>
              <w:jc w:val="center"/>
              <w:rPr>
                <w:rFonts w:eastAsia="Times New Roman" w:cs="Segoe UI"/>
                <w:b/>
                <w:bCs/>
                <w:color w:val="FFFFFF"/>
                <w:sz w:val="18"/>
                <w:szCs w:val="18"/>
                <w:lang w:eastAsia="sk-SK"/>
              </w:rPr>
            </w:pPr>
          </w:p>
        </w:tc>
        <w:tc>
          <w:tcPr>
            <w:tcW w:w="0" w:type="auto"/>
            <w:vMerge/>
            <w:tcBorders>
              <w:top w:val="nil"/>
              <w:bottom w:val="nil"/>
            </w:tcBorders>
            <w:vAlign w:val="center"/>
            <w:hideMark/>
          </w:tcPr>
          <w:p w14:paraId="035E3179" w14:textId="77777777" w:rsidR="00516DDB" w:rsidRPr="008F29A5" w:rsidRDefault="00516DDB" w:rsidP="00392A41">
            <w:pPr>
              <w:spacing w:after="0" w:line="240" w:lineRule="auto"/>
              <w:jc w:val="center"/>
              <w:rPr>
                <w:rFonts w:eastAsia="Times New Roman" w:cs="Segoe UI"/>
                <w:b/>
                <w:bCs/>
                <w:color w:val="FFFFFF"/>
                <w:sz w:val="18"/>
                <w:szCs w:val="18"/>
                <w:lang w:eastAsia="sk-SK"/>
              </w:rPr>
            </w:pPr>
          </w:p>
        </w:tc>
        <w:tc>
          <w:tcPr>
            <w:tcW w:w="0" w:type="auto"/>
            <w:tcBorders>
              <w:top w:val="single" w:sz="4" w:space="0" w:color="FFFFFF" w:themeColor="background1"/>
              <w:bottom w:val="nil"/>
              <w:right w:val="single" w:sz="4" w:space="0" w:color="FFFFFF" w:themeColor="background1"/>
            </w:tcBorders>
            <w:shd w:val="clear" w:color="000000" w:fill="314364"/>
            <w:vAlign w:val="center"/>
            <w:hideMark/>
          </w:tcPr>
          <w:p w14:paraId="4F9CAB80" w14:textId="77777777" w:rsidR="00516DDB" w:rsidRPr="008F29A5" w:rsidRDefault="00516DDB" w:rsidP="00392A41">
            <w:pPr>
              <w:spacing w:after="0" w:line="240" w:lineRule="auto"/>
              <w:jc w:val="center"/>
              <w:rPr>
                <w:rFonts w:eastAsia="Times New Roman" w:cs="Segoe UI"/>
                <w:b/>
                <w:bCs/>
                <w:iCs/>
                <w:color w:val="FFFFFF"/>
                <w:sz w:val="18"/>
                <w:szCs w:val="18"/>
                <w:lang w:eastAsia="sk-SK"/>
              </w:rPr>
            </w:pPr>
            <w:r w:rsidRPr="008F29A5">
              <w:rPr>
                <w:rFonts w:eastAsia="Times New Roman" w:cs="Segoe UI"/>
                <w:b/>
                <w:bCs/>
                <w:iCs/>
                <w:color w:val="FFFFFF"/>
                <w:sz w:val="18"/>
                <w:szCs w:val="18"/>
                <w:lang w:eastAsia="sk-SK"/>
              </w:rPr>
              <w:t>reformy</w:t>
            </w:r>
          </w:p>
        </w:tc>
        <w:tc>
          <w:tcPr>
            <w:tcW w:w="0" w:type="auto"/>
            <w:tcBorders>
              <w:top w:val="single" w:sz="4" w:space="0" w:color="FFFFFF" w:themeColor="background1"/>
              <w:left w:val="single" w:sz="4" w:space="0" w:color="FFFFFF" w:themeColor="background1"/>
              <w:right w:val="single" w:sz="4" w:space="0" w:color="FFFFFF" w:themeColor="background1"/>
            </w:tcBorders>
            <w:shd w:val="clear" w:color="000000" w:fill="314364"/>
            <w:vAlign w:val="center"/>
            <w:hideMark/>
          </w:tcPr>
          <w:p w14:paraId="486C1E59" w14:textId="77777777" w:rsidR="00516DDB" w:rsidRPr="008F29A5" w:rsidRDefault="00516DDB" w:rsidP="00392A41">
            <w:pPr>
              <w:spacing w:after="0" w:line="240" w:lineRule="auto"/>
              <w:jc w:val="center"/>
              <w:rPr>
                <w:rFonts w:eastAsia="Times New Roman" w:cs="Segoe UI"/>
                <w:b/>
                <w:bCs/>
                <w:iCs/>
                <w:color w:val="FFFFFF"/>
                <w:sz w:val="18"/>
                <w:szCs w:val="18"/>
                <w:lang w:eastAsia="sk-SK"/>
              </w:rPr>
            </w:pPr>
            <w:r w:rsidRPr="008F29A5">
              <w:rPr>
                <w:rFonts w:eastAsia="Times New Roman" w:cs="Segoe UI"/>
                <w:b/>
                <w:bCs/>
                <w:iCs/>
                <w:color w:val="FFFFFF"/>
                <w:sz w:val="18"/>
                <w:szCs w:val="18"/>
                <w:lang w:eastAsia="sk-SK"/>
              </w:rPr>
              <w:t>investície</w:t>
            </w:r>
          </w:p>
        </w:tc>
        <w:tc>
          <w:tcPr>
            <w:tcW w:w="0" w:type="auto"/>
            <w:tcBorders>
              <w:top w:val="single" w:sz="4" w:space="0" w:color="FFFFFF" w:themeColor="background1"/>
              <w:left w:val="single" w:sz="4" w:space="0" w:color="FFFFFF" w:themeColor="background1"/>
              <w:bottom w:val="nil"/>
              <w:right w:val="single" w:sz="4" w:space="0" w:color="FFFFFF" w:themeColor="background1"/>
            </w:tcBorders>
            <w:shd w:val="clear" w:color="000000" w:fill="314364"/>
            <w:vAlign w:val="center"/>
            <w:hideMark/>
          </w:tcPr>
          <w:p w14:paraId="76D515CB" w14:textId="77777777" w:rsidR="00516DDB" w:rsidRPr="008F29A5" w:rsidRDefault="00516DDB" w:rsidP="00392A41">
            <w:pPr>
              <w:spacing w:after="0" w:line="240" w:lineRule="auto"/>
              <w:jc w:val="center"/>
              <w:rPr>
                <w:rFonts w:eastAsia="Times New Roman" w:cs="Segoe UI"/>
                <w:b/>
                <w:bCs/>
                <w:iCs/>
                <w:color w:val="FFFFFF"/>
                <w:sz w:val="18"/>
                <w:szCs w:val="18"/>
                <w:lang w:eastAsia="sk-SK"/>
              </w:rPr>
            </w:pPr>
            <w:r w:rsidRPr="008F29A5">
              <w:rPr>
                <w:rFonts w:eastAsia="Times New Roman" w:cs="Segoe UI"/>
                <w:b/>
                <w:bCs/>
                <w:iCs/>
                <w:color w:val="FFFFFF"/>
                <w:sz w:val="18"/>
                <w:szCs w:val="18"/>
                <w:lang w:eastAsia="sk-SK"/>
              </w:rPr>
              <w:t>míľniky</w:t>
            </w:r>
          </w:p>
        </w:tc>
        <w:tc>
          <w:tcPr>
            <w:tcW w:w="0" w:type="auto"/>
            <w:tcBorders>
              <w:top w:val="single" w:sz="4" w:space="0" w:color="FFFFFF" w:themeColor="background1"/>
              <w:left w:val="single" w:sz="4" w:space="0" w:color="FFFFFF" w:themeColor="background1"/>
              <w:bottom w:val="nil"/>
              <w:right w:val="nil"/>
            </w:tcBorders>
            <w:shd w:val="clear" w:color="000000" w:fill="314364"/>
            <w:vAlign w:val="center"/>
            <w:hideMark/>
          </w:tcPr>
          <w:p w14:paraId="67B2084D" w14:textId="77777777" w:rsidR="00516DDB" w:rsidRPr="008F29A5" w:rsidRDefault="00516DDB" w:rsidP="00392A41">
            <w:pPr>
              <w:spacing w:after="0" w:line="240" w:lineRule="auto"/>
              <w:jc w:val="center"/>
              <w:rPr>
                <w:rFonts w:eastAsia="Times New Roman" w:cs="Segoe UI"/>
                <w:b/>
                <w:bCs/>
                <w:iCs/>
                <w:color w:val="FFFFFF"/>
                <w:sz w:val="18"/>
                <w:szCs w:val="18"/>
                <w:lang w:eastAsia="sk-SK"/>
              </w:rPr>
            </w:pPr>
            <w:r w:rsidRPr="008F29A5">
              <w:rPr>
                <w:rFonts w:eastAsia="Times New Roman" w:cs="Segoe UI"/>
                <w:b/>
                <w:bCs/>
                <w:iCs/>
                <w:color w:val="FFFFFF"/>
                <w:sz w:val="18"/>
                <w:szCs w:val="18"/>
                <w:lang w:eastAsia="sk-SK"/>
              </w:rPr>
              <w:t>ciele</w:t>
            </w:r>
          </w:p>
        </w:tc>
      </w:tr>
      <w:tr w:rsidR="00516DDB" w:rsidRPr="008F29A5" w14:paraId="71AF4156" w14:textId="77777777" w:rsidTr="00392A41">
        <w:trPr>
          <w:trHeight w:val="283"/>
        </w:trPr>
        <w:tc>
          <w:tcPr>
            <w:tcW w:w="1727" w:type="dxa"/>
            <w:tcBorders>
              <w:top w:val="nil"/>
              <w:left w:val="single" w:sz="8" w:space="0" w:color="FFFFFF"/>
              <w:bottom w:val="nil"/>
            </w:tcBorders>
            <w:shd w:val="clear" w:color="000000" w:fill="FFFFFF"/>
            <w:vAlign w:val="center"/>
            <w:hideMark/>
          </w:tcPr>
          <w:p w14:paraId="67725950" w14:textId="77777777" w:rsidR="00516DDB" w:rsidRPr="008F29A5" w:rsidRDefault="00516DDB" w:rsidP="00392A41">
            <w:pPr>
              <w:spacing w:after="0" w:line="240" w:lineRule="auto"/>
              <w:jc w:val="left"/>
              <w:rPr>
                <w:rFonts w:eastAsia="Times New Roman" w:cs="Segoe UI"/>
                <w:color w:val="000000"/>
                <w:sz w:val="18"/>
                <w:szCs w:val="18"/>
                <w:lang w:eastAsia="sk-SK"/>
              </w:rPr>
            </w:pPr>
            <w:r w:rsidRPr="008F29A5">
              <w:rPr>
                <w:rFonts w:eastAsia="Times New Roman" w:cs="Segoe UI"/>
                <w:color w:val="000000"/>
                <w:sz w:val="18"/>
                <w:szCs w:val="18"/>
                <w:lang w:eastAsia="sk-SK"/>
              </w:rPr>
              <w:t>5. priebežná platba</w:t>
            </w:r>
          </w:p>
        </w:tc>
        <w:tc>
          <w:tcPr>
            <w:tcW w:w="1392" w:type="dxa"/>
            <w:tcBorders>
              <w:top w:val="nil"/>
              <w:bottom w:val="nil"/>
            </w:tcBorders>
            <w:shd w:val="clear" w:color="000000" w:fill="FFFFFF"/>
            <w:noWrap/>
            <w:vAlign w:val="center"/>
            <w:hideMark/>
          </w:tcPr>
          <w:p w14:paraId="28D951AB"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10.7.2025</w:t>
            </w:r>
          </w:p>
        </w:tc>
        <w:tc>
          <w:tcPr>
            <w:tcW w:w="767" w:type="dxa"/>
            <w:tcBorders>
              <w:top w:val="nil"/>
              <w:bottom w:val="nil"/>
            </w:tcBorders>
            <w:shd w:val="clear" w:color="000000" w:fill="FFFFFF"/>
            <w:noWrap/>
            <w:vAlign w:val="center"/>
            <w:hideMark/>
          </w:tcPr>
          <w:p w14:paraId="341ECD69"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492,0</w:t>
            </w:r>
          </w:p>
        </w:tc>
        <w:tc>
          <w:tcPr>
            <w:tcW w:w="0" w:type="auto"/>
            <w:tcBorders>
              <w:top w:val="nil"/>
              <w:bottom w:val="nil"/>
            </w:tcBorders>
            <w:shd w:val="clear" w:color="000000" w:fill="FFFFFF"/>
            <w:noWrap/>
            <w:vAlign w:val="center"/>
            <w:hideMark/>
          </w:tcPr>
          <w:p w14:paraId="1CBB0924" w14:textId="77777777" w:rsidR="00516DDB" w:rsidRPr="008F29A5" w:rsidRDefault="00516DDB" w:rsidP="00392A41">
            <w:pPr>
              <w:spacing w:after="0" w:line="240" w:lineRule="auto"/>
              <w:jc w:val="center"/>
              <w:rPr>
                <w:rFonts w:eastAsia="Times New Roman" w:cs="Segoe UI"/>
                <w:b/>
                <w:bCs/>
                <w:color w:val="000000"/>
                <w:sz w:val="18"/>
                <w:szCs w:val="18"/>
                <w:lang w:eastAsia="sk-SK"/>
              </w:rPr>
            </w:pPr>
            <w:r w:rsidRPr="008F29A5">
              <w:rPr>
                <w:rFonts w:eastAsia="Times New Roman" w:cs="Segoe UI"/>
                <w:b/>
                <w:bCs/>
                <w:color w:val="000000"/>
                <w:sz w:val="18"/>
                <w:szCs w:val="18"/>
                <w:lang w:eastAsia="sk-SK"/>
              </w:rPr>
              <w:t>21</w:t>
            </w:r>
          </w:p>
        </w:tc>
        <w:tc>
          <w:tcPr>
            <w:tcW w:w="0" w:type="auto"/>
            <w:tcBorders>
              <w:top w:val="nil"/>
              <w:bottom w:val="nil"/>
            </w:tcBorders>
            <w:shd w:val="clear" w:color="000000" w:fill="FFFFFF"/>
            <w:noWrap/>
            <w:vAlign w:val="center"/>
            <w:hideMark/>
          </w:tcPr>
          <w:p w14:paraId="4E5A754E"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14</w:t>
            </w:r>
          </w:p>
        </w:tc>
        <w:tc>
          <w:tcPr>
            <w:tcW w:w="0" w:type="auto"/>
            <w:tcBorders>
              <w:top w:val="nil"/>
              <w:bottom w:val="nil"/>
            </w:tcBorders>
            <w:shd w:val="clear" w:color="000000" w:fill="FFFFFF"/>
            <w:noWrap/>
            <w:vAlign w:val="center"/>
            <w:hideMark/>
          </w:tcPr>
          <w:p w14:paraId="7F531942"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7</w:t>
            </w:r>
          </w:p>
        </w:tc>
        <w:tc>
          <w:tcPr>
            <w:tcW w:w="0" w:type="auto"/>
            <w:tcBorders>
              <w:top w:val="nil"/>
              <w:bottom w:val="nil"/>
            </w:tcBorders>
            <w:shd w:val="clear" w:color="000000" w:fill="FFFFFF"/>
            <w:noWrap/>
            <w:vAlign w:val="center"/>
            <w:hideMark/>
          </w:tcPr>
          <w:p w14:paraId="31FCF6B5"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15</w:t>
            </w:r>
          </w:p>
        </w:tc>
        <w:tc>
          <w:tcPr>
            <w:tcW w:w="0" w:type="auto"/>
            <w:tcBorders>
              <w:top w:val="nil"/>
              <w:bottom w:val="nil"/>
              <w:right w:val="nil"/>
            </w:tcBorders>
            <w:shd w:val="clear" w:color="000000" w:fill="FFFFFF"/>
            <w:noWrap/>
            <w:vAlign w:val="center"/>
            <w:hideMark/>
          </w:tcPr>
          <w:p w14:paraId="50914FCD"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6</w:t>
            </w:r>
          </w:p>
        </w:tc>
      </w:tr>
      <w:tr w:rsidR="00516DDB" w:rsidRPr="008F29A5" w14:paraId="2A59C745" w14:textId="77777777" w:rsidTr="00392A41">
        <w:trPr>
          <w:trHeight w:val="283"/>
        </w:trPr>
        <w:tc>
          <w:tcPr>
            <w:tcW w:w="1727" w:type="dxa"/>
            <w:tcBorders>
              <w:top w:val="nil"/>
              <w:left w:val="single" w:sz="8" w:space="0" w:color="FFFFFF"/>
              <w:bottom w:val="nil"/>
            </w:tcBorders>
            <w:shd w:val="clear" w:color="000000" w:fill="FFFFFF"/>
            <w:vAlign w:val="center"/>
            <w:hideMark/>
          </w:tcPr>
          <w:p w14:paraId="6B6A8696" w14:textId="77777777" w:rsidR="00516DDB" w:rsidRPr="008F29A5" w:rsidRDefault="00516DDB" w:rsidP="00392A41">
            <w:pPr>
              <w:spacing w:after="0" w:line="240" w:lineRule="auto"/>
              <w:jc w:val="left"/>
              <w:rPr>
                <w:rFonts w:eastAsia="Times New Roman" w:cs="Segoe UI"/>
                <w:color w:val="000000"/>
                <w:sz w:val="18"/>
                <w:szCs w:val="18"/>
                <w:lang w:eastAsia="sk-SK"/>
              </w:rPr>
            </w:pPr>
            <w:r w:rsidRPr="008F29A5">
              <w:rPr>
                <w:rFonts w:eastAsia="Times New Roman" w:cs="Segoe UI"/>
                <w:color w:val="000000"/>
                <w:sz w:val="18"/>
                <w:szCs w:val="18"/>
                <w:lang w:eastAsia="sk-SK"/>
              </w:rPr>
              <w:t>4. priebežná platba</w:t>
            </w:r>
          </w:p>
        </w:tc>
        <w:tc>
          <w:tcPr>
            <w:tcW w:w="1392" w:type="dxa"/>
            <w:tcBorders>
              <w:top w:val="nil"/>
              <w:bottom w:val="nil"/>
            </w:tcBorders>
            <w:shd w:val="clear" w:color="000000" w:fill="FFFFFF"/>
            <w:noWrap/>
            <w:vAlign w:val="center"/>
            <w:hideMark/>
          </w:tcPr>
          <w:p w14:paraId="70BA1C8E"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31.10.2024</w:t>
            </w:r>
          </w:p>
        </w:tc>
        <w:tc>
          <w:tcPr>
            <w:tcW w:w="767" w:type="dxa"/>
            <w:tcBorders>
              <w:top w:val="nil"/>
              <w:bottom w:val="nil"/>
            </w:tcBorders>
            <w:shd w:val="clear" w:color="000000" w:fill="FFFFFF"/>
            <w:noWrap/>
            <w:vAlign w:val="center"/>
            <w:hideMark/>
          </w:tcPr>
          <w:p w14:paraId="2EE65B5D"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798,7</w:t>
            </w:r>
          </w:p>
        </w:tc>
        <w:tc>
          <w:tcPr>
            <w:tcW w:w="0" w:type="auto"/>
            <w:tcBorders>
              <w:top w:val="nil"/>
              <w:bottom w:val="nil"/>
            </w:tcBorders>
            <w:shd w:val="clear" w:color="000000" w:fill="FFFFFF"/>
            <w:noWrap/>
            <w:vAlign w:val="center"/>
            <w:hideMark/>
          </w:tcPr>
          <w:p w14:paraId="564BC84A" w14:textId="77777777" w:rsidR="00516DDB" w:rsidRPr="008F29A5" w:rsidRDefault="00516DDB" w:rsidP="00392A41">
            <w:pPr>
              <w:spacing w:after="0" w:line="240" w:lineRule="auto"/>
              <w:jc w:val="center"/>
              <w:rPr>
                <w:rFonts w:eastAsia="Times New Roman" w:cs="Segoe UI"/>
                <w:b/>
                <w:bCs/>
                <w:color w:val="000000"/>
                <w:sz w:val="18"/>
                <w:szCs w:val="18"/>
                <w:lang w:eastAsia="sk-SK"/>
              </w:rPr>
            </w:pPr>
            <w:r w:rsidRPr="008F29A5">
              <w:rPr>
                <w:rFonts w:eastAsia="Times New Roman" w:cs="Segoe UI"/>
                <w:b/>
                <w:bCs/>
                <w:color w:val="000000"/>
                <w:sz w:val="18"/>
                <w:szCs w:val="18"/>
                <w:lang w:eastAsia="sk-SK"/>
              </w:rPr>
              <w:t>15</w:t>
            </w:r>
          </w:p>
        </w:tc>
        <w:tc>
          <w:tcPr>
            <w:tcW w:w="0" w:type="auto"/>
            <w:tcBorders>
              <w:top w:val="nil"/>
              <w:bottom w:val="nil"/>
            </w:tcBorders>
            <w:shd w:val="clear" w:color="000000" w:fill="FFFFFF"/>
            <w:noWrap/>
            <w:vAlign w:val="center"/>
            <w:hideMark/>
          </w:tcPr>
          <w:p w14:paraId="344F9FFE"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15</w:t>
            </w:r>
          </w:p>
        </w:tc>
        <w:tc>
          <w:tcPr>
            <w:tcW w:w="0" w:type="auto"/>
            <w:tcBorders>
              <w:top w:val="nil"/>
              <w:bottom w:val="nil"/>
            </w:tcBorders>
            <w:shd w:val="clear" w:color="000000" w:fill="FFFFFF"/>
            <w:noWrap/>
            <w:vAlign w:val="center"/>
            <w:hideMark/>
          </w:tcPr>
          <w:p w14:paraId="6DB99655"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0</w:t>
            </w:r>
          </w:p>
        </w:tc>
        <w:tc>
          <w:tcPr>
            <w:tcW w:w="0" w:type="auto"/>
            <w:tcBorders>
              <w:top w:val="nil"/>
              <w:bottom w:val="nil"/>
            </w:tcBorders>
            <w:shd w:val="clear" w:color="000000" w:fill="FFFFFF"/>
            <w:noWrap/>
            <w:vAlign w:val="center"/>
            <w:hideMark/>
          </w:tcPr>
          <w:p w14:paraId="03C92A87"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15</w:t>
            </w:r>
          </w:p>
        </w:tc>
        <w:tc>
          <w:tcPr>
            <w:tcW w:w="0" w:type="auto"/>
            <w:tcBorders>
              <w:top w:val="nil"/>
              <w:bottom w:val="nil"/>
              <w:right w:val="nil"/>
            </w:tcBorders>
            <w:shd w:val="clear" w:color="000000" w:fill="FFFFFF"/>
            <w:noWrap/>
            <w:vAlign w:val="center"/>
            <w:hideMark/>
          </w:tcPr>
          <w:p w14:paraId="57712308"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0</w:t>
            </w:r>
          </w:p>
        </w:tc>
      </w:tr>
      <w:tr w:rsidR="00516DDB" w:rsidRPr="008F29A5" w14:paraId="7CFBDB47" w14:textId="77777777" w:rsidTr="00392A41">
        <w:trPr>
          <w:trHeight w:val="283"/>
        </w:trPr>
        <w:tc>
          <w:tcPr>
            <w:tcW w:w="1727" w:type="dxa"/>
            <w:tcBorders>
              <w:top w:val="nil"/>
              <w:left w:val="single" w:sz="8" w:space="0" w:color="FFFFFF"/>
              <w:bottom w:val="nil"/>
            </w:tcBorders>
            <w:shd w:val="clear" w:color="000000" w:fill="FFFFFF"/>
            <w:vAlign w:val="center"/>
            <w:hideMark/>
          </w:tcPr>
          <w:p w14:paraId="513E61FB" w14:textId="77777777" w:rsidR="00516DDB" w:rsidRPr="008F29A5" w:rsidRDefault="00516DDB" w:rsidP="00392A41">
            <w:pPr>
              <w:spacing w:after="0" w:line="240" w:lineRule="auto"/>
              <w:jc w:val="left"/>
              <w:rPr>
                <w:rFonts w:eastAsia="Times New Roman" w:cs="Segoe UI"/>
                <w:color w:val="000000"/>
                <w:sz w:val="18"/>
                <w:szCs w:val="18"/>
                <w:lang w:eastAsia="sk-SK"/>
              </w:rPr>
            </w:pPr>
            <w:r w:rsidRPr="008F29A5">
              <w:rPr>
                <w:rFonts w:eastAsia="Times New Roman" w:cs="Segoe UI"/>
                <w:color w:val="000000"/>
                <w:sz w:val="18"/>
                <w:szCs w:val="18"/>
                <w:lang w:eastAsia="sk-SK"/>
              </w:rPr>
              <w:t>3. priebežná platba</w:t>
            </w:r>
          </w:p>
        </w:tc>
        <w:tc>
          <w:tcPr>
            <w:tcW w:w="1392" w:type="dxa"/>
            <w:tcBorders>
              <w:top w:val="nil"/>
              <w:bottom w:val="nil"/>
            </w:tcBorders>
            <w:shd w:val="clear" w:color="000000" w:fill="FFFFFF"/>
            <w:noWrap/>
            <w:vAlign w:val="center"/>
            <w:hideMark/>
          </w:tcPr>
          <w:p w14:paraId="6141B1B3"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28.12.2023</w:t>
            </w:r>
          </w:p>
        </w:tc>
        <w:tc>
          <w:tcPr>
            <w:tcW w:w="767" w:type="dxa"/>
            <w:tcBorders>
              <w:top w:val="nil"/>
              <w:bottom w:val="nil"/>
            </w:tcBorders>
            <w:shd w:val="clear" w:color="000000" w:fill="FFFFFF"/>
            <w:noWrap/>
            <w:vAlign w:val="center"/>
            <w:hideMark/>
          </w:tcPr>
          <w:p w14:paraId="304AFFDD"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662,4</w:t>
            </w:r>
          </w:p>
        </w:tc>
        <w:tc>
          <w:tcPr>
            <w:tcW w:w="0" w:type="auto"/>
            <w:tcBorders>
              <w:top w:val="nil"/>
              <w:bottom w:val="nil"/>
            </w:tcBorders>
            <w:shd w:val="clear" w:color="000000" w:fill="FFFFFF"/>
            <w:noWrap/>
            <w:vAlign w:val="center"/>
            <w:hideMark/>
          </w:tcPr>
          <w:p w14:paraId="484680F9" w14:textId="77777777" w:rsidR="00516DDB" w:rsidRPr="008F29A5" w:rsidRDefault="00516DDB" w:rsidP="00392A41">
            <w:pPr>
              <w:spacing w:after="0" w:line="240" w:lineRule="auto"/>
              <w:jc w:val="center"/>
              <w:rPr>
                <w:rFonts w:eastAsia="Times New Roman" w:cs="Segoe UI"/>
                <w:b/>
                <w:bCs/>
                <w:color w:val="000000"/>
                <w:sz w:val="18"/>
                <w:szCs w:val="18"/>
                <w:lang w:eastAsia="sk-SK"/>
              </w:rPr>
            </w:pPr>
            <w:r w:rsidRPr="008F29A5">
              <w:rPr>
                <w:rFonts w:eastAsia="Times New Roman" w:cs="Segoe UI"/>
                <w:b/>
                <w:bCs/>
                <w:color w:val="000000"/>
                <w:sz w:val="18"/>
                <w:szCs w:val="18"/>
                <w:lang w:eastAsia="sk-SK"/>
              </w:rPr>
              <w:t>27</w:t>
            </w:r>
          </w:p>
        </w:tc>
        <w:tc>
          <w:tcPr>
            <w:tcW w:w="0" w:type="auto"/>
            <w:tcBorders>
              <w:top w:val="nil"/>
              <w:bottom w:val="nil"/>
            </w:tcBorders>
            <w:shd w:val="clear" w:color="000000" w:fill="FFFFFF"/>
            <w:noWrap/>
            <w:vAlign w:val="center"/>
            <w:hideMark/>
          </w:tcPr>
          <w:p w14:paraId="53CEB96E"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18</w:t>
            </w:r>
          </w:p>
        </w:tc>
        <w:tc>
          <w:tcPr>
            <w:tcW w:w="0" w:type="auto"/>
            <w:tcBorders>
              <w:top w:val="nil"/>
              <w:bottom w:val="nil"/>
            </w:tcBorders>
            <w:shd w:val="clear" w:color="000000" w:fill="FFFFFF"/>
            <w:noWrap/>
            <w:vAlign w:val="center"/>
            <w:hideMark/>
          </w:tcPr>
          <w:p w14:paraId="3CAC9D28"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9</w:t>
            </w:r>
          </w:p>
        </w:tc>
        <w:tc>
          <w:tcPr>
            <w:tcW w:w="0" w:type="auto"/>
            <w:tcBorders>
              <w:top w:val="nil"/>
              <w:bottom w:val="nil"/>
            </w:tcBorders>
            <w:shd w:val="clear" w:color="000000" w:fill="FFFFFF"/>
            <w:noWrap/>
            <w:vAlign w:val="center"/>
            <w:hideMark/>
          </w:tcPr>
          <w:p w14:paraId="4515EC76"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21</w:t>
            </w:r>
          </w:p>
        </w:tc>
        <w:tc>
          <w:tcPr>
            <w:tcW w:w="0" w:type="auto"/>
            <w:tcBorders>
              <w:top w:val="nil"/>
              <w:bottom w:val="nil"/>
              <w:right w:val="nil"/>
            </w:tcBorders>
            <w:shd w:val="clear" w:color="000000" w:fill="FFFFFF"/>
            <w:noWrap/>
            <w:vAlign w:val="center"/>
            <w:hideMark/>
          </w:tcPr>
          <w:p w14:paraId="751D380A"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6</w:t>
            </w:r>
          </w:p>
        </w:tc>
      </w:tr>
      <w:tr w:rsidR="00516DDB" w:rsidRPr="008F29A5" w14:paraId="657BF020" w14:textId="77777777" w:rsidTr="00392A41">
        <w:trPr>
          <w:trHeight w:val="283"/>
        </w:trPr>
        <w:tc>
          <w:tcPr>
            <w:tcW w:w="1727" w:type="dxa"/>
            <w:tcBorders>
              <w:top w:val="nil"/>
              <w:left w:val="single" w:sz="8" w:space="0" w:color="FFFFFF"/>
              <w:bottom w:val="nil"/>
            </w:tcBorders>
            <w:shd w:val="clear" w:color="000000" w:fill="FFFFFF"/>
            <w:vAlign w:val="center"/>
            <w:hideMark/>
          </w:tcPr>
          <w:p w14:paraId="6518388A" w14:textId="77777777" w:rsidR="00516DDB" w:rsidRPr="008F29A5" w:rsidRDefault="00516DDB" w:rsidP="00392A41">
            <w:pPr>
              <w:spacing w:after="0" w:line="240" w:lineRule="auto"/>
              <w:jc w:val="left"/>
              <w:rPr>
                <w:rFonts w:eastAsia="Times New Roman" w:cs="Segoe UI"/>
                <w:color w:val="000000"/>
                <w:sz w:val="18"/>
                <w:szCs w:val="18"/>
                <w:lang w:eastAsia="sk-SK"/>
              </w:rPr>
            </w:pPr>
            <w:r w:rsidRPr="008F29A5">
              <w:rPr>
                <w:rFonts w:eastAsia="Times New Roman" w:cs="Segoe UI"/>
                <w:color w:val="000000"/>
                <w:sz w:val="18"/>
                <w:szCs w:val="18"/>
                <w:lang w:eastAsia="sk-SK"/>
              </w:rPr>
              <w:t xml:space="preserve">predfinancovanie k REPower EÚ </w:t>
            </w:r>
          </w:p>
        </w:tc>
        <w:tc>
          <w:tcPr>
            <w:tcW w:w="1392" w:type="dxa"/>
            <w:tcBorders>
              <w:top w:val="nil"/>
              <w:bottom w:val="nil"/>
            </w:tcBorders>
            <w:shd w:val="clear" w:color="000000" w:fill="FFFFFF"/>
            <w:noWrap/>
            <w:vAlign w:val="center"/>
            <w:hideMark/>
          </w:tcPr>
          <w:p w14:paraId="6D3DE8D0"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12.12.2023</w:t>
            </w:r>
          </w:p>
        </w:tc>
        <w:tc>
          <w:tcPr>
            <w:tcW w:w="767" w:type="dxa"/>
            <w:tcBorders>
              <w:top w:val="nil"/>
              <w:bottom w:val="nil"/>
            </w:tcBorders>
            <w:shd w:val="clear" w:color="000000" w:fill="FFFFFF"/>
            <w:noWrap/>
            <w:vAlign w:val="center"/>
            <w:hideMark/>
          </w:tcPr>
          <w:p w14:paraId="7B1955DD"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80,5</w:t>
            </w:r>
          </w:p>
        </w:tc>
        <w:tc>
          <w:tcPr>
            <w:tcW w:w="0" w:type="auto"/>
            <w:tcBorders>
              <w:top w:val="nil"/>
              <w:bottom w:val="nil"/>
            </w:tcBorders>
            <w:shd w:val="clear" w:color="000000" w:fill="FFFFFF"/>
            <w:noWrap/>
            <w:vAlign w:val="center"/>
            <w:hideMark/>
          </w:tcPr>
          <w:p w14:paraId="16000B7B" w14:textId="77777777" w:rsidR="00516DDB" w:rsidRPr="008F29A5" w:rsidRDefault="00516DDB" w:rsidP="00392A41">
            <w:pPr>
              <w:spacing w:after="0" w:line="240" w:lineRule="auto"/>
              <w:jc w:val="center"/>
              <w:rPr>
                <w:rFonts w:eastAsia="Times New Roman" w:cs="Segoe UI"/>
                <w:b/>
                <w:bCs/>
                <w:color w:val="000000"/>
                <w:sz w:val="18"/>
                <w:szCs w:val="18"/>
                <w:lang w:eastAsia="sk-SK"/>
              </w:rPr>
            </w:pPr>
            <w:r w:rsidRPr="008F29A5">
              <w:rPr>
                <w:rFonts w:eastAsia="Times New Roman" w:cs="Segoe UI"/>
                <w:b/>
                <w:bCs/>
                <w:color w:val="000000"/>
                <w:sz w:val="18"/>
                <w:szCs w:val="18"/>
                <w:lang w:eastAsia="sk-SK"/>
              </w:rPr>
              <w:t>-</w:t>
            </w:r>
          </w:p>
        </w:tc>
        <w:tc>
          <w:tcPr>
            <w:tcW w:w="0" w:type="auto"/>
            <w:tcBorders>
              <w:top w:val="nil"/>
              <w:bottom w:val="nil"/>
            </w:tcBorders>
            <w:shd w:val="clear" w:color="000000" w:fill="FFFFFF"/>
            <w:noWrap/>
            <w:vAlign w:val="center"/>
            <w:hideMark/>
          </w:tcPr>
          <w:p w14:paraId="1AC51B78"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w:t>
            </w:r>
          </w:p>
        </w:tc>
        <w:tc>
          <w:tcPr>
            <w:tcW w:w="0" w:type="auto"/>
            <w:tcBorders>
              <w:top w:val="nil"/>
              <w:bottom w:val="nil"/>
            </w:tcBorders>
            <w:shd w:val="clear" w:color="000000" w:fill="FFFFFF"/>
            <w:noWrap/>
            <w:vAlign w:val="center"/>
            <w:hideMark/>
          </w:tcPr>
          <w:p w14:paraId="16BB7D66"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w:t>
            </w:r>
          </w:p>
        </w:tc>
        <w:tc>
          <w:tcPr>
            <w:tcW w:w="0" w:type="auto"/>
            <w:tcBorders>
              <w:top w:val="nil"/>
              <w:bottom w:val="nil"/>
            </w:tcBorders>
            <w:shd w:val="clear" w:color="000000" w:fill="FFFFFF"/>
            <w:noWrap/>
            <w:vAlign w:val="center"/>
            <w:hideMark/>
          </w:tcPr>
          <w:p w14:paraId="31C66B60"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w:t>
            </w:r>
          </w:p>
        </w:tc>
        <w:tc>
          <w:tcPr>
            <w:tcW w:w="0" w:type="auto"/>
            <w:tcBorders>
              <w:top w:val="nil"/>
              <w:bottom w:val="nil"/>
              <w:right w:val="nil"/>
            </w:tcBorders>
            <w:shd w:val="clear" w:color="000000" w:fill="FFFFFF"/>
            <w:noWrap/>
            <w:vAlign w:val="center"/>
            <w:hideMark/>
          </w:tcPr>
          <w:p w14:paraId="241219FE"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w:t>
            </w:r>
          </w:p>
        </w:tc>
      </w:tr>
      <w:tr w:rsidR="00516DDB" w:rsidRPr="008F29A5" w14:paraId="186A5EC2" w14:textId="77777777" w:rsidTr="00392A41">
        <w:trPr>
          <w:trHeight w:val="283"/>
        </w:trPr>
        <w:tc>
          <w:tcPr>
            <w:tcW w:w="1727" w:type="dxa"/>
            <w:tcBorders>
              <w:top w:val="nil"/>
              <w:left w:val="single" w:sz="8" w:space="0" w:color="FFFFFF"/>
              <w:bottom w:val="nil"/>
            </w:tcBorders>
            <w:shd w:val="clear" w:color="000000" w:fill="FFFFFF"/>
            <w:vAlign w:val="center"/>
            <w:hideMark/>
          </w:tcPr>
          <w:p w14:paraId="5EB7E712" w14:textId="77777777" w:rsidR="00516DDB" w:rsidRPr="008F29A5" w:rsidRDefault="00516DDB" w:rsidP="00392A41">
            <w:pPr>
              <w:spacing w:after="0" w:line="240" w:lineRule="auto"/>
              <w:jc w:val="left"/>
              <w:rPr>
                <w:rFonts w:eastAsia="Times New Roman" w:cs="Segoe UI"/>
                <w:color w:val="000000"/>
                <w:sz w:val="18"/>
                <w:szCs w:val="18"/>
                <w:lang w:eastAsia="sk-SK"/>
              </w:rPr>
            </w:pPr>
            <w:r w:rsidRPr="008F29A5">
              <w:rPr>
                <w:rFonts w:eastAsia="Times New Roman" w:cs="Segoe UI"/>
                <w:color w:val="000000"/>
                <w:sz w:val="18"/>
                <w:szCs w:val="18"/>
                <w:lang w:eastAsia="sk-SK"/>
              </w:rPr>
              <w:t>2. priebežná platba</w:t>
            </w:r>
          </w:p>
        </w:tc>
        <w:tc>
          <w:tcPr>
            <w:tcW w:w="1392" w:type="dxa"/>
            <w:tcBorders>
              <w:top w:val="nil"/>
              <w:bottom w:val="nil"/>
            </w:tcBorders>
            <w:shd w:val="clear" w:color="000000" w:fill="FFFFFF"/>
            <w:noWrap/>
            <w:vAlign w:val="center"/>
            <w:hideMark/>
          </w:tcPr>
          <w:p w14:paraId="50288983"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22.3.2023</w:t>
            </w:r>
          </w:p>
        </w:tc>
        <w:tc>
          <w:tcPr>
            <w:tcW w:w="767" w:type="dxa"/>
            <w:tcBorders>
              <w:top w:val="nil"/>
              <w:bottom w:val="nil"/>
            </w:tcBorders>
            <w:shd w:val="clear" w:color="000000" w:fill="FFFFFF"/>
            <w:noWrap/>
            <w:vAlign w:val="center"/>
            <w:hideMark/>
          </w:tcPr>
          <w:p w14:paraId="3E30369D"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708,8</w:t>
            </w:r>
          </w:p>
        </w:tc>
        <w:tc>
          <w:tcPr>
            <w:tcW w:w="0" w:type="auto"/>
            <w:tcBorders>
              <w:top w:val="nil"/>
              <w:bottom w:val="nil"/>
            </w:tcBorders>
            <w:shd w:val="clear" w:color="000000" w:fill="FFFFFF"/>
            <w:noWrap/>
            <w:vAlign w:val="center"/>
            <w:hideMark/>
          </w:tcPr>
          <w:p w14:paraId="5AABFE93" w14:textId="77777777" w:rsidR="00516DDB" w:rsidRPr="008F29A5" w:rsidRDefault="00516DDB" w:rsidP="00392A41">
            <w:pPr>
              <w:spacing w:after="0" w:line="240" w:lineRule="auto"/>
              <w:jc w:val="center"/>
              <w:rPr>
                <w:rFonts w:eastAsia="Times New Roman" w:cs="Segoe UI"/>
                <w:b/>
                <w:bCs/>
                <w:color w:val="000000"/>
                <w:sz w:val="18"/>
                <w:szCs w:val="18"/>
                <w:lang w:eastAsia="sk-SK"/>
              </w:rPr>
            </w:pPr>
            <w:r w:rsidRPr="008F29A5">
              <w:rPr>
                <w:rFonts w:eastAsia="Times New Roman" w:cs="Segoe UI"/>
                <w:b/>
                <w:bCs/>
                <w:color w:val="000000"/>
                <w:sz w:val="18"/>
                <w:szCs w:val="18"/>
                <w:lang w:eastAsia="sk-SK"/>
              </w:rPr>
              <w:t>16</w:t>
            </w:r>
          </w:p>
        </w:tc>
        <w:tc>
          <w:tcPr>
            <w:tcW w:w="0" w:type="auto"/>
            <w:tcBorders>
              <w:top w:val="nil"/>
              <w:bottom w:val="nil"/>
            </w:tcBorders>
            <w:shd w:val="clear" w:color="000000" w:fill="FFFFFF"/>
            <w:noWrap/>
            <w:vAlign w:val="center"/>
            <w:hideMark/>
          </w:tcPr>
          <w:p w14:paraId="13522991"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12</w:t>
            </w:r>
          </w:p>
        </w:tc>
        <w:tc>
          <w:tcPr>
            <w:tcW w:w="0" w:type="auto"/>
            <w:tcBorders>
              <w:top w:val="nil"/>
              <w:bottom w:val="nil"/>
            </w:tcBorders>
            <w:shd w:val="clear" w:color="000000" w:fill="FFFFFF"/>
            <w:noWrap/>
            <w:vAlign w:val="center"/>
            <w:hideMark/>
          </w:tcPr>
          <w:p w14:paraId="5211632F"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4</w:t>
            </w:r>
          </w:p>
        </w:tc>
        <w:tc>
          <w:tcPr>
            <w:tcW w:w="0" w:type="auto"/>
            <w:tcBorders>
              <w:top w:val="nil"/>
              <w:bottom w:val="nil"/>
            </w:tcBorders>
            <w:shd w:val="clear" w:color="000000" w:fill="FFFFFF"/>
            <w:noWrap/>
            <w:vAlign w:val="center"/>
            <w:hideMark/>
          </w:tcPr>
          <w:p w14:paraId="0016F52B"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14</w:t>
            </w:r>
          </w:p>
        </w:tc>
        <w:tc>
          <w:tcPr>
            <w:tcW w:w="0" w:type="auto"/>
            <w:tcBorders>
              <w:top w:val="nil"/>
              <w:bottom w:val="nil"/>
              <w:right w:val="nil"/>
            </w:tcBorders>
            <w:shd w:val="clear" w:color="000000" w:fill="FFFFFF"/>
            <w:noWrap/>
            <w:vAlign w:val="center"/>
            <w:hideMark/>
          </w:tcPr>
          <w:p w14:paraId="0BC8261A"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2</w:t>
            </w:r>
          </w:p>
        </w:tc>
      </w:tr>
      <w:tr w:rsidR="00516DDB" w:rsidRPr="008F29A5" w14:paraId="35A80DA6" w14:textId="77777777" w:rsidTr="00392A41">
        <w:trPr>
          <w:trHeight w:val="283"/>
        </w:trPr>
        <w:tc>
          <w:tcPr>
            <w:tcW w:w="1727" w:type="dxa"/>
            <w:tcBorders>
              <w:top w:val="nil"/>
              <w:left w:val="single" w:sz="8" w:space="0" w:color="FFFFFF"/>
            </w:tcBorders>
            <w:shd w:val="clear" w:color="000000" w:fill="FFFFFF"/>
            <w:vAlign w:val="center"/>
            <w:hideMark/>
          </w:tcPr>
          <w:p w14:paraId="43C1F929" w14:textId="77777777" w:rsidR="00516DDB" w:rsidRPr="008F29A5" w:rsidRDefault="00516DDB" w:rsidP="00392A41">
            <w:pPr>
              <w:spacing w:after="0" w:line="240" w:lineRule="auto"/>
              <w:jc w:val="left"/>
              <w:rPr>
                <w:rFonts w:eastAsia="Times New Roman" w:cs="Segoe UI"/>
                <w:color w:val="000000"/>
                <w:sz w:val="18"/>
                <w:szCs w:val="18"/>
                <w:lang w:eastAsia="sk-SK"/>
              </w:rPr>
            </w:pPr>
            <w:r w:rsidRPr="008F29A5">
              <w:rPr>
                <w:rFonts w:eastAsia="Times New Roman" w:cs="Segoe UI"/>
                <w:color w:val="000000"/>
                <w:sz w:val="18"/>
                <w:szCs w:val="18"/>
                <w:lang w:eastAsia="sk-SK"/>
              </w:rPr>
              <w:t>1. priebežná platba</w:t>
            </w:r>
          </w:p>
        </w:tc>
        <w:tc>
          <w:tcPr>
            <w:tcW w:w="1392" w:type="dxa"/>
            <w:tcBorders>
              <w:top w:val="nil"/>
            </w:tcBorders>
            <w:shd w:val="clear" w:color="000000" w:fill="FFFFFF"/>
            <w:noWrap/>
            <w:vAlign w:val="center"/>
            <w:hideMark/>
          </w:tcPr>
          <w:p w14:paraId="03806286"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29.7.2022</w:t>
            </w:r>
          </w:p>
        </w:tc>
        <w:tc>
          <w:tcPr>
            <w:tcW w:w="767" w:type="dxa"/>
            <w:tcBorders>
              <w:top w:val="nil"/>
            </w:tcBorders>
            <w:shd w:val="clear" w:color="000000" w:fill="FFFFFF"/>
            <w:noWrap/>
            <w:vAlign w:val="center"/>
            <w:hideMark/>
          </w:tcPr>
          <w:p w14:paraId="6F505AA9"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398,7</w:t>
            </w:r>
          </w:p>
        </w:tc>
        <w:tc>
          <w:tcPr>
            <w:tcW w:w="0" w:type="auto"/>
            <w:tcBorders>
              <w:top w:val="nil"/>
            </w:tcBorders>
            <w:shd w:val="clear" w:color="000000" w:fill="FFFFFF"/>
            <w:noWrap/>
            <w:vAlign w:val="center"/>
            <w:hideMark/>
          </w:tcPr>
          <w:p w14:paraId="78B2F722" w14:textId="77777777" w:rsidR="00516DDB" w:rsidRPr="008F29A5" w:rsidRDefault="00516DDB" w:rsidP="00392A41">
            <w:pPr>
              <w:spacing w:after="0" w:line="240" w:lineRule="auto"/>
              <w:jc w:val="center"/>
              <w:rPr>
                <w:rFonts w:eastAsia="Times New Roman" w:cs="Segoe UI"/>
                <w:b/>
                <w:bCs/>
                <w:color w:val="000000"/>
                <w:sz w:val="18"/>
                <w:szCs w:val="18"/>
                <w:lang w:eastAsia="sk-SK"/>
              </w:rPr>
            </w:pPr>
            <w:r w:rsidRPr="008F29A5">
              <w:rPr>
                <w:rFonts w:eastAsia="Times New Roman" w:cs="Segoe UI"/>
                <w:b/>
                <w:bCs/>
                <w:color w:val="000000"/>
                <w:sz w:val="18"/>
                <w:szCs w:val="18"/>
                <w:lang w:eastAsia="sk-SK"/>
              </w:rPr>
              <w:t>14</w:t>
            </w:r>
          </w:p>
        </w:tc>
        <w:tc>
          <w:tcPr>
            <w:tcW w:w="0" w:type="auto"/>
            <w:tcBorders>
              <w:top w:val="nil"/>
            </w:tcBorders>
            <w:shd w:val="clear" w:color="000000" w:fill="FFFFFF"/>
            <w:noWrap/>
            <w:vAlign w:val="center"/>
            <w:hideMark/>
          </w:tcPr>
          <w:p w14:paraId="04BFC95E"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11</w:t>
            </w:r>
          </w:p>
        </w:tc>
        <w:tc>
          <w:tcPr>
            <w:tcW w:w="0" w:type="auto"/>
            <w:tcBorders>
              <w:top w:val="nil"/>
            </w:tcBorders>
            <w:shd w:val="clear" w:color="000000" w:fill="FFFFFF"/>
            <w:noWrap/>
            <w:vAlign w:val="center"/>
            <w:hideMark/>
          </w:tcPr>
          <w:p w14:paraId="4C9CD1EC"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3</w:t>
            </w:r>
          </w:p>
        </w:tc>
        <w:tc>
          <w:tcPr>
            <w:tcW w:w="0" w:type="auto"/>
            <w:tcBorders>
              <w:top w:val="nil"/>
            </w:tcBorders>
            <w:shd w:val="clear" w:color="000000" w:fill="FFFFFF"/>
            <w:noWrap/>
            <w:vAlign w:val="center"/>
            <w:hideMark/>
          </w:tcPr>
          <w:p w14:paraId="372E1C1B"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14</w:t>
            </w:r>
          </w:p>
        </w:tc>
        <w:tc>
          <w:tcPr>
            <w:tcW w:w="0" w:type="auto"/>
            <w:tcBorders>
              <w:top w:val="nil"/>
              <w:right w:val="nil"/>
            </w:tcBorders>
            <w:shd w:val="clear" w:color="000000" w:fill="FFFFFF"/>
            <w:noWrap/>
            <w:vAlign w:val="center"/>
            <w:hideMark/>
          </w:tcPr>
          <w:p w14:paraId="7EF91BAF"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0</w:t>
            </w:r>
          </w:p>
        </w:tc>
      </w:tr>
      <w:tr w:rsidR="00516DDB" w:rsidRPr="008F29A5" w14:paraId="4E62F3BA" w14:textId="77777777" w:rsidTr="00392A41">
        <w:trPr>
          <w:trHeight w:val="283"/>
        </w:trPr>
        <w:tc>
          <w:tcPr>
            <w:tcW w:w="1727" w:type="dxa"/>
            <w:tcBorders>
              <w:top w:val="nil"/>
              <w:left w:val="single" w:sz="8" w:space="0" w:color="FFFFFF"/>
              <w:bottom w:val="single" w:sz="4" w:space="0" w:color="314364" w:themeColor="text2"/>
            </w:tcBorders>
            <w:shd w:val="clear" w:color="000000" w:fill="FFFFFF"/>
            <w:vAlign w:val="center"/>
            <w:hideMark/>
          </w:tcPr>
          <w:p w14:paraId="0B206390" w14:textId="77777777" w:rsidR="00516DDB" w:rsidRPr="008F29A5" w:rsidRDefault="00516DDB" w:rsidP="00392A41">
            <w:pPr>
              <w:spacing w:after="0" w:line="240" w:lineRule="auto"/>
              <w:jc w:val="left"/>
              <w:rPr>
                <w:rFonts w:eastAsia="Times New Roman" w:cs="Segoe UI"/>
                <w:color w:val="000000"/>
                <w:sz w:val="18"/>
                <w:szCs w:val="18"/>
                <w:lang w:eastAsia="sk-SK"/>
              </w:rPr>
            </w:pPr>
            <w:r w:rsidRPr="008F29A5">
              <w:rPr>
                <w:rFonts w:eastAsia="Times New Roman" w:cs="Segoe UI"/>
                <w:color w:val="000000"/>
                <w:sz w:val="18"/>
                <w:szCs w:val="18"/>
                <w:lang w:eastAsia="sk-SK"/>
              </w:rPr>
              <w:t>predfinancovanie</w:t>
            </w:r>
          </w:p>
        </w:tc>
        <w:tc>
          <w:tcPr>
            <w:tcW w:w="1392" w:type="dxa"/>
            <w:tcBorders>
              <w:top w:val="nil"/>
              <w:bottom w:val="single" w:sz="4" w:space="0" w:color="314364" w:themeColor="text2"/>
            </w:tcBorders>
            <w:shd w:val="clear" w:color="000000" w:fill="FFFFFF"/>
            <w:noWrap/>
            <w:vAlign w:val="center"/>
            <w:hideMark/>
          </w:tcPr>
          <w:p w14:paraId="74983F03"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13.10.2021</w:t>
            </w:r>
          </w:p>
        </w:tc>
        <w:tc>
          <w:tcPr>
            <w:tcW w:w="767" w:type="dxa"/>
            <w:tcBorders>
              <w:top w:val="nil"/>
              <w:bottom w:val="single" w:sz="4" w:space="0" w:color="314364" w:themeColor="text2"/>
            </w:tcBorders>
            <w:shd w:val="clear" w:color="000000" w:fill="FFFFFF"/>
            <w:noWrap/>
            <w:vAlign w:val="center"/>
            <w:hideMark/>
          </w:tcPr>
          <w:p w14:paraId="0FB63CAC" w14:textId="77777777" w:rsidR="00516DDB" w:rsidRPr="008F29A5" w:rsidRDefault="00516DDB" w:rsidP="00392A41">
            <w:pPr>
              <w:spacing w:after="0" w:line="240" w:lineRule="auto"/>
              <w:jc w:val="center"/>
              <w:rPr>
                <w:rFonts w:eastAsia="Times New Roman" w:cs="Segoe UI"/>
                <w:color w:val="000000"/>
                <w:sz w:val="18"/>
                <w:szCs w:val="18"/>
                <w:lang w:eastAsia="sk-SK"/>
              </w:rPr>
            </w:pPr>
            <w:r w:rsidRPr="008F29A5">
              <w:rPr>
                <w:rFonts w:eastAsia="Times New Roman" w:cs="Segoe UI"/>
                <w:color w:val="000000"/>
                <w:sz w:val="18"/>
                <w:szCs w:val="18"/>
                <w:lang w:eastAsia="sk-SK"/>
              </w:rPr>
              <w:t>822,7</w:t>
            </w:r>
          </w:p>
        </w:tc>
        <w:tc>
          <w:tcPr>
            <w:tcW w:w="0" w:type="auto"/>
            <w:tcBorders>
              <w:top w:val="nil"/>
              <w:bottom w:val="single" w:sz="4" w:space="0" w:color="314364" w:themeColor="text2"/>
            </w:tcBorders>
            <w:shd w:val="clear" w:color="000000" w:fill="FFFFFF"/>
            <w:noWrap/>
            <w:vAlign w:val="center"/>
            <w:hideMark/>
          </w:tcPr>
          <w:p w14:paraId="5D423939" w14:textId="77777777" w:rsidR="00516DDB" w:rsidRPr="008F29A5" w:rsidRDefault="00516DDB" w:rsidP="00392A41">
            <w:pPr>
              <w:spacing w:after="0" w:line="240" w:lineRule="auto"/>
              <w:jc w:val="center"/>
              <w:rPr>
                <w:rFonts w:eastAsia="Times New Roman" w:cs="Segoe UI"/>
                <w:b/>
                <w:bCs/>
                <w:color w:val="000000"/>
                <w:sz w:val="18"/>
                <w:szCs w:val="18"/>
                <w:lang w:eastAsia="sk-SK"/>
              </w:rPr>
            </w:pPr>
            <w:r w:rsidRPr="008F29A5">
              <w:rPr>
                <w:rFonts w:eastAsia="Times New Roman" w:cs="Segoe UI"/>
                <w:b/>
                <w:bCs/>
                <w:color w:val="000000"/>
                <w:sz w:val="18"/>
                <w:szCs w:val="18"/>
                <w:lang w:eastAsia="sk-SK"/>
              </w:rPr>
              <w:t>-</w:t>
            </w:r>
          </w:p>
        </w:tc>
        <w:tc>
          <w:tcPr>
            <w:tcW w:w="0" w:type="auto"/>
            <w:tcBorders>
              <w:top w:val="nil"/>
              <w:bottom w:val="single" w:sz="4" w:space="0" w:color="314364" w:themeColor="text2"/>
            </w:tcBorders>
            <w:shd w:val="clear" w:color="000000" w:fill="FFFFFF"/>
            <w:noWrap/>
            <w:vAlign w:val="center"/>
            <w:hideMark/>
          </w:tcPr>
          <w:p w14:paraId="509A1606"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w:t>
            </w:r>
          </w:p>
        </w:tc>
        <w:tc>
          <w:tcPr>
            <w:tcW w:w="0" w:type="auto"/>
            <w:tcBorders>
              <w:top w:val="nil"/>
              <w:bottom w:val="single" w:sz="4" w:space="0" w:color="314364" w:themeColor="text2"/>
            </w:tcBorders>
            <w:shd w:val="clear" w:color="000000" w:fill="FFFFFF"/>
            <w:noWrap/>
            <w:vAlign w:val="center"/>
            <w:hideMark/>
          </w:tcPr>
          <w:p w14:paraId="424BC79C"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w:t>
            </w:r>
          </w:p>
        </w:tc>
        <w:tc>
          <w:tcPr>
            <w:tcW w:w="0" w:type="auto"/>
            <w:tcBorders>
              <w:top w:val="nil"/>
              <w:bottom w:val="single" w:sz="4" w:space="0" w:color="314364" w:themeColor="text2"/>
            </w:tcBorders>
            <w:shd w:val="clear" w:color="000000" w:fill="FFFFFF"/>
            <w:noWrap/>
            <w:vAlign w:val="center"/>
            <w:hideMark/>
          </w:tcPr>
          <w:p w14:paraId="703586EF"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w:t>
            </w:r>
          </w:p>
        </w:tc>
        <w:tc>
          <w:tcPr>
            <w:tcW w:w="0" w:type="auto"/>
            <w:tcBorders>
              <w:top w:val="nil"/>
              <w:bottom w:val="single" w:sz="4" w:space="0" w:color="314364" w:themeColor="text2"/>
              <w:right w:val="nil"/>
            </w:tcBorders>
            <w:shd w:val="clear" w:color="000000" w:fill="FFFFFF"/>
            <w:noWrap/>
            <w:vAlign w:val="center"/>
            <w:hideMark/>
          </w:tcPr>
          <w:p w14:paraId="508661CE" w14:textId="77777777" w:rsidR="00516DDB" w:rsidRPr="008F29A5" w:rsidRDefault="00516DDB" w:rsidP="00392A41">
            <w:pPr>
              <w:spacing w:after="0" w:line="240" w:lineRule="auto"/>
              <w:jc w:val="center"/>
              <w:rPr>
                <w:rFonts w:eastAsia="Times New Roman" w:cs="Segoe UI"/>
                <w:i/>
                <w:color w:val="000000"/>
                <w:sz w:val="18"/>
                <w:szCs w:val="18"/>
                <w:lang w:eastAsia="sk-SK"/>
              </w:rPr>
            </w:pPr>
            <w:r w:rsidRPr="008F29A5">
              <w:rPr>
                <w:rFonts w:eastAsia="Times New Roman" w:cs="Segoe UI"/>
                <w:i/>
                <w:color w:val="000000"/>
                <w:sz w:val="18"/>
                <w:szCs w:val="18"/>
                <w:lang w:eastAsia="sk-SK"/>
              </w:rPr>
              <w:t>-</w:t>
            </w:r>
          </w:p>
        </w:tc>
      </w:tr>
      <w:tr w:rsidR="00516DDB" w:rsidRPr="008F29A5" w14:paraId="7E989AF7" w14:textId="77777777" w:rsidTr="00392A41">
        <w:trPr>
          <w:trHeight w:val="283"/>
        </w:trPr>
        <w:tc>
          <w:tcPr>
            <w:tcW w:w="1727" w:type="dxa"/>
            <w:tcBorders>
              <w:top w:val="single" w:sz="4" w:space="0" w:color="314364" w:themeColor="text2"/>
              <w:left w:val="nil"/>
              <w:bottom w:val="single" w:sz="4" w:space="0" w:color="314364" w:themeColor="text2"/>
            </w:tcBorders>
            <w:vAlign w:val="center"/>
            <w:hideMark/>
          </w:tcPr>
          <w:p w14:paraId="452D02E2" w14:textId="77777777" w:rsidR="00516DDB" w:rsidRPr="008F29A5" w:rsidRDefault="00516DDB" w:rsidP="00392A41">
            <w:pPr>
              <w:spacing w:after="0" w:line="240" w:lineRule="auto"/>
              <w:jc w:val="left"/>
              <w:rPr>
                <w:rFonts w:eastAsia="Times New Roman" w:cs="Segoe UI"/>
                <w:b/>
                <w:bCs/>
                <w:sz w:val="18"/>
                <w:szCs w:val="18"/>
                <w:lang w:eastAsia="sk-SK"/>
              </w:rPr>
            </w:pPr>
            <w:r w:rsidRPr="008F29A5">
              <w:rPr>
                <w:rFonts w:eastAsia="Times New Roman" w:cs="Segoe UI"/>
                <w:b/>
                <w:bCs/>
                <w:sz w:val="18"/>
                <w:szCs w:val="18"/>
                <w:lang w:eastAsia="sk-SK"/>
              </w:rPr>
              <w:t>SPOLU*</w:t>
            </w:r>
          </w:p>
        </w:tc>
        <w:tc>
          <w:tcPr>
            <w:tcW w:w="1392" w:type="dxa"/>
            <w:tcBorders>
              <w:top w:val="single" w:sz="4" w:space="0" w:color="314364" w:themeColor="text2"/>
              <w:bottom w:val="single" w:sz="4" w:space="0" w:color="314364" w:themeColor="text2"/>
            </w:tcBorders>
            <w:vAlign w:val="center"/>
            <w:hideMark/>
          </w:tcPr>
          <w:p w14:paraId="6AD4698C" w14:textId="77777777" w:rsidR="00516DDB" w:rsidRPr="008F29A5" w:rsidRDefault="00516DDB" w:rsidP="00392A41">
            <w:pPr>
              <w:spacing w:after="0" w:line="240" w:lineRule="auto"/>
              <w:jc w:val="center"/>
              <w:rPr>
                <w:rFonts w:eastAsia="Times New Roman" w:cs="Segoe UI"/>
                <w:b/>
                <w:bCs/>
                <w:sz w:val="18"/>
                <w:szCs w:val="18"/>
                <w:lang w:eastAsia="sk-SK"/>
              </w:rPr>
            </w:pPr>
          </w:p>
        </w:tc>
        <w:tc>
          <w:tcPr>
            <w:tcW w:w="767" w:type="dxa"/>
            <w:tcBorders>
              <w:top w:val="single" w:sz="4" w:space="0" w:color="314364" w:themeColor="text2"/>
              <w:bottom w:val="single" w:sz="4" w:space="0" w:color="314364" w:themeColor="text2"/>
            </w:tcBorders>
            <w:vAlign w:val="center"/>
            <w:hideMark/>
          </w:tcPr>
          <w:p w14:paraId="71E20AB4" w14:textId="77777777" w:rsidR="00516DDB" w:rsidRPr="008F29A5" w:rsidRDefault="00516DDB" w:rsidP="00392A41">
            <w:pPr>
              <w:spacing w:after="0" w:line="240" w:lineRule="auto"/>
              <w:ind w:right="-12"/>
              <w:jc w:val="center"/>
              <w:rPr>
                <w:rFonts w:eastAsia="Times New Roman" w:cs="Segoe UI"/>
                <w:b/>
                <w:bCs/>
                <w:sz w:val="18"/>
                <w:szCs w:val="18"/>
                <w:lang w:eastAsia="sk-SK"/>
              </w:rPr>
            </w:pPr>
            <w:r w:rsidRPr="008F29A5">
              <w:rPr>
                <w:rFonts w:eastAsia="Times New Roman" w:cs="Segoe UI"/>
                <w:b/>
                <w:bCs/>
                <w:sz w:val="18"/>
                <w:szCs w:val="18"/>
                <w:lang w:eastAsia="sk-SK"/>
              </w:rPr>
              <w:t>3 963,8</w:t>
            </w:r>
          </w:p>
        </w:tc>
        <w:tc>
          <w:tcPr>
            <w:tcW w:w="0" w:type="auto"/>
            <w:tcBorders>
              <w:top w:val="single" w:sz="4" w:space="0" w:color="314364" w:themeColor="text2"/>
              <w:bottom w:val="single" w:sz="4" w:space="0" w:color="314364" w:themeColor="text2"/>
            </w:tcBorders>
            <w:vAlign w:val="center"/>
            <w:hideMark/>
          </w:tcPr>
          <w:p w14:paraId="07C19C7F" w14:textId="77777777" w:rsidR="00516DDB" w:rsidRPr="008F29A5" w:rsidRDefault="00516DDB" w:rsidP="00392A41">
            <w:pPr>
              <w:spacing w:after="0" w:line="240" w:lineRule="auto"/>
              <w:jc w:val="center"/>
              <w:rPr>
                <w:rFonts w:eastAsia="Times New Roman" w:cs="Segoe UI"/>
                <w:b/>
                <w:bCs/>
                <w:sz w:val="18"/>
                <w:szCs w:val="18"/>
                <w:lang w:eastAsia="sk-SK"/>
              </w:rPr>
            </w:pPr>
            <w:r w:rsidRPr="008F29A5">
              <w:rPr>
                <w:rFonts w:eastAsia="Times New Roman" w:cs="Segoe UI"/>
                <w:b/>
                <w:bCs/>
                <w:sz w:val="18"/>
                <w:szCs w:val="18"/>
                <w:lang w:eastAsia="sk-SK"/>
              </w:rPr>
              <w:t>93 (221)</w:t>
            </w:r>
          </w:p>
        </w:tc>
        <w:tc>
          <w:tcPr>
            <w:tcW w:w="0" w:type="auto"/>
            <w:tcBorders>
              <w:top w:val="single" w:sz="4" w:space="0" w:color="314364" w:themeColor="text2"/>
              <w:bottom w:val="single" w:sz="4" w:space="0" w:color="314364" w:themeColor="text2"/>
            </w:tcBorders>
            <w:vAlign w:val="center"/>
            <w:hideMark/>
          </w:tcPr>
          <w:p w14:paraId="299D666A" w14:textId="77777777" w:rsidR="00516DDB" w:rsidRPr="008F29A5" w:rsidRDefault="00516DDB" w:rsidP="00392A41">
            <w:pPr>
              <w:spacing w:after="0" w:line="240" w:lineRule="auto"/>
              <w:jc w:val="center"/>
              <w:rPr>
                <w:rFonts w:eastAsia="Times New Roman" w:cs="Segoe UI"/>
                <w:b/>
                <w:bCs/>
                <w:sz w:val="18"/>
                <w:szCs w:val="18"/>
                <w:lang w:eastAsia="sk-SK"/>
              </w:rPr>
            </w:pPr>
            <w:r w:rsidRPr="008F29A5">
              <w:rPr>
                <w:rFonts w:eastAsia="Times New Roman" w:cs="Segoe UI"/>
                <w:b/>
                <w:bCs/>
                <w:sz w:val="18"/>
                <w:szCs w:val="18"/>
                <w:lang w:eastAsia="sk-SK"/>
              </w:rPr>
              <w:t>70 (105)</w:t>
            </w:r>
          </w:p>
        </w:tc>
        <w:tc>
          <w:tcPr>
            <w:tcW w:w="0" w:type="auto"/>
            <w:tcBorders>
              <w:top w:val="single" w:sz="4" w:space="0" w:color="314364" w:themeColor="text2"/>
              <w:bottom w:val="single" w:sz="4" w:space="0" w:color="314364" w:themeColor="text2"/>
            </w:tcBorders>
            <w:vAlign w:val="center"/>
            <w:hideMark/>
          </w:tcPr>
          <w:p w14:paraId="166EC5C7" w14:textId="77777777" w:rsidR="00516DDB" w:rsidRPr="008F29A5" w:rsidRDefault="00516DDB" w:rsidP="00392A41">
            <w:pPr>
              <w:spacing w:after="0" w:line="240" w:lineRule="auto"/>
              <w:jc w:val="center"/>
              <w:rPr>
                <w:rFonts w:eastAsia="Times New Roman" w:cs="Segoe UI"/>
                <w:b/>
                <w:bCs/>
                <w:sz w:val="18"/>
                <w:szCs w:val="18"/>
                <w:lang w:eastAsia="sk-SK"/>
              </w:rPr>
            </w:pPr>
            <w:r w:rsidRPr="008F29A5">
              <w:rPr>
                <w:rFonts w:eastAsia="Times New Roman" w:cs="Segoe UI"/>
                <w:b/>
                <w:bCs/>
                <w:sz w:val="18"/>
                <w:szCs w:val="18"/>
                <w:lang w:eastAsia="sk-SK"/>
              </w:rPr>
              <w:t>23 (116)</w:t>
            </w:r>
          </w:p>
        </w:tc>
        <w:tc>
          <w:tcPr>
            <w:tcW w:w="0" w:type="auto"/>
            <w:tcBorders>
              <w:top w:val="single" w:sz="4" w:space="0" w:color="314364" w:themeColor="text2"/>
              <w:bottom w:val="single" w:sz="4" w:space="0" w:color="314364" w:themeColor="text2"/>
            </w:tcBorders>
            <w:vAlign w:val="center"/>
            <w:hideMark/>
          </w:tcPr>
          <w:p w14:paraId="32A631E5" w14:textId="77777777" w:rsidR="00516DDB" w:rsidRPr="008F29A5" w:rsidRDefault="00516DDB" w:rsidP="00392A41">
            <w:pPr>
              <w:spacing w:after="0" w:line="240" w:lineRule="auto"/>
              <w:jc w:val="center"/>
              <w:rPr>
                <w:rFonts w:eastAsia="Times New Roman" w:cs="Segoe UI"/>
                <w:b/>
                <w:bCs/>
                <w:sz w:val="18"/>
                <w:szCs w:val="18"/>
                <w:lang w:eastAsia="sk-SK"/>
              </w:rPr>
            </w:pPr>
            <w:r w:rsidRPr="008F29A5">
              <w:rPr>
                <w:rFonts w:eastAsia="Times New Roman" w:cs="Segoe UI"/>
                <w:b/>
                <w:bCs/>
                <w:sz w:val="18"/>
                <w:szCs w:val="18"/>
                <w:lang w:eastAsia="sk-SK"/>
              </w:rPr>
              <w:t>79 (113)</w:t>
            </w:r>
          </w:p>
        </w:tc>
        <w:tc>
          <w:tcPr>
            <w:tcW w:w="0" w:type="auto"/>
            <w:tcBorders>
              <w:top w:val="single" w:sz="4" w:space="0" w:color="314364" w:themeColor="text2"/>
              <w:bottom w:val="single" w:sz="4" w:space="0" w:color="314364" w:themeColor="text2"/>
              <w:right w:val="nil"/>
            </w:tcBorders>
            <w:vAlign w:val="center"/>
            <w:hideMark/>
          </w:tcPr>
          <w:p w14:paraId="2CD4E66C" w14:textId="77777777" w:rsidR="00516DDB" w:rsidRPr="008F29A5" w:rsidRDefault="00516DDB" w:rsidP="00392A41">
            <w:pPr>
              <w:spacing w:after="0" w:line="240" w:lineRule="auto"/>
              <w:ind w:right="-72"/>
              <w:jc w:val="center"/>
              <w:rPr>
                <w:rFonts w:eastAsia="Times New Roman" w:cs="Segoe UI"/>
                <w:b/>
                <w:bCs/>
                <w:sz w:val="18"/>
                <w:szCs w:val="18"/>
                <w:lang w:eastAsia="sk-SK"/>
              </w:rPr>
            </w:pPr>
            <w:r w:rsidRPr="008F29A5">
              <w:rPr>
                <w:rFonts w:eastAsia="Times New Roman" w:cs="Segoe UI"/>
                <w:b/>
                <w:bCs/>
                <w:sz w:val="18"/>
                <w:szCs w:val="18"/>
                <w:lang w:eastAsia="sk-SK"/>
              </w:rPr>
              <w:t>14 (108)</w:t>
            </w:r>
          </w:p>
        </w:tc>
      </w:tr>
    </w:tbl>
    <w:p w14:paraId="3F7DFEDA" w14:textId="61522AE7" w:rsidR="00516DDB" w:rsidRPr="008F29A5" w:rsidRDefault="00516DDB" w:rsidP="00516DDB">
      <w:pPr>
        <w:spacing w:line="240" w:lineRule="auto"/>
        <w:jc w:val="left"/>
        <w:rPr>
          <w:i/>
          <w:color w:val="314364" w:themeColor="text2"/>
          <w:sz w:val="16"/>
        </w:rPr>
      </w:pPr>
      <w:r w:rsidRPr="00065D83">
        <w:rPr>
          <w:i/>
          <w:color w:val="314364" w:themeColor="text2"/>
          <w:sz w:val="16"/>
          <w:lang w:eastAsia="sk-SK"/>
        </w:rPr>
        <w:t xml:space="preserve">Zdroj: EK </w:t>
      </w:r>
      <w:r w:rsidR="00065D83" w:rsidRPr="00065D83">
        <w:rPr>
          <w:i/>
          <w:color w:val="314364" w:themeColor="text2"/>
          <w:sz w:val="16"/>
          <w:lang w:val="en-US" w:eastAsia="sk-SK"/>
        </w:rPr>
        <w:t>[</w:t>
      </w:r>
      <w:hyperlink r:id="rId37" w:history="1">
        <w:r w:rsidRPr="00065D83">
          <w:rPr>
            <w:i/>
            <w:color w:val="314364" w:themeColor="hyperlink"/>
            <w:sz w:val="16"/>
            <w:u w:val="single"/>
            <w:lang w:eastAsia="sk-SK"/>
          </w:rPr>
          <w:t>online</w:t>
        </w:r>
      </w:hyperlink>
      <w:r w:rsidR="00065D83" w:rsidRPr="00065D83">
        <w:rPr>
          <w:i/>
        </w:rPr>
        <w:t>]</w:t>
      </w:r>
      <w:r w:rsidR="00FF7F8E">
        <w:rPr>
          <w:i/>
          <w:color w:val="314364" w:themeColor="text2"/>
          <w:sz w:val="16"/>
          <w:lang w:val="en-US" w:eastAsia="sk-SK"/>
        </w:rPr>
        <w:t>;</w:t>
      </w:r>
      <w:r w:rsidRPr="00065D83">
        <w:rPr>
          <w:i/>
          <w:color w:val="314364" w:themeColor="text2"/>
          <w:sz w:val="16"/>
          <w:lang w:eastAsia="sk-SK"/>
        </w:rPr>
        <w:t xml:space="preserve"> spracovanie NKÚ SR.</w:t>
      </w:r>
      <w:r w:rsidR="00F33626">
        <w:rPr>
          <w:i/>
          <w:color w:val="314364" w:themeColor="text2"/>
          <w:sz w:val="16"/>
          <w:lang w:eastAsia="sk-SK"/>
        </w:rPr>
        <w:t xml:space="preserve"> </w:t>
      </w:r>
      <w:r w:rsidRPr="008F29A5">
        <w:rPr>
          <w:i/>
          <w:color w:val="314364" w:themeColor="text2"/>
          <w:sz w:val="16"/>
          <w:lang w:eastAsia="sk-SK"/>
        </w:rPr>
        <w:t xml:space="preserve">* V zátvorke </w:t>
      </w:r>
      <w:r w:rsidR="00065D83">
        <w:rPr>
          <w:i/>
          <w:color w:val="314364" w:themeColor="text2"/>
          <w:sz w:val="16"/>
          <w:lang w:eastAsia="sk-SK"/>
        </w:rPr>
        <w:t xml:space="preserve">je </w:t>
      </w:r>
      <w:r w:rsidRPr="008F29A5">
        <w:rPr>
          <w:i/>
          <w:color w:val="314364" w:themeColor="text2"/>
          <w:sz w:val="16"/>
          <w:lang w:eastAsia="sk-SK"/>
        </w:rPr>
        <w:t>uvedená cieľová hodnota, ku ktorej sa SR zaviazala v rámci POO.</w:t>
      </w:r>
    </w:p>
    <w:p w14:paraId="35E174B1" w14:textId="0F1FDF75" w:rsidR="00482DBD" w:rsidRPr="00F33626" w:rsidRDefault="00564E89" w:rsidP="00482DBD">
      <w:r w:rsidRPr="00564E89">
        <w:rPr>
          <w:b/>
          <w:bCs/>
        </w:rPr>
        <w:t>Národná implementačná a koordinačná autorita</w:t>
      </w:r>
      <w:r>
        <w:rPr>
          <w:b/>
          <w:bCs/>
        </w:rPr>
        <w:t xml:space="preserve"> </w:t>
      </w:r>
      <w:r w:rsidRPr="00564E89">
        <w:t>(</w:t>
      </w:r>
      <w:r w:rsidR="00482DBD" w:rsidRPr="00564E89">
        <w:t>NIKA</w:t>
      </w:r>
      <w:r w:rsidRPr="00564E89">
        <w:t>)</w:t>
      </w:r>
      <w:r w:rsidR="00482DBD" w:rsidRPr="00AC21AF">
        <w:rPr>
          <w:b/>
          <w:bCs/>
        </w:rPr>
        <w:t xml:space="preserve"> podala na EK ku koncu júna 2025 šiestu žiadosť o platbu vo výške 976,6 mil. eur, v ktorej deklaruje splnenie </w:t>
      </w:r>
      <w:r w:rsidR="00F33626" w:rsidRPr="004A235E">
        <w:rPr>
          <w:b/>
          <w:bCs/>
        </w:rPr>
        <w:t>10 míľnikov a 21 cieľov</w:t>
      </w:r>
      <w:r w:rsidR="00F33626" w:rsidRPr="00F33626">
        <w:t xml:space="preserve"> v rámci 23 investícií a </w:t>
      </w:r>
      <w:r w:rsidR="00F33626">
        <w:t>ôsmich</w:t>
      </w:r>
      <w:r w:rsidR="00F33626" w:rsidRPr="00F33626">
        <w:t xml:space="preserve"> reforiem. K 2. </w:t>
      </w:r>
      <w:r w:rsidR="004A235E">
        <w:t>októbru</w:t>
      </w:r>
      <w:r w:rsidR="00F33626" w:rsidRPr="00F33626">
        <w:t xml:space="preserve"> 2025 EK zatiaľ nevydala stanovisko k </w:t>
      </w:r>
      <w:r w:rsidR="00F33626">
        <w:t>tejto</w:t>
      </w:r>
      <w:r w:rsidR="00F33626" w:rsidRPr="00F33626">
        <w:t xml:space="preserve"> žiadosti.</w:t>
      </w:r>
    </w:p>
    <w:p w14:paraId="5BBBBAE8" w14:textId="5F63FE5C" w:rsidR="00F33626" w:rsidRDefault="00D86D31" w:rsidP="00F33626">
      <w:pPr>
        <w:rPr>
          <w:bCs/>
        </w:rPr>
      </w:pPr>
      <w:r>
        <w:rPr>
          <w:b/>
        </w:rPr>
        <w:t xml:space="preserve">Okrem toho </w:t>
      </w:r>
      <w:r w:rsidR="00F33626">
        <w:rPr>
          <w:b/>
        </w:rPr>
        <w:t>SR z</w:t>
      </w:r>
      <w:r w:rsidR="00065D83" w:rsidRPr="00065D83">
        <w:rPr>
          <w:b/>
        </w:rPr>
        <w:t>ostáva splniť e</w:t>
      </w:r>
      <w:r w:rsidR="004B31E7">
        <w:rPr>
          <w:b/>
        </w:rPr>
        <w:t>š</w:t>
      </w:r>
      <w:r w:rsidR="00065D83" w:rsidRPr="00065D83">
        <w:rPr>
          <w:b/>
        </w:rPr>
        <w:t xml:space="preserve">te 97 míľnikov a cieľov v rámci posledných troch žiadostí o platbu, pričom na ich plnenie </w:t>
      </w:r>
      <w:r w:rsidR="00564E89">
        <w:rPr>
          <w:b/>
        </w:rPr>
        <w:t>zostáva</w:t>
      </w:r>
      <w:r w:rsidR="00065D83" w:rsidRPr="00065D83">
        <w:rPr>
          <w:b/>
        </w:rPr>
        <w:t xml:space="preserve"> necelých 11 mesiacov.</w:t>
      </w:r>
      <w:r w:rsidR="00065D83">
        <w:t xml:space="preserve"> </w:t>
      </w:r>
      <w:r w:rsidR="00516DDB">
        <w:t>V posledných žiadostiach o platbu sa budú odpočtovať prevažne investície</w:t>
      </w:r>
      <w:r w:rsidR="004A235E">
        <w:t xml:space="preserve"> (tabuľka</w:t>
      </w:r>
      <w:r w:rsidR="003B7772">
        <w:t xml:space="preserve"> </w:t>
      </w:r>
      <w:r w:rsidR="00240FAD">
        <w:t>9</w:t>
      </w:r>
      <w:r w:rsidR="004A235E">
        <w:t>)</w:t>
      </w:r>
      <w:r w:rsidR="00516DDB">
        <w:t>.</w:t>
      </w:r>
      <w:r w:rsidR="004B31E7" w:rsidRPr="004B31E7">
        <w:t xml:space="preserve"> </w:t>
      </w:r>
      <w:r w:rsidR="00F33626" w:rsidRPr="003A713C">
        <w:rPr>
          <w:bCs/>
        </w:rPr>
        <w:t xml:space="preserve">Do konca roka 2025 plánuje </w:t>
      </w:r>
      <w:r>
        <w:rPr>
          <w:bCs/>
        </w:rPr>
        <w:t xml:space="preserve">NIKA </w:t>
      </w:r>
      <w:r w:rsidR="00F33626" w:rsidRPr="003A713C">
        <w:rPr>
          <w:bCs/>
        </w:rPr>
        <w:t xml:space="preserve">predložiť na EK siedmu žiadosť o platbu vo výške 694 mil. eur a posledné dve žiadosti </w:t>
      </w:r>
      <w:r w:rsidR="00F33626">
        <w:rPr>
          <w:bCs/>
        </w:rPr>
        <w:t>majú byť</w:t>
      </w:r>
      <w:r w:rsidR="00F33626" w:rsidRPr="003A713C">
        <w:rPr>
          <w:bCs/>
        </w:rPr>
        <w:t xml:space="preserve"> na EK predložené do konca septembra 2026, dokedy je najneskôr možné si nárokovať vyplatenie prostriedkov z POO</w:t>
      </w:r>
      <w:r w:rsidR="004A235E">
        <w:rPr>
          <w:rStyle w:val="Odkaznapoznmkupodiarou"/>
          <w:bCs/>
        </w:rPr>
        <w:footnoteReference w:id="48"/>
      </w:r>
      <w:r w:rsidR="004A235E">
        <w:rPr>
          <w:bCs/>
        </w:rPr>
        <w:t>.</w:t>
      </w:r>
    </w:p>
    <w:p w14:paraId="195E1142" w14:textId="30D679E2" w:rsidR="00516DDB" w:rsidRPr="008F29A5" w:rsidRDefault="00516DDB" w:rsidP="00516DDB">
      <w:pPr>
        <w:spacing w:after="0"/>
        <w:rPr>
          <w:b/>
          <w:iCs/>
          <w:color w:val="314364"/>
          <w:szCs w:val="18"/>
        </w:rPr>
      </w:pPr>
      <w:r w:rsidRPr="008F29A5">
        <w:rPr>
          <w:b/>
          <w:iCs/>
          <w:color w:val="314364"/>
          <w:szCs w:val="18"/>
        </w:rPr>
        <w:t>Tabuľka</w:t>
      </w:r>
      <w:r w:rsidR="003B7772">
        <w:rPr>
          <w:b/>
          <w:iCs/>
          <w:color w:val="314364"/>
          <w:szCs w:val="18"/>
        </w:rPr>
        <w:t xml:space="preserve"> </w:t>
      </w:r>
      <w:r w:rsidR="00240FAD">
        <w:rPr>
          <w:b/>
          <w:iCs/>
          <w:color w:val="314364"/>
          <w:szCs w:val="18"/>
        </w:rPr>
        <w:t>9</w:t>
      </w:r>
      <w:r w:rsidRPr="008F29A5">
        <w:rPr>
          <w:b/>
          <w:iCs/>
          <w:color w:val="314364"/>
          <w:szCs w:val="18"/>
        </w:rPr>
        <w:t xml:space="preserve">: </w:t>
      </w:r>
      <w:r>
        <w:rPr>
          <w:b/>
          <w:iCs/>
          <w:color w:val="314364"/>
          <w:szCs w:val="18"/>
        </w:rPr>
        <w:t>Zostávajúce opatrenia</w:t>
      </w:r>
      <w:r w:rsidRPr="008F29A5">
        <w:rPr>
          <w:b/>
          <w:iCs/>
          <w:color w:val="314364"/>
          <w:szCs w:val="18"/>
        </w:rPr>
        <w:t xml:space="preserve"> v rámci POO</w:t>
      </w:r>
      <w:r>
        <w:rPr>
          <w:b/>
          <w:iCs/>
          <w:color w:val="314364"/>
          <w:szCs w:val="18"/>
        </w:rPr>
        <w:t xml:space="preserve"> k 2.</w:t>
      </w:r>
      <w:r w:rsidR="00065D83">
        <w:rPr>
          <w:b/>
          <w:iCs/>
          <w:color w:val="314364"/>
          <w:szCs w:val="18"/>
        </w:rPr>
        <w:t xml:space="preserve"> </w:t>
      </w:r>
      <w:r>
        <w:rPr>
          <w:b/>
          <w:iCs/>
          <w:color w:val="314364"/>
          <w:szCs w:val="18"/>
        </w:rPr>
        <w:t>10.</w:t>
      </w:r>
      <w:r w:rsidR="00065D83">
        <w:rPr>
          <w:b/>
          <w:iCs/>
          <w:color w:val="314364"/>
          <w:szCs w:val="18"/>
        </w:rPr>
        <w:t xml:space="preserve"> </w:t>
      </w:r>
      <w:r>
        <w:rPr>
          <w:b/>
          <w:iCs/>
          <w:color w:val="314364"/>
          <w:szCs w:val="18"/>
        </w:rPr>
        <w:t>2025</w:t>
      </w:r>
      <w:r w:rsidRPr="008F29A5">
        <w:rPr>
          <w:b/>
          <w:iCs/>
          <w:color w:val="314364"/>
          <w:szCs w:val="18"/>
        </w:rPr>
        <w:t xml:space="preserve"> (v mil. eur)</w:t>
      </w:r>
    </w:p>
    <w:tbl>
      <w:tblPr>
        <w:tblW w:w="9160" w:type="dxa"/>
        <w:tblCellMar>
          <w:left w:w="70" w:type="dxa"/>
          <w:right w:w="70" w:type="dxa"/>
        </w:tblCellMar>
        <w:tblLook w:val="04A0" w:firstRow="1" w:lastRow="0" w:firstColumn="1" w:lastColumn="0" w:noHBand="0" w:noVBand="1"/>
      </w:tblPr>
      <w:tblGrid>
        <w:gridCol w:w="1760"/>
        <w:gridCol w:w="1540"/>
        <w:gridCol w:w="1520"/>
        <w:gridCol w:w="1520"/>
        <w:gridCol w:w="1315"/>
        <w:gridCol w:w="1505"/>
      </w:tblGrid>
      <w:tr w:rsidR="00516DDB" w:rsidRPr="00844A67" w14:paraId="071CFD2C" w14:textId="77777777" w:rsidTr="00392A41">
        <w:trPr>
          <w:trHeight w:val="660"/>
        </w:trPr>
        <w:tc>
          <w:tcPr>
            <w:tcW w:w="1760" w:type="dxa"/>
            <w:vMerge w:val="restart"/>
            <w:tcBorders>
              <w:top w:val="nil"/>
              <w:left w:val="nil"/>
              <w:bottom w:val="nil"/>
              <w:right w:val="nil"/>
            </w:tcBorders>
            <w:shd w:val="clear" w:color="000000" w:fill="314364"/>
            <w:vAlign w:val="center"/>
            <w:hideMark/>
          </w:tcPr>
          <w:p w14:paraId="48C8DD2E" w14:textId="77777777" w:rsidR="00516DDB" w:rsidRPr="00844A67" w:rsidRDefault="00516DDB" w:rsidP="00392A41">
            <w:pPr>
              <w:spacing w:after="0" w:line="240" w:lineRule="auto"/>
              <w:jc w:val="center"/>
              <w:rPr>
                <w:rFonts w:eastAsia="Times New Roman" w:cs="Segoe UI"/>
                <w:b/>
                <w:bCs/>
                <w:color w:val="FFFFFF"/>
                <w:sz w:val="18"/>
                <w:szCs w:val="18"/>
                <w:lang w:eastAsia="sk-SK"/>
              </w:rPr>
            </w:pPr>
            <w:r w:rsidRPr="00844A67">
              <w:rPr>
                <w:rFonts w:eastAsia="Times New Roman" w:cs="Segoe UI"/>
                <w:b/>
                <w:bCs/>
                <w:color w:val="FFFFFF"/>
                <w:sz w:val="18"/>
                <w:szCs w:val="18"/>
                <w:lang w:eastAsia="sk-SK"/>
              </w:rPr>
              <w:t>Identifikácia platby</w:t>
            </w:r>
          </w:p>
        </w:tc>
        <w:tc>
          <w:tcPr>
            <w:tcW w:w="1540" w:type="dxa"/>
            <w:vMerge w:val="restart"/>
            <w:tcBorders>
              <w:top w:val="nil"/>
              <w:left w:val="nil"/>
              <w:bottom w:val="nil"/>
            </w:tcBorders>
            <w:shd w:val="clear" w:color="000000" w:fill="314364"/>
            <w:vAlign w:val="center"/>
            <w:hideMark/>
          </w:tcPr>
          <w:p w14:paraId="5CD9FD22" w14:textId="77777777" w:rsidR="00516DDB" w:rsidRPr="00844A67" w:rsidRDefault="00516DDB" w:rsidP="00392A41">
            <w:pPr>
              <w:spacing w:after="0" w:line="240" w:lineRule="auto"/>
              <w:jc w:val="center"/>
              <w:rPr>
                <w:rFonts w:eastAsia="Times New Roman" w:cs="Segoe UI"/>
                <w:b/>
                <w:bCs/>
                <w:color w:val="FFFFFF"/>
                <w:sz w:val="18"/>
                <w:szCs w:val="18"/>
                <w:lang w:eastAsia="sk-SK"/>
              </w:rPr>
            </w:pPr>
            <w:r w:rsidRPr="00844A67">
              <w:rPr>
                <w:rFonts w:eastAsia="Times New Roman" w:cs="Segoe UI"/>
                <w:b/>
                <w:bCs/>
                <w:color w:val="FFFFFF"/>
                <w:sz w:val="18"/>
                <w:szCs w:val="18"/>
                <w:lang w:eastAsia="sk-SK"/>
              </w:rPr>
              <w:t>opatrenia SPOLU</w:t>
            </w:r>
          </w:p>
        </w:tc>
        <w:tc>
          <w:tcPr>
            <w:tcW w:w="3040" w:type="dxa"/>
            <w:gridSpan w:val="2"/>
            <w:tcBorders>
              <w:bottom w:val="single" w:sz="4" w:space="0" w:color="FFFFFF" w:themeColor="background1"/>
              <w:right w:val="single" w:sz="4" w:space="0" w:color="FFFFFF" w:themeColor="background1"/>
            </w:tcBorders>
            <w:shd w:val="clear" w:color="000000" w:fill="314364"/>
            <w:vAlign w:val="center"/>
            <w:hideMark/>
          </w:tcPr>
          <w:p w14:paraId="31D0EFDF" w14:textId="77777777" w:rsidR="00516DDB" w:rsidRPr="00844A67" w:rsidRDefault="00516DDB" w:rsidP="00392A41">
            <w:pPr>
              <w:spacing w:after="0" w:line="240" w:lineRule="auto"/>
              <w:jc w:val="center"/>
              <w:rPr>
                <w:rFonts w:eastAsia="Times New Roman" w:cs="Segoe UI"/>
                <w:b/>
                <w:bCs/>
                <w:color w:val="FFFFFF"/>
                <w:sz w:val="18"/>
                <w:szCs w:val="18"/>
                <w:lang w:eastAsia="sk-SK"/>
              </w:rPr>
            </w:pPr>
            <w:r w:rsidRPr="00844A67">
              <w:rPr>
                <w:rFonts w:eastAsia="Times New Roman" w:cs="Segoe UI"/>
                <w:b/>
                <w:bCs/>
                <w:color w:val="FFFFFF"/>
                <w:sz w:val="18"/>
                <w:szCs w:val="18"/>
                <w:lang w:eastAsia="sk-SK"/>
              </w:rPr>
              <w:t>Zostávajúce opatrenia v členení na reformy/investície (počet)</w:t>
            </w:r>
          </w:p>
        </w:tc>
        <w:tc>
          <w:tcPr>
            <w:tcW w:w="2820" w:type="dxa"/>
            <w:gridSpan w:val="2"/>
            <w:tcBorders>
              <w:left w:val="single" w:sz="4" w:space="0" w:color="FFFFFF" w:themeColor="background1"/>
              <w:bottom w:val="single" w:sz="4" w:space="0" w:color="FFFFFF" w:themeColor="background1"/>
              <w:right w:val="nil"/>
            </w:tcBorders>
            <w:shd w:val="clear" w:color="000000" w:fill="314364"/>
            <w:vAlign w:val="center"/>
            <w:hideMark/>
          </w:tcPr>
          <w:p w14:paraId="378F14C8" w14:textId="77777777" w:rsidR="00516DDB" w:rsidRPr="00844A67" w:rsidRDefault="00516DDB" w:rsidP="00392A41">
            <w:pPr>
              <w:spacing w:after="0" w:line="240" w:lineRule="auto"/>
              <w:jc w:val="center"/>
              <w:rPr>
                <w:rFonts w:eastAsia="Times New Roman" w:cs="Segoe UI"/>
                <w:b/>
                <w:bCs/>
                <w:color w:val="FFFFFF"/>
                <w:sz w:val="18"/>
                <w:szCs w:val="18"/>
                <w:lang w:eastAsia="sk-SK"/>
              </w:rPr>
            </w:pPr>
            <w:r w:rsidRPr="00844A67">
              <w:rPr>
                <w:rFonts w:eastAsia="Times New Roman" w:cs="Segoe UI"/>
                <w:b/>
                <w:bCs/>
                <w:color w:val="FFFFFF"/>
                <w:sz w:val="18"/>
                <w:szCs w:val="18"/>
                <w:lang w:eastAsia="sk-SK"/>
              </w:rPr>
              <w:t>Zostávajúce opatrenia v členení na míľniky/ciele (počet)</w:t>
            </w:r>
          </w:p>
        </w:tc>
      </w:tr>
      <w:tr w:rsidR="00516DDB" w:rsidRPr="00844A67" w14:paraId="6BB2BE2E" w14:textId="77777777" w:rsidTr="00392A41">
        <w:trPr>
          <w:trHeight w:val="276"/>
        </w:trPr>
        <w:tc>
          <w:tcPr>
            <w:tcW w:w="1760" w:type="dxa"/>
            <w:vMerge/>
            <w:tcBorders>
              <w:top w:val="nil"/>
              <w:left w:val="nil"/>
              <w:bottom w:val="nil"/>
              <w:right w:val="nil"/>
            </w:tcBorders>
            <w:vAlign w:val="center"/>
            <w:hideMark/>
          </w:tcPr>
          <w:p w14:paraId="7E294384" w14:textId="77777777" w:rsidR="00516DDB" w:rsidRPr="00844A67" w:rsidRDefault="00516DDB" w:rsidP="00392A41">
            <w:pPr>
              <w:spacing w:after="0" w:line="240" w:lineRule="auto"/>
              <w:jc w:val="center"/>
              <w:rPr>
                <w:rFonts w:eastAsia="Times New Roman" w:cs="Segoe UI"/>
                <w:b/>
                <w:bCs/>
                <w:color w:val="FFFFFF"/>
                <w:sz w:val="18"/>
                <w:szCs w:val="18"/>
                <w:lang w:eastAsia="sk-SK"/>
              </w:rPr>
            </w:pPr>
          </w:p>
        </w:tc>
        <w:tc>
          <w:tcPr>
            <w:tcW w:w="1540" w:type="dxa"/>
            <w:vMerge/>
            <w:tcBorders>
              <w:top w:val="nil"/>
              <w:left w:val="nil"/>
              <w:bottom w:val="nil"/>
              <w:right w:val="nil"/>
            </w:tcBorders>
            <w:vAlign w:val="center"/>
            <w:hideMark/>
          </w:tcPr>
          <w:p w14:paraId="10102A8C" w14:textId="77777777" w:rsidR="00516DDB" w:rsidRPr="00844A67" w:rsidRDefault="00516DDB" w:rsidP="00392A41">
            <w:pPr>
              <w:spacing w:after="0" w:line="240" w:lineRule="auto"/>
              <w:jc w:val="center"/>
              <w:rPr>
                <w:rFonts w:eastAsia="Times New Roman" w:cs="Segoe UI"/>
                <w:b/>
                <w:bCs/>
                <w:color w:val="FFFFFF"/>
                <w:sz w:val="18"/>
                <w:szCs w:val="18"/>
                <w:lang w:eastAsia="sk-SK"/>
              </w:rPr>
            </w:pPr>
          </w:p>
        </w:tc>
        <w:tc>
          <w:tcPr>
            <w:tcW w:w="152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314364"/>
            <w:vAlign w:val="center"/>
            <w:hideMark/>
          </w:tcPr>
          <w:p w14:paraId="573CFF9F" w14:textId="77777777" w:rsidR="00516DDB" w:rsidRPr="00844A67" w:rsidRDefault="00516DDB" w:rsidP="00392A41">
            <w:pPr>
              <w:spacing w:after="0" w:line="240" w:lineRule="auto"/>
              <w:jc w:val="center"/>
              <w:rPr>
                <w:rFonts w:eastAsia="Times New Roman" w:cs="Segoe UI"/>
                <w:b/>
                <w:bCs/>
                <w:color w:val="FFFFFF"/>
                <w:sz w:val="18"/>
                <w:szCs w:val="18"/>
                <w:lang w:eastAsia="sk-SK"/>
              </w:rPr>
            </w:pPr>
            <w:r w:rsidRPr="00844A67">
              <w:rPr>
                <w:rFonts w:eastAsia="Times New Roman" w:cs="Segoe UI"/>
                <w:b/>
                <w:bCs/>
                <w:color w:val="FFFFFF"/>
                <w:sz w:val="18"/>
                <w:szCs w:val="18"/>
                <w:lang w:eastAsia="sk-SK"/>
              </w:rPr>
              <w:t>reformy</w:t>
            </w:r>
          </w:p>
        </w:tc>
        <w:tc>
          <w:tcPr>
            <w:tcW w:w="1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14364"/>
            <w:vAlign w:val="center"/>
            <w:hideMark/>
          </w:tcPr>
          <w:p w14:paraId="5A274A88" w14:textId="77777777" w:rsidR="00516DDB" w:rsidRPr="00844A67" w:rsidRDefault="00516DDB" w:rsidP="00392A41">
            <w:pPr>
              <w:spacing w:after="0" w:line="240" w:lineRule="auto"/>
              <w:jc w:val="center"/>
              <w:rPr>
                <w:rFonts w:eastAsia="Times New Roman" w:cs="Segoe UI"/>
                <w:b/>
                <w:bCs/>
                <w:color w:val="FFFFFF"/>
                <w:sz w:val="18"/>
                <w:szCs w:val="18"/>
                <w:lang w:eastAsia="sk-SK"/>
              </w:rPr>
            </w:pPr>
            <w:r w:rsidRPr="00844A67">
              <w:rPr>
                <w:rFonts w:eastAsia="Times New Roman" w:cs="Segoe UI"/>
                <w:b/>
                <w:bCs/>
                <w:color w:val="FFFFFF"/>
                <w:sz w:val="18"/>
                <w:szCs w:val="18"/>
                <w:lang w:eastAsia="sk-SK"/>
              </w:rPr>
              <w:t>investície</w:t>
            </w:r>
          </w:p>
        </w:tc>
        <w:tc>
          <w:tcPr>
            <w:tcW w:w="13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14364"/>
            <w:vAlign w:val="center"/>
            <w:hideMark/>
          </w:tcPr>
          <w:p w14:paraId="30632018" w14:textId="77777777" w:rsidR="00516DDB" w:rsidRPr="00844A67" w:rsidRDefault="00516DDB" w:rsidP="00392A41">
            <w:pPr>
              <w:spacing w:after="0" w:line="240" w:lineRule="auto"/>
              <w:jc w:val="center"/>
              <w:rPr>
                <w:rFonts w:eastAsia="Times New Roman" w:cs="Segoe UI"/>
                <w:b/>
                <w:bCs/>
                <w:color w:val="FFFFFF"/>
                <w:sz w:val="18"/>
                <w:szCs w:val="18"/>
                <w:lang w:eastAsia="sk-SK"/>
              </w:rPr>
            </w:pPr>
            <w:r w:rsidRPr="00844A67">
              <w:rPr>
                <w:rFonts w:eastAsia="Times New Roman" w:cs="Segoe UI"/>
                <w:b/>
                <w:bCs/>
                <w:color w:val="FFFFFF"/>
                <w:sz w:val="18"/>
                <w:szCs w:val="18"/>
                <w:lang w:eastAsia="sk-SK"/>
              </w:rPr>
              <w:t>míľniky</w:t>
            </w:r>
          </w:p>
        </w:tc>
        <w:tc>
          <w:tcPr>
            <w:tcW w:w="1505" w:type="dxa"/>
            <w:tcBorders>
              <w:top w:val="single" w:sz="4" w:space="0" w:color="FFFFFF" w:themeColor="background1"/>
              <w:left w:val="single" w:sz="4" w:space="0" w:color="FFFFFF" w:themeColor="background1"/>
              <w:bottom w:val="single" w:sz="4" w:space="0" w:color="FFFFFF" w:themeColor="background1"/>
            </w:tcBorders>
            <w:shd w:val="clear" w:color="000000" w:fill="314364"/>
            <w:vAlign w:val="center"/>
            <w:hideMark/>
          </w:tcPr>
          <w:p w14:paraId="65D306A4" w14:textId="77777777" w:rsidR="00516DDB" w:rsidRPr="00844A67" w:rsidRDefault="00516DDB" w:rsidP="00392A41">
            <w:pPr>
              <w:spacing w:after="0" w:line="240" w:lineRule="auto"/>
              <w:jc w:val="center"/>
              <w:rPr>
                <w:rFonts w:eastAsia="Times New Roman" w:cs="Segoe UI"/>
                <w:b/>
                <w:bCs/>
                <w:color w:val="FFFFFF"/>
                <w:sz w:val="18"/>
                <w:szCs w:val="18"/>
                <w:lang w:eastAsia="sk-SK"/>
              </w:rPr>
            </w:pPr>
            <w:r w:rsidRPr="00844A67">
              <w:rPr>
                <w:rFonts w:eastAsia="Times New Roman" w:cs="Segoe UI"/>
                <w:b/>
                <w:bCs/>
                <w:color w:val="FFFFFF"/>
                <w:sz w:val="18"/>
                <w:szCs w:val="18"/>
                <w:lang w:eastAsia="sk-SK"/>
              </w:rPr>
              <w:t>ciele</w:t>
            </w:r>
          </w:p>
        </w:tc>
      </w:tr>
      <w:tr w:rsidR="00516DDB" w:rsidRPr="00844A67" w14:paraId="4342E451" w14:textId="77777777" w:rsidTr="00392A41">
        <w:trPr>
          <w:trHeight w:val="276"/>
        </w:trPr>
        <w:tc>
          <w:tcPr>
            <w:tcW w:w="1760" w:type="dxa"/>
            <w:tcBorders>
              <w:top w:val="nil"/>
              <w:left w:val="single" w:sz="8" w:space="0" w:color="FFFFFF"/>
              <w:bottom w:val="nil"/>
              <w:right w:val="nil"/>
            </w:tcBorders>
            <w:shd w:val="clear" w:color="000000" w:fill="FFFFFF"/>
            <w:vAlign w:val="center"/>
            <w:hideMark/>
          </w:tcPr>
          <w:p w14:paraId="4336ED89" w14:textId="77777777" w:rsidR="00516DDB" w:rsidRPr="00844A67" w:rsidRDefault="00516DDB" w:rsidP="00392A41">
            <w:pPr>
              <w:spacing w:after="0" w:line="240" w:lineRule="auto"/>
              <w:jc w:val="left"/>
              <w:rPr>
                <w:rFonts w:eastAsia="Times New Roman" w:cs="Segoe UI"/>
                <w:color w:val="000000"/>
                <w:sz w:val="18"/>
                <w:szCs w:val="18"/>
                <w:lang w:eastAsia="sk-SK"/>
              </w:rPr>
            </w:pPr>
            <w:r w:rsidRPr="00844A67">
              <w:rPr>
                <w:rFonts w:eastAsia="Times New Roman" w:cs="Segoe UI"/>
                <w:color w:val="000000"/>
                <w:sz w:val="18"/>
                <w:szCs w:val="18"/>
                <w:lang w:eastAsia="sk-SK"/>
              </w:rPr>
              <w:t>9. priebežná platba</w:t>
            </w:r>
          </w:p>
        </w:tc>
        <w:tc>
          <w:tcPr>
            <w:tcW w:w="1540" w:type="dxa"/>
            <w:tcBorders>
              <w:top w:val="nil"/>
              <w:left w:val="nil"/>
              <w:bottom w:val="nil"/>
              <w:right w:val="nil"/>
            </w:tcBorders>
            <w:shd w:val="clear" w:color="000000" w:fill="FFFFFF"/>
            <w:noWrap/>
            <w:vAlign w:val="center"/>
            <w:hideMark/>
          </w:tcPr>
          <w:p w14:paraId="2D43804E" w14:textId="77777777" w:rsidR="00516DDB" w:rsidRPr="00844A67" w:rsidRDefault="00516DDB" w:rsidP="00392A41">
            <w:pPr>
              <w:spacing w:after="0" w:line="240" w:lineRule="auto"/>
              <w:jc w:val="center"/>
              <w:rPr>
                <w:rFonts w:eastAsia="Times New Roman" w:cs="Segoe UI"/>
                <w:b/>
                <w:bCs/>
                <w:color w:val="000000"/>
                <w:sz w:val="18"/>
                <w:szCs w:val="18"/>
                <w:lang w:eastAsia="sk-SK"/>
              </w:rPr>
            </w:pPr>
            <w:r w:rsidRPr="00844A67">
              <w:rPr>
                <w:rFonts w:eastAsia="Times New Roman" w:cs="Segoe UI"/>
                <w:b/>
                <w:bCs/>
                <w:color w:val="000000"/>
                <w:sz w:val="18"/>
                <w:szCs w:val="18"/>
                <w:lang w:eastAsia="sk-SK"/>
              </w:rPr>
              <w:t>54</w:t>
            </w:r>
          </w:p>
        </w:tc>
        <w:tc>
          <w:tcPr>
            <w:tcW w:w="1520" w:type="dxa"/>
            <w:tcBorders>
              <w:top w:val="single" w:sz="4" w:space="0" w:color="FFFFFF" w:themeColor="background1"/>
              <w:left w:val="nil"/>
              <w:bottom w:val="nil"/>
              <w:right w:val="nil"/>
            </w:tcBorders>
            <w:shd w:val="clear" w:color="000000" w:fill="FFFFFF"/>
            <w:noWrap/>
            <w:vAlign w:val="center"/>
            <w:hideMark/>
          </w:tcPr>
          <w:p w14:paraId="119DFA85"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9</w:t>
            </w:r>
          </w:p>
        </w:tc>
        <w:tc>
          <w:tcPr>
            <w:tcW w:w="1520" w:type="dxa"/>
            <w:tcBorders>
              <w:top w:val="single" w:sz="4" w:space="0" w:color="FFFFFF" w:themeColor="background1"/>
              <w:left w:val="nil"/>
              <w:bottom w:val="nil"/>
              <w:right w:val="nil"/>
            </w:tcBorders>
            <w:shd w:val="clear" w:color="000000" w:fill="FFFFFF"/>
            <w:noWrap/>
            <w:vAlign w:val="center"/>
            <w:hideMark/>
          </w:tcPr>
          <w:p w14:paraId="74A06D0C"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45</w:t>
            </w:r>
          </w:p>
        </w:tc>
        <w:tc>
          <w:tcPr>
            <w:tcW w:w="1315" w:type="dxa"/>
            <w:tcBorders>
              <w:top w:val="single" w:sz="4" w:space="0" w:color="FFFFFF" w:themeColor="background1"/>
              <w:left w:val="nil"/>
              <w:bottom w:val="nil"/>
              <w:right w:val="nil"/>
            </w:tcBorders>
            <w:shd w:val="clear" w:color="000000" w:fill="FFFFFF"/>
            <w:noWrap/>
            <w:vAlign w:val="center"/>
            <w:hideMark/>
          </w:tcPr>
          <w:p w14:paraId="4984500F"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9</w:t>
            </w:r>
          </w:p>
        </w:tc>
        <w:tc>
          <w:tcPr>
            <w:tcW w:w="1505" w:type="dxa"/>
            <w:tcBorders>
              <w:top w:val="single" w:sz="4" w:space="0" w:color="FFFFFF" w:themeColor="background1"/>
              <w:left w:val="nil"/>
              <w:bottom w:val="nil"/>
              <w:right w:val="nil"/>
            </w:tcBorders>
            <w:shd w:val="clear" w:color="000000" w:fill="FFFFFF"/>
            <w:noWrap/>
            <w:vAlign w:val="center"/>
            <w:hideMark/>
          </w:tcPr>
          <w:p w14:paraId="74001C19"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45</w:t>
            </w:r>
          </w:p>
        </w:tc>
      </w:tr>
      <w:tr w:rsidR="00516DDB" w:rsidRPr="00844A67" w14:paraId="0AD7F88F" w14:textId="77777777" w:rsidTr="00392A41">
        <w:trPr>
          <w:trHeight w:val="276"/>
        </w:trPr>
        <w:tc>
          <w:tcPr>
            <w:tcW w:w="1760" w:type="dxa"/>
            <w:tcBorders>
              <w:top w:val="nil"/>
              <w:left w:val="single" w:sz="8" w:space="0" w:color="FFFFFF"/>
              <w:bottom w:val="nil"/>
              <w:right w:val="nil"/>
            </w:tcBorders>
            <w:shd w:val="clear" w:color="000000" w:fill="FFFFFF"/>
            <w:vAlign w:val="center"/>
            <w:hideMark/>
          </w:tcPr>
          <w:p w14:paraId="783DCD5E" w14:textId="77777777" w:rsidR="00516DDB" w:rsidRPr="00844A67" w:rsidRDefault="00516DDB" w:rsidP="00392A41">
            <w:pPr>
              <w:spacing w:after="0" w:line="240" w:lineRule="auto"/>
              <w:jc w:val="left"/>
              <w:rPr>
                <w:rFonts w:eastAsia="Times New Roman" w:cs="Segoe UI"/>
                <w:color w:val="000000"/>
                <w:sz w:val="18"/>
                <w:szCs w:val="18"/>
                <w:lang w:eastAsia="sk-SK"/>
              </w:rPr>
            </w:pPr>
            <w:r w:rsidRPr="00844A67">
              <w:rPr>
                <w:rFonts w:eastAsia="Times New Roman" w:cs="Segoe UI"/>
                <w:color w:val="000000"/>
                <w:sz w:val="18"/>
                <w:szCs w:val="18"/>
                <w:lang w:eastAsia="sk-SK"/>
              </w:rPr>
              <w:t>8. priebežná platba</w:t>
            </w:r>
          </w:p>
        </w:tc>
        <w:tc>
          <w:tcPr>
            <w:tcW w:w="1540" w:type="dxa"/>
            <w:tcBorders>
              <w:top w:val="nil"/>
              <w:left w:val="nil"/>
              <w:bottom w:val="nil"/>
              <w:right w:val="nil"/>
            </w:tcBorders>
            <w:shd w:val="clear" w:color="000000" w:fill="FFFFFF"/>
            <w:noWrap/>
            <w:vAlign w:val="center"/>
            <w:hideMark/>
          </w:tcPr>
          <w:p w14:paraId="75FC7619" w14:textId="77777777" w:rsidR="00516DDB" w:rsidRPr="00844A67" w:rsidRDefault="00516DDB" w:rsidP="00392A41">
            <w:pPr>
              <w:spacing w:after="0" w:line="240" w:lineRule="auto"/>
              <w:jc w:val="center"/>
              <w:rPr>
                <w:rFonts w:eastAsia="Times New Roman" w:cs="Segoe UI"/>
                <w:b/>
                <w:bCs/>
                <w:color w:val="000000"/>
                <w:sz w:val="18"/>
                <w:szCs w:val="18"/>
                <w:lang w:eastAsia="sk-SK"/>
              </w:rPr>
            </w:pPr>
            <w:r w:rsidRPr="00844A67">
              <w:rPr>
                <w:rFonts w:eastAsia="Times New Roman" w:cs="Segoe UI"/>
                <w:b/>
                <w:bCs/>
                <w:color w:val="000000"/>
                <w:sz w:val="18"/>
                <w:szCs w:val="18"/>
                <w:lang w:eastAsia="sk-SK"/>
              </w:rPr>
              <w:t>25</w:t>
            </w:r>
          </w:p>
        </w:tc>
        <w:tc>
          <w:tcPr>
            <w:tcW w:w="1520" w:type="dxa"/>
            <w:tcBorders>
              <w:top w:val="nil"/>
              <w:left w:val="nil"/>
              <w:bottom w:val="nil"/>
              <w:right w:val="nil"/>
            </w:tcBorders>
            <w:shd w:val="clear" w:color="000000" w:fill="FFFFFF"/>
            <w:noWrap/>
            <w:vAlign w:val="center"/>
            <w:hideMark/>
          </w:tcPr>
          <w:p w14:paraId="714B8D19"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11</w:t>
            </w:r>
          </w:p>
        </w:tc>
        <w:tc>
          <w:tcPr>
            <w:tcW w:w="1520" w:type="dxa"/>
            <w:tcBorders>
              <w:top w:val="nil"/>
              <w:left w:val="nil"/>
              <w:bottom w:val="nil"/>
              <w:right w:val="nil"/>
            </w:tcBorders>
            <w:shd w:val="clear" w:color="000000" w:fill="FFFFFF"/>
            <w:noWrap/>
            <w:vAlign w:val="center"/>
            <w:hideMark/>
          </w:tcPr>
          <w:p w14:paraId="7A70E733"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14</w:t>
            </w:r>
          </w:p>
        </w:tc>
        <w:tc>
          <w:tcPr>
            <w:tcW w:w="1315" w:type="dxa"/>
            <w:tcBorders>
              <w:top w:val="nil"/>
              <w:left w:val="nil"/>
              <w:bottom w:val="nil"/>
              <w:right w:val="nil"/>
            </w:tcBorders>
            <w:shd w:val="clear" w:color="000000" w:fill="FFFFFF"/>
            <w:noWrap/>
            <w:vAlign w:val="center"/>
            <w:hideMark/>
          </w:tcPr>
          <w:p w14:paraId="586277C0"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6</w:t>
            </w:r>
          </w:p>
        </w:tc>
        <w:tc>
          <w:tcPr>
            <w:tcW w:w="1505" w:type="dxa"/>
            <w:tcBorders>
              <w:top w:val="nil"/>
              <w:left w:val="nil"/>
              <w:bottom w:val="nil"/>
              <w:right w:val="nil"/>
            </w:tcBorders>
            <w:shd w:val="clear" w:color="000000" w:fill="FFFFFF"/>
            <w:noWrap/>
            <w:vAlign w:val="center"/>
            <w:hideMark/>
          </w:tcPr>
          <w:p w14:paraId="5498F410"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19</w:t>
            </w:r>
          </w:p>
        </w:tc>
      </w:tr>
      <w:tr w:rsidR="00516DDB" w:rsidRPr="00844A67" w14:paraId="3D7BE431" w14:textId="77777777" w:rsidTr="00392A41">
        <w:trPr>
          <w:trHeight w:val="276"/>
        </w:trPr>
        <w:tc>
          <w:tcPr>
            <w:tcW w:w="1760" w:type="dxa"/>
            <w:tcBorders>
              <w:top w:val="nil"/>
              <w:left w:val="single" w:sz="8" w:space="0" w:color="FFFFFF"/>
              <w:bottom w:val="single" w:sz="4" w:space="0" w:color="auto"/>
              <w:right w:val="nil"/>
            </w:tcBorders>
            <w:shd w:val="clear" w:color="000000" w:fill="FFFFFF"/>
            <w:vAlign w:val="center"/>
            <w:hideMark/>
          </w:tcPr>
          <w:p w14:paraId="1A674B43" w14:textId="77777777" w:rsidR="00516DDB" w:rsidRPr="00844A67" w:rsidRDefault="00516DDB" w:rsidP="00392A41">
            <w:pPr>
              <w:spacing w:after="0" w:line="240" w:lineRule="auto"/>
              <w:jc w:val="left"/>
              <w:rPr>
                <w:rFonts w:eastAsia="Times New Roman" w:cs="Segoe UI"/>
                <w:color w:val="000000"/>
                <w:sz w:val="18"/>
                <w:szCs w:val="18"/>
                <w:lang w:eastAsia="sk-SK"/>
              </w:rPr>
            </w:pPr>
            <w:r w:rsidRPr="00844A67">
              <w:rPr>
                <w:rFonts w:eastAsia="Times New Roman" w:cs="Segoe UI"/>
                <w:color w:val="000000"/>
                <w:sz w:val="18"/>
                <w:szCs w:val="18"/>
                <w:lang w:eastAsia="sk-SK"/>
              </w:rPr>
              <w:t>7. priebežná platba</w:t>
            </w:r>
          </w:p>
        </w:tc>
        <w:tc>
          <w:tcPr>
            <w:tcW w:w="1540" w:type="dxa"/>
            <w:tcBorders>
              <w:top w:val="nil"/>
              <w:left w:val="nil"/>
              <w:bottom w:val="single" w:sz="4" w:space="0" w:color="auto"/>
              <w:right w:val="nil"/>
            </w:tcBorders>
            <w:shd w:val="clear" w:color="000000" w:fill="FFFFFF"/>
            <w:noWrap/>
            <w:vAlign w:val="center"/>
            <w:hideMark/>
          </w:tcPr>
          <w:p w14:paraId="07BEFD7E" w14:textId="77777777" w:rsidR="00516DDB" w:rsidRPr="00844A67" w:rsidRDefault="00516DDB" w:rsidP="00392A41">
            <w:pPr>
              <w:spacing w:after="0" w:line="240" w:lineRule="auto"/>
              <w:jc w:val="center"/>
              <w:rPr>
                <w:rFonts w:eastAsia="Times New Roman" w:cs="Segoe UI"/>
                <w:b/>
                <w:bCs/>
                <w:color w:val="000000"/>
                <w:sz w:val="18"/>
                <w:szCs w:val="18"/>
                <w:lang w:eastAsia="sk-SK"/>
              </w:rPr>
            </w:pPr>
            <w:r w:rsidRPr="00844A67">
              <w:rPr>
                <w:rFonts w:eastAsia="Times New Roman" w:cs="Segoe UI"/>
                <w:b/>
                <w:bCs/>
                <w:color w:val="000000"/>
                <w:sz w:val="18"/>
                <w:szCs w:val="18"/>
                <w:lang w:eastAsia="sk-SK"/>
              </w:rPr>
              <w:t>18</w:t>
            </w:r>
          </w:p>
        </w:tc>
        <w:tc>
          <w:tcPr>
            <w:tcW w:w="1520" w:type="dxa"/>
            <w:tcBorders>
              <w:top w:val="nil"/>
              <w:left w:val="nil"/>
              <w:bottom w:val="single" w:sz="4" w:space="0" w:color="auto"/>
              <w:right w:val="nil"/>
            </w:tcBorders>
            <w:shd w:val="clear" w:color="000000" w:fill="FFFFFF"/>
            <w:noWrap/>
            <w:vAlign w:val="center"/>
            <w:hideMark/>
          </w:tcPr>
          <w:p w14:paraId="450F8E6F"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7</w:t>
            </w:r>
          </w:p>
        </w:tc>
        <w:tc>
          <w:tcPr>
            <w:tcW w:w="1520" w:type="dxa"/>
            <w:tcBorders>
              <w:top w:val="nil"/>
              <w:left w:val="nil"/>
              <w:bottom w:val="single" w:sz="4" w:space="0" w:color="auto"/>
              <w:right w:val="nil"/>
            </w:tcBorders>
            <w:shd w:val="clear" w:color="000000" w:fill="FFFFFF"/>
            <w:noWrap/>
            <w:vAlign w:val="center"/>
            <w:hideMark/>
          </w:tcPr>
          <w:p w14:paraId="00D812FE"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11</w:t>
            </w:r>
          </w:p>
        </w:tc>
        <w:tc>
          <w:tcPr>
            <w:tcW w:w="1315" w:type="dxa"/>
            <w:tcBorders>
              <w:top w:val="nil"/>
              <w:left w:val="nil"/>
              <w:bottom w:val="single" w:sz="4" w:space="0" w:color="auto"/>
              <w:right w:val="nil"/>
            </w:tcBorders>
            <w:shd w:val="clear" w:color="000000" w:fill="FFFFFF"/>
            <w:noWrap/>
            <w:vAlign w:val="center"/>
            <w:hideMark/>
          </w:tcPr>
          <w:p w14:paraId="7C5D4581"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9</w:t>
            </w:r>
          </w:p>
        </w:tc>
        <w:tc>
          <w:tcPr>
            <w:tcW w:w="1505" w:type="dxa"/>
            <w:tcBorders>
              <w:top w:val="nil"/>
              <w:left w:val="nil"/>
              <w:bottom w:val="single" w:sz="4" w:space="0" w:color="auto"/>
              <w:right w:val="nil"/>
            </w:tcBorders>
            <w:shd w:val="clear" w:color="000000" w:fill="FFFFFF"/>
            <w:noWrap/>
            <w:vAlign w:val="center"/>
            <w:hideMark/>
          </w:tcPr>
          <w:p w14:paraId="21405EA7" w14:textId="77777777" w:rsidR="00516DDB" w:rsidRPr="00844A67" w:rsidRDefault="00516DDB" w:rsidP="00392A41">
            <w:pPr>
              <w:spacing w:after="0" w:line="240" w:lineRule="auto"/>
              <w:jc w:val="center"/>
              <w:rPr>
                <w:rFonts w:eastAsia="Times New Roman" w:cs="Segoe UI"/>
                <w:color w:val="000000"/>
                <w:sz w:val="18"/>
                <w:szCs w:val="18"/>
                <w:lang w:eastAsia="sk-SK"/>
              </w:rPr>
            </w:pPr>
            <w:r w:rsidRPr="00844A67">
              <w:rPr>
                <w:rFonts w:eastAsia="Times New Roman" w:cs="Segoe UI"/>
                <w:color w:val="000000"/>
                <w:sz w:val="18"/>
                <w:szCs w:val="18"/>
                <w:lang w:eastAsia="sk-SK"/>
              </w:rPr>
              <w:t>9</w:t>
            </w:r>
          </w:p>
        </w:tc>
      </w:tr>
      <w:tr w:rsidR="00516DDB" w:rsidRPr="00844A67" w14:paraId="6259DF2D" w14:textId="77777777" w:rsidTr="00392A41">
        <w:trPr>
          <w:trHeight w:val="276"/>
        </w:trPr>
        <w:tc>
          <w:tcPr>
            <w:tcW w:w="1760" w:type="dxa"/>
            <w:tcBorders>
              <w:top w:val="single" w:sz="4" w:space="0" w:color="auto"/>
              <w:left w:val="nil"/>
              <w:bottom w:val="single" w:sz="4" w:space="0" w:color="auto"/>
              <w:right w:val="nil"/>
            </w:tcBorders>
            <w:vAlign w:val="center"/>
            <w:hideMark/>
          </w:tcPr>
          <w:p w14:paraId="54EDF621" w14:textId="77777777" w:rsidR="00516DDB" w:rsidRPr="00844A67" w:rsidRDefault="00516DDB" w:rsidP="00392A41">
            <w:pPr>
              <w:spacing w:after="0" w:line="240" w:lineRule="auto"/>
              <w:jc w:val="left"/>
              <w:rPr>
                <w:rFonts w:eastAsia="Times New Roman" w:cs="Segoe UI"/>
                <w:b/>
                <w:bCs/>
                <w:sz w:val="18"/>
                <w:szCs w:val="18"/>
                <w:lang w:eastAsia="sk-SK"/>
              </w:rPr>
            </w:pPr>
            <w:r w:rsidRPr="00844A67">
              <w:rPr>
                <w:rFonts w:eastAsia="Times New Roman" w:cs="Segoe UI"/>
                <w:b/>
                <w:bCs/>
                <w:sz w:val="18"/>
                <w:szCs w:val="18"/>
                <w:lang w:eastAsia="sk-SK"/>
              </w:rPr>
              <w:t>SPOLU</w:t>
            </w:r>
          </w:p>
        </w:tc>
        <w:tc>
          <w:tcPr>
            <w:tcW w:w="1540" w:type="dxa"/>
            <w:tcBorders>
              <w:top w:val="single" w:sz="4" w:space="0" w:color="auto"/>
              <w:left w:val="nil"/>
              <w:bottom w:val="single" w:sz="4" w:space="0" w:color="auto"/>
              <w:right w:val="nil"/>
            </w:tcBorders>
            <w:vAlign w:val="center"/>
            <w:hideMark/>
          </w:tcPr>
          <w:p w14:paraId="48083105" w14:textId="77777777" w:rsidR="00516DDB" w:rsidRPr="00844A67" w:rsidRDefault="00516DDB" w:rsidP="00392A41">
            <w:pPr>
              <w:spacing w:after="0" w:line="240" w:lineRule="auto"/>
              <w:jc w:val="center"/>
              <w:rPr>
                <w:rFonts w:eastAsia="Times New Roman" w:cs="Segoe UI"/>
                <w:b/>
                <w:bCs/>
                <w:sz w:val="18"/>
                <w:szCs w:val="18"/>
                <w:lang w:eastAsia="sk-SK"/>
              </w:rPr>
            </w:pPr>
            <w:r w:rsidRPr="00844A67">
              <w:rPr>
                <w:rFonts w:eastAsia="Times New Roman" w:cs="Segoe UI"/>
                <w:b/>
                <w:bCs/>
                <w:sz w:val="18"/>
                <w:szCs w:val="18"/>
                <w:lang w:eastAsia="sk-SK"/>
              </w:rPr>
              <w:t>97</w:t>
            </w:r>
          </w:p>
        </w:tc>
        <w:tc>
          <w:tcPr>
            <w:tcW w:w="1520" w:type="dxa"/>
            <w:tcBorders>
              <w:top w:val="single" w:sz="4" w:space="0" w:color="auto"/>
              <w:left w:val="nil"/>
              <w:bottom w:val="single" w:sz="4" w:space="0" w:color="auto"/>
              <w:right w:val="nil"/>
            </w:tcBorders>
            <w:vAlign w:val="center"/>
            <w:hideMark/>
          </w:tcPr>
          <w:p w14:paraId="7D4D6F45" w14:textId="77777777" w:rsidR="00516DDB" w:rsidRPr="00844A67" w:rsidRDefault="00516DDB" w:rsidP="00392A41">
            <w:pPr>
              <w:spacing w:after="0" w:line="240" w:lineRule="auto"/>
              <w:jc w:val="center"/>
              <w:rPr>
                <w:rFonts w:eastAsia="Times New Roman" w:cs="Segoe UI"/>
                <w:b/>
                <w:bCs/>
                <w:sz w:val="18"/>
                <w:szCs w:val="18"/>
                <w:lang w:eastAsia="sk-SK"/>
              </w:rPr>
            </w:pPr>
            <w:r w:rsidRPr="00844A67">
              <w:rPr>
                <w:rFonts w:eastAsia="Times New Roman" w:cs="Segoe UI"/>
                <w:b/>
                <w:bCs/>
                <w:sz w:val="18"/>
                <w:szCs w:val="18"/>
                <w:lang w:eastAsia="sk-SK"/>
              </w:rPr>
              <w:t>27</w:t>
            </w:r>
          </w:p>
        </w:tc>
        <w:tc>
          <w:tcPr>
            <w:tcW w:w="1520" w:type="dxa"/>
            <w:tcBorders>
              <w:top w:val="single" w:sz="4" w:space="0" w:color="auto"/>
              <w:left w:val="nil"/>
              <w:bottom w:val="single" w:sz="4" w:space="0" w:color="auto"/>
              <w:right w:val="nil"/>
            </w:tcBorders>
            <w:vAlign w:val="center"/>
            <w:hideMark/>
          </w:tcPr>
          <w:p w14:paraId="1EB29DD5" w14:textId="77777777" w:rsidR="00516DDB" w:rsidRPr="00844A67" w:rsidRDefault="00516DDB" w:rsidP="00392A41">
            <w:pPr>
              <w:spacing w:after="0" w:line="240" w:lineRule="auto"/>
              <w:jc w:val="center"/>
              <w:rPr>
                <w:rFonts w:eastAsia="Times New Roman" w:cs="Segoe UI"/>
                <w:b/>
                <w:bCs/>
                <w:sz w:val="18"/>
                <w:szCs w:val="18"/>
                <w:lang w:eastAsia="sk-SK"/>
              </w:rPr>
            </w:pPr>
            <w:r w:rsidRPr="00844A67">
              <w:rPr>
                <w:rFonts w:eastAsia="Times New Roman" w:cs="Segoe UI"/>
                <w:b/>
                <w:bCs/>
                <w:sz w:val="18"/>
                <w:szCs w:val="18"/>
                <w:lang w:eastAsia="sk-SK"/>
              </w:rPr>
              <w:t>70</w:t>
            </w:r>
          </w:p>
        </w:tc>
        <w:tc>
          <w:tcPr>
            <w:tcW w:w="1315" w:type="dxa"/>
            <w:tcBorders>
              <w:top w:val="single" w:sz="4" w:space="0" w:color="auto"/>
              <w:left w:val="nil"/>
              <w:bottom w:val="single" w:sz="4" w:space="0" w:color="auto"/>
              <w:right w:val="nil"/>
            </w:tcBorders>
            <w:vAlign w:val="center"/>
            <w:hideMark/>
          </w:tcPr>
          <w:p w14:paraId="455DC048" w14:textId="77777777" w:rsidR="00516DDB" w:rsidRPr="00844A67" w:rsidRDefault="00516DDB" w:rsidP="00392A41">
            <w:pPr>
              <w:spacing w:after="0" w:line="240" w:lineRule="auto"/>
              <w:jc w:val="center"/>
              <w:rPr>
                <w:rFonts w:eastAsia="Times New Roman" w:cs="Segoe UI"/>
                <w:b/>
                <w:bCs/>
                <w:sz w:val="18"/>
                <w:szCs w:val="18"/>
                <w:lang w:eastAsia="sk-SK"/>
              </w:rPr>
            </w:pPr>
            <w:r w:rsidRPr="00844A67">
              <w:rPr>
                <w:rFonts w:eastAsia="Times New Roman" w:cs="Segoe UI"/>
                <w:b/>
                <w:bCs/>
                <w:sz w:val="18"/>
                <w:szCs w:val="18"/>
                <w:lang w:eastAsia="sk-SK"/>
              </w:rPr>
              <w:t>24</w:t>
            </w:r>
          </w:p>
        </w:tc>
        <w:tc>
          <w:tcPr>
            <w:tcW w:w="1505" w:type="dxa"/>
            <w:tcBorders>
              <w:top w:val="single" w:sz="4" w:space="0" w:color="auto"/>
              <w:left w:val="nil"/>
              <w:bottom w:val="single" w:sz="4" w:space="0" w:color="auto"/>
              <w:right w:val="nil"/>
            </w:tcBorders>
            <w:vAlign w:val="center"/>
            <w:hideMark/>
          </w:tcPr>
          <w:p w14:paraId="38A66412" w14:textId="77777777" w:rsidR="00516DDB" w:rsidRPr="00844A67" w:rsidRDefault="00516DDB" w:rsidP="00392A41">
            <w:pPr>
              <w:spacing w:after="0" w:line="240" w:lineRule="auto"/>
              <w:jc w:val="center"/>
              <w:rPr>
                <w:rFonts w:eastAsia="Times New Roman" w:cs="Segoe UI"/>
                <w:b/>
                <w:bCs/>
                <w:sz w:val="18"/>
                <w:szCs w:val="18"/>
                <w:lang w:eastAsia="sk-SK"/>
              </w:rPr>
            </w:pPr>
            <w:r w:rsidRPr="00844A67">
              <w:rPr>
                <w:rFonts w:eastAsia="Times New Roman" w:cs="Segoe UI"/>
                <w:b/>
                <w:bCs/>
                <w:sz w:val="18"/>
                <w:szCs w:val="18"/>
                <w:lang w:eastAsia="sk-SK"/>
              </w:rPr>
              <w:t>73</w:t>
            </w:r>
          </w:p>
        </w:tc>
      </w:tr>
    </w:tbl>
    <w:p w14:paraId="29F15D1A" w14:textId="73880BC1" w:rsidR="00D86D31" w:rsidRDefault="00D86D31" w:rsidP="00F33626">
      <w:pPr>
        <w:rPr>
          <w:b/>
        </w:rPr>
      </w:pPr>
      <w:r w:rsidRPr="00F33626">
        <w:rPr>
          <w:i/>
          <w:color w:val="314364" w:themeColor="text2"/>
          <w:sz w:val="16"/>
          <w:lang w:eastAsia="sk-SK"/>
        </w:rPr>
        <w:t>Zdroj: EK [</w:t>
      </w:r>
      <w:hyperlink r:id="rId38" w:history="1">
        <w:r w:rsidRPr="00F33626">
          <w:rPr>
            <w:i/>
            <w:color w:val="314364" w:themeColor="text2"/>
            <w:sz w:val="16"/>
            <w:lang w:eastAsia="sk-SK"/>
          </w:rPr>
          <w:t>online</w:t>
        </w:r>
      </w:hyperlink>
      <w:r w:rsidRPr="00F33626">
        <w:rPr>
          <w:i/>
          <w:color w:val="314364" w:themeColor="text2"/>
          <w:sz w:val="16"/>
          <w:lang w:eastAsia="sk-SK"/>
        </w:rPr>
        <w:t>]</w:t>
      </w:r>
      <w:r w:rsidR="00FF7F8E">
        <w:rPr>
          <w:i/>
          <w:color w:val="314364" w:themeColor="text2"/>
          <w:sz w:val="16"/>
          <w:lang w:eastAsia="sk-SK"/>
        </w:rPr>
        <w:t>;</w:t>
      </w:r>
      <w:r w:rsidRPr="00F33626">
        <w:rPr>
          <w:i/>
          <w:color w:val="314364" w:themeColor="text2"/>
          <w:sz w:val="16"/>
          <w:lang w:eastAsia="sk-SK"/>
        </w:rPr>
        <w:t xml:space="preserve"> spracovanie NKÚ SR.</w:t>
      </w:r>
    </w:p>
    <w:p w14:paraId="64316DB3" w14:textId="52BFA44C" w:rsidR="00F33626" w:rsidRDefault="00F33626" w:rsidP="00F33626">
      <w:pPr>
        <w:rPr>
          <w:bCs/>
        </w:rPr>
      </w:pPr>
      <w:r w:rsidRPr="00F33626">
        <w:rPr>
          <w:b/>
        </w:rPr>
        <w:t xml:space="preserve">NKÚ SR upozorňuje na riziko nesplnenia </w:t>
      </w:r>
      <w:r w:rsidR="004A235E">
        <w:rPr>
          <w:b/>
        </w:rPr>
        <w:t xml:space="preserve">zostávajúcich </w:t>
      </w:r>
      <w:r w:rsidRPr="00F33626">
        <w:rPr>
          <w:b/>
        </w:rPr>
        <w:t>opatrení, ku ktorým sa SR v rámci POO zaviazala, čo môže mať za následok krátenie prostriedkov prijatých z POO.</w:t>
      </w:r>
      <w:r w:rsidRPr="00F33626">
        <w:t xml:space="preserve"> </w:t>
      </w:r>
      <w:r w:rsidRPr="00F33626">
        <w:rPr>
          <w:bCs/>
        </w:rPr>
        <w:t>V rámci posledných dvoch žiadostí o platbu sa bude na EK deklarovať aj plnenie míľnikov a cieľov z veľkých investičných projektov</w:t>
      </w:r>
      <w:r>
        <w:rPr>
          <w:bCs/>
        </w:rPr>
        <w:t xml:space="preserve">, pričom </w:t>
      </w:r>
      <w:r w:rsidRPr="00F33626">
        <w:rPr>
          <w:bCs/>
        </w:rPr>
        <w:t xml:space="preserve">pri viacerých projektoch došlo k posunom termínov </w:t>
      </w:r>
      <w:r>
        <w:rPr>
          <w:bCs/>
        </w:rPr>
        <w:t xml:space="preserve">ich </w:t>
      </w:r>
      <w:r w:rsidRPr="00F33626">
        <w:rPr>
          <w:bCs/>
        </w:rPr>
        <w:t>realizácie</w:t>
      </w:r>
      <w:r>
        <w:rPr>
          <w:bCs/>
        </w:rPr>
        <w:t>.</w:t>
      </w:r>
    </w:p>
    <w:p w14:paraId="70601934" w14:textId="74017AB3" w:rsidR="00E251CA" w:rsidRDefault="00E251CA" w:rsidP="00E251CA">
      <w:r w:rsidRPr="00E251CA">
        <w:rPr>
          <w:b/>
          <w:bCs/>
        </w:rPr>
        <w:lastRenderedPageBreak/>
        <w:t>V súvislosti s júnovou výzvou EK, adresovanou členským štátom k zjednodušeniu svojich POO</w:t>
      </w:r>
      <w:r w:rsidRPr="00E251CA">
        <w:rPr>
          <w:rStyle w:val="Odkaznapoznmkupodiarou"/>
        </w:rPr>
        <w:footnoteReference w:id="49"/>
      </w:r>
      <w:r w:rsidRPr="00E251CA">
        <w:rPr>
          <w:b/>
          <w:bCs/>
        </w:rPr>
        <w:t>, NIKA 2. októbra 2025 predložila EK návrh revízie POO.</w:t>
      </w:r>
      <w:r>
        <w:t xml:space="preserve"> V návrhu označila míľniky a ciele, ktoré budú vyžadovať</w:t>
      </w:r>
      <w:r w:rsidRPr="00047960">
        <w:t xml:space="preserve"> zjednodušeni</w:t>
      </w:r>
      <w:r>
        <w:t>e</w:t>
      </w:r>
      <w:r w:rsidRPr="00047960">
        <w:t xml:space="preserve"> preukazovania plnenia</w:t>
      </w:r>
      <w:r>
        <w:t>, zníženie ambície, úplné zrušenie, prípadne možné navýšenie z dôvodu identifikácie dodatočnej absorpčnej kapacity. Súčasne boli identifikované nové opatrenia, ktoré sa stihnú zrealizovať do hraničného termínu 31. augusta 2026</w:t>
      </w:r>
      <w:r>
        <w:rPr>
          <w:rStyle w:val="Odkaznapoznmkupodiarou"/>
        </w:rPr>
        <w:footnoteReference w:id="50"/>
      </w:r>
      <w:r>
        <w:t>. Schválenie revízie POO zo strany EK umožní minimalizovať</w:t>
      </w:r>
      <w:r w:rsidRPr="00324339">
        <w:t xml:space="preserve"> rizik</w:t>
      </w:r>
      <w:r>
        <w:t>á</w:t>
      </w:r>
      <w:r w:rsidRPr="00324339">
        <w:t xml:space="preserve"> nesplnenia opatrení do hraničného termínu.</w:t>
      </w:r>
      <w:r>
        <w:t xml:space="preserve">  </w:t>
      </w:r>
    </w:p>
    <w:p w14:paraId="0EFA39A6" w14:textId="77777777" w:rsidR="004A235E" w:rsidRDefault="004A235E" w:rsidP="004A235E">
      <w:r>
        <w:rPr>
          <w:b/>
          <w:bCs/>
        </w:rPr>
        <w:t xml:space="preserve">SR </w:t>
      </w:r>
      <w:r w:rsidRPr="00AA74D4">
        <w:rPr>
          <w:b/>
          <w:bCs/>
        </w:rPr>
        <w:t>zatiaľ ako jediná z krajín EÚ prišla o časť alokácie POO, a to vo výške 1,2 mil. eur</w:t>
      </w:r>
      <w:r w:rsidRPr="004A235E">
        <w:rPr>
          <w:rStyle w:val="Odkaznapoznmkupodiarou"/>
        </w:rPr>
        <w:footnoteReference w:id="51"/>
      </w:r>
      <w:r w:rsidRPr="00AA74D4">
        <w:rPr>
          <w:b/>
          <w:bCs/>
        </w:rPr>
        <w:t>.</w:t>
      </w:r>
      <w:r>
        <w:rPr>
          <w:b/>
          <w:bCs/>
        </w:rPr>
        <w:t xml:space="preserve"> </w:t>
      </w:r>
      <w:r w:rsidRPr="008F29A5">
        <w:t>Dôvodom bol konflikt záujmov</w:t>
      </w:r>
      <w:r>
        <w:t xml:space="preserve"> na projekte</w:t>
      </w:r>
      <w:r w:rsidRPr="008F29A5">
        <w:t xml:space="preserve"> </w:t>
      </w:r>
      <w:r w:rsidRPr="00F33626">
        <w:rPr>
          <w:i/>
          <w:iCs/>
        </w:rPr>
        <w:t>Univerzitný klaster Trnava</w:t>
      </w:r>
      <w:r w:rsidRPr="008F29A5">
        <w:t>, ktorý zistila EK v máji 2022</w:t>
      </w:r>
      <w:r w:rsidRPr="008F29A5">
        <w:rPr>
          <w:vertAlign w:val="superscript"/>
        </w:rPr>
        <w:footnoteReference w:id="52"/>
      </w:r>
      <w:r w:rsidRPr="008F29A5">
        <w:t xml:space="preserve">. Zistenie sa týkalo míľnika </w:t>
      </w:r>
      <w:r w:rsidRPr="008F29A5">
        <w:rPr>
          <w:i/>
          <w:iCs/>
        </w:rPr>
        <w:t>Cestovná mapa spájania aspoň pre dva celky vysokých škôl</w:t>
      </w:r>
      <w:r w:rsidRPr="008F29A5">
        <w:t xml:space="preserve"> (gestor MŠVVM SR), ktorého splnenie SR odpočtovala EK ešte v prvej žiadosti o platbu. Keďže S</w:t>
      </w:r>
      <w:r>
        <w:t>R</w:t>
      </w:r>
      <w:r w:rsidRPr="008F29A5">
        <w:t xml:space="preserve"> včas neprijal</w:t>
      </w:r>
      <w:r>
        <w:t>a</w:t>
      </w:r>
      <w:r w:rsidRPr="008F29A5">
        <w:t xml:space="preserve"> nápravné opatrenia, EK rozhodla o krátení pridelených prostriedkov</w:t>
      </w:r>
      <w:r w:rsidRPr="008F29A5">
        <w:rPr>
          <w:vertAlign w:val="superscript"/>
        </w:rPr>
        <w:footnoteReference w:id="53"/>
      </w:r>
      <w:r w:rsidRPr="008F29A5">
        <w:t xml:space="preserve">. </w:t>
      </w:r>
    </w:p>
    <w:p w14:paraId="30187556" w14:textId="1F5B0FCB" w:rsidR="00516DDB" w:rsidRDefault="00516DDB" w:rsidP="00516DDB">
      <w:r w:rsidRPr="00F33626">
        <w:rPr>
          <w:b/>
          <w:bCs/>
        </w:rPr>
        <w:t xml:space="preserve">V prípade porovnania stavu implementácie POO v rámci krajín V4 je Slovensko druhou najúspešnejšou krajinou s mierou plnenia opatrení 42,1 % </w:t>
      </w:r>
      <w:r w:rsidRPr="00F33626">
        <w:t>(graf</w:t>
      </w:r>
      <w:r w:rsidR="00E5565F">
        <w:t xml:space="preserve"> 26</w:t>
      </w:r>
      <w:r w:rsidRPr="00F33626">
        <w:t>)</w:t>
      </w:r>
      <w:r w:rsidRPr="00F33626">
        <w:rPr>
          <w:b/>
          <w:bCs/>
        </w:rPr>
        <w:t xml:space="preserve">. </w:t>
      </w:r>
      <w:r>
        <w:t xml:space="preserve">Ak EK Slovensku schváli </w:t>
      </w:r>
      <w:r w:rsidR="00E5565F">
        <w:t>šiestu</w:t>
      </w:r>
      <w:r>
        <w:t xml:space="preserve"> žiadosť o platbu predloženú ku koncu júna 2025, plnenie dosiahne 56,1 %. Aktuálne najlepšie implementujúcou krajinou V4 je ČR (55,9 %). SR dosahuje lepšie výsledky ako </w:t>
      </w:r>
      <w:r w:rsidR="00FF7F8E">
        <w:t>priemer EÚ</w:t>
      </w:r>
      <w:r>
        <w:t xml:space="preserve">27 (39,7 %). Je zrejmé, že sa viaceré členské štáty </w:t>
      </w:r>
      <w:r w:rsidR="00580986">
        <w:t>stretávajú</w:t>
      </w:r>
      <w:r>
        <w:t xml:space="preserve"> s problémami v implementácii tohto nástroja.</w:t>
      </w:r>
    </w:p>
    <w:p w14:paraId="5E112457" w14:textId="4C87F3D7" w:rsidR="00E126DF" w:rsidRPr="00693526" w:rsidRDefault="00E126DF" w:rsidP="00E126DF">
      <w:pPr>
        <w:pStyle w:val="Popis"/>
        <w:keepNext/>
        <w:rPr>
          <w:color w:val="314364"/>
        </w:rPr>
      </w:pPr>
      <w:r w:rsidRPr="00693526">
        <w:rPr>
          <w:color w:val="314364"/>
        </w:rPr>
        <w:t>Graf</w:t>
      </w:r>
      <w:r>
        <w:rPr>
          <w:color w:val="314364"/>
        </w:rPr>
        <w:t xml:space="preserve"> </w:t>
      </w:r>
      <w:r w:rsidR="00240FAD">
        <w:rPr>
          <w:color w:val="314364"/>
        </w:rPr>
        <w:t>26</w:t>
      </w:r>
      <w:r w:rsidRPr="00693526">
        <w:rPr>
          <w:color w:val="314364"/>
        </w:rPr>
        <w:t>: Plnenie míľnikov a cieľov POO v rámci V4 a E</w:t>
      </w:r>
      <w:r>
        <w:rPr>
          <w:color w:val="314364"/>
        </w:rPr>
        <w:t>Ú</w:t>
      </w:r>
      <w:r w:rsidRPr="00693526">
        <w:rPr>
          <w:color w:val="314364"/>
        </w:rPr>
        <w:t>27 k 2.</w:t>
      </w:r>
      <w:r>
        <w:rPr>
          <w:color w:val="314364"/>
        </w:rPr>
        <w:t xml:space="preserve"> </w:t>
      </w:r>
      <w:r w:rsidRPr="00693526">
        <w:rPr>
          <w:color w:val="314364"/>
        </w:rPr>
        <w:t>10.</w:t>
      </w:r>
      <w:r>
        <w:rPr>
          <w:color w:val="314364"/>
        </w:rPr>
        <w:t xml:space="preserve"> </w:t>
      </w:r>
      <w:r w:rsidRPr="00693526">
        <w:rPr>
          <w:color w:val="314364"/>
        </w:rPr>
        <w:t>2025 (v %)</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E126DF" w:rsidRPr="00C75134" w14:paraId="2E11F61E" w14:textId="77777777" w:rsidTr="00BB314F">
        <w:trPr>
          <w:trHeight w:val="3118"/>
        </w:trPr>
        <w:tc>
          <w:tcPr>
            <w:tcW w:w="9070" w:type="dxa"/>
            <w:tcBorders>
              <w:top w:val="single" w:sz="4" w:space="0" w:color="314364"/>
              <w:bottom w:val="single" w:sz="4" w:space="0" w:color="314364"/>
            </w:tcBorders>
            <w:vAlign w:val="center"/>
          </w:tcPr>
          <w:p w14:paraId="52AC10EB" w14:textId="77777777" w:rsidR="00E126DF" w:rsidRPr="00C75134" w:rsidRDefault="00E126DF" w:rsidP="00BB314F">
            <w:pPr>
              <w:spacing w:after="0"/>
              <w:rPr>
                <w:b/>
                <w:color w:val="576431"/>
              </w:rPr>
            </w:pPr>
            <w:r>
              <w:rPr>
                <w:noProof/>
                <w:lang w:eastAsia="sk-SK"/>
              </w:rPr>
              <w:drawing>
                <wp:inline distT="0" distB="0" distL="0" distR="0" wp14:anchorId="792AA5C4" wp14:editId="74263A3A">
                  <wp:extent cx="5760000" cy="1980000"/>
                  <wp:effectExtent l="0" t="0" r="0" b="1270"/>
                  <wp:docPr id="857353294" name="Graf 857353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021BA236" w14:textId="268A75BA" w:rsidR="00E126DF" w:rsidRPr="00440621" w:rsidRDefault="00E126DF" w:rsidP="00E126DF">
      <w:pPr>
        <w:rPr>
          <w:i/>
          <w:color w:val="314364" w:themeColor="text2"/>
          <w:sz w:val="16"/>
          <w:lang w:eastAsia="sk-SK"/>
        </w:rPr>
      </w:pPr>
      <w:r w:rsidRPr="00440621">
        <w:rPr>
          <w:i/>
          <w:color w:val="314364" w:themeColor="text2"/>
          <w:sz w:val="16"/>
          <w:lang w:eastAsia="sk-SK"/>
        </w:rPr>
        <w:t>Zdroj: [</w:t>
      </w:r>
      <w:hyperlink r:id="rId40" w:history="1">
        <w:r w:rsidRPr="00440621">
          <w:rPr>
            <w:rStyle w:val="Hypertextovprepojenie"/>
            <w:i/>
            <w:sz w:val="16"/>
            <w:lang w:eastAsia="sk-SK"/>
          </w:rPr>
          <w:t>online</w:t>
        </w:r>
      </w:hyperlink>
      <w:r w:rsidRPr="00440621">
        <w:rPr>
          <w:i/>
        </w:rPr>
        <w:t>]</w:t>
      </w:r>
      <w:r w:rsidRPr="00440621">
        <w:rPr>
          <w:i/>
          <w:color w:val="314364" w:themeColor="text2"/>
          <w:sz w:val="16"/>
          <w:lang w:val="en-US" w:eastAsia="sk-SK"/>
        </w:rPr>
        <w:t>;</w:t>
      </w:r>
      <w:r w:rsidRPr="00440621">
        <w:rPr>
          <w:i/>
          <w:color w:val="314364" w:themeColor="text2"/>
          <w:sz w:val="16"/>
          <w:lang w:eastAsia="sk-SK"/>
        </w:rPr>
        <w:t xml:space="preserve"> spracovanie NKÚ SR.</w:t>
      </w:r>
    </w:p>
    <w:p w14:paraId="33FA29F9" w14:textId="643987C6" w:rsidR="00516DDB" w:rsidRDefault="00516DDB" w:rsidP="00516DDB">
      <w:pPr>
        <w:rPr>
          <w:b/>
          <w:bCs/>
        </w:rPr>
      </w:pPr>
      <w:r w:rsidRPr="009B3001">
        <w:rPr>
          <w:b/>
          <w:bCs/>
        </w:rPr>
        <w:t>Ku koncu augusta 2025 bolo na implementáciu POO vyplatených celkom 2</w:t>
      </w:r>
      <w:r w:rsidR="00564E89">
        <w:rPr>
          <w:b/>
          <w:bCs/>
        </w:rPr>
        <w:t>,</w:t>
      </w:r>
      <w:r w:rsidRPr="009B3001">
        <w:rPr>
          <w:b/>
          <w:bCs/>
        </w:rPr>
        <w:t>2</w:t>
      </w:r>
      <w:r w:rsidR="00564E89">
        <w:rPr>
          <w:b/>
          <w:bCs/>
        </w:rPr>
        <w:t>5</w:t>
      </w:r>
      <w:r w:rsidRPr="009B3001">
        <w:rPr>
          <w:b/>
          <w:bCs/>
        </w:rPr>
        <w:t xml:space="preserve"> ml</w:t>
      </w:r>
      <w:r w:rsidR="00564E89">
        <w:rPr>
          <w:b/>
          <w:bCs/>
        </w:rPr>
        <w:t>d</w:t>
      </w:r>
      <w:r w:rsidRPr="009B3001">
        <w:rPr>
          <w:b/>
          <w:bCs/>
        </w:rPr>
        <w:t>. eur, pričom naj</w:t>
      </w:r>
      <w:r w:rsidR="00FA5744">
        <w:rPr>
          <w:b/>
          <w:bCs/>
        </w:rPr>
        <w:t>vyš</w:t>
      </w:r>
      <w:r w:rsidRPr="009B3001">
        <w:rPr>
          <w:b/>
          <w:bCs/>
        </w:rPr>
        <w:t>šie čerpanie bolo realizované v rámci Komponentu: Moderná a dostupná zdravotná starostlivosť</w:t>
      </w:r>
      <w:r>
        <w:t xml:space="preserve"> v sume 389,4 mil. eur</w:t>
      </w:r>
      <w:r>
        <w:rPr>
          <w:rStyle w:val="Odkaznapoznmkupodiarou"/>
        </w:rPr>
        <w:footnoteReference w:id="54"/>
      </w:r>
      <w:r>
        <w:t xml:space="preserve"> </w:t>
      </w:r>
      <w:r w:rsidRPr="009B3001">
        <w:rPr>
          <w:b/>
          <w:bCs/>
        </w:rPr>
        <w:t>a v rámci Komponentu Obnova budov</w:t>
      </w:r>
      <w:r>
        <w:t xml:space="preserve"> v celkovom objeme 371,1 mil. eur</w:t>
      </w:r>
      <w:r>
        <w:rPr>
          <w:rStyle w:val="Odkaznapoznmkupodiarou"/>
        </w:rPr>
        <w:footnoteReference w:id="55"/>
      </w:r>
      <w:r w:rsidR="005568A2">
        <w:t xml:space="preserve"> (tabuľka</w:t>
      </w:r>
      <w:r w:rsidR="003B7772">
        <w:t xml:space="preserve"> </w:t>
      </w:r>
      <w:r w:rsidR="00240FAD">
        <w:t>10</w:t>
      </w:r>
      <w:r w:rsidR="005568A2">
        <w:t>)</w:t>
      </w:r>
      <w:r w:rsidRPr="009B3001">
        <w:rPr>
          <w:b/>
          <w:bCs/>
        </w:rPr>
        <w:t>.</w:t>
      </w:r>
    </w:p>
    <w:p w14:paraId="1A3F9BF7" w14:textId="77777777" w:rsidR="00BA6E74" w:rsidRDefault="00BA6E74" w:rsidP="00516DDB">
      <w:pPr>
        <w:rPr>
          <w:b/>
          <w:bCs/>
        </w:rPr>
      </w:pPr>
    </w:p>
    <w:p w14:paraId="16E9CBAF" w14:textId="77777777" w:rsidR="00BA6E74" w:rsidRDefault="00BA6E74" w:rsidP="00516DDB">
      <w:pPr>
        <w:rPr>
          <w:b/>
          <w:bCs/>
        </w:rPr>
      </w:pPr>
    </w:p>
    <w:p w14:paraId="4D1AFD08" w14:textId="77777777" w:rsidR="00BA6E74" w:rsidRDefault="00BA6E74" w:rsidP="00516DDB"/>
    <w:p w14:paraId="522B7206" w14:textId="69F2C38E" w:rsidR="00E126DF" w:rsidRPr="009521DD" w:rsidRDefault="00E126DF" w:rsidP="00E126DF">
      <w:pPr>
        <w:spacing w:after="0"/>
        <w:rPr>
          <w:b/>
          <w:iCs/>
          <w:color w:val="314364"/>
          <w:szCs w:val="18"/>
        </w:rPr>
      </w:pPr>
      <w:r>
        <w:rPr>
          <w:b/>
          <w:iCs/>
          <w:color w:val="314364"/>
          <w:szCs w:val="18"/>
        </w:rPr>
        <w:t xml:space="preserve">Tabuľka </w:t>
      </w:r>
      <w:r w:rsidR="00240FAD">
        <w:rPr>
          <w:b/>
          <w:iCs/>
          <w:color w:val="314364"/>
          <w:szCs w:val="18"/>
        </w:rPr>
        <w:t>10</w:t>
      </w:r>
      <w:r>
        <w:rPr>
          <w:b/>
          <w:iCs/>
          <w:color w:val="314364"/>
          <w:szCs w:val="18"/>
        </w:rPr>
        <w:t xml:space="preserve">: </w:t>
      </w:r>
      <w:r w:rsidRPr="009521DD">
        <w:rPr>
          <w:b/>
          <w:iCs/>
          <w:color w:val="314364"/>
          <w:szCs w:val="18"/>
        </w:rPr>
        <w:t>Vyplatené pr</w:t>
      </w:r>
      <w:r>
        <w:rPr>
          <w:b/>
          <w:iCs/>
          <w:color w:val="314364"/>
          <w:szCs w:val="18"/>
        </w:rPr>
        <w:t>ostriedky POO so stavom k 31. 8</w:t>
      </w:r>
      <w:r w:rsidRPr="009521DD">
        <w:rPr>
          <w:b/>
          <w:iCs/>
          <w:color w:val="314364"/>
          <w:szCs w:val="18"/>
        </w:rPr>
        <w:t>.</w:t>
      </w:r>
      <w:r>
        <w:rPr>
          <w:b/>
          <w:iCs/>
          <w:color w:val="314364"/>
          <w:szCs w:val="18"/>
        </w:rPr>
        <w:t xml:space="preserve"> </w:t>
      </w:r>
      <w:r w:rsidRPr="009521DD">
        <w:rPr>
          <w:b/>
          <w:iCs/>
          <w:color w:val="314364"/>
          <w:szCs w:val="18"/>
        </w:rPr>
        <w:t>2025</w:t>
      </w:r>
      <w:r>
        <w:rPr>
          <w:b/>
          <w:iCs/>
          <w:color w:val="314364"/>
          <w:szCs w:val="18"/>
        </w:rPr>
        <w:t xml:space="preserve"> (v mil. eur)</w:t>
      </w:r>
    </w:p>
    <w:tbl>
      <w:tblPr>
        <w:tblW w:w="9072" w:type="dxa"/>
        <w:tblCellMar>
          <w:left w:w="70" w:type="dxa"/>
          <w:right w:w="70" w:type="dxa"/>
        </w:tblCellMar>
        <w:tblLook w:val="04A0" w:firstRow="1" w:lastRow="0" w:firstColumn="1" w:lastColumn="0" w:noHBand="0" w:noVBand="1"/>
      </w:tblPr>
      <w:tblGrid>
        <w:gridCol w:w="1974"/>
        <w:gridCol w:w="4421"/>
        <w:gridCol w:w="991"/>
        <w:gridCol w:w="1686"/>
      </w:tblGrid>
      <w:tr w:rsidR="00E126DF" w:rsidRPr="003D2382" w14:paraId="4691BEFB" w14:textId="77777777" w:rsidTr="00BB314F">
        <w:trPr>
          <w:trHeight w:val="283"/>
        </w:trPr>
        <w:tc>
          <w:tcPr>
            <w:tcW w:w="1985" w:type="dxa"/>
            <w:tcBorders>
              <w:left w:val="nil"/>
              <w:right w:val="nil"/>
            </w:tcBorders>
            <w:shd w:val="clear" w:color="000000" w:fill="314364"/>
            <w:vAlign w:val="center"/>
            <w:hideMark/>
          </w:tcPr>
          <w:p w14:paraId="67C23196" w14:textId="77777777" w:rsidR="00E126DF" w:rsidRPr="00BB314F" w:rsidRDefault="00E126DF" w:rsidP="00BB314F">
            <w:pPr>
              <w:spacing w:after="0" w:line="240" w:lineRule="auto"/>
              <w:jc w:val="left"/>
              <w:rPr>
                <w:rFonts w:eastAsia="Times New Roman" w:cs="Segoe UI"/>
                <w:b/>
                <w:color w:val="FFFFFF"/>
                <w:sz w:val="18"/>
                <w:szCs w:val="18"/>
                <w:lang w:eastAsia="sk-SK"/>
              </w:rPr>
            </w:pPr>
            <w:r w:rsidRPr="00BB314F">
              <w:rPr>
                <w:rFonts w:eastAsia="Times New Roman" w:cs="Segoe UI"/>
                <w:b/>
                <w:color w:val="FFFFFF"/>
                <w:sz w:val="18"/>
                <w:szCs w:val="18"/>
                <w:lang w:eastAsia="sk-SK"/>
              </w:rPr>
              <w:t>Oblasť</w:t>
            </w:r>
          </w:p>
        </w:tc>
        <w:tc>
          <w:tcPr>
            <w:tcW w:w="4460" w:type="dxa"/>
            <w:tcBorders>
              <w:left w:val="nil"/>
              <w:right w:val="nil"/>
            </w:tcBorders>
            <w:shd w:val="clear" w:color="000000" w:fill="314364"/>
            <w:vAlign w:val="center"/>
            <w:hideMark/>
          </w:tcPr>
          <w:p w14:paraId="1FF534D1" w14:textId="77777777" w:rsidR="00E126DF" w:rsidRPr="00BB314F" w:rsidRDefault="00E126DF" w:rsidP="00BB314F">
            <w:pPr>
              <w:spacing w:after="0" w:line="240" w:lineRule="auto"/>
              <w:jc w:val="left"/>
              <w:rPr>
                <w:rFonts w:eastAsia="Times New Roman" w:cs="Segoe UI"/>
                <w:b/>
                <w:color w:val="FFFFFF"/>
                <w:sz w:val="18"/>
                <w:szCs w:val="18"/>
                <w:lang w:eastAsia="sk-SK"/>
              </w:rPr>
            </w:pPr>
            <w:r w:rsidRPr="00BB314F">
              <w:rPr>
                <w:rFonts w:eastAsia="Times New Roman" w:cs="Segoe UI"/>
                <w:b/>
                <w:color w:val="FFFFFF"/>
                <w:sz w:val="18"/>
                <w:szCs w:val="18"/>
                <w:lang w:eastAsia="sk-SK"/>
              </w:rPr>
              <w:t>Komponent</w:t>
            </w:r>
          </w:p>
        </w:tc>
        <w:tc>
          <w:tcPr>
            <w:tcW w:w="932" w:type="dxa"/>
            <w:tcBorders>
              <w:left w:val="nil"/>
              <w:right w:val="nil"/>
            </w:tcBorders>
            <w:shd w:val="clear" w:color="000000" w:fill="314364"/>
            <w:vAlign w:val="center"/>
            <w:hideMark/>
          </w:tcPr>
          <w:p w14:paraId="1CF7E9EE" w14:textId="77777777" w:rsidR="00E126DF" w:rsidRPr="00BB314F" w:rsidRDefault="00E126DF" w:rsidP="00BB314F">
            <w:pPr>
              <w:spacing w:after="0" w:line="240" w:lineRule="auto"/>
              <w:jc w:val="center"/>
              <w:rPr>
                <w:rFonts w:eastAsia="Times New Roman" w:cs="Segoe UI"/>
                <w:b/>
                <w:color w:val="FFFFFF"/>
                <w:sz w:val="18"/>
                <w:szCs w:val="18"/>
                <w:lang w:eastAsia="sk-SK"/>
              </w:rPr>
            </w:pPr>
            <w:r w:rsidRPr="00BB314F">
              <w:rPr>
                <w:rFonts w:eastAsia="Times New Roman" w:cs="Segoe UI"/>
                <w:b/>
                <w:color w:val="FFFFFF"/>
                <w:sz w:val="18"/>
                <w:szCs w:val="18"/>
                <w:lang w:eastAsia="sk-SK"/>
              </w:rPr>
              <w:t>Vyplatené</w:t>
            </w:r>
          </w:p>
        </w:tc>
        <w:tc>
          <w:tcPr>
            <w:tcW w:w="1695" w:type="dxa"/>
            <w:tcBorders>
              <w:left w:val="nil"/>
              <w:right w:val="nil"/>
            </w:tcBorders>
            <w:shd w:val="clear" w:color="000000" w:fill="314364"/>
            <w:vAlign w:val="center"/>
            <w:hideMark/>
          </w:tcPr>
          <w:p w14:paraId="6DD6052F" w14:textId="77777777" w:rsidR="00E126DF" w:rsidRPr="00BB314F" w:rsidRDefault="00E126DF" w:rsidP="00BB314F">
            <w:pPr>
              <w:spacing w:after="0" w:line="240" w:lineRule="auto"/>
              <w:jc w:val="center"/>
              <w:rPr>
                <w:rFonts w:eastAsia="Times New Roman" w:cs="Segoe UI"/>
                <w:b/>
                <w:color w:val="FFFFFF"/>
                <w:sz w:val="18"/>
                <w:szCs w:val="18"/>
                <w:lang w:eastAsia="sk-SK"/>
              </w:rPr>
            </w:pPr>
            <w:r w:rsidRPr="00BB314F">
              <w:rPr>
                <w:rFonts w:eastAsia="Times New Roman" w:cs="Segoe UI"/>
                <w:b/>
                <w:color w:val="FFFFFF"/>
                <w:sz w:val="18"/>
                <w:szCs w:val="18"/>
                <w:lang w:eastAsia="sk-SK"/>
              </w:rPr>
              <w:t>Vyplatené DPH</w:t>
            </w:r>
          </w:p>
        </w:tc>
      </w:tr>
      <w:tr w:rsidR="00E126DF" w:rsidRPr="003D2382" w14:paraId="7B3AD650" w14:textId="77777777" w:rsidTr="00BB314F">
        <w:trPr>
          <w:trHeight w:val="283"/>
        </w:trPr>
        <w:tc>
          <w:tcPr>
            <w:tcW w:w="1985" w:type="dxa"/>
            <w:vMerge w:val="restart"/>
            <w:tcBorders>
              <w:bottom w:val="single" w:sz="4" w:space="0" w:color="314364" w:themeColor="text2"/>
            </w:tcBorders>
            <w:shd w:val="clear" w:color="000000" w:fill="FFFFFF"/>
            <w:vAlign w:val="center"/>
            <w:hideMark/>
          </w:tcPr>
          <w:p w14:paraId="60587408" w14:textId="77777777" w:rsidR="00E126DF" w:rsidRPr="003D2382" w:rsidRDefault="00E126DF" w:rsidP="00BB314F">
            <w:pPr>
              <w:spacing w:after="0" w:line="240" w:lineRule="auto"/>
              <w:jc w:val="left"/>
              <w:rPr>
                <w:rFonts w:eastAsia="Times New Roman" w:cs="Segoe UI"/>
                <w:b/>
                <w:bCs/>
                <w:color w:val="000000"/>
                <w:sz w:val="18"/>
                <w:szCs w:val="18"/>
                <w:lang w:eastAsia="sk-SK"/>
              </w:rPr>
            </w:pPr>
            <w:r w:rsidRPr="003D2382">
              <w:rPr>
                <w:rFonts w:eastAsia="Times New Roman" w:cs="Segoe UI"/>
                <w:b/>
                <w:bCs/>
                <w:color w:val="000000"/>
                <w:sz w:val="18"/>
                <w:szCs w:val="18"/>
                <w:lang w:eastAsia="sk-SK"/>
              </w:rPr>
              <w:t>Zelená ekonomika</w:t>
            </w:r>
          </w:p>
        </w:tc>
        <w:tc>
          <w:tcPr>
            <w:tcW w:w="4460" w:type="dxa"/>
            <w:shd w:val="clear" w:color="000000" w:fill="FFFFFF"/>
            <w:vAlign w:val="center"/>
            <w:hideMark/>
          </w:tcPr>
          <w:p w14:paraId="3C68305F"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 Obnoviteľné zdroje energie a energetická infraštruktúra</w:t>
            </w:r>
          </w:p>
        </w:tc>
        <w:tc>
          <w:tcPr>
            <w:tcW w:w="932" w:type="dxa"/>
            <w:shd w:val="clear" w:color="000000" w:fill="FFFFFF"/>
            <w:noWrap/>
            <w:vAlign w:val="center"/>
            <w:hideMark/>
          </w:tcPr>
          <w:p w14:paraId="041481B6"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15,6</w:t>
            </w:r>
          </w:p>
        </w:tc>
        <w:tc>
          <w:tcPr>
            <w:tcW w:w="1695" w:type="dxa"/>
            <w:shd w:val="clear" w:color="000000" w:fill="FFFFFF"/>
            <w:vAlign w:val="center"/>
            <w:hideMark/>
          </w:tcPr>
          <w:p w14:paraId="21C0C463"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0,002</w:t>
            </w:r>
          </w:p>
        </w:tc>
      </w:tr>
      <w:tr w:rsidR="00E126DF" w:rsidRPr="003D2382" w14:paraId="74E1B7F5" w14:textId="77777777" w:rsidTr="00BB314F">
        <w:trPr>
          <w:trHeight w:val="283"/>
        </w:trPr>
        <w:tc>
          <w:tcPr>
            <w:tcW w:w="1985" w:type="dxa"/>
            <w:vMerge/>
            <w:tcBorders>
              <w:top w:val="single" w:sz="4" w:space="0" w:color="314364" w:themeColor="text2"/>
              <w:bottom w:val="single" w:sz="4" w:space="0" w:color="314364" w:themeColor="text2"/>
            </w:tcBorders>
            <w:vAlign w:val="center"/>
            <w:hideMark/>
          </w:tcPr>
          <w:p w14:paraId="1B3CBECA"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shd w:val="clear" w:color="000000" w:fill="FFFFFF"/>
            <w:vAlign w:val="center"/>
            <w:hideMark/>
          </w:tcPr>
          <w:p w14:paraId="04700B73"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K2:</w:t>
            </w:r>
            <w:r>
              <w:rPr>
                <w:rFonts w:eastAsia="Times New Roman" w:cs="Segoe UI"/>
                <w:color w:val="000000"/>
                <w:sz w:val="18"/>
                <w:szCs w:val="18"/>
                <w:lang w:eastAsia="sk-SK"/>
              </w:rPr>
              <w:t xml:space="preserve"> </w:t>
            </w:r>
            <w:r w:rsidRPr="003D2382">
              <w:rPr>
                <w:rFonts w:eastAsia="Times New Roman" w:cs="Segoe UI"/>
                <w:color w:val="000000"/>
                <w:sz w:val="18"/>
                <w:szCs w:val="18"/>
                <w:lang w:eastAsia="sk-SK"/>
              </w:rPr>
              <w:t>Obnova budov</w:t>
            </w:r>
          </w:p>
        </w:tc>
        <w:tc>
          <w:tcPr>
            <w:tcW w:w="932" w:type="dxa"/>
            <w:shd w:val="clear" w:color="000000" w:fill="FFFFFF"/>
            <w:noWrap/>
            <w:vAlign w:val="center"/>
            <w:hideMark/>
          </w:tcPr>
          <w:p w14:paraId="5973F9DE"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371,1</w:t>
            </w:r>
          </w:p>
        </w:tc>
        <w:tc>
          <w:tcPr>
            <w:tcW w:w="1695" w:type="dxa"/>
            <w:shd w:val="clear" w:color="000000" w:fill="FFFFFF"/>
            <w:vAlign w:val="center"/>
            <w:hideMark/>
          </w:tcPr>
          <w:p w14:paraId="5145913D"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18,4</w:t>
            </w:r>
          </w:p>
        </w:tc>
      </w:tr>
      <w:tr w:rsidR="00E126DF" w:rsidRPr="003D2382" w14:paraId="7642CB05" w14:textId="77777777" w:rsidTr="00BB314F">
        <w:trPr>
          <w:trHeight w:val="283"/>
        </w:trPr>
        <w:tc>
          <w:tcPr>
            <w:tcW w:w="1985" w:type="dxa"/>
            <w:vMerge/>
            <w:tcBorders>
              <w:top w:val="single" w:sz="4" w:space="0" w:color="314364" w:themeColor="text2"/>
              <w:bottom w:val="single" w:sz="4" w:space="0" w:color="314364" w:themeColor="text2"/>
            </w:tcBorders>
            <w:vAlign w:val="center"/>
            <w:hideMark/>
          </w:tcPr>
          <w:p w14:paraId="125B3A4D"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shd w:val="clear" w:color="000000" w:fill="FFFFFF"/>
            <w:vAlign w:val="center"/>
            <w:hideMark/>
          </w:tcPr>
          <w:p w14:paraId="50D85F08"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K3: Udržateľná doprava</w:t>
            </w:r>
          </w:p>
        </w:tc>
        <w:tc>
          <w:tcPr>
            <w:tcW w:w="932" w:type="dxa"/>
            <w:shd w:val="clear" w:color="000000" w:fill="FFFFFF"/>
            <w:noWrap/>
            <w:vAlign w:val="center"/>
            <w:hideMark/>
          </w:tcPr>
          <w:p w14:paraId="17C2A58D"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278,9</w:t>
            </w:r>
          </w:p>
        </w:tc>
        <w:tc>
          <w:tcPr>
            <w:tcW w:w="1695" w:type="dxa"/>
            <w:shd w:val="clear" w:color="000000" w:fill="FFFFFF"/>
            <w:vAlign w:val="center"/>
            <w:hideMark/>
          </w:tcPr>
          <w:p w14:paraId="2155DE6D"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5,0</w:t>
            </w:r>
          </w:p>
        </w:tc>
      </w:tr>
      <w:tr w:rsidR="00E126DF" w:rsidRPr="003D2382" w14:paraId="122633CB" w14:textId="77777777" w:rsidTr="00BB314F">
        <w:trPr>
          <w:trHeight w:val="283"/>
        </w:trPr>
        <w:tc>
          <w:tcPr>
            <w:tcW w:w="1985" w:type="dxa"/>
            <w:vMerge/>
            <w:tcBorders>
              <w:top w:val="single" w:sz="4" w:space="0" w:color="314364" w:themeColor="text2"/>
              <w:bottom w:val="single" w:sz="4" w:space="0" w:color="314364" w:themeColor="text2"/>
            </w:tcBorders>
            <w:vAlign w:val="center"/>
            <w:hideMark/>
          </w:tcPr>
          <w:p w14:paraId="7B736D55"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shd w:val="clear" w:color="000000" w:fill="FFFFFF"/>
            <w:vAlign w:val="center"/>
            <w:hideMark/>
          </w:tcPr>
          <w:p w14:paraId="16365316"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K4: Dekarbonizácia priemyslu</w:t>
            </w:r>
          </w:p>
        </w:tc>
        <w:tc>
          <w:tcPr>
            <w:tcW w:w="932" w:type="dxa"/>
            <w:shd w:val="clear" w:color="000000" w:fill="FFFFFF"/>
            <w:noWrap/>
            <w:vAlign w:val="center"/>
            <w:hideMark/>
          </w:tcPr>
          <w:p w14:paraId="3D1E3A8D"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6,0</w:t>
            </w:r>
          </w:p>
        </w:tc>
        <w:tc>
          <w:tcPr>
            <w:tcW w:w="1695" w:type="dxa"/>
            <w:shd w:val="clear" w:color="000000" w:fill="FFFFFF"/>
            <w:vAlign w:val="center"/>
            <w:hideMark/>
          </w:tcPr>
          <w:p w14:paraId="4BB8F89B"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0,4</w:t>
            </w:r>
          </w:p>
        </w:tc>
      </w:tr>
      <w:tr w:rsidR="00E126DF" w:rsidRPr="003D2382" w14:paraId="33B164B8" w14:textId="77777777" w:rsidTr="00BB314F">
        <w:trPr>
          <w:trHeight w:val="283"/>
        </w:trPr>
        <w:tc>
          <w:tcPr>
            <w:tcW w:w="1985" w:type="dxa"/>
            <w:vMerge/>
            <w:tcBorders>
              <w:top w:val="single" w:sz="4" w:space="0" w:color="314364" w:themeColor="text2"/>
              <w:bottom w:val="single" w:sz="4" w:space="0" w:color="314364" w:themeColor="text2"/>
              <w:right w:val="single" w:sz="8" w:space="0" w:color="FFFFFF" w:themeColor="background1"/>
            </w:tcBorders>
            <w:vAlign w:val="center"/>
            <w:hideMark/>
          </w:tcPr>
          <w:p w14:paraId="5E9DB249"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tcBorders>
              <w:left w:val="single" w:sz="8" w:space="0" w:color="FFFFFF" w:themeColor="background1"/>
              <w:bottom w:val="single" w:sz="4" w:space="0" w:color="314364" w:themeColor="text2"/>
              <w:right w:val="single" w:sz="8" w:space="0" w:color="FFFFFF" w:themeColor="background1"/>
            </w:tcBorders>
            <w:shd w:val="clear" w:color="000000" w:fill="FFFFFF"/>
            <w:vAlign w:val="center"/>
            <w:hideMark/>
          </w:tcPr>
          <w:p w14:paraId="62CD758E"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K5: Adaptácia na zmenu klímy</w:t>
            </w:r>
          </w:p>
        </w:tc>
        <w:tc>
          <w:tcPr>
            <w:tcW w:w="932" w:type="dxa"/>
            <w:tcBorders>
              <w:left w:val="single" w:sz="8" w:space="0" w:color="FFFFFF" w:themeColor="background1"/>
              <w:bottom w:val="single" w:sz="4" w:space="0" w:color="314364" w:themeColor="text2"/>
              <w:right w:val="single" w:sz="8" w:space="0" w:color="FFFFFF" w:themeColor="background1"/>
            </w:tcBorders>
            <w:shd w:val="clear" w:color="000000" w:fill="FFFFFF"/>
            <w:noWrap/>
            <w:vAlign w:val="center"/>
            <w:hideMark/>
          </w:tcPr>
          <w:p w14:paraId="7F23BD05"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25,6</w:t>
            </w:r>
          </w:p>
        </w:tc>
        <w:tc>
          <w:tcPr>
            <w:tcW w:w="1695" w:type="dxa"/>
            <w:tcBorders>
              <w:left w:val="single" w:sz="8" w:space="0" w:color="FFFFFF" w:themeColor="background1"/>
              <w:bottom w:val="single" w:sz="4" w:space="0" w:color="314364" w:themeColor="text2"/>
            </w:tcBorders>
            <w:shd w:val="clear" w:color="000000" w:fill="FFFFFF"/>
            <w:vAlign w:val="center"/>
            <w:hideMark/>
          </w:tcPr>
          <w:p w14:paraId="1917735D"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1,3</w:t>
            </w:r>
          </w:p>
        </w:tc>
      </w:tr>
      <w:tr w:rsidR="00E126DF" w:rsidRPr="003D2382" w14:paraId="519F31F4" w14:textId="77777777" w:rsidTr="00BB314F">
        <w:trPr>
          <w:trHeight w:val="283"/>
        </w:trPr>
        <w:tc>
          <w:tcPr>
            <w:tcW w:w="1985" w:type="dxa"/>
            <w:vMerge w:val="restart"/>
            <w:tcBorders>
              <w:top w:val="single" w:sz="4" w:space="0" w:color="314364" w:themeColor="text2"/>
              <w:bottom w:val="single" w:sz="4" w:space="0" w:color="314364" w:themeColor="text2"/>
              <w:right w:val="single" w:sz="8" w:space="0" w:color="FFFFFF" w:themeColor="background1"/>
            </w:tcBorders>
            <w:shd w:val="clear" w:color="000000" w:fill="FFFFFF"/>
            <w:vAlign w:val="center"/>
            <w:hideMark/>
          </w:tcPr>
          <w:p w14:paraId="3771A795" w14:textId="77777777" w:rsidR="00E126DF" w:rsidRPr="003D2382" w:rsidRDefault="00E126DF" w:rsidP="00BB314F">
            <w:pPr>
              <w:spacing w:after="0" w:line="240" w:lineRule="auto"/>
              <w:jc w:val="left"/>
              <w:rPr>
                <w:rFonts w:eastAsia="Times New Roman" w:cs="Segoe UI"/>
                <w:b/>
                <w:bCs/>
                <w:color w:val="000000"/>
                <w:sz w:val="18"/>
                <w:szCs w:val="18"/>
                <w:lang w:eastAsia="sk-SK"/>
              </w:rPr>
            </w:pPr>
            <w:r w:rsidRPr="003D2382">
              <w:rPr>
                <w:rFonts w:eastAsia="Times New Roman" w:cs="Segoe UI"/>
                <w:b/>
                <w:bCs/>
                <w:color w:val="000000"/>
                <w:sz w:val="18"/>
                <w:szCs w:val="18"/>
                <w:lang w:eastAsia="sk-SK"/>
              </w:rPr>
              <w:t>Vzdelávanie</w:t>
            </w:r>
          </w:p>
        </w:tc>
        <w:tc>
          <w:tcPr>
            <w:tcW w:w="4460" w:type="dxa"/>
            <w:tcBorders>
              <w:top w:val="single" w:sz="4" w:space="0" w:color="314364" w:themeColor="text2"/>
              <w:left w:val="single" w:sz="8" w:space="0" w:color="FFFFFF" w:themeColor="background1"/>
              <w:right w:val="single" w:sz="8" w:space="0" w:color="FFFFFF" w:themeColor="background1"/>
            </w:tcBorders>
            <w:shd w:val="clear" w:color="000000" w:fill="FFFFFF"/>
            <w:vAlign w:val="center"/>
            <w:hideMark/>
          </w:tcPr>
          <w:p w14:paraId="1E36D693"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K6: Dostupnosť, rozvoj a kvalita inkluzívneho vzdelávania</w:t>
            </w:r>
          </w:p>
        </w:tc>
        <w:tc>
          <w:tcPr>
            <w:tcW w:w="932" w:type="dxa"/>
            <w:tcBorders>
              <w:top w:val="single" w:sz="4" w:space="0" w:color="314364" w:themeColor="text2"/>
              <w:left w:val="single" w:sz="8" w:space="0" w:color="FFFFFF" w:themeColor="background1"/>
              <w:right w:val="single" w:sz="8" w:space="0" w:color="FFFFFF" w:themeColor="background1"/>
            </w:tcBorders>
            <w:shd w:val="clear" w:color="000000" w:fill="FFFFFF"/>
            <w:noWrap/>
            <w:vAlign w:val="center"/>
            <w:hideMark/>
          </w:tcPr>
          <w:p w14:paraId="38D277E8"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136,9</w:t>
            </w:r>
          </w:p>
        </w:tc>
        <w:tc>
          <w:tcPr>
            <w:tcW w:w="1695" w:type="dxa"/>
            <w:tcBorders>
              <w:top w:val="single" w:sz="4" w:space="0" w:color="314364" w:themeColor="text2"/>
              <w:left w:val="single" w:sz="8" w:space="0" w:color="FFFFFF" w:themeColor="background1"/>
            </w:tcBorders>
            <w:shd w:val="clear" w:color="000000" w:fill="FFFFFF"/>
            <w:vAlign w:val="center"/>
            <w:hideMark/>
          </w:tcPr>
          <w:p w14:paraId="7D4EC317"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18,2</w:t>
            </w:r>
          </w:p>
        </w:tc>
      </w:tr>
      <w:tr w:rsidR="00E126DF" w:rsidRPr="003D2382" w14:paraId="2035CA5E" w14:textId="77777777" w:rsidTr="00BB314F">
        <w:trPr>
          <w:trHeight w:val="283"/>
        </w:trPr>
        <w:tc>
          <w:tcPr>
            <w:tcW w:w="1985" w:type="dxa"/>
            <w:vMerge/>
            <w:tcBorders>
              <w:top w:val="single" w:sz="4" w:space="0" w:color="314364" w:themeColor="text2"/>
              <w:bottom w:val="single" w:sz="4" w:space="0" w:color="314364" w:themeColor="text2"/>
            </w:tcBorders>
            <w:vAlign w:val="center"/>
            <w:hideMark/>
          </w:tcPr>
          <w:p w14:paraId="634C4D5B"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shd w:val="clear" w:color="000000" w:fill="FFFFFF"/>
            <w:vAlign w:val="center"/>
            <w:hideMark/>
          </w:tcPr>
          <w:p w14:paraId="01409599"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K7: Vzdelávanie pre 21. storočie</w:t>
            </w:r>
          </w:p>
        </w:tc>
        <w:tc>
          <w:tcPr>
            <w:tcW w:w="932" w:type="dxa"/>
            <w:shd w:val="clear" w:color="000000" w:fill="FFFFFF"/>
            <w:noWrap/>
            <w:vAlign w:val="center"/>
            <w:hideMark/>
          </w:tcPr>
          <w:p w14:paraId="25B7B386"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143,4</w:t>
            </w:r>
          </w:p>
        </w:tc>
        <w:tc>
          <w:tcPr>
            <w:tcW w:w="1695" w:type="dxa"/>
            <w:shd w:val="clear" w:color="000000" w:fill="FFFFFF"/>
            <w:vAlign w:val="center"/>
            <w:hideMark/>
          </w:tcPr>
          <w:p w14:paraId="136EE437"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20,0</w:t>
            </w:r>
          </w:p>
        </w:tc>
      </w:tr>
      <w:tr w:rsidR="00E126DF" w:rsidRPr="003D2382" w14:paraId="53F901A3" w14:textId="77777777" w:rsidTr="00BB314F">
        <w:trPr>
          <w:trHeight w:val="283"/>
        </w:trPr>
        <w:tc>
          <w:tcPr>
            <w:tcW w:w="1985" w:type="dxa"/>
            <w:vMerge/>
            <w:tcBorders>
              <w:top w:val="single" w:sz="4" w:space="0" w:color="314364" w:themeColor="text2"/>
              <w:bottom w:val="single" w:sz="4" w:space="0" w:color="314364" w:themeColor="text2"/>
              <w:right w:val="single" w:sz="8" w:space="0" w:color="FFFFFF" w:themeColor="background1"/>
            </w:tcBorders>
            <w:vAlign w:val="center"/>
            <w:hideMark/>
          </w:tcPr>
          <w:p w14:paraId="4AA132B4"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tcBorders>
              <w:left w:val="single" w:sz="8" w:space="0" w:color="FFFFFF" w:themeColor="background1"/>
              <w:bottom w:val="single" w:sz="4" w:space="0" w:color="314364" w:themeColor="text2"/>
              <w:right w:val="single" w:sz="8" w:space="0" w:color="FFFFFF" w:themeColor="background1"/>
            </w:tcBorders>
            <w:shd w:val="clear" w:color="000000" w:fill="FFFFFF"/>
            <w:vAlign w:val="center"/>
            <w:hideMark/>
          </w:tcPr>
          <w:p w14:paraId="25230E94"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K8: Zvýšenie výkonnosti slovenských vysokých škôl</w:t>
            </w:r>
          </w:p>
        </w:tc>
        <w:tc>
          <w:tcPr>
            <w:tcW w:w="932" w:type="dxa"/>
            <w:tcBorders>
              <w:left w:val="single" w:sz="8" w:space="0" w:color="FFFFFF" w:themeColor="background1"/>
              <w:bottom w:val="single" w:sz="4" w:space="0" w:color="314364" w:themeColor="text2"/>
              <w:right w:val="single" w:sz="8" w:space="0" w:color="FFFFFF" w:themeColor="background1"/>
            </w:tcBorders>
            <w:shd w:val="clear" w:color="000000" w:fill="FFFFFF"/>
            <w:noWrap/>
            <w:vAlign w:val="center"/>
            <w:hideMark/>
          </w:tcPr>
          <w:p w14:paraId="4CF30434"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97,5</w:t>
            </w:r>
          </w:p>
        </w:tc>
        <w:tc>
          <w:tcPr>
            <w:tcW w:w="1695" w:type="dxa"/>
            <w:tcBorders>
              <w:left w:val="single" w:sz="8" w:space="0" w:color="FFFFFF" w:themeColor="background1"/>
              <w:bottom w:val="single" w:sz="4" w:space="0" w:color="314364" w:themeColor="text2"/>
            </w:tcBorders>
            <w:shd w:val="clear" w:color="000000" w:fill="FFFFFF"/>
            <w:vAlign w:val="center"/>
            <w:hideMark/>
          </w:tcPr>
          <w:p w14:paraId="21F520D3"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14,8</w:t>
            </w:r>
          </w:p>
        </w:tc>
      </w:tr>
      <w:tr w:rsidR="00E126DF" w:rsidRPr="003D2382" w14:paraId="6AC27330" w14:textId="77777777" w:rsidTr="00BB314F">
        <w:trPr>
          <w:trHeight w:val="283"/>
        </w:trPr>
        <w:tc>
          <w:tcPr>
            <w:tcW w:w="1985" w:type="dxa"/>
            <w:vMerge w:val="restart"/>
            <w:tcBorders>
              <w:top w:val="single" w:sz="4" w:space="0" w:color="314364" w:themeColor="text2"/>
              <w:bottom w:val="single" w:sz="4" w:space="0" w:color="314364" w:themeColor="text2"/>
              <w:right w:val="single" w:sz="8" w:space="0" w:color="FFFFFF" w:themeColor="background1"/>
            </w:tcBorders>
            <w:shd w:val="clear" w:color="000000" w:fill="FFFFFF"/>
            <w:vAlign w:val="center"/>
            <w:hideMark/>
          </w:tcPr>
          <w:p w14:paraId="12C0B2E5" w14:textId="77777777" w:rsidR="00E126DF" w:rsidRPr="003D2382" w:rsidRDefault="00E126DF" w:rsidP="00BB314F">
            <w:pPr>
              <w:spacing w:after="0" w:line="240" w:lineRule="auto"/>
              <w:jc w:val="left"/>
              <w:rPr>
                <w:rFonts w:eastAsia="Times New Roman" w:cs="Segoe UI"/>
                <w:b/>
                <w:bCs/>
                <w:color w:val="000000"/>
                <w:sz w:val="18"/>
                <w:szCs w:val="18"/>
                <w:lang w:eastAsia="sk-SK"/>
              </w:rPr>
            </w:pPr>
            <w:r w:rsidRPr="003D2382">
              <w:rPr>
                <w:rFonts w:eastAsia="Times New Roman" w:cs="Segoe UI"/>
                <w:b/>
                <w:bCs/>
                <w:color w:val="000000"/>
                <w:sz w:val="18"/>
                <w:szCs w:val="18"/>
                <w:lang w:eastAsia="sk-SK"/>
              </w:rPr>
              <w:t>Veda, výskum a inovácie</w:t>
            </w:r>
          </w:p>
        </w:tc>
        <w:tc>
          <w:tcPr>
            <w:tcW w:w="4460" w:type="dxa"/>
            <w:tcBorders>
              <w:top w:val="single" w:sz="4" w:space="0" w:color="314364" w:themeColor="text2"/>
              <w:left w:val="single" w:sz="8" w:space="0" w:color="FFFFFF" w:themeColor="background1"/>
              <w:right w:val="single" w:sz="8" w:space="0" w:color="FFFFFF" w:themeColor="background1"/>
            </w:tcBorders>
            <w:shd w:val="clear" w:color="000000" w:fill="FFFFFF"/>
            <w:vAlign w:val="center"/>
            <w:hideMark/>
          </w:tcPr>
          <w:p w14:paraId="059BA528"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K9: Efektívnejšie riadenie a posilnenie financovania vedy, výskumu, inovácií</w:t>
            </w:r>
          </w:p>
        </w:tc>
        <w:tc>
          <w:tcPr>
            <w:tcW w:w="932" w:type="dxa"/>
            <w:tcBorders>
              <w:top w:val="single" w:sz="4" w:space="0" w:color="314364" w:themeColor="text2"/>
              <w:left w:val="single" w:sz="8" w:space="0" w:color="FFFFFF" w:themeColor="background1"/>
              <w:right w:val="single" w:sz="8" w:space="0" w:color="FFFFFF" w:themeColor="background1"/>
            </w:tcBorders>
            <w:shd w:val="clear" w:color="000000" w:fill="FFFFFF"/>
            <w:noWrap/>
            <w:vAlign w:val="center"/>
            <w:hideMark/>
          </w:tcPr>
          <w:p w14:paraId="3F1B9838"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190,2</w:t>
            </w:r>
          </w:p>
        </w:tc>
        <w:tc>
          <w:tcPr>
            <w:tcW w:w="1695" w:type="dxa"/>
            <w:tcBorders>
              <w:top w:val="single" w:sz="4" w:space="0" w:color="314364" w:themeColor="text2"/>
              <w:left w:val="single" w:sz="8" w:space="0" w:color="FFFFFF" w:themeColor="background1"/>
            </w:tcBorders>
            <w:shd w:val="clear" w:color="000000" w:fill="FFFFFF"/>
            <w:vAlign w:val="center"/>
            <w:hideMark/>
          </w:tcPr>
          <w:p w14:paraId="20AB6806"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6,0</w:t>
            </w:r>
          </w:p>
        </w:tc>
      </w:tr>
      <w:tr w:rsidR="00E126DF" w:rsidRPr="003D2382" w14:paraId="28B0E5A5" w14:textId="77777777" w:rsidTr="00BB314F">
        <w:trPr>
          <w:trHeight w:val="283"/>
        </w:trPr>
        <w:tc>
          <w:tcPr>
            <w:tcW w:w="1985" w:type="dxa"/>
            <w:vMerge/>
            <w:tcBorders>
              <w:top w:val="single" w:sz="4" w:space="0" w:color="314364" w:themeColor="text2"/>
              <w:bottom w:val="single" w:sz="4" w:space="0" w:color="314364" w:themeColor="text2"/>
              <w:right w:val="single" w:sz="8" w:space="0" w:color="FFFFFF" w:themeColor="background1"/>
            </w:tcBorders>
            <w:vAlign w:val="center"/>
            <w:hideMark/>
          </w:tcPr>
          <w:p w14:paraId="40C9DD71"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tcBorders>
              <w:left w:val="single" w:sz="8" w:space="0" w:color="FFFFFF" w:themeColor="background1"/>
              <w:bottom w:val="single" w:sz="4" w:space="0" w:color="314364" w:themeColor="text2"/>
              <w:right w:val="single" w:sz="8" w:space="0" w:color="FFFFFF" w:themeColor="background1"/>
            </w:tcBorders>
            <w:shd w:val="clear" w:color="000000" w:fill="FFFFFF"/>
            <w:vAlign w:val="center"/>
            <w:hideMark/>
          </w:tcPr>
          <w:p w14:paraId="1B410C33"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K10: Lákanie a udržanie talentov</w:t>
            </w:r>
          </w:p>
        </w:tc>
        <w:tc>
          <w:tcPr>
            <w:tcW w:w="932" w:type="dxa"/>
            <w:tcBorders>
              <w:left w:val="single" w:sz="8" w:space="0" w:color="FFFFFF" w:themeColor="background1"/>
              <w:bottom w:val="single" w:sz="4" w:space="0" w:color="314364" w:themeColor="text2"/>
              <w:right w:val="single" w:sz="8" w:space="0" w:color="FFFFFF" w:themeColor="background1"/>
            </w:tcBorders>
            <w:shd w:val="clear" w:color="000000" w:fill="FFFFFF"/>
            <w:noWrap/>
            <w:vAlign w:val="center"/>
            <w:hideMark/>
          </w:tcPr>
          <w:p w14:paraId="297DB355"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42,5</w:t>
            </w:r>
          </w:p>
        </w:tc>
        <w:tc>
          <w:tcPr>
            <w:tcW w:w="1695" w:type="dxa"/>
            <w:tcBorders>
              <w:left w:val="single" w:sz="8" w:space="0" w:color="FFFFFF" w:themeColor="background1"/>
              <w:bottom w:val="single" w:sz="4" w:space="0" w:color="314364" w:themeColor="text2"/>
            </w:tcBorders>
            <w:shd w:val="clear" w:color="000000" w:fill="FFFFFF"/>
            <w:vAlign w:val="center"/>
            <w:hideMark/>
          </w:tcPr>
          <w:p w14:paraId="56557D33"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0,3</w:t>
            </w:r>
          </w:p>
        </w:tc>
      </w:tr>
      <w:tr w:rsidR="00E126DF" w:rsidRPr="003D2382" w14:paraId="11C20C0E" w14:textId="77777777" w:rsidTr="00BB314F">
        <w:trPr>
          <w:trHeight w:val="283"/>
        </w:trPr>
        <w:tc>
          <w:tcPr>
            <w:tcW w:w="1985" w:type="dxa"/>
            <w:vMerge w:val="restart"/>
            <w:tcBorders>
              <w:top w:val="single" w:sz="4" w:space="0" w:color="314364" w:themeColor="text2"/>
              <w:bottom w:val="single" w:sz="4" w:space="0" w:color="314364" w:themeColor="text2"/>
              <w:right w:val="single" w:sz="8" w:space="0" w:color="FFFFFF" w:themeColor="background1"/>
            </w:tcBorders>
            <w:shd w:val="clear" w:color="000000" w:fill="FFFFFF"/>
            <w:vAlign w:val="center"/>
            <w:hideMark/>
          </w:tcPr>
          <w:p w14:paraId="2566B5CC" w14:textId="77777777" w:rsidR="00E126DF" w:rsidRPr="003D2382" w:rsidRDefault="00E126DF" w:rsidP="00BB314F">
            <w:pPr>
              <w:spacing w:after="0" w:line="240" w:lineRule="auto"/>
              <w:jc w:val="left"/>
              <w:rPr>
                <w:rFonts w:eastAsia="Times New Roman" w:cs="Segoe UI"/>
                <w:b/>
                <w:bCs/>
                <w:color w:val="000000"/>
                <w:sz w:val="18"/>
                <w:szCs w:val="18"/>
                <w:lang w:eastAsia="sk-SK"/>
              </w:rPr>
            </w:pPr>
            <w:r w:rsidRPr="003D2382">
              <w:rPr>
                <w:rFonts w:eastAsia="Times New Roman" w:cs="Segoe UI"/>
                <w:b/>
                <w:bCs/>
                <w:color w:val="000000"/>
                <w:sz w:val="18"/>
                <w:szCs w:val="18"/>
                <w:lang w:eastAsia="sk-SK"/>
              </w:rPr>
              <w:t>Zdravie</w:t>
            </w:r>
          </w:p>
        </w:tc>
        <w:tc>
          <w:tcPr>
            <w:tcW w:w="4460" w:type="dxa"/>
            <w:tcBorders>
              <w:top w:val="single" w:sz="4" w:space="0" w:color="314364" w:themeColor="text2"/>
              <w:left w:val="single" w:sz="8" w:space="0" w:color="FFFFFF" w:themeColor="background1"/>
              <w:right w:val="single" w:sz="8" w:space="0" w:color="FFFFFF" w:themeColor="background1"/>
            </w:tcBorders>
            <w:shd w:val="clear" w:color="000000" w:fill="FFFFFF"/>
            <w:vAlign w:val="center"/>
            <w:hideMark/>
          </w:tcPr>
          <w:p w14:paraId="70591831"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K11: Moderná a dostupná zdravotná starostlivosť</w:t>
            </w:r>
          </w:p>
        </w:tc>
        <w:tc>
          <w:tcPr>
            <w:tcW w:w="932" w:type="dxa"/>
            <w:tcBorders>
              <w:top w:val="single" w:sz="4" w:space="0" w:color="314364" w:themeColor="text2"/>
              <w:left w:val="single" w:sz="8" w:space="0" w:color="FFFFFF" w:themeColor="background1"/>
              <w:right w:val="single" w:sz="8" w:space="0" w:color="FFFFFF" w:themeColor="background1"/>
            </w:tcBorders>
            <w:shd w:val="clear" w:color="000000" w:fill="FFFFFF"/>
            <w:noWrap/>
            <w:vAlign w:val="center"/>
            <w:hideMark/>
          </w:tcPr>
          <w:p w14:paraId="2501FBC6"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389,4</w:t>
            </w:r>
          </w:p>
        </w:tc>
        <w:tc>
          <w:tcPr>
            <w:tcW w:w="1695" w:type="dxa"/>
            <w:tcBorders>
              <w:top w:val="single" w:sz="4" w:space="0" w:color="314364" w:themeColor="text2"/>
              <w:left w:val="single" w:sz="8" w:space="0" w:color="FFFFFF" w:themeColor="background1"/>
            </w:tcBorders>
            <w:shd w:val="clear" w:color="000000" w:fill="FFFFFF"/>
            <w:vAlign w:val="center"/>
            <w:hideMark/>
          </w:tcPr>
          <w:p w14:paraId="5824AB07"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77,3</w:t>
            </w:r>
          </w:p>
        </w:tc>
      </w:tr>
      <w:tr w:rsidR="00E126DF" w:rsidRPr="003D2382" w14:paraId="00182B69" w14:textId="77777777" w:rsidTr="00BB314F">
        <w:trPr>
          <w:trHeight w:val="283"/>
        </w:trPr>
        <w:tc>
          <w:tcPr>
            <w:tcW w:w="1985" w:type="dxa"/>
            <w:vMerge/>
            <w:tcBorders>
              <w:top w:val="single" w:sz="4" w:space="0" w:color="314364" w:themeColor="text2"/>
              <w:bottom w:val="single" w:sz="4" w:space="0" w:color="314364" w:themeColor="text2"/>
            </w:tcBorders>
            <w:vAlign w:val="center"/>
            <w:hideMark/>
          </w:tcPr>
          <w:p w14:paraId="5C5526C3"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shd w:val="clear" w:color="000000" w:fill="FFFFFF"/>
            <w:vAlign w:val="center"/>
            <w:hideMark/>
          </w:tcPr>
          <w:p w14:paraId="49BCF117"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K12: Humánna, moderná a dostupná starostlivosť o duš. zdravie</w:t>
            </w:r>
          </w:p>
        </w:tc>
        <w:tc>
          <w:tcPr>
            <w:tcW w:w="932" w:type="dxa"/>
            <w:shd w:val="clear" w:color="000000" w:fill="FFFFFF"/>
            <w:noWrap/>
            <w:vAlign w:val="center"/>
            <w:hideMark/>
          </w:tcPr>
          <w:p w14:paraId="7079C88F"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18,4</w:t>
            </w:r>
          </w:p>
        </w:tc>
        <w:tc>
          <w:tcPr>
            <w:tcW w:w="1695" w:type="dxa"/>
            <w:shd w:val="clear" w:color="000000" w:fill="FFFFFF"/>
            <w:vAlign w:val="center"/>
            <w:hideMark/>
          </w:tcPr>
          <w:p w14:paraId="0B10018D"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2,8</w:t>
            </w:r>
          </w:p>
        </w:tc>
      </w:tr>
      <w:tr w:rsidR="00E126DF" w:rsidRPr="003D2382" w14:paraId="176CBFAF" w14:textId="77777777" w:rsidTr="00BB314F">
        <w:trPr>
          <w:trHeight w:val="283"/>
        </w:trPr>
        <w:tc>
          <w:tcPr>
            <w:tcW w:w="1985" w:type="dxa"/>
            <w:vMerge/>
            <w:tcBorders>
              <w:top w:val="single" w:sz="4" w:space="0" w:color="314364" w:themeColor="text2"/>
              <w:bottom w:val="single" w:sz="4" w:space="0" w:color="314364" w:themeColor="text2"/>
              <w:right w:val="single" w:sz="8" w:space="0" w:color="FFFFFF" w:themeColor="background1"/>
            </w:tcBorders>
            <w:vAlign w:val="center"/>
            <w:hideMark/>
          </w:tcPr>
          <w:p w14:paraId="3A45FC90"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tcBorders>
              <w:left w:val="single" w:sz="8" w:space="0" w:color="FFFFFF" w:themeColor="background1"/>
              <w:bottom w:val="single" w:sz="4" w:space="0" w:color="314364" w:themeColor="text2"/>
              <w:right w:val="single" w:sz="8" w:space="0" w:color="FFFFFF" w:themeColor="background1"/>
            </w:tcBorders>
            <w:shd w:val="clear" w:color="000000" w:fill="FFFFFF"/>
            <w:vAlign w:val="center"/>
            <w:hideMark/>
          </w:tcPr>
          <w:p w14:paraId="29F6FA9B"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K13: Dostupná a kvalitná dlhodobá sociálnozdravotná starostlivosť</w:t>
            </w:r>
          </w:p>
        </w:tc>
        <w:tc>
          <w:tcPr>
            <w:tcW w:w="932" w:type="dxa"/>
            <w:tcBorders>
              <w:left w:val="single" w:sz="8" w:space="0" w:color="FFFFFF" w:themeColor="background1"/>
              <w:bottom w:val="single" w:sz="4" w:space="0" w:color="314364" w:themeColor="text2"/>
              <w:right w:val="single" w:sz="8" w:space="0" w:color="FFFFFF" w:themeColor="background1"/>
            </w:tcBorders>
            <w:shd w:val="clear" w:color="000000" w:fill="FFFFFF"/>
            <w:noWrap/>
            <w:vAlign w:val="center"/>
            <w:hideMark/>
          </w:tcPr>
          <w:p w14:paraId="02F8C8B4"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175,8</w:t>
            </w:r>
          </w:p>
        </w:tc>
        <w:tc>
          <w:tcPr>
            <w:tcW w:w="1695" w:type="dxa"/>
            <w:tcBorders>
              <w:left w:val="single" w:sz="8" w:space="0" w:color="FFFFFF" w:themeColor="background1"/>
              <w:bottom w:val="single" w:sz="4" w:space="0" w:color="314364" w:themeColor="text2"/>
            </w:tcBorders>
            <w:shd w:val="clear" w:color="000000" w:fill="FFFFFF"/>
            <w:vAlign w:val="center"/>
            <w:hideMark/>
          </w:tcPr>
          <w:p w14:paraId="1D38644E"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33,1</w:t>
            </w:r>
          </w:p>
        </w:tc>
      </w:tr>
      <w:tr w:rsidR="00E126DF" w:rsidRPr="003D2382" w14:paraId="48329806" w14:textId="77777777" w:rsidTr="00BB314F">
        <w:trPr>
          <w:trHeight w:val="283"/>
        </w:trPr>
        <w:tc>
          <w:tcPr>
            <w:tcW w:w="1985" w:type="dxa"/>
            <w:vMerge w:val="restart"/>
            <w:tcBorders>
              <w:top w:val="single" w:sz="4" w:space="0" w:color="314364" w:themeColor="text2"/>
              <w:bottom w:val="single" w:sz="4" w:space="0" w:color="314364" w:themeColor="text2"/>
              <w:right w:val="single" w:sz="8" w:space="0" w:color="FFFFFF" w:themeColor="background1"/>
            </w:tcBorders>
            <w:shd w:val="clear" w:color="000000" w:fill="FFFFFF"/>
            <w:vAlign w:val="center"/>
            <w:hideMark/>
          </w:tcPr>
          <w:p w14:paraId="420261A9" w14:textId="77777777" w:rsidR="00E126DF" w:rsidRPr="003D2382" w:rsidRDefault="00E126DF" w:rsidP="00BB314F">
            <w:pPr>
              <w:spacing w:after="0" w:line="240" w:lineRule="auto"/>
              <w:jc w:val="left"/>
              <w:rPr>
                <w:rFonts w:eastAsia="Times New Roman" w:cs="Segoe UI"/>
                <w:b/>
                <w:bCs/>
                <w:color w:val="000000"/>
                <w:sz w:val="18"/>
                <w:szCs w:val="18"/>
                <w:lang w:eastAsia="sk-SK"/>
              </w:rPr>
            </w:pPr>
            <w:r w:rsidRPr="003D2382">
              <w:rPr>
                <w:rFonts w:eastAsia="Times New Roman" w:cs="Segoe UI"/>
                <w:b/>
                <w:bCs/>
                <w:color w:val="000000"/>
                <w:sz w:val="18"/>
                <w:szCs w:val="18"/>
                <w:lang w:eastAsia="sk-SK"/>
              </w:rPr>
              <w:t>Efektívna VS a digitalizácia</w:t>
            </w:r>
          </w:p>
        </w:tc>
        <w:tc>
          <w:tcPr>
            <w:tcW w:w="4460" w:type="dxa"/>
            <w:tcBorders>
              <w:top w:val="single" w:sz="4" w:space="0" w:color="314364" w:themeColor="text2"/>
              <w:left w:val="single" w:sz="8" w:space="0" w:color="FFFFFF" w:themeColor="background1"/>
              <w:right w:val="single" w:sz="8" w:space="0" w:color="FFFFFF" w:themeColor="background1"/>
            </w:tcBorders>
            <w:shd w:val="clear" w:color="000000" w:fill="FFFFFF"/>
            <w:vAlign w:val="center"/>
            <w:hideMark/>
          </w:tcPr>
          <w:p w14:paraId="70695600"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K14: Zlepšenie podnikateľského prostredia</w:t>
            </w:r>
          </w:p>
        </w:tc>
        <w:tc>
          <w:tcPr>
            <w:tcW w:w="932" w:type="dxa"/>
            <w:tcBorders>
              <w:top w:val="single" w:sz="4" w:space="0" w:color="314364" w:themeColor="text2"/>
              <w:left w:val="single" w:sz="8" w:space="0" w:color="FFFFFF" w:themeColor="background1"/>
              <w:right w:val="single" w:sz="8" w:space="0" w:color="FFFFFF" w:themeColor="background1"/>
            </w:tcBorders>
            <w:shd w:val="clear" w:color="000000" w:fill="FFFFFF"/>
            <w:noWrap/>
            <w:vAlign w:val="center"/>
            <w:hideMark/>
          </w:tcPr>
          <w:p w14:paraId="14153464"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2,8</w:t>
            </w:r>
          </w:p>
        </w:tc>
        <w:tc>
          <w:tcPr>
            <w:tcW w:w="1695" w:type="dxa"/>
            <w:tcBorders>
              <w:top w:val="single" w:sz="4" w:space="0" w:color="314364" w:themeColor="text2"/>
              <w:left w:val="single" w:sz="8" w:space="0" w:color="FFFFFF" w:themeColor="background1"/>
            </w:tcBorders>
            <w:shd w:val="clear" w:color="000000" w:fill="FFFFFF"/>
            <w:vAlign w:val="center"/>
            <w:hideMark/>
          </w:tcPr>
          <w:p w14:paraId="0C879382"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0,0</w:t>
            </w:r>
          </w:p>
        </w:tc>
      </w:tr>
      <w:tr w:rsidR="00E126DF" w:rsidRPr="003D2382" w14:paraId="12DDB6B2" w14:textId="77777777" w:rsidTr="00BB314F">
        <w:trPr>
          <w:trHeight w:val="283"/>
        </w:trPr>
        <w:tc>
          <w:tcPr>
            <w:tcW w:w="1985" w:type="dxa"/>
            <w:vMerge/>
            <w:tcBorders>
              <w:top w:val="single" w:sz="4" w:space="0" w:color="314364" w:themeColor="text2"/>
              <w:bottom w:val="single" w:sz="4" w:space="0" w:color="314364" w:themeColor="text2"/>
            </w:tcBorders>
            <w:vAlign w:val="center"/>
            <w:hideMark/>
          </w:tcPr>
          <w:p w14:paraId="57FF080D"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shd w:val="clear" w:color="000000" w:fill="FFFFFF"/>
            <w:vAlign w:val="center"/>
            <w:hideMark/>
          </w:tcPr>
          <w:p w14:paraId="6DE4CDCF"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K15: Reforma justície</w:t>
            </w:r>
          </w:p>
        </w:tc>
        <w:tc>
          <w:tcPr>
            <w:tcW w:w="932" w:type="dxa"/>
            <w:shd w:val="clear" w:color="000000" w:fill="FFFFFF"/>
            <w:noWrap/>
            <w:vAlign w:val="center"/>
            <w:hideMark/>
          </w:tcPr>
          <w:p w14:paraId="7DB87E66"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77,2</w:t>
            </w:r>
          </w:p>
        </w:tc>
        <w:tc>
          <w:tcPr>
            <w:tcW w:w="1695" w:type="dxa"/>
            <w:shd w:val="clear" w:color="000000" w:fill="FFFFFF"/>
            <w:vAlign w:val="center"/>
            <w:hideMark/>
          </w:tcPr>
          <w:p w14:paraId="29D6072B"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13,5</w:t>
            </w:r>
          </w:p>
        </w:tc>
      </w:tr>
      <w:tr w:rsidR="00E126DF" w:rsidRPr="003D2382" w14:paraId="0F0F57EB" w14:textId="77777777" w:rsidTr="00BB314F">
        <w:trPr>
          <w:trHeight w:val="283"/>
        </w:trPr>
        <w:tc>
          <w:tcPr>
            <w:tcW w:w="1985" w:type="dxa"/>
            <w:vMerge/>
            <w:tcBorders>
              <w:top w:val="single" w:sz="4" w:space="0" w:color="314364" w:themeColor="text2"/>
              <w:bottom w:val="single" w:sz="4" w:space="0" w:color="314364" w:themeColor="text2"/>
            </w:tcBorders>
            <w:vAlign w:val="center"/>
            <w:hideMark/>
          </w:tcPr>
          <w:p w14:paraId="5EB6755F"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shd w:val="clear" w:color="000000" w:fill="FFFFFF"/>
            <w:vAlign w:val="center"/>
            <w:hideMark/>
          </w:tcPr>
          <w:p w14:paraId="18C1ABE2"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K16: Boj proti korupcii a praniu špinavých peňazí</w:t>
            </w:r>
          </w:p>
        </w:tc>
        <w:tc>
          <w:tcPr>
            <w:tcW w:w="932" w:type="dxa"/>
            <w:shd w:val="clear" w:color="000000" w:fill="FFFFFF"/>
            <w:noWrap/>
            <w:vAlign w:val="center"/>
            <w:hideMark/>
          </w:tcPr>
          <w:p w14:paraId="58EBC5EE"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112,2</w:t>
            </w:r>
          </w:p>
        </w:tc>
        <w:tc>
          <w:tcPr>
            <w:tcW w:w="1695" w:type="dxa"/>
            <w:shd w:val="clear" w:color="000000" w:fill="FFFFFF"/>
            <w:vAlign w:val="center"/>
            <w:hideMark/>
          </w:tcPr>
          <w:p w14:paraId="68152A94"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19,8</w:t>
            </w:r>
          </w:p>
        </w:tc>
      </w:tr>
      <w:tr w:rsidR="00E126DF" w:rsidRPr="003D2382" w14:paraId="6F36D8C7" w14:textId="77777777" w:rsidTr="00BB314F">
        <w:trPr>
          <w:trHeight w:val="283"/>
        </w:trPr>
        <w:tc>
          <w:tcPr>
            <w:tcW w:w="1985" w:type="dxa"/>
            <w:vMerge/>
            <w:tcBorders>
              <w:top w:val="single" w:sz="4" w:space="0" w:color="314364" w:themeColor="text2"/>
              <w:bottom w:val="single" w:sz="4" w:space="0" w:color="314364" w:themeColor="text2"/>
              <w:right w:val="single" w:sz="8" w:space="0" w:color="FFFFFF" w:themeColor="background1"/>
            </w:tcBorders>
            <w:vAlign w:val="center"/>
            <w:hideMark/>
          </w:tcPr>
          <w:p w14:paraId="5AAC9847" w14:textId="77777777" w:rsidR="00E126DF" w:rsidRPr="003D2382" w:rsidRDefault="00E126DF" w:rsidP="00BB314F">
            <w:pPr>
              <w:spacing w:after="0" w:line="240" w:lineRule="auto"/>
              <w:jc w:val="left"/>
              <w:rPr>
                <w:rFonts w:eastAsia="Times New Roman" w:cs="Segoe UI"/>
                <w:b/>
                <w:bCs/>
                <w:color w:val="000000"/>
                <w:sz w:val="18"/>
                <w:szCs w:val="18"/>
                <w:lang w:eastAsia="sk-SK"/>
              </w:rPr>
            </w:pPr>
          </w:p>
        </w:tc>
        <w:tc>
          <w:tcPr>
            <w:tcW w:w="4460" w:type="dxa"/>
            <w:tcBorders>
              <w:left w:val="single" w:sz="8" w:space="0" w:color="FFFFFF" w:themeColor="background1"/>
              <w:bottom w:val="single" w:sz="4" w:space="0" w:color="314364" w:themeColor="text2"/>
              <w:right w:val="single" w:sz="8" w:space="0" w:color="FFFFFF" w:themeColor="background1"/>
            </w:tcBorders>
            <w:shd w:val="clear" w:color="000000" w:fill="FFFFFF"/>
            <w:vAlign w:val="center"/>
            <w:hideMark/>
          </w:tcPr>
          <w:p w14:paraId="2A5AC7B1"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K17: Digitálne Slovensko</w:t>
            </w:r>
          </w:p>
        </w:tc>
        <w:tc>
          <w:tcPr>
            <w:tcW w:w="932" w:type="dxa"/>
            <w:tcBorders>
              <w:left w:val="single" w:sz="8" w:space="0" w:color="FFFFFF" w:themeColor="background1"/>
              <w:bottom w:val="single" w:sz="4" w:space="0" w:color="314364" w:themeColor="text2"/>
              <w:right w:val="single" w:sz="8" w:space="0" w:color="FFFFFF" w:themeColor="background1"/>
            </w:tcBorders>
            <w:shd w:val="clear" w:color="000000" w:fill="FFFFFF"/>
            <w:noWrap/>
            <w:vAlign w:val="center"/>
            <w:hideMark/>
          </w:tcPr>
          <w:p w14:paraId="77AB9A5A"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85,3</w:t>
            </w:r>
          </w:p>
        </w:tc>
        <w:tc>
          <w:tcPr>
            <w:tcW w:w="1695" w:type="dxa"/>
            <w:tcBorders>
              <w:left w:val="single" w:sz="8" w:space="0" w:color="FFFFFF" w:themeColor="background1"/>
              <w:bottom w:val="single" w:sz="4" w:space="0" w:color="314364" w:themeColor="text2"/>
            </w:tcBorders>
            <w:shd w:val="clear" w:color="000000" w:fill="FFFFFF"/>
            <w:vAlign w:val="center"/>
            <w:hideMark/>
          </w:tcPr>
          <w:p w14:paraId="0D4D72B9"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11,8</w:t>
            </w:r>
          </w:p>
        </w:tc>
      </w:tr>
      <w:tr w:rsidR="00E126DF" w:rsidRPr="003D2382" w14:paraId="64832ACD" w14:textId="77777777" w:rsidTr="00BB314F">
        <w:trPr>
          <w:trHeight w:val="283"/>
        </w:trPr>
        <w:tc>
          <w:tcPr>
            <w:tcW w:w="1985" w:type="dxa"/>
            <w:tcBorders>
              <w:top w:val="single" w:sz="4" w:space="0" w:color="314364" w:themeColor="text2"/>
              <w:bottom w:val="single" w:sz="4" w:space="0" w:color="314364" w:themeColor="text2"/>
              <w:right w:val="single" w:sz="8" w:space="0" w:color="FFFFFF" w:themeColor="background1"/>
            </w:tcBorders>
            <w:shd w:val="clear" w:color="000000" w:fill="FFFFFF"/>
            <w:vAlign w:val="center"/>
            <w:hideMark/>
          </w:tcPr>
          <w:p w14:paraId="262745A0" w14:textId="77777777" w:rsidR="00E126DF" w:rsidRPr="003D2382" w:rsidRDefault="00E126DF" w:rsidP="00BB314F">
            <w:pPr>
              <w:spacing w:after="0" w:line="240" w:lineRule="auto"/>
              <w:jc w:val="left"/>
              <w:rPr>
                <w:rFonts w:eastAsia="Times New Roman" w:cs="Segoe UI"/>
                <w:b/>
                <w:bCs/>
                <w:color w:val="000000"/>
                <w:sz w:val="18"/>
                <w:szCs w:val="18"/>
                <w:lang w:eastAsia="sk-SK"/>
              </w:rPr>
            </w:pPr>
            <w:r w:rsidRPr="003D2382">
              <w:rPr>
                <w:rFonts w:eastAsia="Times New Roman" w:cs="Segoe UI"/>
                <w:b/>
                <w:bCs/>
                <w:color w:val="000000"/>
                <w:sz w:val="18"/>
                <w:szCs w:val="18"/>
                <w:lang w:eastAsia="sk-SK"/>
              </w:rPr>
              <w:t>REPower EU</w:t>
            </w:r>
          </w:p>
        </w:tc>
        <w:tc>
          <w:tcPr>
            <w:tcW w:w="4460" w:type="dxa"/>
            <w:tcBorders>
              <w:top w:val="single" w:sz="4" w:space="0" w:color="314364" w:themeColor="text2"/>
              <w:left w:val="single" w:sz="8" w:space="0" w:color="FFFFFF" w:themeColor="background1"/>
              <w:bottom w:val="single" w:sz="4" w:space="0" w:color="314364" w:themeColor="text2"/>
              <w:right w:val="single" w:sz="8" w:space="0" w:color="FFFFFF" w:themeColor="background1"/>
            </w:tcBorders>
            <w:shd w:val="clear" w:color="000000" w:fill="FFFFFF"/>
            <w:vAlign w:val="center"/>
            <w:hideMark/>
          </w:tcPr>
          <w:p w14:paraId="4BA6E45D" w14:textId="77777777" w:rsidR="00E126DF" w:rsidRPr="003D2382" w:rsidRDefault="00E126DF" w:rsidP="00BB314F">
            <w:pPr>
              <w:spacing w:after="0" w:line="240" w:lineRule="auto"/>
              <w:jc w:val="left"/>
              <w:rPr>
                <w:rFonts w:eastAsia="Times New Roman" w:cs="Segoe UI"/>
                <w:color w:val="000000"/>
                <w:sz w:val="18"/>
                <w:szCs w:val="18"/>
                <w:lang w:eastAsia="sk-SK"/>
              </w:rPr>
            </w:pPr>
            <w:r w:rsidRPr="003D2382">
              <w:rPr>
                <w:rFonts w:eastAsia="Times New Roman" w:cs="Segoe UI"/>
                <w:color w:val="000000"/>
                <w:sz w:val="18"/>
                <w:szCs w:val="18"/>
                <w:lang w:eastAsia="sk-SK"/>
              </w:rPr>
              <w:t>K19: REPower EU</w:t>
            </w:r>
          </w:p>
        </w:tc>
        <w:tc>
          <w:tcPr>
            <w:tcW w:w="932" w:type="dxa"/>
            <w:tcBorders>
              <w:top w:val="single" w:sz="4" w:space="0" w:color="314364" w:themeColor="text2"/>
              <w:left w:val="single" w:sz="8" w:space="0" w:color="FFFFFF" w:themeColor="background1"/>
              <w:bottom w:val="single" w:sz="4" w:space="0" w:color="314364" w:themeColor="text2"/>
              <w:right w:val="single" w:sz="8" w:space="0" w:color="FFFFFF" w:themeColor="background1"/>
            </w:tcBorders>
            <w:shd w:val="clear" w:color="000000" w:fill="FFFFFF"/>
            <w:noWrap/>
            <w:vAlign w:val="center"/>
            <w:hideMark/>
          </w:tcPr>
          <w:p w14:paraId="5C93AA6F"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78,4</w:t>
            </w:r>
          </w:p>
        </w:tc>
        <w:tc>
          <w:tcPr>
            <w:tcW w:w="1695" w:type="dxa"/>
            <w:tcBorders>
              <w:top w:val="single" w:sz="4" w:space="0" w:color="314364" w:themeColor="text2"/>
              <w:left w:val="single" w:sz="8" w:space="0" w:color="FFFFFF" w:themeColor="background1"/>
              <w:bottom w:val="single" w:sz="4" w:space="0" w:color="314364" w:themeColor="text2"/>
            </w:tcBorders>
            <w:shd w:val="clear" w:color="000000" w:fill="FFFFFF"/>
            <w:vAlign w:val="center"/>
            <w:hideMark/>
          </w:tcPr>
          <w:p w14:paraId="27FE5EAF" w14:textId="77777777" w:rsidR="00E126DF" w:rsidRPr="003D2382" w:rsidRDefault="00E126DF" w:rsidP="00BB314F">
            <w:pPr>
              <w:spacing w:after="0" w:line="240" w:lineRule="auto"/>
              <w:jc w:val="center"/>
              <w:rPr>
                <w:rFonts w:eastAsia="Times New Roman" w:cs="Segoe UI"/>
                <w:color w:val="000000"/>
                <w:sz w:val="18"/>
                <w:szCs w:val="18"/>
                <w:lang w:eastAsia="sk-SK"/>
              </w:rPr>
            </w:pPr>
            <w:r w:rsidRPr="003D2382">
              <w:rPr>
                <w:rFonts w:eastAsia="Times New Roman" w:cs="Segoe UI"/>
                <w:color w:val="000000"/>
                <w:sz w:val="18"/>
                <w:szCs w:val="18"/>
                <w:lang w:eastAsia="sk-SK"/>
              </w:rPr>
              <w:t>6,4</w:t>
            </w:r>
          </w:p>
        </w:tc>
      </w:tr>
      <w:tr w:rsidR="00E126DF" w:rsidRPr="003D2382" w14:paraId="1328FD62" w14:textId="77777777" w:rsidTr="00BB314F">
        <w:trPr>
          <w:trHeight w:val="283"/>
        </w:trPr>
        <w:tc>
          <w:tcPr>
            <w:tcW w:w="1985" w:type="dxa"/>
            <w:tcBorders>
              <w:top w:val="single" w:sz="4" w:space="0" w:color="314364" w:themeColor="text2"/>
              <w:left w:val="nil"/>
              <w:bottom w:val="single" w:sz="4" w:space="0" w:color="314364" w:themeColor="text2"/>
              <w:right w:val="nil"/>
            </w:tcBorders>
            <w:shd w:val="clear" w:color="000000" w:fill="FFFFFF"/>
            <w:vAlign w:val="center"/>
            <w:hideMark/>
          </w:tcPr>
          <w:p w14:paraId="170DE267" w14:textId="77777777" w:rsidR="00E126DF" w:rsidRPr="003D2382" w:rsidRDefault="00E126DF" w:rsidP="00BB314F">
            <w:pPr>
              <w:spacing w:after="0" w:line="240" w:lineRule="auto"/>
              <w:jc w:val="left"/>
              <w:rPr>
                <w:rFonts w:eastAsia="Times New Roman" w:cs="Segoe UI"/>
                <w:b/>
                <w:sz w:val="18"/>
                <w:szCs w:val="18"/>
                <w:lang w:eastAsia="sk-SK"/>
              </w:rPr>
            </w:pPr>
            <w:r w:rsidRPr="003D2382">
              <w:rPr>
                <w:rFonts w:eastAsia="Times New Roman" w:cs="Segoe UI"/>
                <w:b/>
                <w:sz w:val="18"/>
                <w:szCs w:val="18"/>
                <w:lang w:eastAsia="sk-SK"/>
              </w:rPr>
              <w:t>SPOLU</w:t>
            </w:r>
          </w:p>
        </w:tc>
        <w:tc>
          <w:tcPr>
            <w:tcW w:w="4460" w:type="dxa"/>
            <w:tcBorders>
              <w:top w:val="single" w:sz="4" w:space="0" w:color="314364" w:themeColor="text2"/>
              <w:left w:val="nil"/>
              <w:bottom w:val="single" w:sz="4" w:space="0" w:color="314364" w:themeColor="text2"/>
              <w:right w:val="nil"/>
            </w:tcBorders>
            <w:shd w:val="clear" w:color="000000" w:fill="FFFFFF"/>
            <w:vAlign w:val="center"/>
            <w:hideMark/>
          </w:tcPr>
          <w:p w14:paraId="0AB33A6D" w14:textId="77777777" w:rsidR="00E126DF" w:rsidRPr="003D2382" w:rsidRDefault="00E126DF" w:rsidP="00BB314F">
            <w:pPr>
              <w:spacing w:after="0" w:line="240" w:lineRule="auto"/>
              <w:jc w:val="left"/>
              <w:rPr>
                <w:rFonts w:eastAsia="Times New Roman" w:cs="Segoe UI"/>
                <w:b/>
                <w:sz w:val="18"/>
                <w:szCs w:val="18"/>
                <w:lang w:eastAsia="sk-SK"/>
              </w:rPr>
            </w:pPr>
            <w:r w:rsidRPr="003D2382">
              <w:rPr>
                <w:rFonts w:eastAsia="Times New Roman" w:cs="Segoe UI"/>
                <w:b/>
                <w:sz w:val="18"/>
                <w:szCs w:val="18"/>
                <w:lang w:eastAsia="sk-SK"/>
              </w:rPr>
              <w:t> </w:t>
            </w:r>
          </w:p>
        </w:tc>
        <w:tc>
          <w:tcPr>
            <w:tcW w:w="932" w:type="dxa"/>
            <w:tcBorders>
              <w:top w:val="single" w:sz="4" w:space="0" w:color="314364" w:themeColor="text2"/>
              <w:left w:val="nil"/>
              <w:bottom w:val="single" w:sz="4" w:space="0" w:color="314364" w:themeColor="text2"/>
              <w:right w:val="nil"/>
            </w:tcBorders>
            <w:shd w:val="clear" w:color="000000" w:fill="FFFFFF"/>
            <w:vAlign w:val="center"/>
            <w:hideMark/>
          </w:tcPr>
          <w:p w14:paraId="18D51322" w14:textId="77777777" w:rsidR="00E126DF" w:rsidRPr="003D2382" w:rsidRDefault="00E126DF" w:rsidP="00BB314F">
            <w:pPr>
              <w:spacing w:after="0" w:line="240" w:lineRule="auto"/>
              <w:jc w:val="center"/>
              <w:rPr>
                <w:rFonts w:eastAsia="Times New Roman" w:cs="Segoe UI"/>
                <w:b/>
                <w:sz w:val="18"/>
                <w:szCs w:val="18"/>
                <w:lang w:eastAsia="sk-SK"/>
              </w:rPr>
            </w:pPr>
            <w:r w:rsidRPr="003D2382">
              <w:rPr>
                <w:rFonts w:eastAsia="Times New Roman" w:cs="Segoe UI"/>
                <w:b/>
                <w:sz w:val="18"/>
                <w:szCs w:val="18"/>
                <w:lang w:eastAsia="sk-SK"/>
              </w:rPr>
              <w:t>2 247,2</w:t>
            </w:r>
          </w:p>
        </w:tc>
        <w:tc>
          <w:tcPr>
            <w:tcW w:w="1695" w:type="dxa"/>
            <w:tcBorders>
              <w:top w:val="single" w:sz="4" w:space="0" w:color="314364" w:themeColor="text2"/>
              <w:left w:val="nil"/>
              <w:bottom w:val="single" w:sz="4" w:space="0" w:color="314364" w:themeColor="text2"/>
              <w:right w:val="nil"/>
            </w:tcBorders>
            <w:shd w:val="clear" w:color="000000" w:fill="FFFFFF"/>
            <w:vAlign w:val="center"/>
            <w:hideMark/>
          </w:tcPr>
          <w:p w14:paraId="414BC748" w14:textId="77777777" w:rsidR="00E126DF" w:rsidRPr="003D2382" w:rsidRDefault="00E126DF" w:rsidP="00BB314F">
            <w:pPr>
              <w:spacing w:after="0" w:line="240" w:lineRule="auto"/>
              <w:jc w:val="center"/>
              <w:rPr>
                <w:rFonts w:eastAsia="Times New Roman" w:cs="Segoe UI"/>
                <w:b/>
                <w:sz w:val="18"/>
                <w:szCs w:val="18"/>
                <w:lang w:eastAsia="sk-SK"/>
              </w:rPr>
            </w:pPr>
            <w:r w:rsidRPr="003D2382">
              <w:rPr>
                <w:rFonts w:eastAsia="Times New Roman" w:cs="Segoe UI"/>
                <w:b/>
                <w:sz w:val="18"/>
                <w:szCs w:val="18"/>
                <w:lang w:eastAsia="sk-SK"/>
              </w:rPr>
              <w:t>249,2</w:t>
            </w:r>
          </w:p>
        </w:tc>
      </w:tr>
    </w:tbl>
    <w:p w14:paraId="3EFEBC92" w14:textId="17C57283" w:rsidR="0093260F" w:rsidRPr="00516DDB" w:rsidRDefault="00E126DF" w:rsidP="00516DDB">
      <w:pPr>
        <w:rPr>
          <w:i/>
          <w:color w:val="314364" w:themeColor="text2"/>
          <w:sz w:val="16"/>
          <w:lang w:eastAsia="sk-SK"/>
        </w:rPr>
      </w:pPr>
      <w:r>
        <w:rPr>
          <w:i/>
          <w:color w:val="314364" w:themeColor="text2"/>
          <w:sz w:val="16"/>
          <w:lang w:eastAsia="sk-SK"/>
        </w:rPr>
        <w:t>Zdroj: NIKA</w:t>
      </w:r>
      <w:r>
        <w:rPr>
          <w:i/>
          <w:color w:val="314364" w:themeColor="text2"/>
          <w:sz w:val="16"/>
          <w:lang w:val="en-US" w:eastAsia="sk-SK"/>
        </w:rPr>
        <w:t>;</w:t>
      </w:r>
      <w:r>
        <w:rPr>
          <w:i/>
          <w:color w:val="314364" w:themeColor="text2"/>
          <w:sz w:val="16"/>
          <w:lang w:eastAsia="sk-SK"/>
        </w:rPr>
        <w:t xml:space="preserve"> spracovanie NKÚ SR.</w:t>
      </w:r>
      <w:r w:rsidR="0093260F">
        <w:br w:type="page"/>
      </w:r>
    </w:p>
    <w:p w14:paraId="6EABA9F8" w14:textId="09D76A08" w:rsidR="000D05F7" w:rsidRDefault="00EC6F47" w:rsidP="00AB4ACB">
      <w:pPr>
        <w:pStyle w:val="Nadpis1"/>
      </w:pPr>
      <w:bookmarkStart w:id="35" w:name="_Toc211249087"/>
      <w:r>
        <w:lastRenderedPageBreak/>
        <w:t>Súhrnné r</w:t>
      </w:r>
      <w:r w:rsidR="00AE01AE" w:rsidRPr="007E17E1">
        <w:t>iziká návrhu</w:t>
      </w:r>
      <w:r w:rsidR="000D05F7" w:rsidRPr="007E17E1">
        <w:t xml:space="preserve"> </w:t>
      </w:r>
      <w:r w:rsidR="00032ADE">
        <w:t>štátneho rozpočtu</w:t>
      </w:r>
      <w:r w:rsidR="000D05F7" w:rsidRPr="007E17E1">
        <w:t xml:space="preserve"> na rok 202</w:t>
      </w:r>
      <w:bookmarkEnd w:id="34"/>
      <w:r w:rsidR="007F6CCC">
        <w:t>6</w:t>
      </w:r>
      <w:bookmarkEnd w:id="35"/>
    </w:p>
    <w:p w14:paraId="2B125EAA" w14:textId="30E21FF3" w:rsidR="00BA3510" w:rsidRPr="005A4F93" w:rsidRDefault="00BA3510" w:rsidP="00BA3510">
      <w:pPr>
        <w:rPr>
          <w:rFonts w:eastAsia="Times New Roman" w:cs="Segoe UI"/>
          <w:szCs w:val="20"/>
        </w:rPr>
      </w:pPr>
      <w:r w:rsidRPr="005A4F93">
        <w:rPr>
          <w:rFonts w:eastAsia="Times New Roman" w:cs="Segoe UI"/>
          <w:b/>
          <w:bCs/>
          <w:szCs w:val="20"/>
        </w:rPr>
        <w:t>Návrh ŠR na rok 2026 vychádza z návrhu RVS na roky 2026 až 2028 a stojí na rovnakých rizikách vychádzajúcich z ekonomickej situácie, prebiehajúcej konsolidácie a jej vplyvu na výdavky jednotlivých kapitol.</w:t>
      </w:r>
      <w:r w:rsidRPr="005A4F93">
        <w:rPr>
          <w:rFonts w:eastAsia="Times New Roman" w:cs="Segoe UI"/>
          <w:szCs w:val="20"/>
        </w:rPr>
        <w:t xml:space="preserve"> Proces zostavovania </w:t>
      </w:r>
      <w:r>
        <w:rPr>
          <w:rFonts w:eastAsia="Times New Roman" w:cs="Segoe UI"/>
          <w:szCs w:val="20"/>
        </w:rPr>
        <w:t>ŠR</w:t>
      </w:r>
      <w:r w:rsidRPr="005A4F93">
        <w:rPr>
          <w:rFonts w:eastAsia="Times New Roman" w:cs="Segoe UI"/>
          <w:szCs w:val="20"/>
        </w:rPr>
        <w:t xml:space="preserve"> predstavuje samostatné riziko, keď snaha o schválenie rozpočtu pred uplynutím výnimky z dlhovej brzdy skrátila čas všetkým zúčastneným stranám. Nejasný spôsob úspor</w:t>
      </w:r>
      <w:r>
        <w:rPr>
          <w:rFonts w:eastAsia="Times New Roman" w:cs="Segoe UI"/>
          <w:szCs w:val="20"/>
        </w:rPr>
        <w:t xml:space="preserve"> a</w:t>
      </w:r>
      <w:r w:rsidRPr="005A4F93">
        <w:rPr>
          <w:rFonts w:eastAsia="Times New Roman" w:cs="Segoe UI"/>
          <w:szCs w:val="20"/>
        </w:rPr>
        <w:t xml:space="preserve"> obmedzenia výdavkov predstavuje riziko pre ich skutočné dosiahnutie.</w:t>
      </w:r>
    </w:p>
    <w:p w14:paraId="7AC65A0C" w14:textId="6FEC46E4" w:rsidR="00BA3510" w:rsidRPr="005A4F93" w:rsidRDefault="00BA3510" w:rsidP="00BA3510">
      <w:pPr>
        <w:rPr>
          <w:rFonts w:eastAsia="Times New Roman" w:cs="Segoe UI"/>
          <w:szCs w:val="20"/>
        </w:rPr>
      </w:pPr>
      <w:r w:rsidRPr="005A4F93">
        <w:rPr>
          <w:rFonts w:eastAsia="Times New Roman" w:cs="Segoe UI"/>
          <w:b/>
          <w:bCs/>
          <w:szCs w:val="20"/>
        </w:rPr>
        <w:t xml:space="preserve">Rast rozpočtovaných príjmov ŠR </w:t>
      </w:r>
      <w:r>
        <w:rPr>
          <w:rFonts w:eastAsia="Times New Roman" w:cs="Segoe UI"/>
          <w:b/>
          <w:bCs/>
          <w:szCs w:val="20"/>
        </w:rPr>
        <w:t xml:space="preserve">na 2026 </w:t>
      </w:r>
      <w:r w:rsidRPr="005A4F93">
        <w:rPr>
          <w:rFonts w:eastAsia="Times New Roman" w:cs="Segoe UI"/>
          <w:b/>
          <w:bCs/>
          <w:szCs w:val="20"/>
        </w:rPr>
        <w:t xml:space="preserve">medziročne výrazne spomalil a výdavky sú medziročne nižšie </w:t>
      </w:r>
      <w:r w:rsidRPr="005A4F93">
        <w:rPr>
          <w:rFonts w:eastAsia="Times New Roman" w:cs="Segoe UI"/>
          <w:szCs w:val="20"/>
        </w:rPr>
        <w:t>(tabuľka </w:t>
      </w:r>
      <w:r w:rsidR="003B7772">
        <w:rPr>
          <w:rFonts w:eastAsia="Times New Roman" w:cs="Segoe UI"/>
          <w:szCs w:val="20"/>
        </w:rPr>
        <w:t>1</w:t>
      </w:r>
      <w:r w:rsidR="00240FAD">
        <w:rPr>
          <w:rFonts w:eastAsia="Times New Roman" w:cs="Segoe UI"/>
          <w:szCs w:val="20"/>
        </w:rPr>
        <w:t>1</w:t>
      </w:r>
      <w:r w:rsidRPr="005A4F93">
        <w:rPr>
          <w:rFonts w:eastAsia="Times New Roman" w:cs="Segoe UI"/>
          <w:szCs w:val="20"/>
        </w:rPr>
        <w:t>)</w:t>
      </w:r>
      <w:r w:rsidRPr="005A4F93">
        <w:rPr>
          <w:rFonts w:eastAsia="Times New Roman" w:cs="Segoe UI"/>
          <w:b/>
          <w:bCs/>
          <w:szCs w:val="20"/>
        </w:rPr>
        <w:t>.</w:t>
      </w:r>
      <w:r w:rsidRPr="005A4F93">
        <w:rPr>
          <w:rFonts w:eastAsia="Times New Roman" w:cs="Segoe UI"/>
          <w:szCs w:val="20"/>
        </w:rPr>
        <w:t xml:space="preserve"> Príjmy ŠR sú rozpočtované vo výške 27,8 mld. eur, čo je približne na úrovni rozpočtu na 2025 (rozdiel 0,15 mld. eur). Celkové výdavky ŠR by mali </w:t>
      </w:r>
      <w:r>
        <w:rPr>
          <w:rFonts w:eastAsia="Times New Roman" w:cs="Segoe UI"/>
          <w:szCs w:val="20"/>
        </w:rPr>
        <w:t xml:space="preserve">medziročne </w:t>
      </w:r>
      <w:r w:rsidRPr="005A4F93">
        <w:rPr>
          <w:rFonts w:eastAsia="Times New Roman" w:cs="Segoe UI"/>
          <w:szCs w:val="20"/>
        </w:rPr>
        <w:t>klesnúť o 0,4 mld. eur na 33,5 mld. eur. Medziročne sa rozpočtuje aj nižší schodok rozpočtu o 0,5 mld. eur na úrovni 5,7 mld. eur.</w:t>
      </w:r>
    </w:p>
    <w:p w14:paraId="6699F1C9" w14:textId="77777777" w:rsidR="008F16D1" w:rsidRPr="005A4F93" w:rsidRDefault="008F16D1" w:rsidP="008F16D1">
      <w:pPr>
        <w:keepNext/>
        <w:spacing w:after="0" w:line="240" w:lineRule="auto"/>
        <w:rPr>
          <w:rFonts w:eastAsia="Calibri" w:cs="Times New Roman"/>
          <w:b/>
          <w:iCs/>
          <w:color w:val="314364"/>
          <w:szCs w:val="18"/>
        </w:rPr>
      </w:pPr>
      <w:r w:rsidRPr="005A4F93">
        <w:rPr>
          <w:rFonts w:eastAsia="Calibri" w:cs="Times New Roman"/>
          <w:b/>
          <w:iCs/>
          <w:color w:val="314364"/>
          <w:szCs w:val="18"/>
        </w:rPr>
        <w:t xml:space="preserve">Tabuľka </w:t>
      </w:r>
      <w:r>
        <w:rPr>
          <w:rFonts w:eastAsia="Calibri" w:cs="Times New Roman"/>
          <w:b/>
          <w:iCs/>
          <w:color w:val="314364"/>
          <w:szCs w:val="18"/>
        </w:rPr>
        <w:t>11</w:t>
      </w:r>
      <w:r w:rsidRPr="005A4F93">
        <w:rPr>
          <w:rFonts w:eastAsia="Calibri" w:cs="Times New Roman"/>
          <w:b/>
          <w:iCs/>
          <w:color w:val="314364"/>
          <w:szCs w:val="18"/>
        </w:rPr>
        <w:t>: Celkové príjmy, výdavky a schodok štátneho rozpočtu (v mil. eur)</w:t>
      </w:r>
    </w:p>
    <w:tbl>
      <w:tblPr>
        <w:tblpPr w:leftFromText="141" w:rightFromText="141" w:vertAnchor="text" w:horzAnchor="margin" w:tblpXSpec="center" w:tblpY="72"/>
        <w:tblOverlap w:val="never"/>
        <w:tblW w:w="5000" w:type="pct"/>
        <w:tblCellMar>
          <w:top w:w="28" w:type="dxa"/>
        </w:tblCellMar>
        <w:tblLook w:val="04A0" w:firstRow="1" w:lastRow="0" w:firstColumn="1" w:lastColumn="0" w:noHBand="0" w:noVBand="1"/>
      </w:tblPr>
      <w:tblGrid>
        <w:gridCol w:w="2071"/>
        <w:gridCol w:w="1167"/>
        <w:gridCol w:w="1167"/>
        <w:gridCol w:w="1167"/>
        <w:gridCol w:w="1166"/>
        <w:gridCol w:w="1166"/>
        <w:gridCol w:w="1166"/>
      </w:tblGrid>
      <w:tr w:rsidR="008F16D1" w:rsidRPr="005A4F93" w14:paraId="3A5DFDBB" w14:textId="77777777" w:rsidTr="00BB314F">
        <w:trPr>
          <w:trHeight w:val="283"/>
        </w:trPr>
        <w:tc>
          <w:tcPr>
            <w:tcW w:w="1141" w:type="pct"/>
            <w:tcBorders>
              <w:bottom w:val="single" w:sz="4" w:space="0" w:color="314364"/>
            </w:tcBorders>
            <w:shd w:val="clear" w:color="auto" w:fill="314364"/>
            <w:vAlign w:val="center"/>
          </w:tcPr>
          <w:p w14:paraId="3ADD8A5B" w14:textId="77777777" w:rsidR="008F16D1" w:rsidRPr="005A4F93" w:rsidRDefault="008F16D1" w:rsidP="00BB314F">
            <w:pPr>
              <w:spacing w:after="0" w:line="259" w:lineRule="auto"/>
              <w:jc w:val="right"/>
              <w:rPr>
                <w:rFonts w:eastAsia="Calibri" w:cs="Segoe UI"/>
                <w:b/>
                <w:color w:val="FFFFFF"/>
                <w:sz w:val="18"/>
                <w:szCs w:val="18"/>
              </w:rPr>
            </w:pPr>
          </w:p>
        </w:tc>
        <w:tc>
          <w:tcPr>
            <w:tcW w:w="643" w:type="pct"/>
            <w:tcBorders>
              <w:bottom w:val="single" w:sz="4" w:space="0" w:color="314364"/>
            </w:tcBorders>
            <w:shd w:val="clear" w:color="auto" w:fill="314364"/>
            <w:vAlign w:val="center"/>
          </w:tcPr>
          <w:p w14:paraId="601192D5" w14:textId="77777777" w:rsidR="008F16D1" w:rsidRPr="005A4F93" w:rsidRDefault="008F16D1" w:rsidP="00BB314F">
            <w:pPr>
              <w:spacing w:after="0" w:line="259" w:lineRule="auto"/>
              <w:jc w:val="right"/>
              <w:rPr>
                <w:rFonts w:eastAsia="Calibri" w:cs="Segoe UI"/>
                <w:b/>
                <w:color w:val="FFFFFF"/>
                <w:sz w:val="18"/>
                <w:szCs w:val="18"/>
              </w:rPr>
            </w:pPr>
            <w:r w:rsidRPr="005A4F93">
              <w:rPr>
                <w:rFonts w:eastAsia="Calibri" w:cs="Segoe UI"/>
                <w:b/>
                <w:color w:val="FFFFFF"/>
                <w:sz w:val="18"/>
                <w:szCs w:val="18"/>
              </w:rPr>
              <w:t>2023 S</w:t>
            </w:r>
          </w:p>
        </w:tc>
        <w:tc>
          <w:tcPr>
            <w:tcW w:w="643" w:type="pct"/>
            <w:tcBorders>
              <w:bottom w:val="single" w:sz="4" w:space="0" w:color="314364"/>
            </w:tcBorders>
            <w:shd w:val="clear" w:color="auto" w:fill="314364"/>
            <w:vAlign w:val="center"/>
          </w:tcPr>
          <w:p w14:paraId="1D3AE40D" w14:textId="77777777" w:rsidR="008F16D1" w:rsidRPr="005A4F93" w:rsidRDefault="008F16D1" w:rsidP="00BB314F">
            <w:pPr>
              <w:spacing w:after="0" w:line="259" w:lineRule="auto"/>
              <w:jc w:val="right"/>
              <w:rPr>
                <w:rFonts w:eastAsia="Calibri" w:cs="Segoe UI"/>
                <w:b/>
                <w:color w:val="FFFFFF"/>
                <w:sz w:val="18"/>
                <w:szCs w:val="18"/>
              </w:rPr>
            </w:pPr>
            <w:r w:rsidRPr="005A4F93">
              <w:rPr>
                <w:rFonts w:eastAsia="Calibri" w:cs="Segoe UI"/>
                <w:b/>
                <w:color w:val="FFFFFF"/>
                <w:sz w:val="18"/>
                <w:szCs w:val="18"/>
              </w:rPr>
              <w:t>2024 S</w:t>
            </w:r>
          </w:p>
        </w:tc>
        <w:tc>
          <w:tcPr>
            <w:tcW w:w="643" w:type="pct"/>
            <w:tcBorders>
              <w:bottom w:val="single" w:sz="4" w:space="0" w:color="314364"/>
            </w:tcBorders>
            <w:shd w:val="clear" w:color="auto" w:fill="314364"/>
            <w:vAlign w:val="center"/>
          </w:tcPr>
          <w:p w14:paraId="774B850F" w14:textId="77777777" w:rsidR="008F16D1" w:rsidRPr="005A4F93" w:rsidRDefault="008F16D1" w:rsidP="00BB314F">
            <w:pPr>
              <w:spacing w:after="0" w:line="259" w:lineRule="auto"/>
              <w:jc w:val="right"/>
              <w:rPr>
                <w:rFonts w:eastAsia="Calibri" w:cs="Segoe UI"/>
                <w:b/>
                <w:color w:val="FFFFFF"/>
                <w:sz w:val="18"/>
                <w:szCs w:val="18"/>
              </w:rPr>
            </w:pPr>
            <w:r w:rsidRPr="005A4F93">
              <w:rPr>
                <w:rFonts w:eastAsia="Calibri" w:cs="Segoe UI"/>
                <w:b/>
                <w:color w:val="FFFFFF"/>
                <w:sz w:val="18"/>
                <w:szCs w:val="18"/>
              </w:rPr>
              <w:t>2025 R</w:t>
            </w:r>
          </w:p>
        </w:tc>
        <w:tc>
          <w:tcPr>
            <w:tcW w:w="643" w:type="pct"/>
            <w:tcBorders>
              <w:bottom w:val="single" w:sz="4" w:space="0" w:color="314364"/>
            </w:tcBorders>
            <w:shd w:val="clear" w:color="auto" w:fill="314364"/>
            <w:vAlign w:val="center"/>
          </w:tcPr>
          <w:p w14:paraId="273C9573" w14:textId="77777777" w:rsidR="008F16D1" w:rsidRPr="005A4F93" w:rsidRDefault="008F16D1" w:rsidP="00BB314F">
            <w:pPr>
              <w:spacing w:after="0" w:line="259" w:lineRule="auto"/>
              <w:jc w:val="right"/>
              <w:rPr>
                <w:rFonts w:eastAsia="Calibri" w:cs="Segoe UI"/>
                <w:b/>
                <w:color w:val="FFFFFF"/>
                <w:sz w:val="18"/>
                <w:szCs w:val="18"/>
              </w:rPr>
            </w:pPr>
            <w:r w:rsidRPr="005A4F93">
              <w:rPr>
                <w:rFonts w:eastAsia="Calibri" w:cs="Segoe UI"/>
                <w:b/>
                <w:color w:val="FFFFFF"/>
                <w:sz w:val="18"/>
                <w:szCs w:val="18"/>
              </w:rPr>
              <w:t>2026 N</w:t>
            </w:r>
          </w:p>
        </w:tc>
        <w:tc>
          <w:tcPr>
            <w:tcW w:w="643" w:type="pct"/>
            <w:tcBorders>
              <w:bottom w:val="single" w:sz="4" w:space="0" w:color="314364"/>
            </w:tcBorders>
            <w:shd w:val="clear" w:color="auto" w:fill="314364"/>
            <w:vAlign w:val="center"/>
          </w:tcPr>
          <w:p w14:paraId="5A3E2023" w14:textId="77777777" w:rsidR="008F16D1" w:rsidRPr="005A4F93" w:rsidRDefault="008F16D1" w:rsidP="00BB314F">
            <w:pPr>
              <w:spacing w:after="0" w:line="259" w:lineRule="auto"/>
              <w:jc w:val="right"/>
              <w:rPr>
                <w:rFonts w:eastAsia="Calibri" w:cs="Segoe UI"/>
                <w:b/>
                <w:color w:val="FFFFFF"/>
                <w:sz w:val="18"/>
                <w:szCs w:val="18"/>
              </w:rPr>
            </w:pPr>
            <w:r w:rsidRPr="005A4F93">
              <w:rPr>
                <w:rFonts w:eastAsia="Calibri" w:cs="Segoe UI"/>
                <w:b/>
                <w:color w:val="FFFFFF"/>
                <w:sz w:val="18"/>
                <w:szCs w:val="18"/>
              </w:rPr>
              <w:t>26N-25R</w:t>
            </w:r>
          </w:p>
        </w:tc>
        <w:tc>
          <w:tcPr>
            <w:tcW w:w="643" w:type="pct"/>
            <w:tcBorders>
              <w:bottom w:val="single" w:sz="4" w:space="0" w:color="314364"/>
            </w:tcBorders>
            <w:shd w:val="clear" w:color="auto" w:fill="314364"/>
            <w:vAlign w:val="center"/>
          </w:tcPr>
          <w:p w14:paraId="1C63C3DF" w14:textId="77777777" w:rsidR="008F16D1" w:rsidRPr="005A4F93" w:rsidRDefault="008F16D1" w:rsidP="00BB314F">
            <w:pPr>
              <w:spacing w:after="0" w:line="259" w:lineRule="auto"/>
              <w:jc w:val="right"/>
              <w:rPr>
                <w:rFonts w:eastAsia="Calibri" w:cs="Segoe UI"/>
                <w:b/>
                <w:color w:val="FFFFFF"/>
                <w:sz w:val="18"/>
                <w:szCs w:val="18"/>
              </w:rPr>
            </w:pPr>
            <w:r w:rsidRPr="005A4F93">
              <w:rPr>
                <w:rFonts w:eastAsia="Calibri" w:cs="Segoe UI"/>
                <w:b/>
                <w:color w:val="FFFFFF"/>
                <w:sz w:val="18"/>
                <w:szCs w:val="18"/>
              </w:rPr>
              <w:t>26N/25R</w:t>
            </w:r>
          </w:p>
        </w:tc>
      </w:tr>
      <w:tr w:rsidR="008F16D1" w:rsidRPr="005A4F93" w14:paraId="60EFAE00" w14:textId="77777777" w:rsidTr="00BB314F">
        <w:trPr>
          <w:trHeight w:val="283"/>
        </w:trPr>
        <w:tc>
          <w:tcPr>
            <w:tcW w:w="1141" w:type="pct"/>
            <w:vAlign w:val="center"/>
          </w:tcPr>
          <w:p w14:paraId="42DBBFDB" w14:textId="77777777" w:rsidR="008F16D1" w:rsidRPr="005A4F93" w:rsidRDefault="008F16D1" w:rsidP="00BB314F">
            <w:pPr>
              <w:spacing w:after="0" w:line="259" w:lineRule="auto"/>
              <w:rPr>
                <w:rFonts w:eastAsia="Calibri" w:cs="Segoe UI"/>
                <w:sz w:val="18"/>
                <w:szCs w:val="18"/>
              </w:rPr>
            </w:pPr>
            <w:r w:rsidRPr="005A4F93">
              <w:rPr>
                <w:rFonts w:eastAsia="Calibri" w:cs="Segoe UI"/>
                <w:color w:val="000000"/>
                <w:sz w:val="18"/>
                <w:szCs w:val="18"/>
              </w:rPr>
              <w:t>Príjmy ŠR</w:t>
            </w:r>
          </w:p>
        </w:tc>
        <w:tc>
          <w:tcPr>
            <w:tcW w:w="643" w:type="pct"/>
            <w:vAlign w:val="center"/>
          </w:tcPr>
          <w:p w14:paraId="035C14FF"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23 689</w:t>
            </w:r>
          </w:p>
        </w:tc>
        <w:tc>
          <w:tcPr>
            <w:tcW w:w="643" w:type="pct"/>
            <w:vAlign w:val="center"/>
          </w:tcPr>
          <w:p w14:paraId="7E9E2558"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24 458</w:t>
            </w:r>
          </w:p>
        </w:tc>
        <w:tc>
          <w:tcPr>
            <w:tcW w:w="643" w:type="pct"/>
            <w:vAlign w:val="center"/>
          </w:tcPr>
          <w:p w14:paraId="140B8F57"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27 621</w:t>
            </w:r>
          </w:p>
        </w:tc>
        <w:tc>
          <w:tcPr>
            <w:tcW w:w="643" w:type="pct"/>
            <w:vAlign w:val="center"/>
          </w:tcPr>
          <w:p w14:paraId="1A86C583"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27 770</w:t>
            </w:r>
          </w:p>
        </w:tc>
        <w:tc>
          <w:tcPr>
            <w:tcW w:w="643" w:type="pct"/>
            <w:vAlign w:val="center"/>
          </w:tcPr>
          <w:p w14:paraId="3F540250"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149</w:t>
            </w:r>
          </w:p>
        </w:tc>
        <w:tc>
          <w:tcPr>
            <w:tcW w:w="643" w:type="pct"/>
            <w:vAlign w:val="center"/>
          </w:tcPr>
          <w:p w14:paraId="14E99B18"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100,5%</w:t>
            </w:r>
          </w:p>
        </w:tc>
      </w:tr>
      <w:tr w:rsidR="008F16D1" w:rsidRPr="005A4F93" w14:paraId="7524DE32" w14:textId="77777777" w:rsidTr="00BB314F">
        <w:trPr>
          <w:trHeight w:val="283"/>
        </w:trPr>
        <w:tc>
          <w:tcPr>
            <w:tcW w:w="1141" w:type="pct"/>
            <w:tcBorders>
              <w:bottom w:val="single" w:sz="4" w:space="0" w:color="314364" w:themeColor="text2"/>
            </w:tcBorders>
            <w:vAlign w:val="center"/>
          </w:tcPr>
          <w:p w14:paraId="65F31E60" w14:textId="77777777" w:rsidR="008F16D1" w:rsidRPr="005A4F93" w:rsidRDefault="008F16D1" w:rsidP="00BB314F">
            <w:pPr>
              <w:spacing w:after="0" w:line="259" w:lineRule="auto"/>
              <w:ind w:right="-102"/>
              <w:rPr>
                <w:rFonts w:eastAsia="Calibri" w:cs="Segoe UI"/>
                <w:sz w:val="18"/>
                <w:szCs w:val="18"/>
              </w:rPr>
            </w:pPr>
            <w:r w:rsidRPr="005A4F93">
              <w:rPr>
                <w:rFonts w:eastAsia="Calibri" w:cs="Segoe UI"/>
                <w:color w:val="000000"/>
                <w:sz w:val="18"/>
                <w:szCs w:val="18"/>
              </w:rPr>
              <w:t>Výdavky ŠR</w:t>
            </w:r>
          </w:p>
        </w:tc>
        <w:tc>
          <w:tcPr>
            <w:tcW w:w="643" w:type="pct"/>
            <w:tcBorders>
              <w:bottom w:val="single" w:sz="4" w:space="0" w:color="314364" w:themeColor="text2"/>
            </w:tcBorders>
            <w:vAlign w:val="center"/>
          </w:tcPr>
          <w:p w14:paraId="3AE123B0"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31 364</w:t>
            </w:r>
          </w:p>
        </w:tc>
        <w:tc>
          <w:tcPr>
            <w:tcW w:w="643" w:type="pct"/>
            <w:tcBorders>
              <w:bottom w:val="single" w:sz="4" w:space="0" w:color="314364" w:themeColor="text2"/>
            </w:tcBorders>
            <w:vAlign w:val="center"/>
          </w:tcPr>
          <w:p w14:paraId="6A22F678"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30 824</w:t>
            </w:r>
          </w:p>
        </w:tc>
        <w:tc>
          <w:tcPr>
            <w:tcW w:w="643" w:type="pct"/>
            <w:tcBorders>
              <w:bottom w:val="single" w:sz="4" w:space="0" w:color="314364" w:themeColor="text2"/>
            </w:tcBorders>
            <w:vAlign w:val="center"/>
          </w:tcPr>
          <w:p w14:paraId="5A564A22"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33 900</w:t>
            </w:r>
          </w:p>
        </w:tc>
        <w:tc>
          <w:tcPr>
            <w:tcW w:w="643" w:type="pct"/>
            <w:tcBorders>
              <w:bottom w:val="single" w:sz="4" w:space="0" w:color="314364" w:themeColor="text2"/>
            </w:tcBorders>
            <w:vAlign w:val="center"/>
          </w:tcPr>
          <w:p w14:paraId="3B66F3D0"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33 522</w:t>
            </w:r>
          </w:p>
        </w:tc>
        <w:tc>
          <w:tcPr>
            <w:tcW w:w="643" w:type="pct"/>
            <w:tcBorders>
              <w:bottom w:val="single" w:sz="4" w:space="0" w:color="314364" w:themeColor="text2"/>
            </w:tcBorders>
            <w:vAlign w:val="center"/>
          </w:tcPr>
          <w:p w14:paraId="77A436E5"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-378</w:t>
            </w:r>
          </w:p>
        </w:tc>
        <w:tc>
          <w:tcPr>
            <w:tcW w:w="643" w:type="pct"/>
            <w:tcBorders>
              <w:bottom w:val="single" w:sz="4" w:space="0" w:color="314364" w:themeColor="text2"/>
            </w:tcBorders>
            <w:vAlign w:val="center"/>
          </w:tcPr>
          <w:p w14:paraId="71DAE234" w14:textId="77777777" w:rsidR="008F16D1" w:rsidRPr="005A4F93" w:rsidRDefault="008F16D1" w:rsidP="00BB314F">
            <w:pPr>
              <w:spacing w:after="0" w:line="259" w:lineRule="auto"/>
              <w:jc w:val="right"/>
              <w:rPr>
                <w:rFonts w:eastAsia="Calibri" w:cs="Segoe UI"/>
                <w:sz w:val="18"/>
                <w:szCs w:val="18"/>
              </w:rPr>
            </w:pPr>
            <w:r w:rsidRPr="005A4F93">
              <w:rPr>
                <w:rFonts w:eastAsia="Times New Roman" w:cs="Segoe UI"/>
                <w:color w:val="000000"/>
                <w:sz w:val="18"/>
                <w:szCs w:val="18"/>
                <w:lang w:eastAsia="sk-SK"/>
              </w:rPr>
              <w:t>98,9%</w:t>
            </w:r>
          </w:p>
        </w:tc>
      </w:tr>
      <w:tr w:rsidR="008F16D1" w:rsidRPr="005A4F93" w14:paraId="4DA4F032" w14:textId="77777777" w:rsidTr="00BB314F">
        <w:trPr>
          <w:trHeight w:val="283"/>
        </w:trPr>
        <w:tc>
          <w:tcPr>
            <w:tcW w:w="1141" w:type="pct"/>
            <w:tcBorders>
              <w:top w:val="single" w:sz="4" w:space="0" w:color="314364" w:themeColor="text2"/>
              <w:bottom w:val="single" w:sz="4" w:space="0" w:color="314364"/>
            </w:tcBorders>
            <w:vAlign w:val="center"/>
          </w:tcPr>
          <w:p w14:paraId="226D275E" w14:textId="77777777" w:rsidR="008F16D1" w:rsidRPr="005A4F93" w:rsidRDefault="008F16D1" w:rsidP="00BB314F">
            <w:pPr>
              <w:spacing w:after="0" w:line="259" w:lineRule="auto"/>
              <w:rPr>
                <w:rFonts w:eastAsia="Calibri" w:cs="Segoe UI"/>
                <w:b/>
                <w:sz w:val="18"/>
                <w:szCs w:val="18"/>
              </w:rPr>
            </w:pPr>
            <w:r w:rsidRPr="005A4F93">
              <w:rPr>
                <w:rFonts w:eastAsia="Calibri" w:cs="Segoe UI"/>
                <w:b/>
                <w:color w:val="000000"/>
                <w:sz w:val="18"/>
                <w:szCs w:val="18"/>
              </w:rPr>
              <w:t>Schodok ŠR</w:t>
            </w:r>
          </w:p>
        </w:tc>
        <w:tc>
          <w:tcPr>
            <w:tcW w:w="643" w:type="pct"/>
            <w:tcBorders>
              <w:top w:val="single" w:sz="4" w:space="0" w:color="314364" w:themeColor="text2"/>
              <w:bottom w:val="single" w:sz="4" w:space="0" w:color="314364"/>
            </w:tcBorders>
            <w:vAlign w:val="center"/>
          </w:tcPr>
          <w:p w14:paraId="508BF6B9" w14:textId="77777777" w:rsidR="008F16D1" w:rsidRPr="005A4F93" w:rsidRDefault="008F16D1" w:rsidP="00BB314F">
            <w:pPr>
              <w:spacing w:after="0" w:line="259" w:lineRule="auto"/>
              <w:jc w:val="right"/>
              <w:rPr>
                <w:rFonts w:eastAsia="Calibri" w:cs="Segoe UI"/>
                <w:b/>
                <w:bCs/>
                <w:sz w:val="18"/>
                <w:szCs w:val="18"/>
              </w:rPr>
            </w:pPr>
            <w:r w:rsidRPr="005A4F93">
              <w:rPr>
                <w:rFonts w:eastAsia="Times New Roman" w:cs="Segoe UI"/>
                <w:b/>
                <w:bCs/>
                <w:color w:val="000000"/>
                <w:sz w:val="18"/>
                <w:szCs w:val="18"/>
                <w:lang w:eastAsia="sk-SK"/>
              </w:rPr>
              <w:t>-7 675</w:t>
            </w:r>
          </w:p>
        </w:tc>
        <w:tc>
          <w:tcPr>
            <w:tcW w:w="643" w:type="pct"/>
            <w:tcBorders>
              <w:top w:val="single" w:sz="4" w:space="0" w:color="314364" w:themeColor="text2"/>
              <w:bottom w:val="single" w:sz="4" w:space="0" w:color="314364"/>
            </w:tcBorders>
            <w:vAlign w:val="center"/>
          </w:tcPr>
          <w:p w14:paraId="2484EC2D" w14:textId="77777777" w:rsidR="008F16D1" w:rsidRPr="005A4F93" w:rsidRDefault="008F16D1" w:rsidP="00BB314F">
            <w:pPr>
              <w:spacing w:after="0" w:line="259" w:lineRule="auto"/>
              <w:jc w:val="right"/>
              <w:rPr>
                <w:rFonts w:eastAsia="Calibri" w:cs="Segoe UI"/>
                <w:b/>
                <w:bCs/>
                <w:sz w:val="18"/>
                <w:szCs w:val="18"/>
              </w:rPr>
            </w:pPr>
            <w:r w:rsidRPr="005A4F93">
              <w:rPr>
                <w:rFonts w:eastAsia="Times New Roman" w:cs="Segoe UI"/>
                <w:b/>
                <w:bCs/>
                <w:color w:val="000000"/>
                <w:sz w:val="18"/>
                <w:szCs w:val="18"/>
                <w:lang w:eastAsia="sk-SK"/>
              </w:rPr>
              <w:t>-6 366</w:t>
            </w:r>
          </w:p>
        </w:tc>
        <w:tc>
          <w:tcPr>
            <w:tcW w:w="643" w:type="pct"/>
            <w:tcBorders>
              <w:top w:val="single" w:sz="4" w:space="0" w:color="314364" w:themeColor="text2"/>
              <w:bottom w:val="single" w:sz="4" w:space="0" w:color="314364"/>
            </w:tcBorders>
            <w:vAlign w:val="center"/>
          </w:tcPr>
          <w:p w14:paraId="1A655371" w14:textId="77777777" w:rsidR="008F16D1" w:rsidRPr="005A4F93" w:rsidRDefault="008F16D1" w:rsidP="00BB314F">
            <w:pPr>
              <w:spacing w:after="0" w:line="259" w:lineRule="auto"/>
              <w:jc w:val="right"/>
              <w:rPr>
                <w:rFonts w:eastAsia="Calibri" w:cs="Segoe UI"/>
                <w:b/>
                <w:bCs/>
                <w:sz w:val="18"/>
                <w:szCs w:val="18"/>
              </w:rPr>
            </w:pPr>
            <w:r w:rsidRPr="005A4F93">
              <w:rPr>
                <w:rFonts w:eastAsia="Times New Roman" w:cs="Segoe UI"/>
                <w:b/>
                <w:bCs/>
                <w:color w:val="000000"/>
                <w:sz w:val="18"/>
                <w:szCs w:val="18"/>
                <w:lang w:eastAsia="sk-SK"/>
              </w:rPr>
              <w:t>-6 279</w:t>
            </w:r>
          </w:p>
        </w:tc>
        <w:tc>
          <w:tcPr>
            <w:tcW w:w="643" w:type="pct"/>
            <w:tcBorders>
              <w:top w:val="single" w:sz="4" w:space="0" w:color="314364" w:themeColor="text2"/>
              <w:bottom w:val="single" w:sz="4" w:space="0" w:color="314364"/>
            </w:tcBorders>
            <w:vAlign w:val="center"/>
          </w:tcPr>
          <w:p w14:paraId="3C3EC867" w14:textId="77777777" w:rsidR="008F16D1" w:rsidRPr="005A4F93" w:rsidRDefault="008F16D1" w:rsidP="00BB314F">
            <w:pPr>
              <w:spacing w:after="0" w:line="259" w:lineRule="auto"/>
              <w:jc w:val="right"/>
              <w:rPr>
                <w:rFonts w:eastAsia="Calibri" w:cs="Segoe UI"/>
                <w:b/>
                <w:bCs/>
                <w:sz w:val="18"/>
                <w:szCs w:val="18"/>
              </w:rPr>
            </w:pPr>
            <w:r w:rsidRPr="005A4F93">
              <w:rPr>
                <w:rFonts w:eastAsia="Times New Roman" w:cs="Segoe UI"/>
                <w:b/>
                <w:bCs/>
                <w:color w:val="000000"/>
                <w:sz w:val="18"/>
                <w:szCs w:val="18"/>
                <w:lang w:eastAsia="sk-SK"/>
              </w:rPr>
              <w:t>-5 752</w:t>
            </w:r>
          </w:p>
        </w:tc>
        <w:tc>
          <w:tcPr>
            <w:tcW w:w="643" w:type="pct"/>
            <w:tcBorders>
              <w:top w:val="single" w:sz="4" w:space="0" w:color="314364" w:themeColor="text2"/>
              <w:bottom w:val="single" w:sz="4" w:space="0" w:color="314364"/>
            </w:tcBorders>
            <w:vAlign w:val="center"/>
          </w:tcPr>
          <w:p w14:paraId="4F9AF3A7" w14:textId="77777777" w:rsidR="008F16D1" w:rsidRPr="005A4F93" w:rsidRDefault="008F16D1" w:rsidP="00BB314F">
            <w:pPr>
              <w:spacing w:after="0" w:line="259" w:lineRule="auto"/>
              <w:jc w:val="right"/>
              <w:rPr>
                <w:rFonts w:eastAsia="Calibri" w:cs="Segoe UI"/>
                <w:b/>
                <w:bCs/>
                <w:sz w:val="18"/>
                <w:szCs w:val="18"/>
              </w:rPr>
            </w:pPr>
            <w:r w:rsidRPr="005A4F93">
              <w:rPr>
                <w:rFonts w:eastAsia="Times New Roman" w:cs="Segoe UI"/>
                <w:b/>
                <w:bCs/>
                <w:color w:val="000000"/>
                <w:sz w:val="18"/>
                <w:szCs w:val="18"/>
                <w:lang w:eastAsia="sk-SK"/>
              </w:rPr>
              <w:t>526</w:t>
            </w:r>
          </w:p>
        </w:tc>
        <w:tc>
          <w:tcPr>
            <w:tcW w:w="643" w:type="pct"/>
            <w:tcBorders>
              <w:top w:val="single" w:sz="4" w:space="0" w:color="314364" w:themeColor="text2"/>
              <w:bottom w:val="single" w:sz="4" w:space="0" w:color="314364"/>
            </w:tcBorders>
            <w:vAlign w:val="center"/>
          </w:tcPr>
          <w:p w14:paraId="06823E84" w14:textId="77777777" w:rsidR="008F16D1" w:rsidRPr="005A4F93" w:rsidRDefault="008F16D1" w:rsidP="00BB314F">
            <w:pPr>
              <w:spacing w:after="0" w:line="259" w:lineRule="auto"/>
              <w:jc w:val="right"/>
              <w:rPr>
                <w:rFonts w:eastAsia="Calibri" w:cs="Segoe UI"/>
                <w:b/>
                <w:bCs/>
                <w:sz w:val="18"/>
                <w:szCs w:val="18"/>
              </w:rPr>
            </w:pPr>
            <w:r w:rsidRPr="005A4F93">
              <w:rPr>
                <w:rFonts w:eastAsia="Times New Roman" w:cs="Segoe UI"/>
                <w:b/>
                <w:bCs/>
                <w:color w:val="000000"/>
                <w:sz w:val="18"/>
                <w:szCs w:val="18"/>
                <w:lang w:eastAsia="sk-SK"/>
              </w:rPr>
              <w:t>91,6%</w:t>
            </w:r>
          </w:p>
        </w:tc>
      </w:tr>
    </w:tbl>
    <w:p w14:paraId="4B9F8861" w14:textId="77777777" w:rsidR="008F16D1" w:rsidRPr="005A4F93" w:rsidRDefault="008F16D1" w:rsidP="008F16D1">
      <w:pPr>
        <w:spacing w:line="240" w:lineRule="auto"/>
        <w:rPr>
          <w:rFonts w:eastAsia="Calibri" w:cs="Times New Roman"/>
          <w:i/>
          <w:color w:val="314364"/>
          <w:sz w:val="16"/>
        </w:rPr>
      </w:pPr>
      <w:r w:rsidRPr="005A4F93">
        <w:rPr>
          <w:rFonts w:eastAsia="Calibri" w:cs="Times New Roman"/>
          <w:i/>
          <w:color w:val="314364"/>
          <w:sz w:val="16"/>
        </w:rPr>
        <w:t>Zdroj: MF SR</w:t>
      </w:r>
      <w:r>
        <w:rPr>
          <w:rFonts w:eastAsia="Calibri" w:cs="Times New Roman"/>
          <w:i/>
          <w:color w:val="314364"/>
          <w:sz w:val="16"/>
        </w:rPr>
        <w:t>.</w:t>
      </w:r>
    </w:p>
    <w:p w14:paraId="4445A3F2" w14:textId="0A4B7EED" w:rsidR="00BA3510" w:rsidRPr="005A4F93" w:rsidRDefault="00BA3510" w:rsidP="00BA3510">
      <w:pPr>
        <w:rPr>
          <w:rFonts w:eastAsia="Times New Roman" w:cs="Segoe UI"/>
          <w:szCs w:val="20"/>
        </w:rPr>
      </w:pPr>
      <w:r w:rsidRPr="005A4F93">
        <w:rPr>
          <w:rFonts w:eastAsia="Times New Roman" w:cs="Segoe UI"/>
          <w:b/>
          <w:bCs/>
          <w:szCs w:val="20"/>
        </w:rPr>
        <w:t>Opakujúcim sa a potvrdeným rizikom na príjmovej strane je nižší než očakávaný výber daní.</w:t>
      </w:r>
      <w:r w:rsidRPr="005A4F93">
        <w:rPr>
          <w:rFonts w:eastAsia="Times New Roman" w:cs="Segoe UI"/>
          <w:szCs w:val="20"/>
        </w:rPr>
        <w:t xml:space="preserve"> Druhé kolo konsolidácie koncom roka 2024 bolo zamerané na navýšenie daňových príjmov napr. cez zvýšenie základnej sadzby DPH (1 216 mil. eur), daň z finančných transakcií (517 mil. eur) či novú sadzbu DPPO (489 mil. eur). Uvedené zmeny nenaplnili o</w:t>
      </w:r>
      <w:r w:rsidR="009A14AE">
        <w:rPr>
          <w:rFonts w:eastAsia="Times New Roman" w:cs="Segoe UI"/>
          <w:szCs w:val="20"/>
        </w:rPr>
        <w:t>dhady</w:t>
      </w:r>
      <w:r w:rsidRPr="005A4F93">
        <w:rPr>
          <w:rFonts w:eastAsia="Times New Roman" w:cs="Segoe UI"/>
          <w:szCs w:val="20"/>
        </w:rPr>
        <w:t>, keď skutočný príjem bol nižší než očakávania a aj napriek tretiemu kolu konsolidácie pozostávajúcemu napr. z úprav DPFO (205 mil. eur), zvýšeni</w:t>
      </w:r>
      <w:r>
        <w:rPr>
          <w:rFonts w:eastAsia="Times New Roman" w:cs="Segoe UI"/>
          <w:szCs w:val="20"/>
        </w:rPr>
        <w:t>u</w:t>
      </w:r>
      <w:r w:rsidRPr="005A4F93">
        <w:rPr>
          <w:rFonts w:eastAsia="Times New Roman" w:cs="Segoe UI"/>
          <w:szCs w:val="20"/>
        </w:rPr>
        <w:t xml:space="preserve"> DPH na pochutiny (91 mil. eur) či úpravy odpočtu DPH (86 mil. eur) a daňov</w:t>
      </w:r>
      <w:r>
        <w:rPr>
          <w:rFonts w:eastAsia="Times New Roman" w:cs="Segoe UI"/>
          <w:szCs w:val="20"/>
        </w:rPr>
        <w:t>ej</w:t>
      </w:r>
      <w:r w:rsidRPr="005A4F93">
        <w:rPr>
          <w:rFonts w:eastAsia="Times New Roman" w:cs="Segoe UI"/>
          <w:szCs w:val="20"/>
        </w:rPr>
        <w:t xml:space="preserve"> amnesti</w:t>
      </w:r>
      <w:r>
        <w:rPr>
          <w:rFonts w:eastAsia="Times New Roman" w:cs="Segoe UI"/>
          <w:szCs w:val="20"/>
        </w:rPr>
        <w:t>e</w:t>
      </w:r>
      <w:r w:rsidRPr="005A4F93">
        <w:rPr>
          <w:rFonts w:eastAsia="Times New Roman" w:cs="Segoe UI"/>
          <w:szCs w:val="20"/>
        </w:rPr>
        <w:t xml:space="preserve"> (81 mil. eur) príjmy ŠR adekvátne ne</w:t>
      </w:r>
      <w:r>
        <w:rPr>
          <w:rFonts w:eastAsia="Times New Roman" w:cs="Segoe UI"/>
          <w:szCs w:val="20"/>
        </w:rPr>
        <w:t>rastú</w:t>
      </w:r>
      <w:r w:rsidRPr="005A4F93">
        <w:rPr>
          <w:rFonts w:eastAsia="Times New Roman" w:cs="Segoe UI"/>
          <w:szCs w:val="20"/>
        </w:rPr>
        <w:t xml:space="preserve">. </w:t>
      </w:r>
    </w:p>
    <w:p w14:paraId="3EAF6324" w14:textId="0B413EDF" w:rsidR="00BA3510" w:rsidRPr="00BA3510" w:rsidRDefault="00BA3510" w:rsidP="00BA3510">
      <w:pPr>
        <w:rPr>
          <w:rFonts w:eastAsia="Times New Roman" w:cs="Segoe UI"/>
          <w:b/>
          <w:bCs/>
          <w:szCs w:val="20"/>
        </w:rPr>
      </w:pPr>
      <w:r w:rsidRPr="005A4F93">
        <w:rPr>
          <w:rFonts w:eastAsia="Times New Roman" w:cs="Segoe UI"/>
          <w:b/>
          <w:bCs/>
          <w:szCs w:val="20"/>
        </w:rPr>
        <w:t xml:space="preserve">Celkové rozpočtované výdavky ŠR medziročne klesajú najmä pre konsolidačné opatrenia na výdavkovej strane. </w:t>
      </w:r>
      <w:r w:rsidRPr="005A4F93">
        <w:rPr>
          <w:rFonts w:eastAsia="Times New Roman" w:cs="Segoe UI"/>
          <w:szCs w:val="20"/>
        </w:rPr>
        <w:t>Najväčšia časť pripadá na energopomoc, ktorá by mala byť financovaná alternatívnym spôsobom, na úsporu na prevádzkových výdavkoch štátu a úspore na valorizáci</w:t>
      </w:r>
      <w:r>
        <w:rPr>
          <w:rFonts w:eastAsia="Times New Roman" w:cs="Segoe UI"/>
          <w:szCs w:val="20"/>
        </w:rPr>
        <w:t>i</w:t>
      </w:r>
      <w:r w:rsidRPr="005A4F93">
        <w:rPr>
          <w:rFonts w:eastAsia="Times New Roman" w:cs="Segoe UI"/>
          <w:szCs w:val="20"/>
        </w:rPr>
        <w:t xml:space="preserve"> platov. Riziká spojené s tretím konsolidačným balíkom sú rozpracované v samostatnej časti (3.1 Konsolidačné opatrenia 2025/2026). Aj napriek konsolidáci</w:t>
      </w:r>
      <w:r>
        <w:rPr>
          <w:rFonts w:eastAsia="Times New Roman" w:cs="Segoe UI"/>
          <w:szCs w:val="20"/>
        </w:rPr>
        <w:t>i</w:t>
      </w:r>
      <w:r w:rsidRPr="005A4F93">
        <w:rPr>
          <w:rFonts w:eastAsia="Times New Roman" w:cs="Segoe UI"/>
          <w:szCs w:val="20"/>
        </w:rPr>
        <w:t xml:space="preserve"> sa pokračuje v investičnej aktivite</w:t>
      </w:r>
      <w:r>
        <w:rPr>
          <w:rFonts w:eastAsia="Times New Roman" w:cs="Segoe UI"/>
          <w:szCs w:val="20"/>
        </w:rPr>
        <w:t xml:space="preserve">. </w:t>
      </w:r>
      <w:r w:rsidRPr="00BA3510">
        <w:rPr>
          <w:rFonts w:eastAsia="Times New Roman" w:cs="Segoe UI"/>
          <w:b/>
          <w:bCs/>
          <w:szCs w:val="20"/>
        </w:rPr>
        <w:t xml:space="preserve">NKÚ SR upozorňuje, že z hľadiska ŠR je strednodobým rizikom zabezpečenie financovania počas celého životného cyklu. </w:t>
      </w:r>
    </w:p>
    <w:p w14:paraId="697B28F4" w14:textId="177DAF65" w:rsidR="00BA3510" w:rsidRPr="005A4F93" w:rsidRDefault="00BA3510" w:rsidP="00BA3510">
      <w:pPr>
        <w:rPr>
          <w:rFonts w:eastAsia="Times New Roman" w:cs="Segoe UI"/>
          <w:szCs w:val="20"/>
        </w:rPr>
      </w:pPr>
      <w:r w:rsidRPr="005A4F93">
        <w:rPr>
          <w:rFonts w:eastAsia="Times New Roman" w:cs="Segoe UI"/>
          <w:b/>
          <w:bCs/>
          <w:szCs w:val="20"/>
        </w:rPr>
        <w:t>Medziročný pokles výdavkov ŠR je spôsobený aj konsolidačnými opatreniami týkajúcimi sa SP.</w:t>
      </w:r>
      <w:r w:rsidRPr="005A4F93">
        <w:rPr>
          <w:rFonts w:eastAsia="Times New Roman" w:cs="Segoe UI"/>
          <w:szCs w:val="20"/>
        </w:rPr>
        <w:t xml:space="preserve"> Oproti predchádzajúcemu rozpočtu sa znížil transfer zo ŠR do SP o</w:t>
      </w:r>
      <w:r w:rsidR="00BE312F">
        <w:rPr>
          <w:rFonts w:eastAsia="Times New Roman" w:cs="Segoe UI"/>
          <w:szCs w:val="20"/>
        </w:rPr>
        <w:t> 405,8</w:t>
      </w:r>
      <w:r w:rsidRPr="005A4F93">
        <w:rPr>
          <w:rFonts w:eastAsia="Times New Roman" w:cs="Segoe UI"/>
          <w:szCs w:val="20"/>
        </w:rPr>
        <w:t xml:space="preserve"> mil. eur. Nižší transfer je možný vďaka relatívnemu navýšeniu príjmov SP z úprav odvodov SZČO (</w:t>
      </w:r>
      <w:r w:rsidR="00BE312F">
        <w:rPr>
          <w:rFonts w:eastAsia="Times New Roman" w:cs="Segoe UI"/>
          <w:szCs w:val="20"/>
        </w:rPr>
        <w:t xml:space="preserve">krátenie </w:t>
      </w:r>
      <w:r w:rsidRPr="005A4F93">
        <w:rPr>
          <w:rFonts w:eastAsia="Times New Roman" w:cs="Segoe UI"/>
          <w:szCs w:val="20"/>
        </w:rPr>
        <w:t>odvodov</w:t>
      </w:r>
      <w:r w:rsidR="00BE312F">
        <w:rPr>
          <w:rFonts w:eastAsia="Times New Roman" w:cs="Segoe UI"/>
          <w:szCs w:val="20"/>
        </w:rPr>
        <w:t>ých</w:t>
      </w:r>
      <w:r w:rsidRPr="005A4F93">
        <w:rPr>
          <w:rFonts w:eastAsia="Times New Roman" w:cs="Segoe UI"/>
          <w:szCs w:val="20"/>
        </w:rPr>
        <w:t xml:space="preserve"> prázdnin, </w:t>
      </w:r>
      <w:r w:rsidR="00BE312F">
        <w:rPr>
          <w:rFonts w:eastAsia="Times New Roman" w:cs="Segoe UI"/>
          <w:szCs w:val="20"/>
        </w:rPr>
        <w:t xml:space="preserve">minimálny </w:t>
      </w:r>
      <w:r w:rsidRPr="005A4F93">
        <w:rPr>
          <w:rFonts w:eastAsia="Times New Roman" w:cs="Segoe UI"/>
          <w:szCs w:val="20"/>
        </w:rPr>
        <w:t>povinný odvod, zvýšenie vymeriavacieho základu) a zníženiu výdavkov zmrazením valorizácie 13. dôchodku. Pokračujúcim rizikom vo vzťahu k výške potrebného transferu je od</w:t>
      </w:r>
      <w:r w:rsidR="00F8413C">
        <w:rPr>
          <w:rFonts w:eastAsia="Times New Roman" w:cs="Segoe UI"/>
          <w:szCs w:val="20"/>
        </w:rPr>
        <w:t>s</w:t>
      </w:r>
      <w:r w:rsidRPr="005A4F93">
        <w:rPr>
          <w:rFonts w:eastAsia="Times New Roman" w:cs="Segoe UI"/>
          <w:szCs w:val="20"/>
        </w:rPr>
        <w:t xml:space="preserve">úvanie implementácie ročného zúčtovania sociálnych odvodov. </w:t>
      </w:r>
    </w:p>
    <w:p w14:paraId="34DF006B" w14:textId="3387B687" w:rsidR="00BA3510" w:rsidRPr="005A4F93" w:rsidRDefault="00BA3510" w:rsidP="00BA3510">
      <w:pPr>
        <w:rPr>
          <w:rFonts w:eastAsia="Times New Roman" w:cs="Segoe UI"/>
          <w:szCs w:val="20"/>
        </w:rPr>
      </w:pPr>
      <w:r w:rsidRPr="005A4F93">
        <w:rPr>
          <w:rFonts w:eastAsia="Times New Roman" w:cs="Segoe UI"/>
          <w:b/>
          <w:bCs/>
          <w:szCs w:val="20"/>
        </w:rPr>
        <w:t>Nižší medziročný schodok ŠR zakladá aj nižšie požiadavky na dlhové financovanie.</w:t>
      </w:r>
      <w:r w:rsidRPr="005A4F93">
        <w:rPr>
          <w:rFonts w:eastAsia="Times New Roman" w:cs="Segoe UI"/>
          <w:szCs w:val="20"/>
        </w:rPr>
        <w:t xml:space="preserve"> Výdavky spojené so správou štátneho dlhu v roku 2026 by mali dosiahnuť 2,04 mld. eur, čo zodpovedá 6,1 % výdavkov celého ŠR. Napriek tomu, že sú náklady na dlh vylúčené z LVV, je potrebné nájsť zdroje na ich uhradenie</w:t>
      </w:r>
      <w:r w:rsidR="009A14AE">
        <w:rPr>
          <w:rFonts w:eastAsia="Times New Roman" w:cs="Segoe UI"/>
          <w:szCs w:val="20"/>
        </w:rPr>
        <w:t>, pretože</w:t>
      </w:r>
      <w:r w:rsidRPr="005A4F93">
        <w:rPr>
          <w:rFonts w:eastAsia="Times New Roman" w:cs="Segoe UI"/>
          <w:szCs w:val="20"/>
        </w:rPr>
        <w:t xml:space="preserve"> predstavujú významné riziko. Ich výšku určuje okrem samotnej výšky schodku a teda potreby jeho prefinancovania hlavne cena za takéto prefinancovanie, čiže úrokové náklady, ktoré sú determinované dôveryhodnosťou Slovenska </w:t>
      </w:r>
      <w:r w:rsidR="00F8413C">
        <w:rPr>
          <w:rFonts w:eastAsia="Times New Roman" w:cs="Segoe UI"/>
          <w:szCs w:val="20"/>
        </w:rPr>
        <w:t xml:space="preserve">a </w:t>
      </w:r>
      <w:r w:rsidRPr="005A4F93">
        <w:rPr>
          <w:rFonts w:eastAsia="Times New Roman" w:cs="Segoe UI"/>
          <w:szCs w:val="20"/>
        </w:rPr>
        <w:t>jeho schopnosti splácať záväzky</w:t>
      </w:r>
      <w:r>
        <w:rPr>
          <w:rFonts w:eastAsia="Times New Roman" w:cs="Segoe UI"/>
          <w:szCs w:val="20"/>
        </w:rPr>
        <w:t xml:space="preserve">. </w:t>
      </w:r>
    </w:p>
    <w:p w14:paraId="5647D622" w14:textId="741B1111" w:rsidR="00E119E5" w:rsidRDefault="009A14AE" w:rsidP="00440621">
      <w:pPr>
        <w:pStyle w:val="Nadpis2"/>
        <w:rPr>
          <w:rFonts w:eastAsia="Calibri"/>
        </w:rPr>
      </w:pPr>
      <w:r>
        <w:rPr>
          <w:rFonts w:eastAsia="Calibri"/>
        </w:rPr>
        <w:lastRenderedPageBreak/>
        <w:t xml:space="preserve"> </w:t>
      </w:r>
      <w:bookmarkStart w:id="36" w:name="_Toc211249088"/>
      <w:r w:rsidR="000C763A">
        <w:rPr>
          <w:rFonts w:eastAsia="Calibri"/>
        </w:rPr>
        <w:t>Rozpočtovanie kapitálových výdavkov</w:t>
      </w:r>
      <w:bookmarkEnd w:id="36"/>
    </w:p>
    <w:p w14:paraId="672D531D" w14:textId="50D7711C" w:rsidR="00842928" w:rsidRPr="00181D32" w:rsidRDefault="00842928" w:rsidP="00842928">
      <w:pPr>
        <w:spacing w:after="160"/>
        <w:rPr>
          <w:rFonts w:eastAsia="Calibri" w:cs="Segoe UI"/>
          <w:b/>
          <w:szCs w:val="20"/>
        </w:rPr>
      </w:pPr>
      <w:r w:rsidRPr="00403A00">
        <w:rPr>
          <w:rFonts w:eastAsia="Calibri" w:cs="Segoe UI"/>
          <w:b/>
          <w:szCs w:val="20"/>
        </w:rPr>
        <w:t xml:space="preserve">Vzhľadom na zostavovanie návrhu </w:t>
      </w:r>
      <w:r>
        <w:rPr>
          <w:rFonts w:eastAsia="Calibri" w:cs="Segoe UI"/>
          <w:b/>
          <w:szCs w:val="20"/>
        </w:rPr>
        <w:t>ŠR</w:t>
      </w:r>
      <w:r w:rsidRPr="00403A00">
        <w:rPr>
          <w:rFonts w:eastAsia="Calibri" w:cs="Segoe UI"/>
          <w:b/>
          <w:szCs w:val="20"/>
        </w:rPr>
        <w:t xml:space="preserve"> je dôležité zamerať sa na dlhodobú udržateľnosť financovania investícií a zabezpečiť kontinuitu v plánovaní. </w:t>
      </w:r>
      <w:r w:rsidRPr="00842928">
        <w:rPr>
          <w:rFonts w:eastAsia="Calibri" w:cs="Segoe UI"/>
          <w:szCs w:val="20"/>
        </w:rPr>
        <w:t>Posledné tri roky v návrhu rozpočtu nie je zverejnený zoznam najväčších inves</w:t>
      </w:r>
      <w:r w:rsidRPr="0044412F">
        <w:rPr>
          <w:rFonts w:eastAsia="Calibri" w:cs="Segoe UI"/>
          <w:szCs w:val="20"/>
        </w:rPr>
        <w:t xml:space="preserve">tičných projektov, ktoré sa </w:t>
      </w:r>
      <w:r>
        <w:rPr>
          <w:rFonts w:eastAsia="Calibri" w:cs="Segoe UI"/>
          <w:szCs w:val="20"/>
        </w:rPr>
        <w:t xml:space="preserve">plánujú </w:t>
      </w:r>
      <w:r w:rsidRPr="00842928">
        <w:rPr>
          <w:rFonts w:eastAsia="Calibri" w:cs="Segoe UI"/>
          <w:szCs w:val="20"/>
        </w:rPr>
        <w:t>financovať v nasledujúcom roku.</w:t>
      </w:r>
      <w:r w:rsidRPr="006B066A">
        <w:rPr>
          <w:rFonts w:eastAsia="Calibri" w:cs="Segoe UI"/>
          <w:b/>
          <w:szCs w:val="20"/>
        </w:rPr>
        <w:t xml:space="preserve"> NKÚ SR opakovane odporúča vypracovať zoznam najväčších investičných projektov</w:t>
      </w:r>
      <w:r>
        <w:rPr>
          <w:rFonts w:eastAsia="Calibri" w:cs="Segoe UI"/>
          <w:b/>
          <w:szCs w:val="20"/>
        </w:rPr>
        <w:t>,</w:t>
      </w:r>
      <w:r w:rsidRPr="006B066A">
        <w:rPr>
          <w:rFonts w:eastAsia="Calibri" w:cs="Segoe UI"/>
          <w:b/>
          <w:szCs w:val="20"/>
        </w:rPr>
        <w:t xml:space="preserve"> </w:t>
      </w:r>
      <w:r w:rsidRPr="0044412F">
        <w:rPr>
          <w:rFonts w:eastAsia="Calibri" w:cs="Segoe UI"/>
          <w:b/>
          <w:szCs w:val="20"/>
        </w:rPr>
        <w:t xml:space="preserve">vytvoriť priorizáciu projektov </w:t>
      </w:r>
      <w:r>
        <w:rPr>
          <w:rFonts w:eastAsia="Calibri" w:cs="Segoe UI"/>
          <w:b/>
          <w:szCs w:val="20"/>
        </w:rPr>
        <w:t>a doplniť investičné zámery</w:t>
      </w:r>
      <w:r w:rsidRPr="006B066A">
        <w:rPr>
          <w:rFonts w:eastAsia="Calibri" w:cs="Segoe UI"/>
          <w:b/>
          <w:szCs w:val="20"/>
        </w:rPr>
        <w:t>, ktoré sa majú v nasledujúcom období financovať.</w:t>
      </w:r>
    </w:p>
    <w:p w14:paraId="3DBA33EF" w14:textId="25F98B9F" w:rsidR="00842928" w:rsidRDefault="00842928" w:rsidP="00842928">
      <w:pPr>
        <w:spacing w:after="160"/>
        <w:rPr>
          <w:rFonts w:eastAsia="Calibri" w:cs="Segoe UI"/>
          <w:b/>
          <w:szCs w:val="20"/>
        </w:rPr>
      </w:pPr>
      <w:r w:rsidRPr="00F01054">
        <w:rPr>
          <w:rFonts w:eastAsia="Calibri" w:cs="Segoe UI"/>
          <w:b/>
          <w:szCs w:val="20"/>
        </w:rPr>
        <w:t xml:space="preserve">Kapitálové výdavky RVS v roku 2026 sú rozpočtované v celkovej sume 6 433 mil. eur, čo je takmer o 22 % menej ako očakávané čerpanie v roku 2025. </w:t>
      </w:r>
      <w:r w:rsidRPr="00DF616F">
        <w:rPr>
          <w:rFonts w:eastAsia="Calibri" w:cs="Segoe UI"/>
          <w:szCs w:val="20"/>
        </w:rPr>
        <w:t>Z celkových kapitálových výdavkov predstavujú najväčšiu časť kapitálové investície, a to v objeme 5 144,5 mil. eur a zvyšnú časť predstavujú kapitálové transfery vo výške 1 288,5 mil. eur, ktoré sú určené subjektom mimo sektora VS.</w:t>
      </w:r>
      <w:r w:rsidRPr="00F01054">
        <w:rPr>
          <w:rFonts w:eastAsia="Calibri" w:cs="Segoe UI"/>
          <w:b/>
          <w:szCs w:val="20"/>
        </w:rPr>
        <w:t xml:space="preserve"> V roku 2025 s</w:t>
      </w:r>
      <w:r w:rsidR="00FD0207">
        <w:rPr>
          <w:rFonts w:eastAsia="Calibri" w:cs="Segoe UI"/>
          <w:b/>
          <w:szCs w:val="20"/>
        </w:rPr>
        <w:t>a</w:t>
      </w:r>
      <w:r w:rsidRPr="00F01054">
        <w:rPr>
          <w:rFonts w:eastAsia="Calibri" w:cs="Segoe UI"/>
          <w:b/>
          <w:szCs w:val="20"/>
        </w:rPr>
        <w:t xml:space="preserve"> prekročil plánovaný rozpočet kapitálových výdavkov o 1,2 mld. eur, no napriek tomu sa investície plánované na budúci rok oproti skutočným znížili takmer o 1,8 mld. eur.</w:t>
      </w:r>
    </w:p>
    <w:p w14:paraId="2B671CE9" w14:textId="77777777" w:rsidR="00842928" w:rsidRPr="001505A9" w:rsidRDefault="00842928" w:rsidP="00842928">
      <w:pPr>
        <w:spacing w:after="160"/>
        <w:rPr>
          <w:rFonts w:eastAsia="Calibri" w:cs="Segoe UI"/>
          <w:szCs w:val="20"/>
        </w:rPr>
      </w:pPr>
      <w:r w:rsidRPr="00181D32">
        <w:rPr>
          <w:rFonts w:eastAsia="Calibri" w:cs="Segoe UI"/>
          <w:b/>
          <w:szCs w:val="20"/>
        </w:rPr>
        <w:t xml:space="preserve">Plánované kapitálové výdavky kapitol ŠR v roku 2026 sú na úrovni 3 365 mil. eur. </w:t>
      </w:r>
      <w:r w:rsidRPr="00DF616F">
        <w:rPr>
          <w:rFonts w:eastAsia="Calibri" w:cs="Segoe UI"/>
          <w:szCs w:val="20"/>
        </w:rPr>
        <w:t xml:space="preserve">Zo ŠR 2 010 mil. eur, z eurofondov (vrátane národného spolufinancovania) 627 mil. eur a z POO (vrátane výdavkov na DPH) 728 mil. eur. </w:t>
      </w:r>
      <w:r w:rsidRPr="002F5C8B">
        <w:rPr>
          <w:rFonts w:eastAsia="Calibri" w:cs="Segoe UI"/>
          <w:szCs w:val="20"/>
        </w:rPr>
        <w:t xml:space="preserve">V návrhu </w:t>
      </w:r>
      <w:r>
        <w:rPr>
          <w:rFonts w:eastAsia="Calibri" w:cs="Segoe UI"/>
          <w:szCs w:val="20"/>
        </w:rPr>
        <w:t xml:space="preserve">sú </w:t>
      </w:r>
      <w:r w:rsidRPr="002F5C8B">
        <w:rPr>
          <w:rFonts w:eastAsia="Calibri" w:cs="Segoe UI"/>
          <w:szCs w:val="20"/>
        </w:rPr>
        <w:t xml:space="preserve">rozpočtované </w:t>
      </w:r>
      <w:r w:rsidRPr="001505A9">
        <w:rPr>
          <w:rFonts w:eastAsia="Calibri" w:cs="Segoe UI"/>
          <w:szCs w:val="20"/>
        </w:rPr>
        <w:t>význam</w:t>
      </w:r>
      <w:r w:rsidRPr="00181D32">
        <w:rPr>
          <w:rFonts w:eastAsia="Calibri" w:cs="Segoe UI"/>
          <w:szCs w:val="20"/>
        </w:rPr>
        <w:t xml:space="preserve">né investičné výdavky pre spoločnosť Volvo Car Slovakia, s. r. o. v sume 107 mil. eur a na investičnú pomoc vo forme investičného stimulu pre spoločnosť GIB EnergyX Slovakia, s. r. o. v sume 34,8 mil. eur. </w:t>
      </w:r>
      <w:r w:rsidRPr="00181D32">
        <w:rPr>
          <w:szCs w:val="20"/>
        </w:rPr>
        <w:t xml:space="preserve">Pre spoločnosť Valaliky Industrial Park, s. r. o., ktorá realizuje investičný projekt </w:t>
      </w:r>
      <w:r>
        <w:rPr>
          <w:rFonts w:eastAsia="Calibri" w:cs="Segoe UI"/>
          <w:szCs w:val="20"/>
        </w:rPr>
        <w:t>„Strategické územie Valaliky“,</w:t>
      </w:r>
      <w:r w:rsidRPr="00181D32">
        <w:rPr>
          <w:rFonts w:eastAsia="Calibri" w:cs="Segoe UI"/>
          <w:szCs w:val="20"/>
        </w:rPr>
        <w:t xml:space="preserve"> sa počíta so z</w:t>
      </w:r>
      <w:r w:rsidRPr="001505A9">
        <w:rPr>
          <w:rFonts w:eastAsia="Calibri" w:cs="Segoe UI"/>
          <w:szCs w:val="20"/>
        </w:rPr>
        <w:t>nížením výdavkov o 87,1 mil</w:t>
      </w:r>
      <w:r>
        <w:rPr>
          <w:rFonts w:eastAsia="Calibri" w:cs="Segoe UI"/>
          <w:szCs w:val="20"/>
        </w:rPr>
        <w:t xml:space="preserve">. </w:t>
      </w:r>
      <w:r w:rsidRPr="00181D32">
        <w:rPr>
          <w:rFonts w:eastAsia="Calibri" w:cs="Segoe UI"/>
          <w:szCs w:val="20"/>
        </w:rPr>
        <w:t>eur.</w:t>
      </w:r>
    </w:p>
    <w:p w14:paraId="3EE2FB0B" w14:textId="348B2254" w:rsidR="001A200F" w:rsidRPr="00403A00" w:rsidRDefault="001A200F" w:rsidP="001A200F">
      <w:pPr>
        <w:spacing w:after="160"/>
        <w:rPr>
          <w:rFonts w:eastAsia="Calibri" w:cs="Segoe UI"/>
          <w:color w:val="000000"/>
          <w:szCs w:val="20"/>
        </w:rPr>
      </w:pPr>
      <w:r w:rsidRPr="00403A00">
        <w:rPr>
          <w:rFonts w:eastAsia="Calibri" w:cs="Segoe UI"/>
          <w:b/>
          <w:color w:val="000000"/>
          <w:szCs w:val="20"/>
        </w:rPr>
        <w:t>Do 30. septembra 2025 vláda SR zaradila medzi strategické investície celkovo 35 projektov</w:t>
      </w:r>
      <w:r w:rsidR="002E53D4">
        <w:rPr>
          <w:rFonts w:eastAsia="Calibri" w:cs="Segoe UI"/>
          <w:b/>
          <w:color w:val="000000"/>
          <w:szCs w:val="20"/>
        </w:rPr>
        <w:t>, nielen v oblasti dopravy</w:t>
      </w:r>
      <w:r w:rsidRPr="00403A00">
        <w:rPr>
          <w:rFonts w:eastAsia="Calibri" w:cs="Segoe UI"/>
          <w:b/>
          <w:color w:val="000000"/>
          <w:szCs w:val="20"/>
        </w:rPr>
        <w:t>.</w:t>
      </w:r>
      <w:r w:rsidRPr="0069672A">
        <w:rPr>
          <w:rFonts w:eastAsia="Calibri" w:cs="Segoe UI"/>
          <w:bCs/>
          <w:color w:val="000000"/>
          <w:szCs w:val="20"/>
          <w:vertAlign w:val="superscript"/>
        </w:rPr>
        <w:footnoteReference w:id="56"/>
      </w:r>
      <w:r w:rsidRPr="00403A00">
        <w:rPr>
          <w:rFonts w:eastAsia="Calibri" w:cs="Segoe UI"/>
          <w:szCs w:val="20"/>
        </w:rPr>
        <w:t xml:space="preserve"> </w:t>
      </w:r>
      <w:r w:rsidRPr="00403A00">
        <w:rPr>
          <w:rFonts w:eastAsia="Calibri" w:cs="Segoe UI"/>
          <w:color w:val="000000"/>
          <w:szCs w:val="20"/>
        </w:rPr>
        <w:t>Naposledy do zoznamu strategických investícií boli pridané obchvaty miest Pezinok a Modra na ceste II/502. Napriek tomu, že strategické investície mali byť výlučne dopravné projekty</w:t>
      </w:r>
      <w:r w:rsidR="0069672A">
        <w:rPr>
          <w:rFonts w:eastAsia="Calibri" w:cs="Segoe UI"/>
          <w:color w:val="000000"/>
          <w:szCs w:val="20"/>
        </w:rPr>
        <w:t>,</w:t>
      </w:r>
      <w:r w:rsidRPr="00403A00">
        <w:rPr>
          <w:rFonts w:eastAsia="Calibri" w:cs="Segoe UI"/>
          <w:color w:val="000000"/>
          <w:szCs w:val="20"/>
        </w:rPr>
        <w:t xml:space="preserve"> v zozname sa nachádzajú aj investície v obrane a v zdravotníctve. Zoznam strategických investícií k 30. septe</w:t>
      </w:r>
      <w:r>
        <w:rPr>
          <w:rFonts w:eastAsia="Calibri" w:cs="Segoe UI"/>
          <w:color w:val="000000"/>
          <w:szCs w:val="20"/>
        </w:rPr>
        <w:t xml:space="preserve">mbru 2025 je uvedený v </w:t>
      </w:r>
      <w:r w:rsidRPr="004C7E0F">
        <w:rPr>
          <w:rFonts w:eastAsia="Calibri" w:cs="Segoe UI"/>
          <w:color w:val="000000"/>
          <w:szCs w:val="20"/>
        </w:rPr>
        <w:t>tabuľke 1</w:t>
      </w:r>
      <w:r w:rsidR="0032471C">
        <w:rPr>
          <w:rFonts w:eastAsia="Calibri" w:cs="Segoe UI"/>
          <w:color w:val="000000"/>
          <w:szCs w:val="20"/>
        </w:rPr>
        <w:t>8</w:t>
      </w:r>
      <w:r w:rsidRPr="00403A00">
        <w:rPr>
          <w:rFonts w:eastAsia="Calibri" w:cs="Segoe UI"/>
          <w:color w:val="000000"/>
          <w:szCs w:val="20"/>
        </w:rPr>
        <w:t xml:space="preserve"> v prílohe.</w:t>
      </w:r>
    </w:p>
    <w:p w14:paraId="24C5A146" w14:textId="7CFEA096" w:rsidR="001A200F" w:rsidRDefault="001A200F" w:rsidP="00FD0207">
      <w:pPr>
        <w:rPr>
          <w:rFonts w:eastAsia="Calibri" w:cs="Segoe UI"/>
          <w:szCs w:val="20"/>
        </w:rPr>
      </w:pPr>
      <w:r w:rsidRPr="00403A00">
        <w:rPr>
          <w:rFonts w:eastAsia="Calibri" w:cs="Segoe UI"/>
          <w:b/>
          <w:szCs w:val="20"/>
        </w:rPr>
        <w:t xml:space="preserve">NKÚ SR opakovane upozorňuje na </w:t>
      </w:r>
      <w:r>
        <w:rPr>
          <w:rFonts w:eastAsia="Calibri" w:cs="Segoe UI"/>
          <w:b/>
          <w:szCs w:val="20"/>
        </w:rPr>
        <w:t xml:space="preserve">nehospodárne </w:t>
      </w:r>
      <w:r w:rsidRPr="00403A00">
        <w:rPr>
          <w:rFonts w:eastAsia="Calibri" w:cs="Segoe UI"/>
          <w:b/>
          <w:szCs w:val="20"/>
        </w:rPr>
        <w:t xml:space="preserve">využívanie verejných zdrojov, keďže ÚHP </w:t>
      </w:r>
      <w:r w:rsidR="00500AEA">
        <w:rPr>
          <w:rFonts w:eastAsia="Calibri" w:cs="Segoe UI"/>
          <w:b/>
          <w:szCs w:val="20"/>
        </w:rPr>
        <w:t>od júla 2024</w:t>
      </w:r>
      <w:r w:rsidRPr="00403A00">
        <w:rPr>
          <w:rFonts w:eastAsia="Calibri" w:cs="Segoe UI"/>
          <w:b/>
          <w:szCs w:val="20"/>
        </w:rPr>
        <w:t xml:space="preserve"> nevykonáva hodnotenie štúdií uskutočniteľnosti – nezávislé posúdenie ekonomickej </w:t>
      </w:r>
      <w:r>
        <w:rPr>
          <w:rFonts w:eastAsia="Calibri" w:cs="Segoe UI"/>
          <w:b/>
          <w:szCs w:val="20"/>
        </w:rPr>
        <w:t xml:space="preserve">efektívnosti viacerých strategických </w:t>
      </w:r>
      <w:r w:rsidRPr="00403A00">
        <w:rPr>
          <w:rFonts w:eastAsia="Calibri" w:cs="Segoe UI"/>
          <w:b/>
          <w:szCs w:val="20"/>
        </w:rPr>
        <w:t>investícií.</w:t>
      </w:r>
      <w:r w:rsidRPr="00403A00">
        <w:rPr>
          <w:rFonts w:eastAsia="Calibri" w:cs="Segoe UI"/>
          <w:szCs w:val="20"/>
        </w:rPr>
        <w:t xml:space="preserve"> Rezort, ktorý je zodpovedný za realizáciu investičného projektu, musí zverejniť štúdiu uskutočniteľnosti, pričom jej hodnotenie vykonáva sám, čo môže viesť k zníženiu objektivity pri posudzovaní. Prenesenie tejto kompetencie z ÚHP na samotné ministerstvá pri strategických investíciách môže viesť k nižšej kvalite hodnotenia z dôvodu nedostatočných kompetencií na jednotlivých rezortoch.</w:t>
      </w:r>
    </w:p>
    <w:p w14:paraId="3C068EB1" w14:textId="502D2E91" w:rsidR="00C2223D" w:rsidRDefault="00C2223D" w:rsidP="00C2223D">
      <w:pPr>
        <w:spacing w:after="160"/>
        <w:rPr>
          <w:rFonts w:eastAsia="Calibri" w:cs="Segoe UI"/>
          <w:szCs w:val="20"/>
        </w:rPr>
      </w:pPr>
      <w:r w:rsidRPr="00A34206">
        <w:rPr>
          <w:rFonts w:eastAsia="Calibri" w:cs="Segoe UI"/>
          <w:b/>
          <w:szCs w:val="20"/>
        </w:rPr>
        <w:t>Pri súčasnom čerpaní dostupných prostriedkov z EÚ existuje riziko, že financovanie niektorých investičných projektov bude potrebné zabezpečiť z vlastných zdrojov.</w:t>
      </w:r>
      <w:r w:rsidRPr="0042516A">
        <w:t xml:space="preserve"> </w:t>
      </w:r>
      <w:r>
        <w:rPr>
          <w:rFonts w:eastAsia="Calibri" w:cs="Segoe UI"/>
          <w:szCs w:val="20"/>
        </w:rPr>
        <w:t>Vláda SR</w:t>
      </w:r>
      <w:r w:rsidRPr="00A34206">
        <w:rPr>
          <w:rFonts w:eastAsia="Calibri" w:cs="Segoe UI"/>
          <w:szCs w:val="20"/>
        </w:rPr>
        <w:t xml:space="preserve"> by mal</w:t>
      </w:r>
      <w:r>
        <w:rPr>
          <w:rFonts w:eastAsia="Calibri" w:cs="Segoe UI"/>
          <w:szCs w:val="20"/>
        </w:rPr>
        <w:t>a</w:t>
      </w:r>
      <w:r w:rsidRPr="00A34206">
        <w:rPr>
          <w:rFonts w:eastAsia="Calibri" w:cs="Segoe UI"/>
          <w:szCs w:val="20"/>
        </w:rPr>
        <w:t xml:space="preserve"> cielene podporovať investície vychádzajúce z vlastného ekonomického rastu, ktorý zároveň vytvára priaznivé podmienky na pril</w:t>
      </w:r>
      <w:r w:rsidRPr="00503CFF">
        <w:rPr>
          <w:rFonts w:eastAsia="Calibri" w:cs="Segoe UI"/>
          <w:szCs w:val="20"/>
        </w:rPr>
        <w:t>ákanie zahraničných investorov.</w:t>
      </w:r>
      <w:r>
        <w:rPr>
          <w:rFonts w:eastAsia="Calibri" w:cs="Segoe UI"/>
          <w:szCs w:val="20"/>
        </w:rPr>
        <w:t xml:space="preserve"> </w:t>
      </w:r>
      <w:r w:rsidRPr="00503CFF">
        <w:rPr>
          <w:rFonts w:eastAsia="Calibri" w:cs="Segoe UI"/>
          <w:szCs w:val="20"/>
        </w:rPr>
        <w:t>Stabiln</w:t>
      </w:r>
      <w:r>
        <w:rPr>
          <w:rFonts w:eastAsia="Calibri" w:cs="Segoe UI"/>
          <w:szCs w:val="20"/>
        </w:rPr>
        <w:t xml:space="preserve">é </w:t>
      </w:r>
      <w:r w:rsidRPr="00DB134D">
        <w:rPr>
          <w:rFonts w:eastAsia="Calibri" w:cs="Segoe UI"/>
          <w:szCs w:val="20"/>
        </w:rPr>
        <w:t>podnikateľské prostredie, podpora výskumu a inovácií a zlepšenie kvalifikácie pracovnej sily sú pritom kľúčové pre rozvoj ekonomiky so zameraním na odvetvia s vyššou pridanou hodnotou.</w:t>
      </w:r>
      <w:r>
        <w:rPr>
          <w:rFonts w:eastAsia="Calibri" w:cs="Segoe UI"/>
          <w:szCs w:val="20"/>
        </w:rPr>
        <w:t xml:space="preserve"> </w:t>
      </w:r>
      <w:r w:rsidRPr="00DB134D">
        <w:rPr>
          <w:rFonts w:eastAsia="Calibri" w:cs="Segoe UI"/>
          <w:szCs w:val="20"/>
        </w:rPr>
        <w:t xml:space="preserve">Podpora domácich investícií spolu so zahraničnými investíciami </w:t>
      </w:r>
      <w:r w:rsidR="001A6493">
        <w:rPr>
          <w:rFonts w:eastAsia="Calibri" w:cs="Segoe UI"/>
          <w:szCs w:val="20"/>
        </w:rPr>
        <w:t xml:space="preserve">by </w:t>
      </w:r>
      <w:r w:rsidRPr="00DB134D">
        <w:rPr>
          <w:rFonts w:eastAsia="Calibri" w:cs="Segoe UI"/>
          <w:szCs w:val="20"/>
        </w:rPr>
        <w:t>posiln</w:t>
      </w:r>
      <w:r w:rsidR="001A6493">
        <w:rPr>
          <w:rFonts w:eastAsia="Calibri" w:cs="Segoe UI"/>
          <w:szCs w:val="20"/>
        </w:rPr>
        <w:t>ila</w:t>
      </w:r>
      <w:r w:rsidRPr="00DB134D">
        <w:rPr>
          <w:rFonts w:eastAsia="Calibri" w:cs="Segoe UI"/>
          <w:szCs w:val="20"/>
        </w:rPr>
        <w:t xml:space="preserve"> finančnú stabilitu Slovenska a zabezpeč</w:t>
      </w:r>
      <w:r w:rsidR="001A6493">
        <w:rPr>
          <w:rFonts w:eastAsia="Calibri" w:cs="Segoe UI"/>
          <w:szCs w:val="20"/>
        </w:rPr>
        <w:t>ila</w:t>
      </w:r>
      <w:r w:rsidRPr="00DB134D">
        <w:rPr>
          <w:rFonts w:eastAsia="Calibri" w:cs="Segoe UI"/>
          <w:szCs w:val="20"/>
        </w:rPr>
        <w:t xml:space="preserve"> udržateľný ekonomický rast.</w:t>
      </w:r>
    </w:p>
    <w:p w14:paraId="275E30E3" w14:textId="4D6AA778" w:rsidR="000C763A" w:rsidRDefault="009A14AE" w:rsidP="00440621">
      <w:pPr>
        <w:pStyle w:val="Nadpis2"/>
      </w:pPr>
      <w:r>
        <w:lastRenderedPageBreak/>
        <w:t xml:space="preserve"> </w:t>
      </w:r>
      <w:bookmarkStart w:id="37" w:name="_Toc211249089"/>
      <w:r w:rsidR="000C763A">
        <w:t>Rozpočtovanie rezerv</w:t>
      </w:r>
      <w:bookmarkEnd w:id="37"/>
    </w:p>
    <w:p w14:paraId="5A47B3FA" w14:textId="4723ACAD" w:rsidR="005D7577" w:rsidRPr="00285300" w:rsidRDefault="005D7577" w:rsidP="005D7577">
      <w:pPr>
        <w:rPr>
          <w:rFonts w:eastAsia="Times New Roman" w:cs="Segoe UI"/>
          <w:szCs w:val="20"/>
        </w:rPr>
      </w:pPr>
      <w:bookmarkStart w:id="38" w:name="_Toc86396378"/>
      <w:bookmarkStart w:id="39" w:name="_Toc119482910"/>
      <w:r w:rsidRPr="00285300">
        <w:rPr>
          <w:rFonts w:eastAsia="Times New Roman" w:cs="Segoe UI"/>
          <w:b/>
          <w:bCs/>
          <w:szCs w:val="20"/>
        </w:rPr>
        <w:t>Počet rozpočtových rezerv sa od roku 2025 znížil zo šesť na štyri, pričom tri sú rozpočtované vo VPS a štvrtá, rezerva predsedu vlády</w:t>
      </w:r>
      <w:r w:rsidR="0032471C">
        <w:rPr>
          <w:rFonts w:eastAsia="Times New Roman" w:cs="Segoe UI"/>
          <w:b/>
          <w:bCs/>
          <w:szCs w:val="20"/>
        </w:rPr>
        <w:t>,</w:t>
      </w:r>
      <w:r w:rsidRPr="00285300">
        <w:rPr>
          <w:rFonts w:eastAsia="Times New Roman" w:cs="Segoe UI"/>
          <w:b/>
          <w:bCs/>
          <w:szCs w:val="20"/>
        </w:rPr>
        <w:t xml:space="preserve"> je rozpočtovaná na Úrade vlády SR.</w:t>
      </w:r>
      <w:r w:rsidRPr="00285300">
        <w:rPr>
          <w:rFonts w:eastAsia="Times New Roman" w:cs="Segoe UI"/>
          <w:szCs w:val="20"/>
        </w:rPr>
        <w:t xml:space="preserve"> Tituly, ktoré sa do roku 2025 vykazovali ako rezervy sa teraz vykazujú ako výdavky v rámci ostatných výdavkov VPS. Okrem toho VPS </w:t>
      </w:r>
      <w:r w:rsidRPr="00285300">
        <w:rPr>
          <w:rFonts w:eastAsia="Times New Roman" w:cs="Segoe UI"/>
          <w:bCs/>
          <w:szCs w:val="20"/>
        </w:rPr>
        <w:t>obsahuje výdavky ŠR, ktoré nesúvisia s výdavkami ostatných kapitol, vrátane výdavkov určených na správu štátneho dlhu. V kapitole VPS sú rozpočtované aj výdavky na osem</w:t>
      </w:r>
      <w:r w:rsidRPr="00285300">
        <w:rPr>
          <w:rFonts w:eastAsia="Times New Roman" w:cs="Segoe UI"/>
          <w:bCs/>
          <w:szCs w:val="20"/>
          <w:vertAlign w:val="superscript"/>
        </w:rPr>
        <w:footnoteReference w:id="57"/>
      </w:r>
      <w:r w:rsidRPr="00285300">
        <w:rPr>
          <w:rFonts w:eastAsia="Times New Roman" w:cs="Segoe UI"/>
          <w:bCs/>
          <w:szCs w:val="20"/>
        </w:rPr>
        <w:t xml:space="preserve"> menších organizácií v celkovej výške 19,3 mil. eur, či finančné vzťahy k EÚ alebo SP (tabuľka </w:t>
      </w:r>
      <w:r>
        <w:rPr>
          <w:rFonts w:eastAsia="Times New Roman" w:cs="Segoe UI"/>
          <w:bCs/>
          <w:szCs w:val="20"/>
        </w:rPr>
        <w:t>12</w:t>
      </w:r>
      <w:r w:rsidRPr="00285300">
        <w:rPr>
          <w:rFonts w:eastAsia="Times New Roman" w:cs="Segoe UI"/>
          <w:bCs/>
          <w:szCs w:val="20"/>
        </w:rPr>
        <w:t xml:space="preserve">). </w:t>
      </w:r>
    </w:p>
    <w:p w14:paraId="0FCD8E71" w14:textId="77777777" w:rsidR="00AE716B" w:rsidRPr="00285300" w:rsidRDefault="00AE716B" w:rsidP="00AE716B">
      <w:pPr>
        <w:keepNext/>
        <w:spacing w:after="0" w:line="240" w:lineRule="auto"/>
        <w:rPr>
          <w:rFonts w:eastAsia="Calibri" w:cs="Times New Roman"/>
          <w:b/>
          <w:iCs/>
          <w:color w:val="314364"/>
          <w:szCs w:val="18"/>
        </w:rPr>
      </w:pPr>
      <w:r w:rsidRPr="00285300">
        <w:rPr>
          <w:rFonts w:eastAsia="Calibri" w:cs="Times New Roman"/>
          <w:b/>
          <w:iCs/>
          <w:color w:val="314364"/>
          <w:szCs w:val="18"/>
        </w:rPr>
        <w:t xml:space="preserve">Tabuľka </w:t>
      </w:r>
      <w:r>
        <w:rPr>
          <w:rFonts w:eastAsia="Calibri" w:cs="Times New Roman"/>
          <w:b/>
          <w:iCs/>
          <w:color w:val="314364"/>
          <w:szCs w:val="18"/>
        </w:rPr>
        <w:t>12</w:t>
      </w:r>
      <w:r w:rsidRPr="00285300">
        <w:rPr>
          <w:rFonts w:eastAsia="Calibri" w:cs="Times New Roman"/>
          <w:b/>
          <w:iCs/>
          <w:color w:val="314364"/>
          <w:szCs w:val="18"/>
        </w:rPr>
        <w:t>: Štruktúra výdavkov kapitoly VPS (v mil. eur)</w:t>
      </w:r>
    </w:p>
    <w:tbl>
      <w:tblPr>
        <w:tblpPr w:leftFromText="141" w:rightFromText="141" w:vertAnchor="text" w:horzAnchor="margin" w:tblpXSpec="center" w:tblpY="72"/>
        <w:tblOverlap w:val="never"/>
        <w:tblW w:w="4913" w:type="pct"/>
        <w:tblLayout w:type="fixed"/>
        <w:tblCellMar>
          <w:top w:w="28" w:type="dxa"/>
        </w:tblCellMar>
        <w:tblLook w:val="04A0" w:firstRow="1" w:lastRow="0" w:firstColumn="1" w:lastColumn="0" w:noHBand="0" w:noVBand="1"/>
      </w:tblPr>
      <w:tblGrid>
        <w:gridCol w:w="2127"/>
        <w:gridCol w:w="652"/>
        <w:gridCol w:w="745"/>
        <w:gridCol w:w="743"/>
        <w:gridCol w:w="738"/>
        <w:gridCol w:w="806"/>
        <w:gridCol w:w="852"/>
        <w:gridCol w:w="850"/>
        <w:gridCol w:w="709"/>
        <w:gridCol w:w="690"/>
      </w:tblGrid>
      <w:tr w:rsidR="00AE716B" w:rsidRPr="00285300" w14:paraId="07BB53A8" w14:textId="77777777" w:rsidTr="00BB314F">
        <w:trPr>
          <w:trHeight w:val="283"/>
        </w:trPr>
        <w:tc>
          <w:tcPr>
            <w:tcW w:w="1193" w:type="pct"/>
            <w:tcBorders>
              <w:bottom w:val="single" w:sz="4" w:space="0" w:color="314364"/>
            </w:tcBorders>
            <w:shd w:val="clear" w:color="auto" w:fill="314364"/>
            <w:vAlign w:val="center"/>
          </w:tcPr>
          <w:p w14:paraId="5BDE4A22" w14:textId="77777777" w:rsidR="00AE716B" w:rsidRPr="00285300" w:rsidRDefault="00AE716B" w:rsidP="00BB314F">
            <w:pPr>
              <w:spacing w:after="0" w:line="259" w:lineRule="auto"/>
              <w:jc w:val="left"/>
              <w:rPr>
                <w:rFonts w:eastAsia="Calibri" w:cs="Segoe UI"/>
                <w:b/>
                <w:color w:val="FFFFFF"/>
                <w:sz w:val="16"/>
                <w:szCs w:val="16"/>
              </w:rPr>
            </w:pPr>
          </w:p>
        </w:tc>
        <w:tc>
          <w:tcPr>
            <w:tcW w:w="366" w:type="pct"/>
            <w:tcBorders>
              <w:bottom w:val="single" w:sz="4" w:space="0" w:color="314364"/>
            </w:tcBorders>
            <w:shd w:val="clear" w:color="auto" w:fill="314364"/>
            <w:vAlign w:val="center"/>
          </w:tcPr>
          <w:p w14:paraId="79CEE652" w14:textId="77777777" w:rsidR="00AE716B" w:rsidRPr="00285300" w:rsidRDefault="00AE716B" w:rsidP="00BB314F">
            <w:pPr>
              <w:spacing w:after="0" w:line="259" w:lineRule="auto"/>
              <w:jc w:val="right"/>
              <w:rPr>
                <w:rFonts w:eastAsia="Calibri" w:cs="Segoe UI"/>
                <w:b/>
                <w:color w:val="FFFFFF"/>
                <w:sz w:val="16"/>
                <w:szCs w:val="16"/>
              </w:rPr>
            </w:pPr>
            <w:r>
              <w:rPr>
                <w:rFonts w:eastAsia="Calibri" w:cs="Segoe UI"/>
                <w:b/>
                <w:color w:val="FFFFFF"/>
                <w:sz w:val="16"/>
                <w:szCs w:val="16"/>
              </w:rPr>
              <w:t>2023</w:t>
            </w:r>
          </w:p>
        </w:tc>
        <w:tc>
          <w:tcPr>
            <w:tcW w:w="418" w:type="pct"/>
            <w:tcBorders>
              <w:bottom w:val="single" w:sz="4" w:space="0" w:color="314364"/>
            </w:tcBorders>
            <w:shd w:val="clear" w:color="auto" w:fill="314364"/>
            <w:vAlign w:val="center"/>
          </w:tcPr>
          <w:p w14:paraId="1166CE2E" w14:textId="77777777" w:rsidR="00AE716B" w:rsidRPr="00285300" w:rsidRDefault="00AE716B" w:rsidP="00BB314F">
            <w:pPr>
              <w:spacing w:after="0" w:line="259" w:lineRule="auto"/>
              <w:jc w:val="right"/>
              <w:rPr>
                <w:rFonts w:eastAsia="Calibri" w:cs="Segoe UI"/>
                <w:b/>
                <w:color w:val="FFFFFF"/>
                <w:sz w:val="16"/>
                <w:szCs w:val="16"/>
              </w:rPr>
            </w:pPr>
            <w:r w:rsidRPr="00285300">
              <w:rPr>
                <w:rFonts w:eastAsia="Calibri" w:cs="Segoe UI"/>
                <w:b/>
                <w:color w:val="FFFFFF"/>
                <w:sz w:val="16"/>
                <w:szCs w:val="16"/>
              </w:rPr>
              <w:t>2024</w:t>
            </w:r>
          </w:p>
        </w:tc>
        <w:tc>
          <w:tcPr>
            <w:tcW w:w="417" w:type="pct"/>
            <w:tcBorders>
              <w:bottom w:val="single" w:sz="4" w:space="0" w:color="314364"/>
            </w:tcBorders>
            <w:shd w:val="clear" w:color="auto" w:fill="314364"/>
            <w:vAlign w:val="center"/>
          </w:tcPr>
          <w:p w14:paraId="30006DE3" w14:textId="77777777" w:rsidR="00AE716B" w:rsidRPr="00285300" w:rsidRDefault="00AE716B" w:rsidP="00BB314F">
            <w:pPr>
              <w:spacing w:after="0" w:line="259" w:lineRule="auto"/>
              <w:jc w:val="right"/>
              <w:rPr>
                <w:rFonts w:eastAsia="Calibri" w:cs="Segoe UI"/>
                <w:b/>
                <w:color w:val="FFFFFF"/>
                <w:sz w:val="16"/>
                <w:szCs w:val="16"/>
              </w:rPr>
            </w:pPr>
            <w:r w:rsidRPr="00285300">
              <w:rPr>
                <w:rFonts w:eastAsia="Calibri" w:cs="Segoe UI"/>
                <w:b/>
                <w:color w:val="FFFFFF"/>
                <w:sz w:val="16"/>
                <w:szCs w:val="16"/>
              </w:rPr>
              <w:t>2025 R</w:t>
            </w:r>
          </w:p>
        </w:tc>
        <w:tc>
          <w:tcPr>
            <w:tcW w:w="414" w:type="pct"/>
            <w:tcBorders>
              <w:bottom w:val="single" w:sz="4" w:space="0" w:color="314364"/>
            </w:tcBorders>
            <w:shd w:val="clear" w:color="auto" w:fill="314364"/>
            <w:vAlign w:val="center"/>
          </w:tcPr>
          <w:p w14:paraId="1B8479A1" w14:textId="77777777" w:rsidR="00AE716B" w:rsidRPr="00285300" w:rsidRDefault="00AE716B" w:rsidP="00BB314F">
            <w:pPr>
              <w:spacing w:after="0" w:line="259" w:lineRule="auto"/>
              <w:ind w:left="-135"/>
              <w:jc w:val="right"/>
              <w:rPr>
                <w:rFonts w:eastAsia="Calibri" w:cs="Segoe UI"/>
                <w:b/>
                <w:color w:val="FFFFFF"/>
                <w:sz w:val="16"/>
                <w:szCs w:val="16"/>
              </w:rPr>
            </w:pPr>
            <w:r w:rsidRPr="00285300">
              <w:rPr>
                <w:rFonts w:eastAsia="Calibri" w:cs="Segoe UI"/>
                <w:b/>
                <w:color w:val="FFFFFF"/>
                <w:sz w:val="16"/>
                <w:szCs w:val="16"/>
              </w:rPr>
              <w:t>2025 OS</w:t>
            </w:r>
          </w:p>
        </w:tc>
        <w:tc>
          <w:tcPr>
            <w:tcW w:w="452" w:type="pct"/>
            <w:tcBorders>
              <w:bottom w:val="single" w:sz="4" w:space="0" w:color="314364"/>
            </w:tcBorders>
            <w:shd w:val="clear" w:color="auto" w:fill="314364"/>
            <w:vAlign w:val="center"/>
          </w:tcPr>
          <w:p w14:paraId="443AD900" w14:textId="77777777" w:rsidR="00AE716B" w:rsidRPr="00285300" w:rsidRDefault="00AE716B" w:rsidP="00BB314F">
            <w:pPr>
              <w:spacing w:after="0" w:line="259" w:lineRule="auto"/>
              <w:jc w:val="right"/>
              <w:rPr>
                <w:rFonts w:eastAsia="Calibri" w:cs="Segoe UI"/>
                <w:b/>
                <w:color w:val="FFFFFF"/>
                <w:sz w:val="16"/>
                <w:szCs w:val="16"/>
              </w:rPr>
            </w:pPr>
            <w:r w:rsidRPr="00285300">
              <w:rPr>
                <w:rFonts w:eastAsia="Calibri" w:cs="Segoe UI"/>
                <w:b/>
                <w:color w:val="FFFFFF"/>
                <w:sz w:val="16"/>
                <w:szCs w:val="16"/>
              </w:rPr>
              <w:t>2026 N</w:t>
            </w:r>
          </w:p>
        </w:tc>
        <w:tc>
          <w:tcPr>
            <w:tcW w:w="478" w:type="pct"/>
            <w:tcBorders>
              <w:bottom w:val="single" w:sz="4" w:space="0" w:color="314364"/>
            </w:tcBorders>
            <w:shd w:val="clear" w:color="auto" w:fill="314364"/>
            <w:vAlign w:val="center"/>
          </w:tcPr>
          <w:p w14:paraId="20A3A1BB" w14:textId="77777777" w:rsidR="00AE716B" w:rsidRPr="00285300" w:rsidRDefault="00AE716B" w:rsidP="00BB314F">
            <w:pPr>
              <w:spacing w:after="0" w:line="259" w:lineRule="auto"/>
              <w:jc w:val="right"/>
              <w:rPr>
                <w:rFonts w:eastAsia="Calibri" w:cs="Segoe UI"/>
                <w:b/>
                <w:color w:val="FFFFFF"/>
                <w:sz w:val="16"/>
                <w:szCs w:val="16"/>
              </w:rPr>
            </w:pPr>
            <w:r w:rsidRPr="00285300">
              <w:rPr>
                <w:rFonts w:eastAsia="Calibri" w:cs="Segoe UI"/>
                <w:b/>
                <w:color w:val="FFFFFF"/>
                <w:sz w:val="16"/>
                <w:szCs w:val="16"/>
              </w:rPr>
              <w:t>2027 N</w:t>
            </w:r>
          </w:p>
        </w:tc>
        <w:tc>
          <w:tcPr>
            <w:tcW w:w="477" w:type="pct"/>
            <w:tcBorders>
              <w:bottom w:val="single" w:sz="4" w:space="0" w:color="314364"/>
            </w:tcBorders>
            <w:shd w:val="clear" w:color="auto" w:fill="314364"/>
            <w:vAlign w:val="center"/>
          </w:tcPr>
          <w:p w14:paraId="40803669" w14:textId="77777777" w:rsidR="00AE716B" w:rsidRPr="00285300" w:rsidRDefault="00AE716B" w:rsidP="00BB314F">
            <w:pPr>
              <w:spacing w:after="0" w:line="259" w:lineRule="auto"/>
              <w:jc w:val="right"/>
              <w:rPr>
                <w:rFonts w:eastAsia="Calibri" w:cs="Segoe UI"/>
                <w:b/>
                <w:color w:val="FFFFFF"/>
                <w:sz w:val="16"/>
                <w:szCs w:val="16"/>
              </w:rPr>
            </w:pPr>
            <w:r w:rsidRPr="00285300">
              <w:rPr>
                <w:rFonts w:eastAsia="Calibri" w:cs="Segoe UI"/>
                <w:b/>
                <w:color w:val="FFFFFF"/>
                <w:sz w:val="16"/>
                <w:szCs w:val="16"/>
              </w:rPr>
              <w:t>2028 N</w:t>
            </w:r>
          </w:p>
        </w:tc>
        <w:tc>
          <w:tcPr>
            <w:tcW w:w="398" w:type="pct"/>
            <w:tcBorders>
              <w:bottom w:val="single" w:sz="4" w:space="0" w:color="314364"/>
            </w:tcBorders>
            <w:shd w:val="clear" w:color="auto" w:fill="314364"/>
            <w:vAlign w:val="center"/>
          </w:tcPr>
          <w:p w14:paraId="11B42BD2" w14:textId="77777777" w:rsidR="00AE716B" w:rsidRPr="00285300" w:rsidRDefault="00AE716B" w:rsidP="00BB314F">
            <w:pPr>
              <w:spacing w:after="0" w:line="259" w:lineRule="auto"/>
              <w:jc w:val="right"/>
              <w:rPr>
                <w:rFonts w:eastAsia="Calibri" w:cs="Segoe UI"/>
                <w:b/>
                <w:color w:val="FFFFFF"/>
                <w:sz w:val="16"/>
                <w:szCs w:val="16"/>
              </w:rPr>
            </w:pPr>
            <w:r w:rsidRPr="00285300">
              <w:rPr>
                <w:rFonts w:eastAsia="Calibri" w:cs="Segoe UI"/>
                <w:b/>
                <w:color w:val="FFFFFF"/>
                <w:sz w:val="16"/>
                <w:szCs w:val="16"/>
              </w:rPr>
              <w:t>26</w:t>
            </w:r>
            <w:r>
              <w:rPr>
                <w:rFonts w:eastAsia="Calibri" w:cs="Segoe UI"/>
                <w:b/>
                <w:color w:val="FFFFFF"/>
                <w:sz w:val="16"/>
                <w:szCs w:val="16"/>
              </w:rPr>
              <w:t xml:space="preserve"> </w:t>
            </w:r>
            <w:r w:rsidRPr="00285300">
              <w:rPr>
                <w:rFonts w:eastAsia="Calibri" w:cs="Segoe UI"/>
                <w:b/>
                <w:color w:val="FFFFFF"/>
                <w:sz w:val="16"/>
                <w:szCs w:val="16"/>
              </w:rPr>
              <w:t>N-25</w:t>
            </w:r>
            <w:r>
              <w:rPr>
                <w:rFonts w:eastAsia="Calibri" w:cs="Segoe UI"/>
                <w:b/>
                <w:color w:val="FFFFFF"/>
                <w:sz w:val="16"/>
                <w:szCs w:val="16"/>
              </w:rPr>
              <w:t xml:space="preserve"> </w:t>
            </w:r>
            <w:r w:rsidRPr="00285300">
              <w:rPr>
                <w:rFonts w:eastAsia="Calibri" w:cs="Segoe UI"/>
                <w:b/>
                <w:color w:val="FFFFFF"/>
                <w:sz w:val="16"/>
                <w:szCs w:val="16"/>
              </w:rPr>
              <w:t>R</w:t>
            </w:r>
          </w:p>
        </w:tc>
        <w:tc>
          <w:tcPr>
            <w:tcW w:w="387" w:type="pct"/>
            <w:tcBorders>
              <w:bottom w:val="single" w:sz="4" w:space="0" w:color="314364"/>
            </w:tcBorders>
            <w:shd w:val="clear" w:color="auto" w:fill="314364"/>
            <w:vAlign w:val="center"/>
          </w:tcPr>
          <w:p w14:paraId="4801CA51" w14:textId="77777777" w:rsidR="00AE716B" w:rsidRPr="00285300" w:rsidRDefault="00AE716B" w:rsidP="00BB314F">
            <w:pPr>
              <w:spacing w:after="0" w:line="259" w:lineRule="auto"/>
              <w:jc w:val="right"/>
              <w:rPr>
                <w:rFonts w:eastAsia="Calibri" w:cs="Segoe UI"/>
                <w:b/>
                <w:color w:val="FFFFFF"/>
                <w:sz w:val="16"/>
                <w:szCs w:val="16"/>
              </w:rPr>
            </w:pPr>
            <w:r w:rsidRPr="00285300">
              <w:rPr>
                <w:rFonts w:eastAsia="Calibri" w:cs="Segoe UI"/>
                <w:b/>
                <w:color w:val="FFFFFF"/>
                <w:sz w:val="16"/>
                <w:szCs w:val="16"/>
              </w:rPr>
              <w:t>26</w:t>
            </w:r>
            <w:r>
              <w:rPr>
                <w:rFonts w:eastAsia="Calibri" w:cs="Segoe UI"/>
                <w:b/>
                <w:color w:val="FFFFFF"/>
                <w:sz w:val="16"/>
                <w:szCs w:val="16"/>
              </w:rPr>
              <w:t xml:space="preserve"> </w:t>
            </w:r>
            <w:r w:rsidRPr="00285300">
              <w:rPr>
                <w:rFonts w:eastAsia="Calibri" w:cs="Segoe UI"/>
                <w:b/>
                <w:color w:val="FFFFFF"/>
                <w:sz w:val="16"/>
                <w:szCs w:val="16"/>
              </w:rPr>
              <w:t>N/</w:t>
            </w:r>
            <w:r>
              <w:rPr>
                <w:rFonts w:eastAsia="Calibri" w:cs="Segoe UI"/>
                <w:b/>
                <w:color w:val="FFFFFF"/>
                <w:sz w:val="16"/>
                <w:szCs w:val="16"/>
              </w:rPr>
              <w:br/>
            </w:r>
            <w:r w:rsidRPr="00285300">
              <w:rPr>
                <w:rFonts w:eastAsia="Calibri" w:cs="Segoe UI"/>
                <w:b/>
                <w:color w:val="FFFFFF"/>
                <w:sz w:val="16"/>
                <w:szCs w:val="16"/>
              </w:rPr>
              <w:t>25</w:t>
            </w:r>
            <w:r>
              <w:rPr>
                <w:rFonts w:eastAsia="Calibri" w:cs="Segoe UI"/>
                <w:b/>
                <w:color w:val="FFFFFF"/>
                <w:sz w:val="16"/>
                <w:szCs w:val="16"/>
              </w:rPr>
              <w:t xml:space="preserve"> </w:t>
            </w:r>
            <w:r w:rsidRPr="00285300">
              <w:rPr>
                <w:rFonts w:eastAsia="Calibri" w:cs="Segoe UI"/>
                <w:b/>
                <w:color w:val="FFFFFF"/>
                <w:sz w:val="16"/>
                <w:szCs w:val="16"/>
              </w:rPr>
              <w:t>R</w:t>
            </w:r>
          </w:p>
        </w:tc>
      </w:tr>
      <w:tr w:rsidR="00AE716B" w:rsidRPr="00285300" w14:paraId="6AD147DF" w14:textId="77777777" w:rsidTr="00BB314F">
        <w:trPr>
          <w:trHeight w:val="283"/>
        </w:trPr>
        <w:tc>
          <w:tcPr>
            <w:tcW w:w="1193" w:type="pct"/>
            <w:vAlign w:val="center"/>
          </w:tcPr>
          <w:p w14:paraId="3884F96C" w14:textId="77777777" w:rsidR="00AE716B" w:rsidRPr="00285300" w:rsidRDefault="00AE716B" w:rsidP="00BB314F">
            <w:pPr>
              <w:spacing w:after="0" w:line="259" w:lineRule="auto"/>
              <w:jc w:val="left"/>
              <w:rPr>
                <w:rFonts w:eastAsia="Calibri" w:cs="Segoe UI"/>
                <w:sz w:val="16"/>
                <w:szCs w:val="16"/>
              </w:rPr>
            </w:pPr>
            <w:r w:rsidRPr="00285300">
              <w:rPr>
                <w:rFonts w:eastAsia="Calibri" w:cs="Segoe UI"/>
                <w:sz w:val="16"/>
                <w:szCs w:val="16"/>
              </w:rPr>
              <w:t>Rozpočtové rezervy</w:t>
            </w:r>
          </w:p>
        </w:tc>
        <w:tc>
          <w:tcPr>
            <w:tcW w:w="366" w:type="pct"/>
            <w:vAlign w:val="center"/>
          </w:tcPr>
          <w:p w14:paraId="60617036"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16</w:t>
            </w:r>
          </w:p>
        </w:tc>
        <w:tc>
          <w:tcPr>
            <w:tcW w:w="418" w:type="pct"/>
            <w:vAlign w:val="center"/>
          </w:tcPr>
          <w:p w14:paraId="151AA881"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0</w:t>
            </w:r>
          </w:p>
        </w:tc>
        <w:tc>
          <w:tcPr>
            <w:tcW w:w="417" w:type="pct"/>
            <w:vAlign w:val="center"/>
          </w:tcPr>
          <w:p w14:paraId="3ABF0B05"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333</w:t>
            </w:r>
          </w:p>
        </w:tc>
        <w:tc>
          <w:tcPr>
            <w:tcW w:w="414" w:type="pct"/>
            <w:vAlign w:val="center"/>
          </w:tcPr>
          <w:p w14:paraId="4E169475"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7</w:t>
            </w:r>
          </w:p>
        </w:tc>
        <w:tc>
          <w:tcPr>
            <w:tcW w:w="452" w:type="pct"/>
            <w:vAlign w:val="center"/>
          </w:tcPr>
          <w:p w14:paraId="534A3DF2"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266</w:t>
            </w:r>
          </w:p>
        </w:tc>
        <w:tc>
          <w:tcPr>
            <w:tcW w:w="478" w:type="pct"/>
            <w:vAlign w:val="center"/>
          </w:tcPr>
          <w:p w14:paraId="623746E7"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325</w:t>
            </w:r>
          </w:p>
        </w:tc>
        <w:tc>
          <w:tcPr>
            <w:tcW w:w="477" w:type="pct"/>
            <w:vAlign w:val="center"/>
          </w:tcPr>
          <w:p w14:paraId="7DA7EB86"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375</w:t>
            </w:r>
          </w:p>
        </w:tc>
        <w:tc>
          <w:tcPr>
            <w:tcW w:w="398" w:type="pct"/>
            <w:vAlign w:val="center"/>
          </w:tcPr>
          <w:p w14:paraId="2E036B31"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-67</w:t>
            </w:r>
          </w:p>
        </w:tc>
        <w:tc>
          <w:tcPr>
            <w:tcW w:w="387" w:type="pct"/>
            <w:vAlign w:val="center"/>
          </w:tcPr>
          <w:p w14:paraId="543405D9"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79,9%</w:t>
            </w:r>
          </w:p>
        </w:tc>
      </w:tr>
      <w:tr w:rsidR="00AE716B" w:rsidRPr="00285300" w14:paraId="78A4DDF6" w14:textId="77777777" w:rsidTr="00BB314F">
        <w:trPr>
          <w:trHeight w:val="283"/>
        </w:trPr>
        <w:tc>
          <w:tcPr>
            <w:tcW w:w="1193" w:type="pct"/>
            <w:vAlign w:val="center"/>
          </w:tcPr>
          <w:p w14:paraId="79BF2161" w14:textId="77777777" w:rsidR="00AE716B" w:rsidRPr="00285300" w:rsidRDefault="00AE716B" w:rsidP="00BB314F">
            <w:pPr>
              <w:spacing w:after="0" w:line="259" w:lineRule="auto"/>
              <w:jc w:val="left"/>
              <w:rPr>
                <w:rFonts w:eastAsia="Calibri" w:cs="Segoe UI"/>
                <w:sz w:val="16"/>
                <w:szCs w:val="16"/>
              </w:rPr>
            </w:pPr>
            <w:r w:rsidRPr="00285300">
              <w:rPr>
                <w:rFonts w:eastAsia="Calibri" w:cs="Segoe UI"/>
                <w:sz w:val="16"/>
                <w:szCs w:val="16"/>
              </w:rPr>
              <w:t xml:space="preserve">Výdavky vo vzťahu k EÚ </w:t>
            </w:r>
          </w:p>
        </w:tc>
        <w:tc>
          <w:tcPr>
            <w:tcW w:w="366" w:type="pct"/>
            <w:vAlign w:val="center"/>
          </w:tcPr>
          <w:p w14:paraId="347091AE"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991</w:t>
            </w:r>
          </w:p>
        </w:tc>
        <w:tc>
          <w:tcPr>
            <w:tcW w:w="418" w:type="pct"/>
            <w:vAlign w:val="center"/>
          </w:tcPr>
          <w:p w14:paraId="5D919B66"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864</w:t>
            </w:r>
          </w:p>
        </w:tc>
        <w:tc>
          <w:tcPr>
            <w:tcW w:w="417" w:type="pct"/>
            <w:vAlign w:val="center"/>
          </w:tcPr>
          <w:p w14:paraId="36037411"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1 243</w:t>
            </w:r>
          </w:p>
        </w:tc>
        <w:tc>
          <w:tcPr>
            <w:tcW w:w="414" w:type="pct"/>
            <w:vAlign w:val="center"/>
          </w:tcPr>
          <w:p w14:paraId="3D888C1D"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1 162</w:t>
            </w:r>
          </w:p>
        </w:tc>
        <w:tc>
          <w:tcPr>
            <w:tcW w:w="452" w:type="pct"/>
            <w:vAlign w:val="center"/>
          </w:tcPr>
          <w:p w14:paraId="3A740981"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1 559</w:t>
            </w:r>
          </w:p>
        </w:tc>
        <w:tc>
          <w:tcPr>
            <w:tcW w:w="478" w:type="pct"/>
            <w:vAlign w:val="center"/>
          </w:tcPr>
          <w:p w14:paraId="109D72F5"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1 869</w:t>
            </w:r>
          </w:p>
        </w:tc>
        <w:tc>
          <w:tcPr>
            <w:tcW w:w="477" w:type="pct"/>
            <w:vAlign w:val="center"/>
          </w:tcPr>
          <w:p w14:paraId="034FD35C"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1 784</w:t>
            </w:r>
          </w:p>
        </w:tc>
        <w:tc>
          <w:tcPr>
            <w:tcW w:w="398" w:type="pct"/>
            <w:vAlign w:val="center"/>
          </w:tcPr>
          <w:p w14:paraId="286C264C"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316</w:t>
            </w:r>
          </w:p>
        </w:tc>
        <w:tc>
          <w:tcPr>
            <w:tcW w:w="387" w:type="pct"/>
            <w:vAlign w:val="center"/>
          </w:tcPr>
          <w:p w14:paraId="5805FC17" w14:textId="77777777" w:rsidR="00AE716B" w:rsidRPr="00285300" w:rsidRDefault="00AE716B" w:rsidP="00BB314F">
            <w:pPr>
              <w:spacing w:after="0" w:line="259" w:lineRule="auto"/>
              <w:ind w:hanging="103"/>
              <w:jc w:val="right"/>
              <w:rPr>
                <w:rFonts w:eastAsia="Calibri" w:cs="Segoe UI"/>
                <w:sz w:val="16"/>
                <w:szCs w:val="16"/>
              </w:rPr>
            </w:pPr>
            <w:r w:rsidRPr="00285300">
              <w:rPr>
                <w:rFonts w:eastAsia="Times New Roman" w:cs="Segoe UI"/>
                <w:color w:val="000000"/>
                <w:sz w:val="16"/>
                <w:szCs w:val="16"/>
                <w:lang w:eastAsia="sk-SK"/>
              </w:rPr>
              <w:t>125,4%</w:t>
            </w:r>
          </w:p>
        </w:tc>
      </w:tr>
      <w:tr w:rsidR="00AE716B" w:rsidRPr="00285300" w14:paraId="186C48A9" w14:textId="77777777" w:rsidTr="00BB314F">
        <w:trPr>
          <w:trHeight w:val="283"/>
        </w:trPr>
        <w:tc>
          <w:tcPr>
            <w:tcW w:w="1193" w:type="pct"/>
            <w:vAlign w:val="center"/>
          </w:tcPr>
          <w:p w14:paraId="67E41DE0" w14:textId="77777777" w:rsidR="00AE716B" w:rsidRPr="00285300" w:rsidRDefault="00AE716B" w:rsidP="00BB314F">
            <w:pPr>
              <w:spacing w:after="0" w:line="259" w:lineRule="auto"/>
              <w:jc w:val="left"/>
              <w:rPr>
                <w:rFonts w:eastAsia="Calibri" w:cs="Segoe UI"/>
                <w:sz w:val="16"/>
                <w:szCs w:val="16"/>
              </w:rPr>
            </w:pPr>
            <w:r w:rsidRPr="00285300">
              <w:rPr>
                <w:rFonts w:eastAsia="Calibri" w:cs="Segoe UI"/>
                <w:sz w:val="16"/>
                <w:szCs w:val="16"/>
              </w:rPr>
              <w:t>Finančné vzťahy k SP</w:t>
            </w:r>
          </w:p>
        </w:tc>
        <w:tc>
          <w:tcPr>
            <w:tcW w:w="366" w:type="pct"/>
            <w:vAlign w:val="center"/>
          </w:tcPr>
          <w:p w14:paraId="355B0FCA" w14:textId="77777777" w:rsidR="00AE716B" w:rsidRPr="00285300" w:rsidRDefault="00AE716B" w:rsidP="00BB314F">
            <w:pPr>
              <w:spacing w:after="0" w:line="259" w:lineRule="auto"/>
              <w:jc w:val="right"/>
              <w:rPr>
                <w:rFonts w:eastAsia="Times New Roman" w:cs="Segoe UI"/>
                <w:sz w:val="16"/>
                <w:szCs w:val="16"/>
                <w:lang w:eastAsia="sk-SK"/>
              </w:rPr>
            </w:pPr>
            <w:r w:rsidRPr="00285300">
              <w:rPr>
                <w:rFonts w:eastAsia="Times New Roman" w:cs="Segoe UI"/>
                <w:color w:val="000000"/>
                <w:sz w:val="16"/>
                <w:szCs w:val="16"/>
                <w:lang w:eastAsia="sk-SK"/>
              </w:rPr>
              <w:t>1 160</w:t>
            </w:r>
          </w:p>
        </w:tc>
        <w:tc>
          <w:tcPr>
            <w:tcW w:w="418" w:type="pct"/>
            <w:vAlign w:val="center"/>
          </w:tcPr>
          <w:p w14:paraId="01798411"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2 720</w:t>
            </w:r>
          </w:p>
        </w:tc>
        <w:tc>
          <w:tcPr>
            <w:tcW w:w="417" w:type="pct"/>
            <w:vAlign w:val="center"/>
          </w:tcPr>
          <w:p w14:paraId="2DCC1ED3"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2 750</w:t>
            </w:r>
          </w:p>
        </w:tc>
        <w:tc>
          <w:tcPr>
            <w:tcW w:w="414" w:type="pct"/>
            <w:vAlign w:val="center"/>
          </w:tcPr>
          <w:p w14:paraId="0AC7434C"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2 455</w:t>
            </w:r>
          </w:p>
        </w:tc>
        <w:tc>
          <w:tcPr>
            <w:tcW w:w="452" w:type="pct"/>
            <w:vAlign w:val="center"/>
          </w:tcPr>
          <w:p w14:paraId="196D73E5"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2 344</w:t>
            </w:r>
          </w:p>
        </w:tc>
        <w:tc>
          <w:tcPr>
            <w:tcW w:w="478" w:type="pct"/>
            <w:vAlign w:val="center"/>
          </w:tcPr>
          <w:p w14:paraId="1703D9A5"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2 258</w:t>
            </w:r>
          </w:p>
        </w:tc>
        <w:tc>
          <w:tcPr>
            <w:tcW w:w="477" w:type="pct"/>
            <w:vAlign w:val="center"/>
          </w:tcPr>
          <w:p w14:paraId="09C148AD"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2 366</w:t>
            </w:r>
          </w:p>
        </w:tc>
        <w:tc>
          <w:tcPr>
            <w:tcW w:w="398" w:type="pct"/>
            <w:vAlign w:val="center"/>
          </w:tcPr>
          <w:p w14:paraId="570DD9BE"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-406</w:t>
            </w:r>
          </w:p>
        </w:tc>
        <w:tc>
          <w:tcPr>
            <w:tcW w:w="387" w:type="pct"/>
            <w:vAlign w:val="center"/>
          </w:tcPr>
          <w:p w14:paraId="49673BC1"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85,2%</w:t>
            </w:r>
          </w:p>
        </w:tc>
      </w:tr>
      <w:tr w:rsidR="00AE716B" w:rsidRPr="00285300" w14:paraId="765BB7DE" w14:textId="77777777" w:rsidTr="00BB314F">
        <w:trPr>
          <w:trHeight w:val="283"/>
        </w:trPr>
        <w:tc>
          <w:tcPr>
            <w:tcW w:w="1193" w:type="pct"/>
            <w:vAlign w:val="center"/>
          </w:tcPr>
          <w:p w14:paraId="0D2C444E" w14:textId="77777777" w:rsidR="00AE716B" w:rsidRPr="00285300" w:rsidRDefault="00AE716B" w:rsidP="00BB314F">
            <w:pPr>
              <w:spacing w:after="0" w:line="259" w:lineRule="auto"/>
              <w:jc w:val="left"/>
              <w:rPr>
                <w:rFonts w:eastAsia="Calibri" w:cs="Segoe UI"/>
                <w:sz w:val="16"/>
                <w:szCs w:val="16"/>
              </w:rPr>
            </w:pPr>
            <w:r w:rsidRPr="00285300">
              <w:rPr>
                <w:rFonts w:eastAsia="Calibri" w:cs="Segoe UI"/>
                <w:sz w:val="16"/>
                <w:szCs w:val="16"/>
              </w:rPr>
              <w:t>Správa ostatných výdavkov</w:t>
            </w:r>
          </w:p>
        </w:tc>
        <w:tc>
          <w:tcPr>
            <w:tcW w:w="366" w:type="pct"/>
            <w:vAlign w:val="center"/>
          </w:tcPr>
          <w:p w14:paraId="76450DB2"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178</w:t>
            </w:r>
          </w:p>
        </w:tc>
        <w:tc>
          <w:tcPr>
            <w:tcW w:w="418" w:type="pct"/>
            <w:vAlign w:val="center"/>
          </w:tcPr>
          <w:p w14:paraId="522B49B1"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87</w:t>
            </w:r>
          </w:p>
        </w:tc>
        <w:tc>
          <w:tcPr>
            <w:tcW w:w="417" w:type="pct"/>
            <w:vAlign w:val="center"/>
          </w:tcPr>
          <w:p w14:paraId="61B6F805"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1 732</w:t>
            </w:r>
          </w:p>
        </w:tc>
        <w:tc>
          <w:tcPr>
            <w:tcW w:w="414" w:type="pct"/>
            <w:vAlign w:val="center"/>
          </w:tcPr>
          <w:p w14:paraId="4355C729"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283</w:t>
            </w:r>
          </w:p>
        </w:tc>
        <w:tc>
          <w:tcPr>
            <w:tcW w:w="452" w:type="pct"/>
            <w:vAlign w:val="center"/>
          </w:tcPr>
          <w:p w14:paraId="4CC64696"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523</w:t>
            </w:r>
          </w:p>
        </w:tc>
        <w:tc>
          <w:tcPr>
            <w:tcW w:w="478" w:type="pct"/>
            <w:vAlign w:val="center"/>
          </w:tcPr>
          <w:p w14:paraId="6D8EC866"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570</w:t>
            </w:r>
          </w:p>
        </w:tc>
        <w:tc>
          <w:tcPr>
            <w:tcW w:w="477" w:type="pct"/>
            <w:vAlign w:val="center"/>
          </w:tcPr>
          <w:p w14:paraId="19AADE14"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552</w:t>
            </w:r>
          </w:p>
        </w:tc>
        <w:tc>
          <w:tcPr>
            <w:tcW w:w="398" w:type="pct"/>
            <w:vAlign w:val="center"/>
          </w:tcPr>
          <w:p w14:paraId="4B1663D5"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-1 209</w:t>
            </w:r>
          </w:p>
        </w:tc>
        <w:tc>
          <w:tcPr>
            <w:tcW w:w="387" w:type="pct"/>
            <w:vAlign w:val="center"/>
          </w:tcPr>
          <w:p w14:paraId="3500AF8E"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30,2%</w:t>
            </w:r>
          </w:p>
        </w:tc>
      </w:tr>
      <w:tr w:rsidR="00AE716B" w:rsidRPr="00285300" w14:paraId="460BEB1B" w14:textId="77777777" w:rsidTr="00BB314F">
        <w:trPr>
          <w:trHeight w:val="283"/>
        </w:trPr>
        <w:tc>
          <w:tcPr>
            <w:tcW w:w="1193" w:type="pct"/>
            <w:vAlign w:val="center"/>
          </w:tcPr>
          <w:p w14:paraId="37A9C552" w14:textId="77777777" w:rsidR="00AE716B" w:rsidRPr="00285300" w:rsidRDefault="00AE716B" w:rsidP="00BB314F">
            <w:pPr>
              <w:spacing w:after="0" w:line="259" w:lineRule="auto"/>
              <w:ind w:right="-102"/>
              <w:jc w:val="left"/>
              <w:rPr>
                <w:rFonts w:eastAsia="Calibri" w:cs="Segoe UI"/>
                <w:sz w:val="16"/>
                <w:szCs w:val="16"/>
              </w:rPr>
            </w:pPr>
            <w:r w:rsidRPr="00285300">
              <w:rPr>
                <w:rFonts w:eastAsia="Calibri" w:cs="Segoe UI"/>
                <w:sz w:val="16"/>
                <w:szCs w:val="16"/>
              </w:rPr>
              <w:t>Výdavky spojené so správou štátneho dlhu</w:t>
            </w:r>
          </w:p>
        </w:tc>
        <w:tc>
          <w:tcPr>
            <w:tcW w:w="366" w:type="pct"/>
            <w:vAlign w:val="center"/>
          </w:tcPr>
          <w:p w14:paraId="0703B66E"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1 073</w:t>
            </w:r>
          </w:p>
        </w:tc>
        <w:tc>
          <w:tcPr>
            <w:tcW w:w="418" w:type="pct"/>
            <w:vAlign w:val="center"/>
          </w:tcPr>
          <w:p w14:paraId="347A530F"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1 189</w:t>
            </w:r>
          </w:p>
        </w:tc>
        <w:tc>
          <w:tcPr>
            <w:tcW w:w="417" w:type="pct"/>
            <w:vAlign w:val="center"/>
          </w:tcPr>
          <w:p w14:paraId="53D129A9"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1 646</w:t>
            </w:r>
          </w:p>
        </w:tc>
        <w:tc>
          <w:tcPr>
            <w:tcW w:w="414" w:type="pct"/>
            <w:vAlign w:val="center"/>
          </w:tcPr>
          <w:p w14:paraId="1A380F9D"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1 615</w:t>
            </w:r>
          </w:p>
        </w:tc>
        <w:tc>
          <w:tcPr>
            <w:tcW w:w="452" w:type="pct"/>
            <w:vAlign w:val="center"/>
          </w:tcPr>
          <w:p w14:paraId="73BBBDFE"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2 039</w:t>
            </w:r>
          </w:p>
        </w:tc>
        <w:tc>
          <w:tcPr>
            <w:tcW w:w="478" w:type="pct"/>
            <w:vAlign w:val="center"/>
          </w:tcPr>
          <w:p w14:paraId="0474AFD0"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2 418</w:t>
            </w:r>
          </w:p>
        </w:tc>
        <w:tc>
          <w:tcPr>
            <w:tcW w:w="477" w:type="pct"/>
            <w:vAlign w:val="center"/>
          </w:tcPr>
          <w:p w14:paraId="0B897FD4"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2 604</w:t>
            </w:r>
          </w:p>
        </w:tc>
        <w:tc>
          <w:tcPr>
            <w:tcW w:w="398" w:type="pct"/>
            <w:vAlign w:val="center"/>
          </w:tcPr>
          <w:p w14:paraId="34F9A382"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393</w:t>
            </w:r>
          </w:p>
        </w:tc>
        <w:tc>
          <w:tcPr>
            <w:tcW w:w="387" w:type="pct"/>
            <w:vAlign w:val="center"/>
          </w:tcPr>
          <w:p w14:paraId="6802949B" w14:textId="77777777" w:rsidR="00AE716B" w:rsidRPr="00285300" w:rsidRDefault="00AE716B" w:rsidP="00BB314F">
            <w:pPr>
              <w:spacing w:after="0" w:line="259" w:lineRule="auto"/>
              <w:jc w:val="right"/>
              <w:rPr>
                <w:rFonts w:eastAsia="Calibri" w:cs="Segoe UI"/>
                <w:sz w:val="16"/>
                <w:szCs w:val="16"/>
              </w:rPr>
            </w:pPr>
            <w:r w:rsidRPr="00285300">
              <w:rPr>
                <w:rFonts w:eastAsia="Times New Roman" w:cs="Segoe UI"/>
                <w:color w:val="000000"/>
                <w:sz w:val="16"/>
                <w:szCs w:val="16"/>
                <w:lang w:eastAsia="sk-SK"/>
              </w:rPr>
              <w:t>123,9%</w:t>
            </w:r>
          </w:p>
        </w:tc>
      </w:tr>
      <w:tr w:rsidR="00AE716B" w:rsidRPr="00285300" w14:paraId="781E201C" w14:textId="77777777" w:rsidTr="00BB314F">
        <w:trPr>
          <w:trHeight w:val="283"/>
        </w:trPr>
        <w:tc>
          <w:tcPr>
            <w:tcW w:w="1193" w:type="pct"/>
            <w:tcBorders>
              <w:bottom w:val="single" w:sz="4" w:space="0" w:color="314364"/>
            </w:tcBorders>
            <w:vAlign w:val="center"/>
          </w:tcPr>
          <w:p w14:paraId="52473AC2" w14:textId="77777777" w:rsidR="00AE716B" w:rsidRPr="00285300" w:rsidRDefault="00AE716B" w:rsidP="00BB314F">
            <w:pPr>
              <w:spacing w:after="0" w:line="259" w:lineRule="auto"/>
              <w:jc w:val="left"/>
              <w:rPr>
                <w:rFonts w:eastAsia="Calibri" w:cs="Segoe UI"/>
                <w:b/>
                <w:sz w:val="16"/>
                <w:szCs w:val="16"/>
              </w:rPr>
            </w:pPr>
            <w:r w:rsidRPr="00285300">
              <w:rPr>
                <w:rFonts w:eastAsia="Calibri" w:cs="Segoe UI"/>
                <w:b/>
                <w:sz w:val="16"/>
                <w:szCs w:val="16"/>
              </w:rPr>
              <w:t>Výdavky spolu</w:t>
            </w:r>
          </w:p>
        </w:tc>
        <w:tc>
          <w:tcPr>
            <w:tcW w:w="366" w:type="pct"/>
            <w:tcBorders>
              <w:bottom w:val="single" w:sz="4" w:space="0" w:color="314364"/>
            </w:tcBorders>
            <w:vAlign w:val="center"/>
          </w:tcPr>
          <w:p w14:paraId="11A5F70D"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3 418</w:t>
            </w:r>
          </w:p>
        </w:tc>
        <w:tc>
          <w:tcPr>
            <w:tcW w:w="418" w:type="pct"/>
            <w:tcBorders>
              <w:bottom w:val="single" w:sz="4" w:space="0" w:color="314364"/>
            </w:tcBorders>
            <w:vAlign w:val="center"/>
          </w:tcPr>
          <w:p w14:paraId="270367A5"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4 861</w:t>
            </w:r>
          </w:p>
        </w:tc>
        <w:tc>
          <w:tcPr>
            <w:tcW w:w="417" w:type="pct"/>
            <w:tcBorders>
              <w:bottom w:val="single" w:sz="4" w:space="0" w:color="314364"/>
            </w:tcBorders>
            <w:vAlign w:val="center"/>
          </w:tcPr>
          <w:p w14:paraId="48ABE814"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7 704</w:t>
            </w:r>
          </w:p>
        </w:tc>
        <w:tc>
          <w:tcPr>
            <w:tcW w:w="414" w:type="pct"/>
            <w:tcBorders>
              <w:bottom w:val="single" w:sz="4" w:space="0" w:color="314364"/>
            </w:tcBorders>
            <w:vAlign w:val="center"/>
          </w:tcPr>
          <w:p w14:paraId="05F31785"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5 523</w:t>
            </w:r>
          </w:p>
        </w:tc>
        <w:tc>
          <w:tcPr>
            <w:tcW w:w="452" w:type="pct"/>
            <w:tcBorders>
              <w:bottom w:val="single" w:sz="4" w:space="0" w:color="314364"/>
            </w:tcBorders>
            <w:vAlign w:val="center"/>
          </w:tcPr>
          <w:p w14:paraId="59D9EB08"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6 731</w:t>
            </w:r>
          </w:p>
        </w:tc>
        <w:tc>
          <w:tcPr>
            <w:tcW w:w="478" w:type="pct"/>
            <w:tcBorders>
              <w:bottom w:val="single" w:sz="4" w:space="0" w:color="314364"/>
            </w:tcBorders>
            <w:vAlign w:val="center"/>
          </w:tcPr>
          <w:p w14:paraId="181A8812"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7 441</w:t>
            </w:r>
          </w:p>
        </w:tc>
        <w:tc>
          <w:tcPr>
            <w:tcW w:w="477" w:type="pct"/>
            <w:tcBorders>
              <w:bottom w:val="single" w:sz="4" w:space="0" w:color="314364"/>
            </w:tcBorders>
            <w:vAlign w:val="center"/>
          </w:tcPr>
          <w:p w14:paraId="4CE2DF2C"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7 680</w:t>
            </w:r>
          </w:p>
        </w:tc>
        <w:tc>
          <w:tcPr>
            <w:tcW w:w="398" w:type="pct"/>
            <w:tcBorders>
              <w:bottom w:val="single" w:sz="4" w:space="0" w:color="314364"/>
            </w:tcBorders>
            <w:vAlign w:val="center"/>
          </w:tcPr>
          <w:p w14:paraId="36988383"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-973</w:t>
            </w:r>
          </w:p>
        </w:tc>
        <w:tc>
          <w:tcPr>
            <w:tcW w:w="387" w:type="pct"/>
            <w:tcBorders>
              <w:bottom w:val="single" w:sz="4" w:space="0" w:color="314364"/>
            </w:tcBorders>
            <w:vAlign w:val="center"/>
          </w:tcPr>
          <w:p w14:paraId="13F9FAFB" w14:textId="77777777" w:rsidR="00AE716B" w:rsidRPr="00285300" w:rsidRDefault="00AE716B" w:rsidP="00BB314F">
            <w:pPr>
              <w:spacing w:after="0" w:line="259" w:lineRule="auto"/>
              <w:jc w:val="right"/>
              <w:rPr>
                <w:rFonts w:eastAsia="Calibri" w:cs="Segoe UI"/>
                <w:b/>
                <w:bCs/>
                <w:sz w:val="16"/>
                <w:szCs w:val="16"/>
              </w:rPr>
            </w:pPr>
            <w:r w:rsidRPr="00285300">
              <w:rPr>
                <w:rFonts w:eastAsia="Times New Roman" w:cs="Segoe UI"/>
                <w:b/>
                <w:bCs/>
                <w:color w:val="000000"/>
                <w:sz w:val="16"/>
                <w:szCs w:val="16"/>
                <w:lang w:eastAsia="sk-SK"/>
              </w:rPr>
              <w:t>87,4%</w:t>
            </w:r>
          </w:p>
        </w:tc>
      </w:tr>
    </w:tbl>
    <w:p w14:paraId="36C2C377" w14:textId="77777777" w:rsidR="00AE716B" w:rsidRPr="00285300" w:rsidRDefault="00AE716B" w:rsidP="00AE716B">
      <w:pPr>
        <w:spacing w:line="240" w:lineRule="auto"/>
        <w:rPr>
          <w:rFonts w:eastAsia="Calibri" w:cs="Times New Roman"/>
          <w:i/>
          <w:color w:val="314364"/>
          <w:sz w:val="16"/>
        </w:rPr>
      </w:pPr>
      <w:r w:rsidRPr="00285300">
        <w:rPr>
          <w:rFonts w:eastAsia="Calibri" w:cs="Times New Roman"/>
          <w:i/>
          <w:color w:val="314364"/>
          <w:sz w:val="16"/>
        </w:rPr>
        <w:t>Zdroj: Návrh RVS 2026 až 2028.</w:t>
      </w:r>
    </w:p>
    <w:p w14:paraId="52839E8E" w14:textId="3EA43EB7" w:rsidR="005D7577" w:rsidRPr="00285300" w:rsidRDefault="005D7577" w:rsidP="005D7577">
      <w:pPr>
        <w:rPr>
          <w:rFonts w:eastAsia="Times New Roman" w:cs="Segoe UI"/>
          <w:szCs w:val="20"/>
        </w:rPr>
      </w:pPr>
      <w:r w:rsidRPr="00285300">
        <w:rPr>
          <w:rFonts w:eastAsia="Times New Roman" w:cs="Segoe UI"/>
          <w:b/>
          <w:bCs/>
          <w:szCs w:val="20"/>
        </w:rPr>
        <w:t>Výdavky kapitoly VPS sú rozpočtované vo výške 6 731 mil. eur, čo je o 973 mil. eur menej ako predchádzajúci rok.</w:t>
      </w:r>
      <w:r w:rsidRPr="00285300">
        <w:rPr>
          <w:rFonts w:eastAsia="Times New Roman" w:cs="Segoe UI"/>
          <w:szCs w:val="20"/>
        </w:rPr>
        <w:t xml:space="preserve"> Nižšie rozpočtované výdavky sú najmä na správe ostatných výdavkov, kde boli v 2025 rozpočtované výdavky na transfer do ŠFA vo výške 750 mil. eur a výdavky na kompenzačné opatrenia súvisiace s rastom cien energií vo výške 235 mil. eur, ktoré sú v roku 2026 rozpočtované v nulovej výške. Vplyvom konsolidačných opatrení a makroekonomického vývoja sa znižuje očakávaný transfer do SP o 406 mil. eur a na druhej strane rastú výdavky na správu štátneho dlhu a vo vzťahu k EÚ. Vyššie rozpočtované výdavky vo vzťahu k EÚ idú najmä na vrub vyššieho odvodu do všeobecného rozpočtu EÚ o 303 mil. eur na 1 284 mil. eur. </w:t>
      </w:r>
    </w:p>
    <w:p w14:paraId="1E668AF3" w14:textId="405DB677" w:rsidR="005D7577" w:rsidRDefault="006032B6" w:rsidP="00762FF2">
      <w:pPr>
        <w:rPr>
          <w:rFonts w:eastAsia="Times New Roman" w:cs="Segoe UI"/>
          <w:szCs w:val="20"/>
        </w:rPr>
      </w:pPr>
      <w:r>
        <w:rPr>
          <w:rFonts w:eastAsia="Times New Roman" w:cs="Segoe UI"/>
          <w:b/>
          <w:bCs/>
          <w:szCs w:val="20"/>
        </w:rPr>
        <w:t>Spomedzi</w:t>
      </w:r>
      <w:r w:rsidR="0032471C" w:rsidRPr="0032471C">
        <w:rPr>
          <w:rFonts w:eastAsia="Times New Roman" w:cs="Segoe UI"/>
          <w:b/>
          <w:bCs/>
          <w:szCs w:val="20"/>
        </w:rPr>
        <w:t xml:space="preserve"> ostatných</w:t>
      </w:r>
      <w:r w:rsidR="005D7577" w:rsidRPr="0032471C">
        <w:rPr>
          <w:rFonts w:eastAsia="Times New Roman" w:cs="Segoe UI"/>
          <w:b/>
          <w:bCs/>
          <w:szCs w:val="20"/>
        </w:rPr>
        <w:t xml:space="preserve"> výdavkov </w:t>
      </w:r>
      <w:r w:rsidR="0032471C" w:rsidRPr="0032471C">
        <w:rPr>
          <w:rFonts w:eastAsia="Times New Roman" w:cs="Segoe UI"/>
          <w:b/>
          <w:bCs/>
          <w:szCs w:val="20"/>
        </w:rPr>
        <w:t>sú v roku 2026</w:t>
      </w:r>
      <w:r w:rsidR="005D7577" w:rsidRPr="0032471C">
        <w:rPr>
          <w:rFonts w:eastAsia="Times New Roman" w:cs="Segoe UI"/>
          <w:b/>
          <w:bCs/>
          <w:szCs w:val="20"/>
        </w:rPr>
        <w:t xml:space="preserve"> </w:t>
      </w:r>
      <w:r w:rsidR="0032471C" w:rsidRPr="0032471C">
        <w:rPr>
          <w:rFonts w:eastAsia="Times New Roman" w:cs="Segoe UI"/>
          <w:b/>
          <w:bCs/>
          <w:szCs w:val="20"/>
        </w:rPr>
        <w:t>n</w:t>
      </w:r>
      <w:r w:rsidR="005D7577" w:rsidRPr="0032471C">
        <w:rPr>
          <w:rFonts w:eastAsia="Times New Roman" w:cs="Segoe UI"/>
          <w:b/>
          <w:bCs/>
          <w:szCs w:val="20"/>
        </w:rPr>
        <w:t>ajvýznamnejšie výdavky na podporu ekonomiky vo výške 155 mil. eur, kde sú rozpočtované prostriedky na prebiehajúce projekty Valaliky Industrial park a Šurany Industrial park a na investičný stimul GIB EnergyX Slovakia.</w:t>
      </w:r>
      <w:r w:rsidR="005D7577" w:rsidRPr="00285300">
        <w:rPr>
          <w:rFonts w:eastAsia="Times New Roman" w:cs="Segoe UI"/>
          <w:szCs w:val="20"/>
        </w:rPr>
        <w:t xml:space="preserve"> Ďalšou významnou položkou sú výdavky na multilicenčnú zmluvu s Microsoftom a ostatné IT výdavky, ktoré oproti rozpočtu na 2025 vzrástli o 61 mil. eur na 98 mil. eur. Medzi ostatnými výdavkami je aj všeobecný hospodársky záujem, pod ktorým je na rok 2026 rozpočtovaných 57 mil. eur na zabezpečenie skladovacej kapacity zemného plynu na vykurovaciu sezónu 2025/2026. Súčasťou ostatných výdavkov sú aj transfery subjektom </w:t>
      </w:r>
      <w:r w:rsidR="0032471C">
        <w:rPr>
          <w:rFonts w:eastAsia="Times New Roman" w:cs="Segoe UI"/>
          <w:szCs w:val="20"/>
        </w:rPr>
        <w:t>VS</w:t>
      </w:r>
      <w:r w:rsidR="005D7577" w:rsidRPr="00285300">
        <w:rPr>
          <w:rFonts w:eastAsia="Times New Roman" w:cs="Segoe UI"/>
          <w:szCs w:val="20"/>
        </w:rPr>
        <w:t xml:space="preserve"> v rozpočtovanej výške 40 mil. eur, ktoré by mali byť po preukázaní opodstatnenosti presunuté do audiovizuálneho fondu. Ďalšie položky zo správy ostatných výdavkov sa prekrývajú s položkami, ktoré boli v minulosti vykazované ako rezervy a preto ich v záujme kontinuity uvádzame spolu s rezervami (tabuľka 1</w:t>
      </w:r>
      <w:r w:rsidR="005D7577">
        <w:rPr>
          <w:rFonts w:eastAsia="Times New Roman" w:cs="Segoe UI"/>
          <w:szCs w:val="20"/>
        </w:rPr>
        <w:t>3</w:t>
      </w:r>
      <w:r w:rsidR="005D7577" w:rsidRPr="00285300">
        <w:rPr>
          <w:rFonts w:eastAsia="Times New Roman" w:cs="Segoe UI"/>
          <w:szCs w:val="20"/>
        </w:rPr>
        <w:t>).</w:t>
      </w:r>
    </w:p>
    <w:p w14:paraId="71D4034B" w14:textId="77777777" w:rsidR="00BA6E74" w:rsidRPr="00285300" w:rsidRDefault="00BA6E74" w:rsidP="00BA6E74">
      <w:pPr>
        <w:rPr>
          <w:rFonts w:eastAsia="Times New Roman" w:cs="Segoe UI"/>
          <w:szCs w:val="20"/>
        </w:rPr>
      </w:pPr>
      <w:r w:rsidRPr="00285300">
        <w:rPr>
          <w:rFonts w:eastAsia="Times New Roman" w:cs="Segoe UI"/>
          <w:b/>
          <w:bCs/>
          <w:szCs w:val="20"/>
        </w:rPr>
        <w:t xml:space="preserve">Rozpočet rezerv medziročne klesol o 67 mil. eur na 266 mil. eur a po započítaní výdavkov obdobných ako boli v minulosti rezervy klesli rozpočtované výdavky o 749 mil. eur na 408 mil. eur. </w:t>
      </w:r>
      <w:r w:rsidRPr="00285300">
        <w:rPr>
          <w:rFonts w:eastAsia="Times New Roman" w:cs="Segoe UI"/>
          <w:szCs w:val="20"/>
        </w:rPr>
        <w:t xml:space="preserve">Pri rezervách má zmysel porovnávať rozpočet a nie skutočnosť, keďže pri ich čerpaní sa presúvajú </w:t>
      </w:r>
      <w:r w:rsidRPr="00285300">
        <w:rPr>
          <w:rFonts w:eastAsia="Times New Roman" w:cs="Segoe UI"/>
          <w:szCs w:val="20"/>
        </w:rPr>
        <w:lastRenderedPageBreak/>
        <w:t>a skutočnosť teda zodpovedá nevyčerpanej rezerve. Vzhľadom na uplatňovanie sankčných pásiem dlhovej brzdy</w:t>
      </w:r>
      <w:r w:rsidRPr="00285300">
        <w:rPr>
          <w:rFonts w:eastAsia="Times New Roman" w:cs="Segoe UI"/>
          <w:szCs w:val="20"/>
          <w:vertAlign w:val="superscript"/>
        </w:rPr>
        <w:footnoteReference w:id="58"/>
      </w:r>
      <w:r w:rsidRPr="00285300">
        <w:rPr>
          <w:rFonts w:eastAsia="Times New Roman" w:cs="Segoe UI"/>
          <w:szCs w:val="20"/>
        </w:rPr>
        <w:t xml:space="preserve"> sa rezerva predsedu vlády a rezerva vlády rozpočtuje v nulovej výške. </w:t>
      </w:r>
    </w:p>
    <w:p w14:paraId="46265858" w14:textId="77777777" w:rsidR="00AE716B" w:rsidRPr="00285300" w:rsidRDefault="00AE716B" w:rsidP="00AE716B">
      <w:pPr>
        <w:keepNext/>
        <w:spacing w:after="0" w:line="240" w:lineRule="auto"/>
        <w:rPr>
          <w:rFonts w:eastAsia="Calibri" w:cs="Times New Roman"/>
          <w:b/>
          <w:iCs/>
          <w:color w:val="1F497D"/>
          <w:szCs w:val="18"/>
        </w:rPr>
      </w:pPr>
      <w:r w:rsidRPr="00285300">
        <w:rPr>
          <w:rFonts w:eastAsia="Calibri" w:cs="Times New Roman"/>
          <w:b/>
          <w:iCs/>
          <w:color w:val="1F497D"/>
          <w:szCs w:val="18"/>
        </w:rPr>
        <w:t>Tabuľka 1</w:t>
      </w:r>
      <w:r>
        <w:rPr>
          <w:rFonts w:eastAsia="Calibri" w:cs="Times New Roman"/>
          <w:b/>
          <w:iCs/>
          <w:color w:val="1F497D"/>
          <w:szCs w:val="18"/>
        </w:rPr>
        <w:t>3</w:t>
      </w:r>
      <w:r w:rsidRPr="00285300">
        <w:rPr>
          <w:rFonts w:eastAsia="Calibri" w:cs="Times New Roman"/>
          <w:b/>
          <w:iCs/>
          <w:color w:val="1F497D"/>
          <w:szCs w:val="18"/>
        </w:rPr>
        <w:t>: Rozpočtové rezervy a ostatné výdavky (v mil. eur)</w:t>
      </w:r>
    </w:p>
    <w:tbl>
      <w:tblPr>
        <w:tblStyle w:val="Mriekatabuky2"/>
        <w:tblW w:w="5000" w:type="pct"/>
        <w:tblBorders>
          <w:top w:val="none" w:sz="0" w:space="0" w:color="auto"/>
          <w:left w:val="none" w:sz="0" w:space="0" w:color="auto"/>
          <w:bottom w:val="single" w:sz="4" w:space="0" w:color="314364"/>
          <w:right w:val="none" w:sz="0" w:space="0" w:color="auto"/>
          <w:insideH w:val="single" w:sz="4" w:space="0" w:color="314364"/>
          <w:insideV w:val="none" w:sz="0" w:space="0" w:color="auto"/>
        </w:tblBorders>
        <w:tblLook w:val="04A0" w:firstRow="1" w:lastRow="0" w:firstColumn="1" w:lastColumn="0" w:noHBand="0" w:noVBand="1"/>
      </w:tblPr>
      <w:tblGrid>
        <w:gridCol w:w="4393"/>
        <w:gridCol w:w="585"/>
        <w:gridCol w:w="492"/>
        <w:gridCol w:w="766"/>
        <w:gridCol w:w="824"/>
        <w:gridCol w:w="675"/>
        <w:gridCol w:w="677"/>
        <w:gridCol w:w="658"/>
      </w:tblGrid>
      <w:tr w:rsidR="00AE716B" w:rsidRPr="00285300" w14:paraId="4E9A70DA" w14:textId="77777777" w:rsidTr="00BB314F">
        <w:trPr>
          <w:trHeight w:val="283"/>
        </w:trPr>
        <w:tc>
          <w:tcPr>
            <w:tcW w:w="2422" w:type="pct"/>
            <w:shd w:val="clear" w:color="auto" w:fill="314364"/>
            <w:vAlign w:val="center"/>
          </w:tcPr>
          <w:p w14:paraId="4817F286" w14:textId="77777777" w:rsidR="00AE716B" w:rsidRPr="00285300" w:rsidRDefault="00AE716B" w:rsidP="00BB314F">
            <w:pPr>
              <w:spacing w:after="0"/>
              <w:jc w:val="left"/>
              <w:rPr>
                <w:rFonts w:cs="Segoe UI"/>
                <w:b/>
                <w:color w:val="FFFFFF"/>
                <w:sz w:val="16"/>
                <w:szCs w:val="16"/>
              </w:rPr>
            </w:pPr>
          </w:p>
        </w:tc>
        <w:tc>
          <w:tcPr>
            <w:tcW w:w="322" w:type="pct"/>
            <w:shd w:val="clear" w:color="auto" w:fill="314364"/>
            <w:vAlign w:val="center"/>
          </w:tcPr>
          <w:p w14:paraId="59BFCE41" w14:textId="77777777" w:rsidR="00AE716B" w:rsidRPr="00285300" w:rsidRDefault="00AE716B" w:rsidP="00BB314F">
            <w:pPr>
              <w:spacing w:after="0"/>
              <w:jc w:val="right"/>
              <w:rPr>
                <w:rFonts w:cs="Segoe UI"/>
                <w:b/>
                <w:color w:val="FFFFFF"/>
                <w:sz w:val="16"/>
                <w:szCs w:val="16"/>
              </w:rPr>
            </w:pPr>
            <w:r w:rsidRPr="00285300">
              <w:rPr>
                <w:rFonts w:cs="Segoe UI"/>
                <w:b/>
                <w:color w:val="FFFFFF"/>
                <w:sz w:val="16"/>
                <w:szCs w:val="16"/>
              </w:rPr>
              <w:t>2023</w:t>
            </w:r>
          </w:p>
        </w:tc>
        <w:tc>
          <w:tcPr>
            <w:tcW w:w="271" w:type="pct"/>
            <w:shd w:val="clear" w:color="auto" w:fill="314364"/>
            <w:vAlign w:val="center"/>
          </w:tcPr>
          <w:p w14:paraId="2E5869B5" w14:textId="77777777" w:rsidR="00AE716B" w:rsidRPr="00285300" w:rsidRDefault="00AE716B" w:rsidP="00BB314F">
            <w:pPr>
              <w:spacing w:after="0"/>
              <w:ind w:left="-96"/>
              <w:jc w:val="right"/>
              <w:rPr>
                <w:rFonts w:cs="Segoe UI"/>
                <w:b/>
                <w:color w:val="FFFFFF"/>
                <w:sz w:val="16"/>
                <w:szCs w:val="16"/>
              </w:rPr>
            </w:pPr>
            <w:r w:rsidRPr="00285300">
              <w:rPr>
                <w:rFonts w:cs="Segoe UI"/>
                <w:b/>
                <w:color w:val="FFFFFF"/>
                <w:sz w:val="16"/>
                <w:szCs w:val="16"/>
              </w:rPr>
              <w:t>2024</w:t>
            </w:r>
          </w:p>
        </w:tc>
        <w:tc>
          <w:tcPr>
            <w:tcW w:w="422" w:type="pct"/>
            <w:shd w:val="clear" w:color="auto" w:fill="314364"/>
            <w:vAlign w:val="center"/>
          </w:tcPr>
          <w:p w14:paraId="10DC1348" w14:textId="77777777" w:rsidR="00AE716B" w:rsidRPr="00285300" w:rsidRDefault="00AE716B" w:rsidP="00BB314F">
            <w:pPr>
              <w:spacing w:after="0"/>
              <w:ind w:left="-108"/>
              <w:jc w:val="right"/>
              <w:rPr>
                <w:rFonts w:cs="Segoe UI"/>
                <w:b/>
                <w:color w:val="FFFFFF"/>
                <w:sz w:val="16"/>
                <w:szCs w:val="16"/>
              </w:rPr>
            </w:pPr>
            <w:r w:rsidRPr="00285300">
              <w:rPr>
                <w:rFonts w:cs="Segoe UI"/>
                <w:b/>
                <w:color w:val="FFFFFF"/>
                <w:sz w:val="16"/>
                <w:szCs w:val="16"/>
              </w:rPr>
              <w:t>2025 R</w:t>
            </w:r>
          </w:p>
        </w:tc>
        <w:tc>
          <w:tcPr>
            <w:tcW w:w="454" w:type="pct"/>
            <w:shd w:val="clear" w:color="auto" w:fill="314364"/>
            <w:vAlign w:val="center"/>
          </w:tcPr>
          <w:p w14:paraId="65DC726B" w14:textId="77777777" w:rsidR="00AE716B" w:rsidRPr="00285300" w:rsidRDefault="00AE716B" w:rsidP="00BB314F">
            <w:pPr>
              <w:spacing w:after="0"/>
              <w:ind w:left="-105" w:right="-1"/>
              <w:jc w:val="right"/>
              <w:rPr>
                <w:rFonts w:cs="Segoe UI"/>
                <w:b/>
                <w:color w:val="FFFFFF"/>
                <w:sz w:val="16"/>
                <w:szCs w:val="16"/>
              </w:rPr>
            </w:pPr>
            <w:r w:rsidRPr="00285300">
              <w:rPr>
                <w:rFonts w:cs="Segoe UI"/>
                <w:b/>
                <w:color w:val="FFFFFF"/>
                <w:sz w:val="16"/>
                <w:szCs w:val="16"/>
              </w:rPr>
              <w:t>2025 OS</w:t>
            </w:r>
          </w:p>
        </w:tc>
        <w:tc>
          <w:tcPr>
            <w:tcW w:w="372" w:type="pct"/>
            <w:shd w:val="clear" w:color="auto" w:fill="314364"/>
            <w:vAlign w:val="center"/>
          </w:tcPr>
          <w:p w14:paraId="551E54BA" w14:textId="77777777" w:rsidR="00AE716B" w:rsidRPr="00285300" w:rsidRDefault="00AE716B" w:rsidP="00BB314F">
            <w:pPr>
              <w:spacing w:after="0"/>
              <w:ind w:left="-100"/>
              <w:jc w:val="right"/>
              <w:rPr>
                <w:rFonts w:cs="Segoe UI"/>
                <w:b/>
                <w:color w:val="FFFFFF"/>
                <w:sz w:val="16"/>
                <w:szCs w:val="16"/>
              </w:rPr>
            </w:pPr>
            <w:r w:rsidRPr="00285300">
              <w:rPr>
                <w:rFonts w:cs="Segoe UI"/>
                <w:b/>
                <w:color w:val="FFFFFF"/>
                <w:sz w:val="16"/>
                <w:szCs w:val="16"/>
              </w:rPr>
              <w:t>2026 N</w:t>
            </w:r>
          </w:p>
        </w:tc>
        <w:tc>
          <w:tcPr>
            <w:tcW w:w="373" w:type="pct"/>
            <w:shd w:val="clear" w:color="auto" w:fill="314364"/>
            <w:vAlign w:val="center"/>
          </w:tcPr>
          <w:p w14:paraId="07A545F4" w14:textId="77777777" w:rsidR="00AE716B" w:rsidRPr="00285300" w:rsidRDefault="00AE716B" w:rsidP="00BB314F">
            <w:pPr>
              <w:spacing w:after="0"/>
              <w:ind w:left="-96"/>
              <w:jc w:val="right"/>
              <w:rPr>
                <w:rFonts w:cs="Segoe UI"/>
                <w:b/>
                <w:color w:val="FFFFFF"/>
                <w:sz w:val="16"/>
                <w:szCs w:val="16"/>
              </w:rPr>
            </w:pPr>
            <w:r w:rsidRPr="00285300">
              <w:rPr>
                <w:rFonts w:cs="Segoe UI"/>
                <w:b/>
                <w:color w:val="FFFFFF"/>
                <w:sz w:val="16"/>
                <w:szCs w:val="16"/>
              </w:rPr>
              <w:t>2027 N</w:t>
            </w:r>
          </w:p>
        </w:tc>
        <w:tc>
          <w:tcPr>
            <w:tcW w:w="363" w:type="pct"/>
            <w:shd w:val="clear" w:color="auto" w:fill="314364"/>
            <w:vAlign w:val="center"/>
          </w:tcPr>
          <w:p w14:paraId="6A796812" w14:textId="77777777" w:rsidR="00AE716B" w:rsidRPr="00285300" w:rsidRDefault="00AE716B" w:rsidP="00BB314F">
            <w:pPr>
              <w:spacing w:after="0"/>
              <w:ind w:left="-156"/>
              <w:jc w:val="right"/>
              <w:rPr>
                <w:rFonts w:cs="Segoe UI"/>
                <w:b/>
                <w:color w:val="FFFFFF"/>
                <w:sz w:val="16"/>
                <w:szCs w:val="16"/>
              </w:rPr>
            </w:pPr>
            <w:r w:rsidRPr="00285300">
              <w:rPr>
                <w:rFonts w:cs="Segoe UI"/>
                <w:b/>
                <w:color w:val="FFFFFF"/>
                <w:sz w:val="16"/>
                <w:szCs w:val="16"/>
              </w:rPr>
              <w:t>2028 N</w:t>
            </w:r>
          </w:p>
        </w:tc>
      </w:tr>
      <w:tr w:rsidR="00AE716B" w:rsidRPr="00285300" w14:paraId="50EF4FFF" w14:textId="77777777" w:rsidTr="00BB314F">
        <w:trPr>
          <w:trHeight w:val="283"/>
        </w:trPr>
        <w:tc>
          <w:tcPr>
            <w:tcW w:w="2422" w:type="pct"/>
            <w:vAlign w:val="center"/>
          </w:tcPr>
          <w:p w14:paraId="15E82DC5" w14:textId="77777777" w:rsidR="00AE716B" w:rsidRPr="00285300" w:rsidRDefault="00AE716B" w:rsidP="00BB314F">
            <w:pPr>
              <w:spacing w:after="0"/>
              <w:jc w:val="left"/>
              <w:rPr>
                <w:rFonts w:cs="Segoe UI"/>
                <w:sz w:val="16"/>
                <w:szCs w:val="16"/>
              </w:rPr>
            </w:pPr>
            <w:r w:rsidRPr="00285300">
              <w:rPr>
                <w:rFonts w:cs="Segoe UI"/>
                <w:sz w:val="16"/>
                <w:szCs w:val="16"/>
              </w:rPr>
              <w:t>Rezerva vlády</w:t>
            </w:r>
          </w:p>
        </w:tc>
        <w:tc>
          <w:tcPr>
            <w:tcW w:w="322" w:type="pct"/>
            <w:vAlign w:val="center"/>
          </w:tcPr>
          <w:p w14:paraId="0730987D" w14:textId="77777777" w:rsidR="00AE716B" w:rsidRPr="00285300" w:rsidRDefault="00AE716B" w:rsidP="00BB314F">
            <w:pPr>
              <w:spacing w:after="0"/>
              <w:jc w:val="right"/>
              <w:rPr>
                <w:rFonts w:cs="Segoe UI"/>
                <w:sz w:val="16"/>
                <w:szCs w:val="16"/>
              </w:rPr>
            </w:pPr>
            <w:r w:rsidRPr="00285300">
              <w:rPr>
                <w:rFonts w:cs="Segoe UI"/>
                <w:color w:val="000000"/>
                <w:sz w:val="16"/>
                <w:szCs w:val="16"/>
              </w:rPr>
              <w:t>4</w:t>
            </w:r>
          </w:p>
        </w:tc>
        <w:tc>
          <w:tcPr>
            <w:tcW w:w="271" w:type="pct"/>
            <w:vAlign w:val="center"/>
          </w:tcPr>
          <w:p w14:paraId="6E56B68B"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422" w:type="pct"/>
            <w:vAlign w:val="center"/>
          </w:tcPr>
          <w:p w14:paraId="0FA5E91C" w14:textId="77777777" w:rsidR="00AE716B" w:rsidRPr="00285300" w:rsidRDefault="00AE716B" w:rsidP="00BB314F">
            <w:pPr>
              <w:spacing w:after="0"/>
              <w:jc w:val="right"/>
              <w:rPr>
                <w:rFonts w:cs="Segoe UI"/>
                <w:sz w:val="16"/>
                <w:szCs w:val="16"/>
              </w:rPr>
            </w:pPr>
            <w:r w:rsidRPr="00285300">
              <w:rPr>
                <w:rFonts w:cs="Segoe UI"/>
                <w:color w:val="000000"/>
                <w:sz w:val="16"/>
                <w:szCs w:val="16"/>
              </w:rPr>
              <w:t>5</w:t>
            </w:r>
          </w:p>
        </w:tc>
        <w:tc>
          <w:tcPr>
            <w:tcW w:w="454" w:type="pct"/>
            <w:vAlign w:val="center"/>
          </w:tcPr>
          <w:p w14:paraId="6AEC9F53"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372" w:type="pct"/>
            <w:vAlign w:val="center"/>
          </w:tcPr>
          <w:p w14:paraId="12A93049"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373" w:type="pct"/>
            <w:vAlign w:val="center"/>
          </w:tcPr>
          <w:p w14:paraId="7FAE212E"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363" w:type="pct"/>
            <w:vAlign w:val="center"/>
          </w:tcPr>
          <w:p w14:paraId="563BD88C"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r>
      <w:tr w:rsidR="00AE716B" w:rsidRPr="00285300" w14:paraId="1F393500" w14:textId="77777777" w:rsidTr="00BB314F">
        <w:trPr>
          <w:trHeight w:val="283"/>
        </w:trPr>
        <w:tc>
          <w:tcPr>
            <w:tcW w:w="2422" w:type="pct"/>
            <w:vAlign w:val="center"/>
          </w:tcPr>
          <w:p w14:paraId="07DCBB03" w14:textId="77777777" w:rsidR="00AE716B" w:rsidRPr="00285300" w:rsidRDefault="00AE716B" w:rsidP="00BB314F">
            <w:pPr>
              <w:spacing w:after="0"/>
              <w:jc w:val="left"/>
              <w:rPr>
                <w:rFonts w:cs="Segoe UI"/>
                <w:sz w:val="16"/>
                <w:szCs w:val="16"/>
              </w:rPr>
            </w:pPr>
            <w:r w:rsidRPr="00285300">
              <w:rPr>
                <w:rFonts w:cs="Segoe UI"/>
                <w:sz w:val="16"/>
                <w:szCs w:val="16"/>
              </w:rPr>
              <w:t>Rezerva na riešenie negatívnych vplyvov vývoja rozpočtového hospodárenia</w:t>
            </w:r>
          </w:p>
        </w:tc>
        <w:tc>
          <w:tcPr>
            <w:tcW w:w="322" w:type="pct"/>
            <w:vAlign w:val="center"/>
          </w:tcPr>
          <w:p w14:paraId="39FF1F9B"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271" w:type="pct"/>
            <w:vAlign w:val="center"/>
          </w:tcPr>
          <w:p w14:paraId="0B6C5C06"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422" w:type="pct"/>
            <w:vAlign w:val="center"/>
          </w:tcPr>
          <w:p w14:paraId="5712F612" w14:textId="77777777" w:rsidR="00AE716B" w:rsidRPr="00285300" w:rsidRDefault="00AE716B" w:rsidP="00BB314F">
            <w:pPr>
              <w:spacing w:after="0"/>
              <w:jc w:val="right"/>
              <w:rPr>
                <w:rFonts w:cs="Segoe UI"/>
                <w:sz w:val="16"/>
                <w:szCs w:val="16"/>
              </w:rPr>
            </w:pPr>
            <w:r w:rsidRPr="00285300">
              <w:rPr>
                <w:rFonts w:cs="Segoe UI"/>
                <w:color w:val="000000"/>
                <w:sz w:val="16"/>
                <w:szCs w:val="16"/>
              </w:rPr>
              <w:t>298</w:t>
            </w:r>
          </w:p>
        </w:tc>
        <w:tc>
          <w:tcPr>
            <w:tcW w:w="454" w:type="pct"/>
            <w:vAlign w:val="center"/>
          </w:tcPr>
          <w:p w14:paraId="0D76EA9B"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372" w:type="pct"/>
            <w:vAlign w:val="center"/>
          </w:tcPr>
          <w:p w14:paraId="2612FC86" w14:textId="77777777" w:rsidR="00AE716B" w:rsidRPr="00285300" w:rsidRDefault="00AE716B" w:rsidP="00BB314F">
            <w:pPr>
              <w:spacing w:after="0"/>
              <w:jc w:val="right"/>
              <w:rPr>
                <w:rFonts w:cs="Segoe UI"/>
                <w:sz w:val="16"/>
                <w:szCs w:val="16"/>
              </w:rPr>
            </w:pPr>
            <w:r w:rsidRPr="00285300">
              <w:rPr>
                <w:rFonts w:cs="Segoe UI"/>
                <w:color w:val="000000"/>
                <w:sz w:val="16"/>
                <w:szCs w:val="16"/>
              </w:rPr>
              <w:t>245</w:t>
            </w:r>
          </w:p>
        </w:tc>
        <w:tc>
          <w:tcPr>
            <w:tcW w:w="373" w:type="pct"/>
            <w:vAlign w:val="center"/>
          </w:tcPr>
          <w:p w14:paraId="416E6DB5" w14:textId="77777777" w:rsidR="00AE716B" w:rsidRPr="00285300" w:rsidRDefault="00AE716B" w:rsidP="00BB314F">
            <w:pPr>
              <w:spacing w:after="0"/>
              <w:jc w:val="right"/>
              <w:rPr>
                <w:rFonts w:cs="Segoe UI"/>
                <w:sz w:val="16"/>
                <w:szCs w:val="16"/>
              </w:rPr>
            </w:pPr>
            <w:r w:rsidRPr="00285300">
              <w:rPr>
                <w:rFonts w:cs="Segoe UI"/>
                <w:color w:val="000000"/>
                <w:sz w:val="16"/>
                <w:szCs w:val="16"/>
              </w:rPr>
              <w:t>304</w:t>
            </w:r>
          </w:p>
        </w:tc>
        <w:tc>
          <w:tcPr>
            <w:tcW w:w="363" w:type="pct"/>
            <w:vAlign w:val="center"/>
          </w:tcPr>
          <w:p w14:paraId="4473881A" w14:textId="77777777" w:rsidR="00AE716B" w:rsidRPr="00285300" w:rsidRDefault="00AE716B" w:rsidP="00BB314F">
            <w:pPr>
              <w:spacing w:after="0"/>
              <w:jc w:val="right"/>
              <w:rPr>
                <w:rFonts w:cs="Segoe UI"/>
                <w:sz w:val="16"/>
                <w:szCs w:val="16"/>
              </w:rPr>
            </w:pPr>
            <w:r w:rsidRPr="00285300">
              <w:rPr>
                <w:rFonts w:cs="Segoe UI"/>
                <w:color w:val="000000"/>
                <w:sz w:val="16"/>
                <w:szCs w:val="16"/>
              </w:rPr>
              <w:t>354</w:t>
            </w:r>
          </w:p>
        </w:tc>
      </w:tr>
      <w:tr w:rsidR="00AE716B" w:rsidRPr="00285300" w14:paraId="665C0652" w14:textId="77777777" w:rsidTr="00BB314F">
        <w:trPr>
          <w:trHeight w:val="283"/>
        </w:trPr>
        <w:tc>
          <w:tcPr>
            <w:tcW w:w="2422" w:type="pct"/>
            <w:vAlign w:val="center"/>
          </w:tcPr>
          <w:p w14:paraId="70B2F586" w14:textId="77777777" w:rsidR="00AE716B" w:rsidRPr="00285300" w:rsidRDefault="00AE716B" w:rsidP="00BB314F">
            <w:pPr>
              <w:spacing w:after="0"/>
              <w:jc w:val="left"/>
              <w:rPr>
                <w:rFonts w:cs="Segoe UI"/>
                <w:sz w:val="16"/>
                <w:szCs w:val="16"/>
              </w:rPr>
            </w:pPr>
            <w:r w:rsidRPr="00285300">
              <w:rPr>
                <w:rFonts w:cs="Segoe UI"/>
                <w:sz w:val="16"/>
                <w:szCs w:val="16"/>
              </w:rPr>
              <w:t>Rezerva na riešenie krízových situácií mimo času vojny a vojnového stavu a vykonávanie povodňových prác</w:t>
            </w:r>
          </w:p>
        </w:tc>
        <w:tc>
          <w:tcPr>
            <w:tcW w:w="322" w:type="pct"/>
            <w:vAlign w:val="center"/>
          </w:tcPr>
          <w:p w14:paraId="1C81FC2F"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271" w:type="pct"/>
            <w:vAlign w:val="center"/>
          </w:tcPr>
          <w:p w14:paraId="41B45D22"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422" w:type="pct"/>
            <w:vAlign w:val="center"/>
          </w:tcPr>
          <w:p w14:paraId="3F65B4D2" w14:textId="77777777" w:rsidR="00AE716B" w:rsidRPr="00285300" w:rsidRDefault="00AE716B" w:rsidP="00BB314F">
            <w:pPr>
              <w:spacing w:after="0"/>
              <w:jc w:val="right"/>
              <w:rPr>
                <w:rFonts w:cs="Segoe UI"/>
                <w:sz w:val="16"/>
                <w:szCs w:val="16"/>
              </w:rPr>
            </w:pPr>
            <w:r w:rsidRPr="00285300">
              <w:rPr>
                <w:rFonts w:cs="Segoe UI"/>
                <w:color w:val="000000"/>
                <w:sz w:val="16"/>
                <w:szCs w:val="16"/>
              </w:rPr>
              <w:t>30</w:t>
            </w:r>
          </w:p>
        </w:tc>
        <w:tc>
          <w:tcPr>
            <w:tcW w:w="454" w:type="pct"/>
            <w:vAlign w:val="center"/>
          </w:tcPr>
          <w:p w14:paraId="3BD6C377" w14:textId="77777777" w:rsidR="00AE716B" w:rsidRPr="00285300" w:rsidRDefault="00AE716B" w:rsidP="00BB314F">
            <w:pPr>
              <w:spacing w:after="0"/>
              <w:jc w:val="right"/>
              <w:rPr>
                <w:rFonts w:cs="Segoe UI"/>
                <w:sz w:val="16"/>
                <w:szCs w:val="16"/>
              </w:rPr>
            </w:pPr>
            <w:r w:rsidRPr="00285300">
              <w:rPr>
                <w:rFonts w:cs="Segoe UI"/>
                <w:color w:val="000000"/>
                <w:sz w:val="16"/>
                <w:szCs w:val="16"/>
              </w:rPr>
              <w:t>7</w:t>
            </w:r>
          </w:p>
        </w:tc>
        <w:tc>
          <w:tcPr>
            <w:tcW w:w="372" w:type="pct"/>
            <w:vAlign w:val="center"/>
          </w:tcPr>
          <w:p w14:paraId="39158AA4" w14:textId="77777777" w:rsidR="00AE716B" w:rsidRPr="00285300" w:rsidRDefault="00AE716B" w:rsidP="00BB314F">
            <w:pPr>
              <w:spacing w:after="0"/>
              <w:jc w:val="right"/>
              <w:rPr>
                <w:rFonts w:cs="Segoe UI"/>
                <w:sz w:val="16"/>
                <w:szCs w:val="16"/>
              </w:rPr>
            </w:pPr>
            <w:r w:rsidRPr="00285300">
              <w:rPr>
                <w:rFonts w:cs="Segoe UI"/>
                <w:color w:val="000000"/>
                <w:sz w:val="16"/>
                <w:szCs w:val="16"/>
              </w:rPr>
              <w:t>21</w:t>
            </w:r>
          </w:p>
        </w:tc>
        <w:tc>
          <w:tcPr>
            <w:tcW w:w="373" w:type="pct"/>
            <w:vAlign w:val="center"/>
          </w:tcPr>
          <w:p w14:paraId="0A748A53" w14:textId="77777777" w:rsidR="00AE716B" w:rsidRPr="00285300" w:rsidRDefault="00AE716B" w:rsidP="00BB314F">
            <w:pPr>
              <w:spacing w:after="0"/>
              <w:jc w:val="right"/>
              <w:rPr>
                <w:rFonts w:cs="Segoe UI"/>
                <w:sz w:val="16"/>
                <w:szCs w:val="16"/>
              </w:rPr>
            </w:pPr>
            <w:r w:rsidRPr="00285300">
              <w:rPr>
                <w:rFonts w:cs="Segoe UI"/>
                <w:color w:val="000000"/>
                <w:sz w:val="16"/>
                <w:szCs w:val="16"/>
              </w:rPr>
              <w:t>21</w:t>
            </w:r>
          </w:p>
        </w:tc>
        <w:tc>
          <w:tcPr>
            <w:tcW w:w="363" w:type="pct"/>
            <w:vAlign w:val="center"/>
          </w:tcPr>
          <w:p w14:paraId="33EB5657" w14:textId="77777777" w:rsidR="00AE716B" w:rsidRPr="00285300" w:rsidRDefault="00AE716B" w:rsidP="00BB314F">
            <w:pPr>
              <w:spacing w:after="0"/>
              <w:jc w:val="right"/>
              <w:rPr>
                <w:rFonts w:cs="Segoe UI"/>
                <w:sz w:val="16"/>
                <w:szCs w:val="16"/>
              </w:rPr>
            </w:pPr>
            <w:r w:rsidRPr="00285300">
              <w:rPr>
                <w:rFonts w:cs="Segoe UI"/>
                <w:color w:val="000000"/>
                <w:sz w:val="16"/>
                <w:szCs w:val="16"/>
              </w:rPr>
              <w:t>21</w:t>
            </w:r>
          </w:p>
        </w:tc>
      </w:tr>
      <w:tr w:rsidR="00AE716B" w:rsidRPr="00285300" w14:paraId="59A0D8B5" w14:textId="77777777" w:rsidTr="00BB314F">
        <w:trPr>
          <w:trHeight w:val="283"/>
        </w:trPr>
        <w:tc>
          <w:tcPr>
            <w:tcW w:w="2422" w:type="pct"/>
            <w:vAlign w:val="center"/>
          </w:tcPr>
          <w:p w14:paraId="736B52E6" w14:textId="77777777" w:rsidR="00AE716B" w:rsidRPr="00285300" w:rsidRDefault="00AE716B" w:rsidP="00BB314F">
            <w:pPr>
              <w:spacing w:after="0"/>
              <w:jc w:val="left"/>
              <w:rPr>
                <w:rFonts w:cs="Segoe UI"/>
                <w:sz w:val="16"/>
                <w:szCs w:val="16"/>
              </w:rPr>
            </w:pPr>
            <w:r w:rsidRPr="00285300">
              <w:rPr>
                <w:rFonts w:cs="Segoe UI"/>
                <w:sz w:val="16"/>
                <w:szCs w:val="16"/>
              </w:rPr>
              <w:t>Rezerva na prostriedky EÚ a odvody EÚ</w:t>
            </w:r>
          </w:p>
        </w:tc>
        <w:tc>
          <w:tcPr>
            <w:tcW w:w="322" w:type="pct"/>
            <w:vAlign w:val="center"/>
          </w:tcPr>
          <w:p w14:paraId="77583CF5" w14:textId="77777777" w:rsidR="00AE716B" w:rsidRPr="00285300" w:rsidRDefault="00AE716B" w:rsidP="00BB314F">
            <w:pPr>
              <w:spacing w:after="0"/>
              <w:jc w:val="right"/>
              <w:rPr>
                <w:rFonts w:cs="Segoe UI"/>
                <w:sz w:val="16"/>
                <w:szCs w:val="16"/>
              </w:rPr>
            </w:pPr>
            <w:r w:rsidRPr="00285300">
              <w:rPr>
                <w:rFonts w:cs="Segoe UI"/>
                <w:color w:val="000000"/>
                <w:sz w:val="16"/>
                <w:szCs w:val="16"/>
              </w:rPr>
              <w:t>12</w:t>
            </w:r>
          </w:p>
        </w:tc>
        <w:tc>
          <w:tcPr>
            <w:tcW w:w="271" w:type="pct"/>
            <w:vAlign w:val="center"/>
          </w:tcPr>
          <w:p w14:paraId="0F278981"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422" w:type="pct"/>
            <w:vAlign w:val="center"/>
          </w:tcPr>
          <w:p w14:paraId="7AD2CF22"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454" w:type="pct"/>
            <w:vAlign w:val="center"/>
          </w:tcPr>
          <w:p w14:paraId="0461512D"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372" w:type="pct"/>
            <w:vAlign w:val="center"/>
          </w:tcPr>
          <w:p w14:paraId="2473EEB6"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373" w:type="pct"/>
            <w:vAlign w:val="center"/>
          </w:tcPr>
          <w:p w14:paraId="0E997AE9"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c>
          <w:tcPr>
            <w:tcW w:w="363" w:type="pct"/>
            <w:vAlign w:val="center"/>
          </w:tcPr>
          <w:p w14:paraId="310CF85D" w14:textId="77777777" w:rsidR="00AE716B" w:rsidRPr="00285300" w:rsidRDefault="00AE716B" w:rsidP="00BB314F">
            <w:pPr>
              <w:spacing w:after="0"/>
              <w:jc w:val="right"/>
              <w:rPr>
                <w:rFonts w:cs="Segoe UI"/>
                <w:sz w:val="16"/>
                <w:szCs w:val="16"/>
              </w:rPr>
            </w:pPr>
            <w:r w:rsidRPr="00285300">
              <w:rPr>
                <w:rFonts w:cs="Segoe UI"/>
                <w:color w:val="000000"/>
                <w:sz w:val="16"/>
                <w:szCs w:val="16"/>
              </w:rPr>
              <w:t>0</w:t>
            </w:r>
          </w:p>
        </w:tc>
      </w:tr>
      <w:tr w:rsidR="00AE716B" w:rsidRPr="00285300" w14:paraId="777BF721" w14:textId="77777777" w:rsidTr="00BB314F">
        <w:trPr>
          <w:trHeight w:val="283"/>
        </w:trPr>
        <w:tc>
          <w:tcPr>
            <w:tcW w:w="2422" w:type="pct"/>
            <w:vAlign w:val="center"/>
          </w:tcPr>
          <w:p w14:paraId="0AA67831" w14:textId="77777777" w:rsidR="00AE716B" w:rsidRPr="00285300" w:rsidRDefault="00AE716B" w:rsidP="00BB314F">
            <w:pPr>
              <w:spacing w:after="0" w:line="259" w:lineRule="auto"/>
              <w:ind w:right="-114"/>
              <w:jc w:val="left"/>
              <w:rPr>
                <w:rFonts w:cs="Segoe UI"/>
                <w:sz w:val="16"/>
                <w:szCs w:val="16"/>
              </w:rPr>
            </w:pPr>
            <w:r w:rsidRPr="00285300">
              <w:rPr>
                <w:rFonts w:cs="Segoe UI"/>
                <w:sz w:val="16"/>
                <w:szCs w:val="16"/>
              </w:rPr>
              <w:t>Rezerva na riešenie vplyvov legislatívnych zmien (do 2024)</w:t>
            </w:r>
          </w:p>
          <w:p w14:paraId="2F5D9A83" w14:textId="77777777" w:rsidR="00AE716B" w:rsidRPr="00285300" w:rsidRDefault="00AE716B" w:rsidP="00BB314F">
            <w:pPr>
              <w:spacing w:after="0"/>
              <w:jc w:val="left"/>
              <w:rPr>
                <w:rFonts w:cs="Segoe UI"/>
                <w:sz w:val="16"/>
                <w:szCs w:val="16"/>
              </w:rPr>
            </w:pPr>
            <w:r w:rsidRPr="00285300">
              <w:rPr>
                <w:rFonts w:cs="Segoe UI"/>
                <w:i/>
                <w:sz w:val="16"/>
                <w:szCs w:val="16"/>
              </w:rPr>
              <w:t>Výdavky na riešenie vplyvov legislatívnych zmien (od 2025)</w:t>
            </w:r>
          </w:p>
        </w:tc>
        <w:tc>
          <w:tcPr>
            <w:tcW w:w="322" w:type="pct"/>
            <w:vAlign w:val="center"/>
          </w:tcPr>
          <w:p w14:paraId="34FD5B99" w14:textId="77777777" w:rsidR="00AE716B" w:rsidRPr="00285300" w:rsidRDefault="00AE716B" w:rsidP="00BB314F">
            <w:pPr>
              <w:spacing w:after="0"/>
              <w:jc w:val="right"/>
              <w:rPr>
                <w:rFonts w:cs="Segoe UI"/>
                <w:sz w:val="16"/>
                <w:szCs w:val="16"/>
              </w:rPr>
            </w:pPr>
            <w:r w:rsidRPr="00285300">
              <w:rPr>
                <w:rFonts w:cs="Segoe UI"/>
                <w:sz w:val="16"/>
                <w:szCs w:val="16"/>
              </w:rPr>
              <w:t>0</w:t>
            </w:r>
          </w:p>
          <w:p w14:paraId="76AFC569" w14:textId="77777777" w:rsidR="00AE716B" w:rsidRPr="00285300" w:rsidRDefault="00AE716B" w:rsidP="00BB314F">
            <w:pPr>
              <w:spacing w:after="0"/>
              <w:jc w:val="right"/>
              <w:rPr>
                <w:rFonts w:cs="Segoe UI"/>
                <w:sz w:val="16"/>
                <w:szCs w:val="16"/>
              </w:rPr>
            </w:pPr>
          </w:p>
        </w:tc>
        <w:tc>
          <w:tcPr>
            <w:tcW w:w="271" w:type="pct"/>
            <w:vAlign w:val="center"/>
          </w:tcPr>
          <w:p w14:paraId="50353C43" w14:textId="77777777" w:rsidR="00AE716B" w:rsidRPr="00285300" w:rsidRDefault="00AE716B" w:rsidP="00BB314F">
            <w:pPr>
              <w:spacing w:after="0"/>
              <w:jc w:val="right"/>
              <w:rPr>
                <w:rFonts w:cs="Segoe UI"/>
                <w:sz w:val="16"/>
                <w:szCs w:val="16"/>
              </w:rPr>
            </w:pPr>
            <w:r w:rsidRPr="00285300">
              <w:rPr>
                <w:rFonts w:cs="Segoe UI"/>
                <w:sz w:val="16"/>
                <w:szCs w:val="16"/>
              </w:rPr>
              <w:t>0</w:t>
            </w:r>
          </w:p>
          <w:p w14:paraId="2555BE91" w14:textId="77777777" w:rsidR="00AE716B" w:rsidRPr="00285300" w:rsidRDefault="00AE716B" w:rsidP="00BB314F">
            <w:pPr>
              <w:spacing w:after="0"/>
              <w:jc w:val="right"/>
              <w:rPr>
                <w:rFonts w:cs="Segoe UI"/>
                <w:sz w:val="16"/>
                <w:szCs w:val="16"/>
              </w:rPr>
            </w:pPr>
          </w:p>
        </w:tc>
        <w:tc>
          <w:tcPr>
            <w:tcW w:w="422" w:type="pct"/>
            <w:vAlign w:val="center"/>
          </w:tcPr>
          <w:p w14:paraId="657C8D8D" w14:textId="77777777" w:rsidR="00AE716B" w:rsidRPr="00285300" w:rsidRDefault="00AE716B" w:rsidP="00BB314F">
            <w:pPr>
              <w:spacing w:after="0"/>
              <w:jc w:val="right"/>
              <w:rPr>
                <w:rFonts w:cs="Segoe UI"/>
                <w:sz w:val="16"/>
                <w:szCs w:val="16"/>
              </w:rPr>
            </w:pPr>
          </w:p>
          <w:p w14:paraId="764F41FF" w14:textId="77777777" w:rsidR="00AE716B" w:rsidRPr="00285300" w:rsidRDefault="00AE716B" w:rsidP="00BB314F">
            <w:pPr>
              <w:spacing w:after="0"/>
              <w:jc w:val="right"/>
              <w:rPr>
                <w:rFonts w:cs="Segoe UI"/>
                <w:i/>
                <w:iCs/>
                <w:sz w:val="16"/>
                <w:szCs w:val="16"/>
              </w:rPr>
            </w:pPr>
            <w:r w:rsidRPr="00285300">
              <w:rPr>
                <w:rFonts w:cs="Segoe UI"/>
                <w:i/>
                <w:iCs/>
                <w:sz w:val="16"/>
                <w:szCs w:val="16"/>
              </w:rPr>
              <w:t>(53)</w:t>
            </w:r>
          </w:p>
        </w:tc>
        <w:tc>
          <w:tcPr>
            <w:tcW w:w="454" w:type="pct"/>
            <w:vAlign w:val="center"/>
          </w:tcPr>
          <w:p w14:paraId="59A3C36E" w14:textId="77777777" w:rsidR="00AE716B" w:rsidRPr="00285300" w:rsidRDefault="00AE716B" w:rsidP="00BB314F">
            <w:pPr>
              <w:spacing w:after="0"/>
              <w:jc w:val="right"/>
              <w:rPr>
                <w:rFonts w:cs="Segoe UI"/>
                <w:i/>
                <w:sz w:val="16"/>
                <w:szCs w:val="16"/>
              </w:rPr>
            </w:pPr>
          </w:p>
          <w:p w14:paraId="7A8D2D19" w14:textId="77777777" w:rsidR="00AE716B" w:rsidRPr="00285300" w:rsidRDefault="00AE716B" w:rsidP="00BB314F">
            <w:pPr>
              <w:spacing w:after="0"/>
              <w:jc w:val="right"/>
              <w:rPr>
                <w:rFonts w:cs="Segoe UI"/>
                <w:i/>
                <w:sz w:val="16"/>
                <w:szCs w:val="16"/>
              </w:rPr>
            </w:pPr>
            <w:r w:rsidRPr="00285300">
              <w:rPr>
                <w:rFonts w:cs="Segoe UI"/>
                <w:i/>
                <w:sz w:val="16"/>
                <w:szCs w:val="16"/>
              </w:rPr>
              <w:t>(2)</w:t>
            </w:r>
          </w:p>
        </w:tc>
        <w:tc>
          <w:tcPr>
            <w:tcW w:w="372" w:type="pct"/>
            <w:vAlign w:val="center"/>
          </w:tcPr>
          <w:p w14:paraId="150805A1" w14:textId="77777777" w:rsidR="00AE716B" w:rsidRPr="00285300" w:rsidRDefault="00AE716B" w:rsidP="00BB314F">
            <w:pPr>
              <w:spacing w:after="0"/>
              <w:jc w:val="right"/>
              <w:rPr>
                <w:rFonts w:cs="Segoe UI"/>
                <w:i/>
                <w:sz w:val="16"/>
                <w:szCs w:val="16"/>
              </w:rPr>
            </w:pPr>
          </w:p>
          <w:p w14:paraId="6FCCBA8A" w14:textId="77777777" w:rsidR="00AE716B" w:rsidRPr="00285300" w:rsidRDefault="00AE716B" w:rsidP="00BB314F">
            <w:pPr>
              <w:spacing w:after="0"/>
              <w:jc w:val="right"/>
              <w:rPr>
                <w:rFonts w:cs="Segoe UI"/>
                <w:i/>
                <w:sz w:val="16"/>
                <w:szCs w:val="16"/>
              </w:rPr>
            </w:pPr>
            <w:r w:rsidRPr="00285300">
              <w:rPr>
                <w:rFonts w:cs="Segoe UI"/>
                <w:i/>
                <w:sz w:val="16"/>
                <w:szCs w:val="16"/>
              </w:rPr>
              <w:t>(52)</w:t>
            </w:r>
          </w:p>
        </w:tc>
        <w:tc>
          <w:tcPr>
            <w:tcW w:w="373" w:type="pct"/>
            <w:vAlign w:val="center"/>
          </w:tcPr>
          <w:p w14:paraId="1C1D4429" w14:textId="77777777" w:rsidR="00AE716B" w:rsidRPr="00285300" w:rsidRDefault="00AE716B" w:rsidP="00BB314F">
            <w:pPr>
              <w:spacing w:after="0"/>
              <w:jc w:val="right"/>
              <w:rPr>
                <w:rFonts w:cs="Segoe UI"/>
                <w:sz w:val="16"/>
                <w:szCs w:val="16"/>
              </w:rPr>
            </w:pPr>
          </w:p>
          <w:p w14:paraId="29CC8E78" w14:textId="77777777" w:rsidR="00AE716B" w:rsidRPr="00285300" w:rsidRDefault="00AE716B" w:rsidP="00BB314F">
            <w:pPr>
              <w:spacing w:after="0"/>
              <w:jc w:val="right"/>
              <w:rPr>
                <w:rFonts w:cs="Segoe UI"/>
                <w:i/>
                <w:sz w:val="16"/>
                <w:szCs w:val="16"/>
              </w:rPr>
            </w:pPr>
            <w:r w:rsidRPr="00285300">
              <w:rPr>
                <w:rFonts w:cs="Segoe UI"/>
                <w:i/>
                <w:iCs/>
                <w:sz w:val="16"/>
                <w:szCs w:val="16"/>
              </w:rPr>
              <w:t>(159)</w:t>
            </w:r>
          </w:p>
        </w:tc>
        <w:tc>
          <w:tcPr>
            <w:tcW w:w="363" w:type="pct"/>
            <w:vAlign w:val="center"/>
          </w:tcPr>
          <w:p w14:paraId="27826690" w14:textId="77777777" w:rsidR="00AE716B" w:rsidRPr="00285300" w:rsidRDefault="00AE716B" w:rsidP="00BB314F">
            <w:pPr>
              <w:spacing w:after="0"/>
              <w:jc w:val="right"/>
              <w:rPr>
                <w:rFonts w:cs="Segoe UI"/>
                <w:i/>
                <w:sz w:val="16"/>
                <w:szCs w:val="16"/>
              </w:rPr>
            </w:pPr>
          </w:p>
          <w:p w14:paraId="50A57B67" w14:textId="77777777" w:rsidR="00AE716B" w:rsidRPr="00285300" w:rsidRDefault="00AE716B" w:rsidP="00BB314F">
            <w:pPr>
              <w:spacing w:after="0"/>
              <w:jc w:val="right"/>
              <w:rPr>
                <w:rFonts w:cs="Segoe UI"/>
                <w:i/>
                <w:sz w:val="16"/>
                <w:szCs w:val="16"/>
              </w:rPr>
            </w:pPr>
            <w:r w:rsidRPr="00285300">
              <w:rPr>
                <w:rFonts w:cs="Segoe UI"/>
                <w:i/>
                <w:sz w:val="16"/>
                <w:szCs w:val="16"/>
              </w:rPr>
              <w:t>(251)</w:t>
            </w:r>
          </w:p>
        </w:tc>
      </w:tr>
      <w:tr w:rsidR="00AE716B" w:rsidRPr="00285300" w14:paraId="631687E3" w14:textId="77777777" w:rsidTr="00BB314F">
        <w:trPr>
          <w:trHeight w:val="283"/>
        </w:trPr>
        <w:tc>
          <w:tcPr>
            <w:tcW w:w="2422" w:type="pct"/>
            <w:vAlign w:val="center"/>
          </w:tcPr>
          <w:p w14:paraId="69C4AF96" w14:textId="77777777" w:rsidR="00AE716B" w:rsidRPr="00285300" w:rsidRDefault="00AE716B" w:rsidP="00BB314F">
            <w:pPr>
              <w:spacing w:after="0" w:line="259" w:lineRule="auto"/>
              <w:ind w:right="-114"/>
              <w:jc w:val="left"/>
              <w:rPr>
                <w:rFonts w:cs="Segoe UI"/>
                <w:sz w:val="16"/>
                <w:szCs w:val="16"/>
              </w:rPr>
            </w:pPr>
            <w:r w:rsidRPr="00285300">
              <w:rPr>
                <w:rFonts w:cs="Segoe UI"/>
                <w:sz w:val="16"/>
                <w:szCs w:val="16"/>
              </w:rPr>
              <w:t>Rezerva na realizáciu súdnych a exekučných rozhodnutí (do 2024)</w:t>
            </w:r>
          </w:p>
          <w:p w14:paraId="3990FE69" w14:textId="77777777" w:rsidR="00AE716B" w:rsidRPr="00285300" w:rsidRDefault="00AE716B" w:rsidP="00BB314F">
            <w:pPr>
              <w:spacing w:after="0"/>
              <w:jc w:val="left"/>
              <w:rPr>
                <w:rFonts w:cs="Segoe UI"/>
                <w:sz w:val="16"/>
                <w:szCs w:val="16"/>
              </w:rPr>
            </w:pPr>
            <w:r w:rsidRPr="00285300">
              <w:rPr>
                <w:rFonts w:cs="Segoe UI"/>
                <w:i/>
                <w:sz w:val="16"/>
                <w:szCs w:val="16"/>
              </w:rPr>
              <w:t>Výdavky na realizáciu súdnych a exekučných  rozhodnutí (od 2025)</w:t>
            </w:r>
          </w:p>
        </w:tc>
        <w:tc>
          <w:tcPr>
            <w:tcW w:w="322" w:type="pct"/>
            <w:vAlign w:val="center"/>
          </w:tcPr>
          <w:p w14:paraId="0A7CD1B9" w14:textId="77777777" w:rsidR="00AE716B" w:rsidRPr="00285300" w:rsidRDefault="00AE716B" w:rsidP="00BB314F">
            <w:pPr>
              <w:spacing w:after="0"/>
              <w:jc w:val="right"/>
              <w:rPr>
                <w:rFonts w:cs="Segoe UI"/>
                <w:sz w:val="16"/>
                <w:szCs w:val="16"/>
              </w:rPr>
            </w:pPr>
            <w:r w:rsidRPr="00285300">
              <w:rPr>
                <w:rFonts w:cs="Segoe UI"/>
                <w:sz w:val="16"/>
                <w:szCs w:val="16"/>
              </w:rPr>
              <w:t>0</w:t>
            </w:r>
          </w:p>
          <w:p w14:paraId="718655EF" w14:textId="77777777" w:rsidR="00AE716B" w:rsidRPr="00285300" w:rsidRDefault="00AE716B" w:rsidP="00BB314F">
            <w:pPr>
              <w:spacing w:after="0"/>
              <w:jc w:val="right"/>
              <w:rPr>
                <w:rFonts w:cs="Segoe UI"/>
                <w:sz w:val="16"/>
                <w:szCs w:val="16"/>
              </w:rPr>
            </w:pPr>
          </w:p>
        </w:tc>
        <w:tc>
          <w:tcPr>
            <w:tcW w:w="271" w:type="pct"/>
            <w:vAlign w:val="center"/>
          </w:tcPr>
          <w:p w14:paraId="499BA6B6" w14:textId="77777777" w:rsidR="00AE716B" w:rsidRPr="00285300" w:rsidRDefault="00AE716B" w:rsidP="00BB314F">
            <w:pPr>
              <w:spacing w:after="0"/>
              <w:jc w:val="right"/>
              <w:rPr>
                <w:rFonts w:cs="Segoe UI"/>
                <w:sz w:val="16"/>
                <w:szCs w:val="16"/>
              </w:rPr>
            </w:pPr>
            <w:r w:rsidRPr="00285300">
              <w:rPr>
                <w:rFonts w:cs="Segoe UI"/>
                <w:sz w:val="16"/>
                <w:szCs w:val="16"/>
              </w:rPr>
              <w:t>7</w:t>
            </w:r>
          </w:p>
          <w:p w14:paraId="73577BBD" w14:textId="77777777" w:rsidR="00AE716B" w:rsidRPr="00285300" w:rsidRDefault="00AE716B" w:rsidP="00BB314F">
            <w:pPr>
              <w:spacing w:after="0"/>
              <w:jc w:val="right"/>
              <w:rPr>
                <w:rFonts w:cs="Segoe UI"/>
                <w:sz w:val="16"/>
                <w:szCs w:val="16"/>
              </w:rPr>
            </w:pPr>
          </w:p>
        </w:tc>
        <w:tc>
          <w:tcPr>
            <w:tcW w:w="422" w:type="pct"/>
            <w:vAlign w:val="center"/>
          </w:tcPr>
          <w:p w14:paraId="7E3309E0" w14:textId="77777777" w:rsidR="00AE716B" w:rsidRPr="00285300" w:rsidRDefault="00AE716B" w:rsidP="00BB314F">
            <w:pPr>
              <w:spacing w:after="0"/>
              <w:jc w:val="right"/>
              <w:rPr>
                <w:rFonts w:cs="Segoe UI"/>
                <w:sz w:val="16"/>
                <w:szCs w:val="16"/>
              </w:rPr>
            </w:pPr>
          </w:p>
          <w:p w14:paraId="070EDF46" w14:textId="77777777" w:rsidR="00AE716B" w:rsidRPr="00285300" w:rsidRDefault="00AE716B" w:rsidP="00BB314F">
            <w:pPr>
              <w:spacing w:after="0"/>
              <w:jc w:val="right"/>
              <w:rPr>
                <w:rFonts w:cs="Segoe UI"/>
                <w:sz w:val="16"/>
                <w:szCs w:val="16"/>
              </w:rPr>
            </w:pPr>
            <w:r w:rsidRPr="00285300">
              <w:rPr>
                <w:rFonts w:cs="Segoe UI"/>
                <w:i/>
                <w:iCs/>
                <w:sz w:val="16"/>
                <w:szCs w:val="16"/>
              </w:rPr>
              <w:t>(10)</w:t>
            </w:r>
          </w:p>
        </w:tc>
        <w:tc>
          <w:tcPr>
            <w:tcW w:w="454" w:type="pct"/>
            <w:vAlign w:val="center"/>
          </w:tcPr>
          <w:p w14:paraId="60982E82" w14:textId="77777777" w:rsidR="00AE716B" w:rsidRPr="00285300" w:rsidRDefault="00AE716B" w:rsidP="00BB314F">
            <w:pPr>
              <w:spacing w:after="0"/>
              <w:jc w:val="right"/>
              <w:rPr>
                <w:rFonts w:cs="Segoe UI"/>
                <w:i/>
                <w:sz w:val="16"/>
                <w:szCs w:val="16"/>
              </w:rPr>
            </w:pPr>
          </w:p>
          <w:p w14:paraId="493D2644" w14:textId="77777777" w:rsidR="00AE716B" w:rsidRPr="00285300" w:rsidRDefault="00AE716B" w:rsidP="00BB314F">
            <w:pPr>
              <w:spacing w:after="0"/>
              <w:jc w:val="right"/>
              <w:rPr>
                <w:rFonts w:cs="Segoe UI"/>
                <w:i/>
                <w:sz w:val="16"/>
                <w:szCs w:val="16"/>
              </w:rPr>
            </w:pPr>
            <w:r w:rsidRPr="00285300">
              <w:rPr>
                <w:rFonts w:cs="Segoe UI"/>
                <w:i/>
                <w:sz w:val="16"/>
                <w:szCs w:val="16"/>
              </w:rPr>
              <w:t>(10)</w:t>
            </w:r>
          </w:p>
        </w:tc>
        <w:tc>
          <w:tcPr>
            <w:tcW w:w="372" w:type="pct"/>
            <w:vAlign w:val="center"/>
          </w:tcPr>
          <w:p w14:paraId="49F1CDE7" w14:textId="77777777" w:rsidR="00AE716B" w:rsidRPr="00285300" w:rsidRDefault="00AE716B" w:rsidP="00BB314F">
            <w:pPr>
              <w:spacing w:after="0"/>
              <w:jc w:val="right"/>
              <w:rPr>
                <w:rFonts w:cs="Segoe UI"/>
                <w:i/>
                <w:sz w:val="16"/>
                <w:szCs w:val="16"/>
              </w:rPr>
            </w:pPr>
          </w:p>
          <w:p w14:paraId="5C74F088" w14:textId="77777777" w:rsidR="00AE716B" w:rsidRPr="00285300" w:rsidRDefault="00AE716B" w:rsidP="00BB314F">
            <w:pPr>
              <w:spacing w:after="0"/>
              <w:jc w:val="right"/>
              <w:rPr>
                <w:rFonts w:cs="Segoe UI"/>
                <w:i/>
                <w:sz w:val="16"/>
                <w:szCs w:val="16"/>
              </w:rPr>
            </w:pPr>
            <w:r w:rsidRPr="00285300">
              <w:rPr>
                <w:rFonts w:cs="Segoe UI"/>
                <w:i/>
                <w:sz w:val="16"/>
                <w:szCs w:val="16"/>
              </w:rPr>
              <w:t>(10)</w:t>
            </w:r>
          </w:p>
        </w:tc>
        <w:tc>
          <w:tcPr>
            <w:tcW w:w="373" w:type="pct"/>
            <w:vAlign w:val="center"/>
          </w:tcPr>
          <w:p w14:paraId="0D3C748A" w14:textId="77777777" w:rsidR="00AE716B" w:rsidRPr="00285300" w:rsidRDefault="00AE716B" w:rsidP="00BB314F">
            <w:pPr>
              <w:spacing w:after="0"/>
              <w:jc w:val="right"/>
              <w:rPr>
                <w:rFonts w:cs="Segoe UI"/>
                <w:sz w:val="16"/>
                <w:szCs w:val="16"/>
              </w:rPr>
            </w:pPr>
          </w:p>
          <w:p w14:paraId="634F9185" w14:textId="77777777" w:rsidR="00AE716B" w:rsidRPr="00285300" w:rsidRDefault="00AE716B" w:rsidP="00BB314F">
            <w:pPr>
              <w:spacing w:after="0"/>
              <w:jc w:val="right"/>
              <w:rPr>
                <w:rFonts w:cs="Segoe UI"/>
                <w:i/>
                <w:sz w:val="16"/>
                <w:szCs w:val="16"/>
              </w:rPr>
            </w:pPr>
            <w:r w:rsidRPr="00285300">
              <w:rPr>
                <w:rFonts w:cs="Segoe UI"/>
                <w:i/>
                <w:iCs/>
                <w:sz w:val="16"/>
                <w:szCs w:val="16"/>
              </w:rPr>
              <w:t>(10)</w:t>
            </w:r>
          </w:p>
        </w:tc>
        <w:tc>
          <w:tcPr>
            <w:tcW w:w="363" w:type="pct"/>
            <w:vAlign w:val="center"/>
          </w:tcPr>
          <w:p w14:paraId="7E8E8EC7" w14:textId="77777777" w:rsidR="00AE716B" w:rsidRPr="00285300" w:rsidRDefault="00AE716B" w:rsidP="00BB314F">
            <w:pPr>
              <w:spacing w:after="0"/>
              <w:jc w:val="right"/>
              <w:rPr>
                <w:rFonts w:cs="Segoe UI"/>
                <w:i/>
                <w:sz w:val="16"/>
                <w:szCs w:val="16"/>
              </w:rPr>
            </w:pPr>
          </w:p>
          <w:p w14:paraId="3E0864F9" w14:textId="77777777" w:rsidR="00AE716B" w:rsidRPr="00285300" w:rsidRDefault="00AE716B" w:rsidP="00BB314F">
            <w:pPr>
              <w:spacing w:after="0"/>
              <w:jc w:val="right"/>
              <w:rPr>
                <w:rFonts w:cs="Segoe UI"/>
                <w:i/>
                <w:sz w:val="16"/>
                <w:szCs w:val="16"/>
              </w:rPr>
            </w:pPr>
            <w:r w:rsidRPr="00285300">
              <w:rPr>
                <w:rFonts w:cs="Segoe UI"/>
                <w:i/>
                <w:sz w:val="16"/>
                <w:szCs w:val="16"/>
              </w:rPr>
              <w:t>(10)</w:t>
            </w:r>
          </w:p>
        </w:tc>
      </w:tr>
      <w:tr w:rsidR="00AE716B" w:rsidRPr="00285300" w14:paraId="19CE4479" w14:textId="77777777" w:rsidTr="00BB314F">
        <w:trPr>
          <w:trHeight w:val="283"/>
        </w:trPr>
        <w:tc>
          <w:tcPr>
            <w:tcW w:w="2422" w:type="pct"/>
            <w:vAlign w:val="center"/>
          </w:tcPr>
          <w:p w14:paraId="7267EABA" w14:textId="77777777" w:rsidR="00AE716B" w:rsidRPr="00285300" w:rsidRDefault="00AE716B" w:rsidP="00BB314F">
            <w:pPr>
              <w:spacing w:after="0" w:line="259" w:lineRule="auto"/>
              <w:ind w:right="-114"/>
              <w:jc w:val="left"/>
              <w:rPr>
                <w:rFonts w:cs="Segoe UI"/>
                <w:sz w:val="16"/>
                <w:szCs w:val="16"/>
              </w:rPr>
            </w:pPr>
            <w:r w:rsidRPr="00285300">
              <w:rPr>
                <w:rFonts w:cs="Segoe UI"/>
                <w:sz w:val="16"/>
                <w:szCs w:val="16"/>
              </w:rPr>
              <w:t>Rezerva na mzdy a poistné (do 2024)</w:t>
            </w:r>
          </w:p>
          <w:p w14:paraId="17A4C48E" w14:textId="77777777" w:rsidR="00AE716B" w:rsidRPr="00285300" w:rsidRDefault="00AE716B" w:rsidP="00BB314F">
            <w:pPr>
              <w:spacing w:after="0"/>
              <w:jc w:val="left"/>
              <w:rPr>
                <w:rFonts w:cs="Segoe UI"/>
                <w:sz w:val="16"/>
                <w:szCs w:val="16"/>
              </w:rPr>
            </w:pPr>
            <w:r w:rsidRPr="00285300">
              <w:rPr>
                <w:rFonts w:cs="Segoe UI"/>
                <w:i/>
                <w:sz w:val="16"/>
                <w:szCs w:val="16"/>
              </w:rPr>
              <w:t xml:space="preserve">Výdavky na mzdy a poistné (od 2025) </w:t>
            </w:r>
          </w:p>
        </w:tc>
        <w:tc>
          <w:tcPr>
            <w:tcW w:w="322" w:type="pct"/>
            <w:vAlign w:val="center"/>
          </w:tcPr>
          <w:p w14:paraId="27152D1E" w14:textId="77777777" w:rsidR="00AE716B" w:rsidRPr="00285300" w:rsidRDefault="00AE716B" w:rsidP="00BB314F">
            <w:pPr>
              <w:spacing w:after="0"/>
              <w:jc w:val="right"/>
              <w:rPr>
                <w:rFonts w:cs="Segoe UI"/>
                <w:sz w:val="16"/>
                <w:szCs w:val="16"/>
              </w:rPr>
            </w:pPr>
            <w:r w:rsidRPr="00285300">
              <w:rPr>
                <w:rFonts w:cs="Segoe UI"/>
                <w:sz w:val="16"/>
                <w:szCs w:val="16"/>
              </w:rPr>
              <w:t>0</w:t>
            </w:r>
          </w:p>
          <w:p w14:paraId="72708DD8" w14:textId="77777777" w:rsidR="00AE716B" w:rsidRPr="00285300" w:rsidRDefault="00AE716B" w:rsidP="00BB314F">
            <w:pPr>
              <w:spacing w:after="0"/>
              <w:jc w:val="right"/>
              <w:rPr>
                <w:rFonts w:cs="Segoe UI"/>
                <w:sz w:val="16"/>
                <w:szCs w:val="16"/>
              </w:rPr>
            </w:pPr>
          </w:p>
        </w:tc>
        <w:tc>
          <w:tcPr>
            <w:tcW w:w="271" w:type="pct"/>
            <w:vAlign w:val="center"/>
          </w:tcPr>
          <w:p w14:paraId="62FE8F47" w14:textId="77777777" w:rsidR="00AE716B" w:rsidRPr="00285300" w:rsidRDefault="00AE716B" w:rsidP="00BB314F">
            <w:pPr>
              <w:spacing w:after="0"/>
              <w:jc w:val="right"/>
              <w:rPr>
                <w:rFonts w:cs="Segoe UI"/>
                <w:sz w:val="16"/>
                <w:szCs w:val="16"/>
              </w:rPr>
            </w:pPr>
            <w:r w:rsidRPr="00285300">
              <w:rPr>
                <w:rFonts w:cs="Segoe UI"/>
                <w:sz w:val="16"/>
                <w:szCs w:val="16"/>
              </w:rPr>
              <w:t>0</w:t>
            </w:r>
          </w:p>
          <w:p w14:paraId="5ACB81B7" w14:textId="77777777" w:rsidR="00AE716B" w:rsidRPr="00285300" w:rsidRDefault="00AE716B" w:rsidP="00BB314F">
            <w:pPr>
              <w:spacing w:after="0"/>
              <w:jc w:val="right"/>
              <w:rPr>
                <w:rFonts w:cs="Segoe UI"/>
                <w:sz w:val="16"/>
                <w:szCs w:val="16"/>
              </w:rPr>
            </w:pPr>
          </w:p>
        </w:tc>
        <w:tc>
          <w:tcPr>
            <w:tcW w:w="422" w:type="pct"/>
            <w:vAlign w:val="center"/>
          </w:tcPr>
          <w:p w14:paraId="4C3C2B09" w14:textId="77777777" w:rsidR="00AE716B" w:rsidRPr="00285300" w:rsidRDefault="00AE716B" w:rsidP="00BB314F">
            <w:pPr>
              <w:spacing w:after="0"/>
              <w:jc w:val="right"/>
              <w:rPr>
                <w:rFonts w:cs="Segoe UI"/>
                <w:sz w:val="16"/>
                <w:szCs w:val="16"/>
              </w:rPr>
            </w:pPr>
          </w:p>
          <w:p w14:paraId="3B4BE524" w14:textId="77777777" w:rsidR="00AE716B" w:rsidRPr="00285300" w:rsidRDefault="00AE716B" w:rsidP="00BB314F">
            <w:pPr>
              <w:spacing w:after="0"/>
              <w:jc w:val="right"/>
              <w:rPr>
                <w:rFonts w:cs="Segoe UI"/>
                <w:sz w:val="16"/>
                <w:szCs w:val="16"/>
              </w:rPr>
            </w:pPr>
            <w:r w:rsidRPr="00285300">
              <w:rPr>
                <w:rFonts w:cs="Segoe UI"/>
                <w:i/>
                <w:iCs/>
                <w:sz w:val="16"/>
                <w:szCs w:val="16"/>
              </w:rPr>
              <w:t>(525)</w:t>
            </w:r>
          </w:p>
        </w:tc>
        <w:tc>
          <w:tcPr>
            <w:tcW w:w="454" w:type="pct"/>
            <w:vAlign w:val="center"/>
          </w:tcPr>
          <w:p w14:paraId="69A26CFE" w14:textId="77777777" w:rsidR="00AE716B" w:rsidRPr="00285300" w:rsidRDefault="00AE716B" w:rsidP="00BB314F">
            <w:pPr>
              <w:spacing w:after="0"/>
              <w:jc w:val="right"/>
              <w:rPr>
                <w:rFonts w:cs="Segoe UI"/>
                <w:i/>
                <w:sz w:val="16"/>
                <w:szCs w:val="16"/>
              </w:rPr>
            </w:pPr>
          </w:p>
          <w:p w14:paraId="173C4117" w14:textId="77777777" w:rsidR="00AE716B" w:rsidRPr="00285300" w:rsidRDefault="00AE716B" w:rsidP="00BB314F">
            <w:pPr>
              <w:spacing w:after="0"/>
              <w:jc w:val="right"/>
              <w:rPr>
                <w:rFonts w:cs="Segoe UI"/>
                <w:i/>
                <w:sz w:val="16"/>
                <w:szCs w:val="16"/>
              </w:rPr>
            </w:pPr>
            <w:r w:rsidRPr="00285300">
              <w:rPr>
                <w:rFonts w:cs="Segoe UI"/>
                <w:i/>
                <w:sz w:val="16"/>
                <w:szCs w:val="16"/>
              </w:rPr>
              <w:t>(32)</w:t>
            </w:r>
          </w:p>
        </w:tc>
        <w:tc>
          <w:tcPr>
            <w:tcW w:w="372" w:type="pct"/>
            <w:vAlign w:val="center"/>
          </w:tcPr>
          <w:p w14:paraId="7D99C9A5" w14:textId="77777777" w:rsidR="00AE716B" w:rsidRPr="00285300" w:rsidRDefault="00AE716B" w:rsidP="00BB314F">
            <w:pPr>
              <w:spacing w:after="0"/>
              <w:jc w:val="right"/>
              <w:rPr>
                <w:rFonts w:cs="Segoe UI"/>
                <w:i/>
                <w:sz w:val="16"/>
                <w:szCs w:val="16"/>
              </w:rPr>
            </w:pPr>
          </w:p>
          <w:p w14:paraId="0FD9CB49" w14:textId="77777777" w:rsidR="00AE716B" w:rsidRPr="00285300" w:rsidRDefault="00AE716B" w:rsidP="00BB314F">
            <w:pPr>
              <w:spacing w:after="0"/>
              <w:jc w:val="right"/>
              <w:rPr>
                <w:rFonts w:cs="Segoe UI"/>
                <w:i/>
                <w:sz w:val="16"/>
                <w:szCs w:val="16"/>
              </w:rPr>
            </w:pPr>
            <w:r w:rsidRPr="00285300">
              <w:rPr>
                <w:rFonts w:cs="Segoe UI"/>
                <w:i/>
                <w:sz w:val="16"/>
                <w:szCs w:val="16"/>
              </w:rPr>
              <w:t>(79)</w:t>
            </w:r>
          </w:p>
        </w:tc>
        <w:tc>
          <w:tcPr>
            <w:tcW w:w="373" w:type="pct"/>
            <w:vAlign w:val="center"/>
          </w:tcPr>
          <w:p w14:paraId="31586B3D" w14:textId="77777777" w:rsidR="00AE716B" w:rsidRPr="00285300" w:rsidRDefault="00AE716B" w:rsidP="00BB314F">
            <w:pPr>
              <w:spacing w:after="0"/>
              <w:jc w:val="right"/>
              <w:rPr>
                <w:rFonts w:cs="Segoe UI"/>
                <w:i/>
                <w:sz w:val="16"/>
                <w:szCs w:val="16"/>
              </w:rPr>
            </w:pPr>
          </w:p>
          <w:p w14:paraId="2816D416" w14:textId="77777777" w:rsidR="00AE716B" w:rsidRPr="00285300" w:rsidRDefault="00AE716B" w:rsidP="00BB314F">
            <w:pPr>
              <w:spacing w:after="0"/>
              <w:jc w:val="right"/>
              <w:rPr>
                <w:rFonts w:cs="Segoe UI"/>
                <w:i/>
                <w:sz w:val="16"/>
                <w:szCs w:val="16"/>
              </w:rPr>
            </w:pPr>
            <w:r w:rsidRPr="00285300">
              <w:rPr>
                <w:rFonts w:cs="Segoe UI"/>
                <w:i/>
                <w:sz w:val="16"/>
                <w:szCs w:val="16"/>
              </w:rPr>
              <w:t>(93)</w:t>
            </w:r>
          </w:p>
        </w:tc>
        <w:tc>
          <w:tcPr>
            <w:tcW w:w="363" w:type="pct"/>
            <w:vAlign w:val="center"/>
          </w:tcPr>
          <w:p w14:paraId="0ED30A11" w14:textId="77777777" w:rsidR="00AE716B" w:rsidRPr="00285300" w:rsidRDefault="00AE716B" w:rsidP="00BB314F">
            <w:pPr>
              <w:spacing w:after="0"/>
              <w:jc w:val="right"/>
              <w:rPr>
                <w:rFonts w:cs="Segoe UI"/>
                <w:i/>
                <w:sz w:val="16"/>
                <w:szCs w:val="16"/>
              </w:rPr>
            </w:pPr>
          </w:p>
          <w:p w14:paraId="5135D8E2" w14:textId="77777777" w:rsidR="00AE716B" w:rsidRPr="00285300" w:rsidRDefault="00AE716B" w:rsidP="00BB314F">
            <w:pPr>
              <w:spacing w:after="0"/>
              <w:jc w:val="right"/>
              <w:rPr>
                <w:rFonts w:cs="Segoe UI"/>
                <w:i/>
                <w:sz w:val="16"/>
                <w:szCs w:val="16"/>
              </w:rPr>
            </w:pPr>
            <w:r w:rsidRPr="00285300">
              <w:rPr>
                <w:rFonts w:cs="Segoe UI"/>
                <w:i/>
                <w:sz w:val="16"/>
                <w:szCs w:val="16"/>
              </w:rPr>
              <w:t>(119)</w:t>
            </w:r>
          </w:p>
        </w:tc>
      </w:tr>
      <w:tr w:rsidR="00AE716B" w:rsidRPr="00285300" w14:paraId="1DB18540" w14:textId="77777777" w:rsidTr="00BB314F">
        <w:trPr>
          <w:trHeight w:val="283"/>
        </w:trPr>
        <w:tc>
          <w:tcPr>
            <w:tcW w:w="2422" w:type="pct"/>
            <w:vAlign w:val="center"/>
          </w:tcPr>
          <w:p w14:paraId="19259ECA" w14:textId="77777777" w:rsidR="00AE716B" w:rsidRPr="00285300" w:rsidRDefault="00AE716B" w:rsidP="00BB314F">
            <w:pPr>
              <w:spacing w:after="0" w:line="259" w:lineRule="auto"/>
              <w:ind w:right="-114"/>
              <w:jc w:val="left"/>
              <w:rPr>
                <w:rFonts w:cs="Segoe UI"/>
                <w:sz w:val="16"/>
                <w:szCs w:val="16"/>
              </w:rPr>
            </w:pPr>
            <w:r w:rsidRPr="00285300">
              <w:rPr>
                <w:rFonts w:cs="Segoe UI"/>
                <w:sz w:val="16"/>
                <w:szCs w:val="16"/>
              </w:rPr>
              <w:t>Rezerva na kompenzačné opatrenia súvisiace s rastom cien energií (do 2024)</w:t>
            </w:r>
          </w:p>
          <w:p w14:paraId="53497423" w14:textId="77777777" w:rsidR="00AE716B" w:rsidRPr="00285300" w:rsidRDefault="00AE716B" w:rsidP="00BB314F">
            <w:pPr>
              <w:spacing w:after="0"/>
              <w:jc w:val="left"/>
              <w:rPr>
                <w:rFonts w:cs="Segoe UI"/>
                <w:sz w:val="16"/>
                <w:szCs w:val="16"/>
              </w:rPr>
            </w:pPr>
            <w:r w:rsidRPr="00285300">
              <w:rPr>
                <w:rFonts w:cs="Segoe UI"/>
                <w:i/>
                <w:sz w:val="16"/>
                <w:szCs w:val="16"/>
              </w:rPr>
              <w:t xml:space="preserve">Výdavky na kompenzačné opatrenia súvisiace s rastom cien energií (od 2025) </w:t>
            </w:r>
          </w:p>
        </w:tc>
        <w:tc>
          <w:tcPr>
            <w:tcW w:w="322" w:type="pct"/>
            <w:vAlign w:val="center"/>
          </w:tcPr>
          <w:p w14:paraId="43F94ADE" w14:textId="77777777" w:rsidR="00AE716B" w:rsidRPr="00285300" w:rsidRDefault="00AE716B" w:rsidP="00BB314F">
            <w:pPr>
              <w:spacing w:after="0"/>
              <w:jc w:val="right"/>
              <w:rPr>
                <w:rFonts w:cs="Segoe UI"/>
                <w:sz w:val="16"/>
                <w:szCs w:val="16"/>
              </w:rPr>
            </w:pPr>
            <w:r w:rsidRPr="00285300">
              <w:rPr>
                <w:rFonts w:cs="Segoe UI"/>
                <w:sz w:val="16"/>
                <w:szCs w:val="16"/>
              </w:rPr>
              <w:t>0</w:t>
            </w:r>
          </w:p>
          <w:p w14:paraId="4DB9EC8E" w14:textId="77777777" w:rsidR="00AE716B" w:rsidRPr="00285300" w:rsidRDefault="00AE716B" w:rsidP="00BB314F">
            <w:pPr>
              <w:spacing w:after="0"/>
              <w:jc w:val="right"/>
              <w:rPr>
                <w:rFonts w:cs="Segoe UI"/>
                <w:sz w:val="16"/>
                <w:szCs w:val="16"/>
              </w:rPr>
            </w:pPr>
          </w:p>
        </w:tc>
        <w:tc>
          <w:tcPr>
            <w:tcW w:w="271" w:type="pct"/>
            <w:vAlign w:val="center"/>
          </w:tcPr>
          <w:p w14:paraId="70B4EF7B" w14:textId="77777777" w:rsidR="00AE716B" w:rsidRPr="00285300" w:rsidRDefault="00AE716B" w:rsidP="00BB314F">
            <w:pPr>
              <w:spacing w:after="0"/>
              <w:jc w:val="right"/>
              <w:rPr>
                <w:rFonts w:cs="Segoe UI"/>
                <w:sz w:val="16"/>
                <w:szCs w:val="16"/>
              </w:rPr>
            </w:pPr>
            <w:r w:rsidRPr="00285300">
              <w:rPr>
                <w:rFonts w:cs="Segoe UI"/>
                <w:sz w:val="16"/>
                <w:szCs w:val="16"/>
              </w:rPr>
              <w:t>0</w:t>
            </w:r>
          </w:p>
          <w:p w14:paraId="6854311A" w14:textId="77777777" w:rsidR="00AE716B" w:rsidRPr="00285300" w:rsidRDefault="00AE716B" w:rsidP="00BB314F">
            <w:pPr>
              <w:spacing w:after="0"/>
              <w:jc w:val="right"/>
              <w:rPr>
                <w:rFonts w:cs="Segoe UI"/>
                <w:sz w:val="16"/>
                <w:szCs w:val="16"/>
              </w:rPr>
            </w:pPr>
          </w:p>
        </w:tc>
        <w:tc>
          <w:tcPr>
            <w:tcW w:w="422" w:type="pct"/>
            <w:vAlign w:val="center"/>
          </w:tcPr>
          <w:p w14:paraId="00EC902F" w14:textId="77777777" w:rsidR="00AE716B" w:rsidRPr="00285300" w:rsidRDefault="00AE716B" w:rsidP="00BB314F">
            <w:pPr>
              <w:spacing w:after="0"/>
              <w:jc w:val="right"/>
              <w:rPr>
                <w:rFonts w:cs="Segoe UI"/>
                <w:sz w:val="16"/>
                <w:szCs w:val="16"/>
              </w:rPr>
            </w:pPr>
          </w:p>
          <w:p w14:paraId="0E641778" w14:textId="77777777" w:rsidR="00AE716B" w:rsidRPr="00285300" w:rsidRDefault="00AE716B" w:rsidP="00BB314F">
            <w:pPr>
              <w:spacing w:after="0"/>
              <w:jc w:val="right"/>
              <w:rPr>
                <w:rFonts w:cs="Segoe UI"/>
                <w:sz w:val="16"/>
                <w:szCs w:val="16"/>
              </w:rPr>
            </w:pPr>
            <w:r w:rsidRPr="00285300">
              <w:rPr>
                <w:rFonts w:cs="Segoe UI"/>
                <w:i/>
                <w:iCs/>
                <w:sz w:val="16"/>
                <w:szCs w:val="16"/>
              </w:rPr>
              <w:t>(235)</w:t>
            </w:r>
          </w:p>
        </w:tc>
        <w:tc>
          <w:tcPr>
            <w:tcW w:w="454" w:type="pct"/>
            <w:vAlign w:val="center"/>
          </w:tcPr>
          <w:p w14:paraId="30E51982" w14:textId="77777777" w:rsidR="00AE716B" w:rsidRPr="00285300" w:rsidRDefault="00AE716B" w:rsidP="00BB314F">
            <w:pPr>
              <w:spacing w:after="0"/>
              <w:jc w:val="right"/>
              <w:rPr>
                <w:rFonts w:cs="Segoe UI"/>
                <w:i/>
                <w:sz w:val="16"/>
                <w:szCs w:val="16"/>
              </w:rPr>
            </w:pPr>
          </w:p>
          <w:p w14:paraId="60105712" w14:textId="77777777" w:rsidR="00AE716B" w:rsidRPr="00285300" w:rsidRDefault="00AE716B" w:rsidP="00BB314F">
            <w:pPr>
              <w:spacing w:after="0"/>
              <w:jc w:val="right"/>
              <w:rPr>
                <w:rFonts w:cs="Segoe UI"/>
                <w:i/>
                <w:sz w:val="16"/>
                <w:szCs w:val="16"/>
              </w:rPr>
            </w:pPr>
            <w:r w:rsidRPr="00285300">
              <w:rPr>
                <w:rFonts w:cs="Segoe UI"/>
                <w:i/>
                <w:sz w:val="16"/>
                <w:szCs w:val="16"/>
              </w:rPr>
              <w:t>(0)</w:t>
            </w:r>
          </w:p>
        </w:tc>
        <w:tc>
          <w:tcPr>
            <w:tcW w:w="372" w:type="pct"/>
            <w:vAlign w:val="center"/>
          </w:tcPr>
          <w:p w14:paraId="6DE930A1" w14:textId="77777777" w:rsidR="00AE716B" w:rsidRPr="00285300" w:rsidRDefault="00AE716B" w:rsidP="00BB314F">
            <w:pPr>
              <w:spacing w:after="0"/>
              <w:jc w:val="right"/>
              <w:rPr>
                <w:rFonts w:cs="Segoe UI"/>
                <w:i/>
                <w:sz w:val="16"/>
                <w:szCs w:val="16"/>
              </w:rPr>
            </w:pPr>
          </w:p>
          <w:p w14:paraId="25FB85FA" w14:textId="77777777" w:rsidR="00AE716B" w:rsidRPr="00285300" w:rsidRDefault="00AE716B" w:rsidP="00BB314F">
            <w:pPr>
              <w:spacing w:after="0"/>
              <w:jc w:val="right"/>
              <w:rPr>
                <w:rFonts w:cs="Segoe UI"/>
                <w:sz w:val="16"/>
                <w:szCs w:val="16"/>
              </w:rPr>
            </w:pPr>
            <w:r w:rsidRPr="00285300">
              <w:rPr>
                <w:rFonts w:cs="Segoe UI"/>
                <w:i/>
                <w:sz w:val="16"/>
                <w:szCs w:val="16"/>
              </w:rPr>
              <w:t>(0)</w:t>
            </w:r>
          </w:p>
        </w:tc>
        <w:tc>
          <w:tcPr>
            <w:tcW w:w="373" w:type="pct"/>
            <w:vAlign w:val="center"/>
          </w:tcPr>
          <w:p w14:paraId="3D4F9A77" w14:textId="77777777" w:rsidR="00AE716B" w:rsidRPr="00285300" w:rsidRDefault="00AE716B" w:rsidP="00BB314F">
            <w:pPr>
              <w:spacing w:after="0"/>
              <w:jc w:val="right"/>
              <w:rPr>
                <w:rFonts w:cs="Segoe UI"/>
                <w:i/>
                <w:sz w:val="16"/>
                <w:szCs w:val="16"/>
              </w:rPr>
            </w:pPr>
          </w:p>
          <w:p w14:paraId="31E5AE7C" w14:textId="77777777" w:rsidR="00AE716B" w:rsidRPr="00285300" w:rsidRDefault="00AE716B" w:rsidP="00BB314F">
            <w:pPr>
              <w:spacing w:after="0"/>
              <w:jc w:val="right"/>
              <w:rPr>
                <w:rFonts w:cs="Segoe UI"/>
                <w:b/>
                <w:bCs/>
                <w:sz w:val="16"/>
                <w:szCs w:val="16"/>
              </w:rPr>
            </w:pPr>
            <w:r w:rsidRPr="00285300">
              <w:rPr>
                <w:rFonts w:cs="Segoe UI"/>
                <w:i/>
                <w:sz w:val="16"/>
                <w:szCs w:val="16"/>
              </w:rPr>
              <w:t>(0)</w:t>
            </w:r>
          </w:p>
        </w:tc>
        <w:tc>
          <w:tcPr>
            <w:tcW w:w="363" w:type="pct"/>
            <w:vAlign w:val="center"/>
          </w:tcPr>
          <w:p w14:paraId="53638A10" w14:textId="77777777" w:rsidR="00AE716B" w:rsidRPr="00285300" w:rsidRDefault="00AE716B" w:rsidP="00BB314F">
            <w:pPr>
              <w:spacing w:after="0"/>
              <w:jc w:val="right"/>
              <w:rPr>
                <w:rFonts w:cs="Segoe UI"/>
                <w:i/>
                <w:sz w:val="16"/>
                <w:szCs w:val="16"/>
              </w:rPr>
            </w:pPr>
          </w:p>
          <w:p w14:paraId="2CB45870" w14:textId="77777777" w:rsidR="00AE716B" w:rsidRPr="00285300" w:rsidRDefault="00AE716B" w:rsidP="00BB314F">
            <w:pPr>
              <w:spacing w:after="0"/>
              <w:jc w:val="right"/>
              <w:rPr>
                <w:rFonts w:cs="Segoe UI"/>
                <w:sz w:val="16"/>
                <w:szCs w:val="16"/>
              </w:rPr>
            </w:pPr>
            <w:r w:rsidRPr="00285300">
              <w:rPr>
                <w:rFonts w:cs="Segoe UI"/>
                <w:i/>
                <w:sz w:val="16"/>
                <w:szCs w:val="16"/>
              </w:rPr>
              <w:t>(0)</w:t>
            </w:r>
          </w:p>
        </w:tc>
      </w:tr>
      <w:tr w:rsidR="00AE716B" w:rsidRPr="00285300" w14:paraId="1F790C81" w14:textId="77777777" w:rsidTr="00BB314F">
        <w:trPr>
          <w:trHeight w:val="283"/>
        </w:trPr>
        <w:tc>
          <w:tcPr>
            <w:tcW w:w="2422" w:type="pct"/>
            <w:vAlign w:val="center"/>
          </w:tcPr>
          <w:p w14:paraId="3E51A372" w14:textId="77777777" w:rsidR="00AE716B" w:rsidRPr="00285300" w:rsidRDefault="00AE716B" w:rsidP="00BB314F">
            <w:pPr>
              <w:spacing w:after="0" w:line="259" w:lineRule="auto"/>
              <w:ind w:right="-114"/>
              <w:jc w:val="left"/>
              <w:rPr>
                <w:rFonts w:cs="Segoe UI"/>
                <w:bCs/>
                <w:sz w:val="16"/>
                <w:szCs w:val="16"/>
              </w:rPr>
            </w:pPr>
            <w:r w:rsidRPr="00285300">
              <w:rPr>
                <w:rFonts w:cs="Segoe UI"/>
                <w:bCs/>
                <w:sz w:val="16"/>
                <w:szCs w:val="16"/>
              </w:rPr>
              <w:t>Spolu rezervy</w:t>
            </w:r>
          </w:p>
          <w:p w14:paraId="5CF812EC" w14:textId="77777777" w:rsidR="00AE716B" w:rsidRPr="00285300" w:rsidRDefault="00AE716B" w:rsidP="00BB314F">
            <w:pPr>
              <w:spacing w:after="0"/>
              <w:jc w:val="left"/>
              <w:rPr>
                <w:rFonts w:cs="Segoe UI"/>
                <w:sz w:val="16"/>
                <w:szCs w:val="16"/>
              </w:rPr>
            </w:pPr>
            <w:r w:rsidRPr="00285300">
              <w:rPr>
                <w:rFonts w:cs="Segoe UI"/>
                <w:b/>
                <w:i/>
                <w:sz w:val="16"/>
                <w:szCs w:val="16"/>
              </w:rPr>
              <w:t>Spolu rezervy a príslušné ostatné výdavky</w:t>
            </w:r>
          </w:p>
        </w:tc>
        <w:tc>
          <w:tcPr>
            <w:tcW w:w="322" w:type="pct"/>
            <w:vAlign w:val="center"/>
          </w:tcPr>
          <w:p w14:paraId="33FABEA7" w14:textId="77777777" w:rsidR="00AE716B" w:rsidRPr="00285300" w:rsidRDefault="00AE716B" w:rsidP="00BB314F">
            <w:pPr>
              <w:spacing w:after="0"/>
              <w:jc w:val="right"/>
              <w:rPr>
                <w:rFonts w:cs="Segoe UI"/>
                <w:sz w:val="16"/>
                <w:szCs w:val="16"/>
              </w:rPr>
            </w:pPr>
            <w:r w:rsidRPr="00285300">
              <w:rPr>
                <w:rFonts w:cs="Segoe UI"/>
                <w:sz w:val="16"/>
                <w:szCs w:val="16"/>
              </w:rPr>
              <w:t>16</w:t>
            </w:r>
          </w:p>
          <w:p w14:paraId="3570DB1E" w14:textId="77777777" w:rsidR="00AE716B" w:rsidRPr="00285300" w:rsidRDefault="00AE716B" w:rsidP="00BB314F">
            <w:pPr>
              <w:spacing w:after="0"/>
              <w:jc w:val="right"/>
              <w:rPr>
                <w:rFonts w:cs="Segoe UI"/>
                <w:b/>
                <w:bCs/>
                <w:sz w:val="16"/>
                <w:szCs w:val="16"/>
              </w:rPr>
            </w:pPr>
            <w:r w:rsidRPr="00285300">
              <w:rPr>
                <w:rFonts w:cs="Segoe UI"/>
                <w:b/>
                <w:bCs/>
                <w:sz w:val="16"/>
                <w:szCs w:val="16"/>
              </w:rPr>
              <w:t>16</w:t>
            </w:r>
          </w:p>
        </w:tc>
        <w:tc>
          <w:tcPr>
            <w:tcW w:w="271" w:type="pct"/>
            <w:vAlign w:val="center"/>
          </w:tcPr>
          <w:p w14:paraId="4592EE8E" w14:textId="77777777" w:rsidR="00AE716B" w:rsidRPr="00285300" w:rsidRDefault="00AE716B" w:rsidP="00BB314F">
            <w:pPr>
              <w:spacing w:after="0"/>
              <w:jc w:val="right"/>
              <w:rPr>
                <w:rFonts w:cs="Segoe UI"/>
                <w:sz w:val="16"/>
                <w:szCs w:val="16"/>
              </w:rPr>
            </w:pPr>
            <w:r w:rsidRPr="00285300">
              <w:rPr>
                <w:rFonts w:cs="Segoe UI"/>
                <w:sz w:val="16"/>
                <w:szCs w:val="16"/>
              </w:rPr>
              <w:t>8</w:t>
            </w:r>
          </w:p>
          <w:p w14:paraId="30D6A391" w14:textId="77777777" w:rsidR="00AE716B" w:rsidRPr="00285300" w:rsidRDefault="00AE716B" w:rsidP="00BB314F">
            <w:pPr>
              <w:spacing w:after="0"/>
              <w:jc w:val="right"/>
              <w:rPr>
                <w:rFonts w:cs="Segoe UI"/>
                <w:b/>
                <w:bCs/>
                <w:sz w:val="16"/>
                <w:szCs w:val="16"/>
              </w:rPr>
            </w:pPr>
            <w:r w:rsidRPr="00285300">
              <w:rPr>
                <w:rFonts w:cs="Segoe UI"/>
                <w:b/>
                <w:bCs/>
                <w:sz w:val="16"/>
                <w:szCs w:val="16"/>
              </w:rPr>
              <w:t>8</w:t>
            </w:r>
          </w:p>
        </w:tc>
        <w:tc>
          <w:tcPr>
            <w:tcW w:w="422" w:type="pct"/>
            <w:vAlign w:val="center"/>
          </w:tcPr>
          <w:p w14:paraId="354DAD52" w14:textId="77777777" w:rsidR="00AE716B" w:rsidRPr="00285300" w:rsidRDefault="00AE716B" w:rsidP="00BB314F">
            <w:pPr>
              <w:spacing w:after="0"/>
              <w:jc w:val="right"/>
              <w:rPr>
                <w:rFonts w:cs="Segoe UI"/>
                <w:sz w:val="16"/>
                <w:szCs w:val="16"/>
              </w:rPr>
            </w:pPr>
            <w:r w:rsidRPr="00285300">
              <w:rPr>
                <w:rFonts w:cs="Segoe UI"/>
                <w:sz w:val="16"/>
                <w:szCs w:val="16"/>
              </w:rPr>
              <w:t>333</w:t>
            </w:r>
          </w:p>
          <w:p w14:paraId="7FFEECBD" w14:textId="77777777" w:rsidR="00AE716B" w:rsidRPr="00285300" w:rsidRDefault="00AE716B" w:rsidP="00BB314F">
            <w:pPr>
              <w:spacing w:after="0"/>
              <w:jc w:val="right"/>
              <w:rPr>
                <w:rFonts w:cs="Segoe UI"/>
                <w:b/>
                <w:bCs/>
                <w:sz w:val="16"/>
                <w:szCs w:val="16"/>
              </w:rPr>
            </w:pPr>
            <w:r w:rsidRPr="00285300">
              <w:rPr>
                <w:rFonts w:cs="Segoe UI"/>
                <w:b/>
                <w:bCs/>
                <w:i/>
                <w:iCs/>
                <w:sz w:val="16"/>
                <w:szCs w:val="16"/>
              </w:rPr>
              <w:t>(1 156)</w:t>
            </w:r>
          </w:p>
        </w:tc>
        <w:tc>
          <w:tcPr>
            <w:tcW w:w="454" w:type="pct"/>
            <w:vAlign w:val="center"/>
          </w:tcPr>
          <w:p w14:paraId="71CD1993" w14:textId="77777777" w:rsidR="00AE716B" w:rsidRPr="00285300" w:rsidRDefault="00AE716B" w:rsidP="00BB314F">
            <w:pPr>
              <w:spacing w:after="0"/>
              <w:jc w:val="right"/>
              <w:rPr>
                <w:rFonts w:cs="Segoe UI"/>
                <w:sz w:val="16"/>
                <w:szCs w:val="16"/>
              </w:rPr>
            </w:pPr>
            <w:r w:rsidRPr="00285300">
              <w:rPr>
                <w:rFonts w:cs="Segoe UI"/>
                <w:sz w:val="16"/>
                <w:szCs w:val="16"/>
              </w:rPr>
              <w:t>7</w:t>
            </w:r>
          </w:p>
          <w:p w14:paraId="645B139D" w14:textId="77777777" w:rsidR="00AE716B" w:rsidRPr="00285300" w:rsidRDefault="00AE716B" w:rsidP="00BB314F">
            <w:pPr>
              <w:spacing w:after="0"/>
              <w:jc w:val="right"/>
              <w:rPr>
                <w:rFonts w:cs="Segoe UI"/>
                <w:b/>
                <w:bCs/>
                <w:i/>
                <w:sz w:val="16"/>
                <w:szCs w:val="16"/>
              </w:rPr>
            </w:pPr>
            <w:r w:rsidRPr="00285300">
              <w:rPr>
                <w:rFonts w:cs="Segoe UI"/>
                <w:b/>
                <w:bCs/>
                <w:i/>
                <w:sz w:val="16"/>
                <w:szCs w:val="16"/>
              </w:rPr>
              <w:t>(51)</w:t>
            </w:r>
          </w:p>
        </w:tc>
        <w:tc>
          <w:tcPr>
            <w:tcW w:w="372" w:type="pct"/>
            <w:vAlign w:val="center"/>
          </w:tcPr>
          <w:p w14:paraId="150C4794" w14:textId="77777777" w:rsidR="00AE716B" w:rsidRPr="00285300" w:rsidRDefault="00AE716B" w:rsidP="00BB314F">
            <w:pPr>
              <w:spacing w:after="0"/>
              <w:jc w:val="right"/>
              <w:rPr>
                <w:rFonts w:cs="Segoe UI"/>
                <w:sz w:val="16"/>
                <w:szCs w:val="16"/>
              </w:rPr>
            </w:pPr>
            <w:r w:rsidRPr="00285300">
              <w:rPr>
                <w:rFonts w:cs="Segoe UI"/>
                <w:sz w:val="16"/>
                <w:szCs w:val="16"/>
              </w:rPr>
              <w:t>266</w:t>
            </w:r>
          </w:p>
          <w:p w14:paraId="1322AE91" w14:textId="77777777" w:rsidR="00AE716B" w:rsidRPr="00285300" w:rsidRDefault="00AE716B" w:rsidP="00BB314F">
            <w:pPr>
              <w:spacing w:after="0"/>
              <w:jc w:val="right"/>
              <w:rPr>
                <w:rFonts w:cs="Segoe UI"/>
                <w:i/>
                <w:sz w:val="16"/>
                <w:szCs w:val="16"/>
              </w:rPr>
            </w:pPr>
            <w:r w:rsidRPr="00285300">
              <w:rPr>
                <w:rFonts w:cs="Segoe UI"/>
                <w:b/>
                <w:bCs/>
                <w:i/>
                <w:sz w:val="16"/>
                <w:szCs w:val="16"/>
              </w:rPr>
              <w:t>(408)</w:t>
            </w:r>
          </w:p>
        </w:tc>
        <w:tc>
          <w:tcPr>
            <w:tcW w:w="373" w:type="pct"/>
            <w:vAlign w:val="center"/>
          </w:tcPr>
          <w:p w14:paraId="348FB430" w14:textId="77777777" w:rsidR="00AE716B" w:rsidRPr="00285300" w:rsidRDefault="00AE716B" w:rsidP="00BB314F">
            <w:pPr>
              <w:spacing w:after="0"/>
              <w:jc w:val="right"/>
              <w:rPr>
                <w:rFonts w:cs="Segoe UI"/>
                <w:i/>
                <w:sz w:val="16"/>
                <w:szCs w:val="16"/>
              </w:rPr>
            </w:pPr>
            <w:r w:rsidRPr="00285300">
              <w:rPr>
                <w:rFonts w:cs="Segoe UI"/>
                <w:i/>
                <w:sz w:val="16"/>
                <w:szCs w:val="16"/>
              </w:rPr>
              <w:t>325</w:t>
            </w:r>
          </w:p>
          <w:p w14:paraId="0800622B" w14:textId="77777777" w:rsidR="00AE716B" w:rsidRPr="00285300" w:rsidRDefault="00AE716B" w:rsidP="00BB314F">
            <w:pPr>
              <w:spacing w:after="0"/>
              <w:jc w:val="right"/>
              <w:rPr>
                <w:rFonts w:cs="Segoe UI"/>
                <w:b/>
                <w:bCs/>
                <w:sz w:val="16"/>
                <w:szCs w:val="16"/>
              </w:rPr>
            </w:pPr>
            <w:r w:rsidRPr="00285300">
              <w:rPr>
                <w:rFonts w:cs="Segoe UI"/>
                <w:b/>
                <w:bCs/>
                <w:i/>
                <w:sz w:val="16"/>
                <w:szCs w:val="16"/>
              </w:rPr>
              <w:t>(588)</w:t>
            </w:r>
          </w:p>
        </w:tc>
        <w:tc>
          <w:tcPr>
            <w:tcW w:w="363" w:type="pct"/>
            <w:vAlign w:val="center"/>
          </w:tcPr>
          <w:p w14:paraId="11C2BF1A" w14:textId="77777777" w:rsidR="00AE716B" w:rsidRPr="00285300" w:rsidRDefault="00AE716B" w:rsidP="00BB314F">
            <w:pPr>
              <w:spacing w:after="0"/>
              <w:jc w:val="right"/>
              <w:rPr>
                <w:rFonts w:cs="Segoe UI"/>
                <w:sz w:val="16"/>
                <w:szCs w:val="16"/>
              </w:rPr>
            </w:pPr>
            <w:r w:rsidRPr="00285300">
              <w:rPr>
                <w:rFonts w:cs="Segoe UI"/>
                <w:sz w:val="16"/>
                <w:szCs w:val="16"/>
              </w:rPr>
              <w:t>375</w:t>
            </w:r>
          </w:p>
          <w:p w14:paraId="7729F3C0" w14:textId="77777777" w:rsidR="00AE716B" w:rsidRPr="00285300" w:rsidRDefault="00AE716B" w:rsidP="00BB314F">
            <w:pPr>
              <w:spacing w:after="0"/>
              <w:ind w:left="-96"/>
              <w:jc w:val="right"/>
              <w:rPr>
                <w:rFonts w:cs="Segoe UI"/>
                <w:b/>
                <w:bCs/>
                <w:i/>
                <w:sz w:val="16"/>
                <w:szCs w:val="16"/>
              </w:rPr>
            </w:pPr>
            <w:r w:rsidRPr="00285300">
              <w:rPr>
                <w:rFonts w:cs="Segoe UI"/>
                <w:b/>
                <w:bCs/>
                <w:i/>
                <w:sz w:val="16"/>
                <w:szCs w:val="16"/>
              </w:rPr>
              <w:t>(755)</w:t>
            </w:r>
          </w:p>
        </w:tc>
      </w:tr>
    </w:tbl>
    <w:p w14:paraId="01E17F2B" w14:textId="77777777" w:rsidR="00AE716B" w:rsidRDefault="00AE716B" w:rsidP="00AE716B">
      <w:pPr>
        <w:spacing w:after="0" w:line="240" w:lineRule="auto"/>
        <w:rPr>
          <w:rFonts w:eastAsia="Calibri" w:cs="Times New Roman"/>
          <w:i/>
          <w:color w:val="1F497D"/>
          <w:sz w:val="16"/>
        </w:rPr>
      </w:pPr>
      <w:r>
        <w:rPr>
          <w:rFonts w:eastAsia="Calibri" w:cs="Times New Roman"/>
          <w:i/>
          <w:color w:val="1F497D"/>
          <w:sz w:val="16"/>
        </w:rPr>
        <w:t xml:space="preserve">Zdroj: MF SR. </w:t>
      </w:r>
    </w:p>
    <w:p w14:paraId="42D840FB" w14:textId="77777777" w:rsidR="00AE716B" w:rsidRPr="00285300" w:rsidRDefault="00AE716B" w:rsidP="00AE716B">
      <w:pPr>
        <w:spacing w:line="240" w:lineRule="auto"/>
        <w:rPr>
          <w:rFonts w:eastAsia="Calibri" w:cs="Times New Roman"/>
          <w:i/>
          <w:color w:val="1F497D"/>
          <w:sz w:val="16"/>
        </w:rPr>
      </w:pPr>
      <w:r w:rsidRPr="00285300">
        <w:rPr>
          <w:rFonts w:eastAsia="Calibri" w:cs="Times New Roman"/>
          <w:i/>
          <w:color w:val="1F497D"/>
          <w:sz w:val="16"/>
        </w:rPr>
        <w:t>Poznámka: Kurzívou časť za ostatné výdavky.</w:t>
      </w:r>
    </w:p>
    <w:p w14:paraId="6E8887C7" w14:textId="46E6F016" w:rsidR="005D7577" w:rsidRPr="00285300" w:rsidRDefault="005D7577" w:rsidP="005D7577">
      <w:pPr>
        <w:rPr>
          <w:rFonts w:eastAsia="Times New Roman" w:cs="Segoe UI"/>
          <w:szCs w:val="20"/>
        </w:rPr>
      </w:pPr>
      <w:r w:rsidRPr="00285300">
        <w:rPr>
          <w:rFonts w:eastAsia="Times New Roman" w:cs="Segoe UI"/>
          <w:b/>
          <w:bCs/>
          <w:szCs w:val="20"/>
        </w:rPr>
        <w:t>Najvýznamnejšou rozpočtovou rezervou vo výške 245 mil. eur je rezerva na riešenie negatívnych vplyvov vývoja rozpočtového hospodárenia.</w:t>
      </w:r>
      <w:r w:rsidRPr="00285300">
        <w:rPr>
          <w:rFonts w:eastAsia="Times New Roman" w:cs="Segoe UI"/>
          <w:szCs w:val="20"/>
        </w:rPr>
        <w:t xml:space="preserve"> Táto rezerva je určená predovšetkým na krytie nevyhnutných a nepredvídaných výdavkov</w:t>
      </w:r>
      <w:r w:rsidR="006032B6">
        <w:rPr>
          <w:rFonts w:eastAsia="Times New Roman" w:cs="Segoe UI"/>
          <w:szCs w:val="20"/>
        </w:rPr>
        <w:t xml:space="preserve"> spôsobených</w:t>
      </w:r>
      <w:r w:rsidRPr="00285300">
        <w:rPr>
          <w:rFonts w:eastAsia="Times New Roman" w:cs="Segoe UI"/>
          <w:szCs w:val="20"/>
        </w:rPr>
        <w:t xml:space="preserve"> najmä externými makroekonomickými vplyvmi. Druhou rozpočtovou rezervou vo výške 21 mil. eur je rezerva na riešenie krízových situácií mimo času vojny a vojnového stavu a vykonávanie povodňových prác tvorená v zmysle zákona o rozpočtových pravidlách verejnej správy (523/2004 Z. z.), podľa zákona o riadení štátu v krízových situáciách mimo času vojny a vojnového stavu (387/2002 Z. z.) a zákona ochrane pred povodňami (7/2010 Z. z.). </w:t>
      </w:r>
    </w:p>
    <w:p w14:paraId="06CDBE41" w14:textId="5DDC9B83" w:rsidR="005D7577" w:rsidRPr="00285300" w:rsidRDefault="005D7577" w:rsidP="005D7577">
      <w:pPr>
        <w:rPr>
          <w:rFonts w:eastAsia="Times New Roman" w:cs="Segoe UI"/>
          <w:b/>
          <w:bCs/>
          <w:szCs w:val="20"/>
        </w:rPr>
      </w:pPr>
      <w:r w:rsidRPr="00285300">
        <w:rPr>
          <w:rFonts w:eastAsia="Times New Roman" w:cs="Segoe UI"/>
          <w:b/>
          <w:bCs/>
          <w:szCs w:val="20"/>
        </w:rPr>
        <w:t>Novelizáciu rozpočtových pravidiel v roku 2024 sa niektoré položky spadajúce pod rezervy začali vykazovať pod výdavkami</w:t>
      </w:r>
      <w:r w:rsidR="0032471C">
        <w:rPr>
          <w:rFonts w:eastAsia="Times New Roman" w:cs="Segoe UI"/>
          <w:b/>
          <w:bCs/>
          <w:szCs w:val="20"/>
        </w:rPr>
        <w:t>,</w:t>
      </w:r>
      <w:r w:rsidRPr="00285300">
        <w:rPr>
          <w:rFonts w:eastAsia="Times New Roman" w:cs="Segoe UI"/>
          <w:b/>
          <w:bCs/>
          <w:szCs w:val="20"/>
        </w:rPr>
        <w:t xml:space="preserve"> ako napríklad rezervy/výdavky na mzdy a poistné alebo rezervy/výdavky na riešenie vplyvov legislatívnych zmien.</w:t>
      </w:r>
      <w:r w:rsidRPr="00285300">
        <w:rPr>
          <w:rFonts w:eastAsia="Times New Roman" w:cs="Segoe UI"/>
          <w:szCs w:val="20"/>
        </w:rPr>
        <w:t xml:space="preserve"> Výdavky na mzdy a poistné sú medziročne rozpočtované o 446 mil. eur nižšie, vo výške 79 mil. eur. Oproti predchádzajúcemu roku nezahŕňajú plošnú valorizáciu platov a z osobných výdavkov sem patrí krytie zvýšených platov sudcov, prokurátorov a ústavných činiteľov a tiež odchodné a odstupné v zmysle príslušných zákonných nárokov. Výdavky na riešenie vplyvov legislatívnych zmien sú na úrovni predchádzajúceho roka vo výške 52 mil. eur a predpokladá sa ich využitie v nadväznosti na úpravu nariadenia vlády týkajúcu sa príspevku na opatrovanie, financovanie sociálnych služieb či osobnú asistenciu. Výdavky na realizáciu súdnych a exekučných rozhodnutí sa rozpočtujú </w:t>
      </w:r>
      <w:r w:rsidR="0032471C">
        <w:rPr>
          <w:rFonts w:eastAsia="Times New Roman" w:cs="Segoe UI"/>
          <w:szCs w:val="20"/>
        </w:rPr>
        <w:t>vo výške</w:t>
      </w:r>
      <w:r w:rsidRPr="00285300">
        <w:rPr>
          <w:rFonts w:eastAsia="Times New Roman" w:cs="Segoe UI"/>
          <w:szCs w:val="20"/>
        </w:rPr>
        <w:t xml:space="preserve"> 10 mil. eur, pričom v posledných rokoch sa čerpajú v minimálnej výške. Tieto výdavky sú určené predovšetkým na plnenia v nadväznosti na rozhodnutia Európskeho súdu pre ľudské práva. </w:t>
      </w:r>
      <w:r w:rsidRPr="00285300">
        <w:rPr>
          <w:rFonts w:eastAsia="Times New Roman" w:cs="Segoe UI"/>
          <w:b/>
          <w:bCs/>
          <w:szCs w:val="20"/>
        </w:rPr>
        <w:t xml:space="preserve">NKÚ SR dlhodobo pozorne sleduje hospodárenie s rezervami a celkovo fungovanie kapitoly VPS vo vzťahu k efektívnosti a transparentnosti rozpočtového procesu. </w:t>
      </w:r>
    </w:p>
    <w:p w14:paraId="43E5E71E" w14:textId="31F0ACF9" w:rsidR="00D36B99" w:rsidRPr="007E630A" w:rsidRDefault="00D36B99" w:rsidP="00D36B99">
      <w:pPr>
        <w:pStyle w:val="Nadpis1"/>
        <w:pageBreakBefore/>
        <w:ind w:left="360" w:hanging="360"/>
        <w:jc w:val="left"/>
      </w:pPr>
      <w:bookmarkStart w:id="40" w:name="_Toc211249090"/>
      <w:r w:rsidRPr="007E630A">
        <w:lastRenderedPageBreak/>
        <w:t xml:space="preserve">Riziká </w:t>
      </w:r>
      <w:r>
        <w:t>rozpočtovania pri dosahovaní najvýznamnejších cieľov</w:t>
      </w:r>
      <w:bookmarkEnd w:id="38"/>
      <w:bookmarkEnd w:id="39"/>
      <w:bookmarkEnd w:id="40"/>
    </w:p>
    <w:p w14:paraId="7825D5E8" w14:textId="7105009A" w:rsidR="00D36B99" w:rsidRPr="000C763A" w:rsidRDefault="00D36B99" w:rsidP="00D36B99">
      <w:r w:rsidRPr="000C763A">
        <w:t>Rok 202</w:t>
      </w:r>
      <w:r w:rsidR="00A51D9E">
        <w:t>6</w:t>
      </w:r>
      <w:r w:rsidRPr="000C763A">
        <w:t xml:space="preserve"> je </w:t>
      </w:r>
      <w:r w:rsidR="00A51D9E">
        <w:t>tretím</w:t>
      </w:r>
      <w:r w:rsidRPr="000C763A">
        <w:t xml:space="preserve"> rokom, v ktorom bude vláda SR napĺňať svoje programové vyhlásenie na roky 2023 – 2027.</w:t>
      </w:r>
      <w:r w:rsidRPr="000C763A">
        <w:rPr>
          <w:rStyle w:val="Odkaznapoznmkupodiarou"/>
        </w:rPr>
        <w:footnoteReference w:id="59"/>
      </w:r>
      <w:r w:rsidRPr="000C763A">
        <w:t xml:space="preserve"> </w:t>
      </w:r>
      <w:r w:rsidR="005D0892">
        <w:t>Z</w:t>
      </w:r>
      <w:r w:rsidRPr="000C763A">
        <w:t xml:space="preserve">amerali </w:t>
      </w:r>
      <w:r w:rsidR="005D0892">
        <w:t xml:space="preserve">sme sa preto </w:t>
      </w:r>
      <w:r w:rsidRPr="000C763A">
        <w:t xml:space="preserve">na to, či sú programy financované zo ŠR naviazané na plnenie </w:t>
      </w:r>
      <w:r w:rsidR="005D0892">
        <w:t xml:space="preserve">najvýznamnejších </w:t>
      </w:r>
      <w:r w:rsidRPr="000C763A">
        <w:t>cieľov PVV vo vybraných oblastiach</w:t>
      </w:r>
      <w:r w:rsidR="00FA3668" w:rsidRPr="000C763A">
        <w:t xml:space="preserve"> verejných politík</w:t>
      </w:r>
      <w:r w:rsidRPr="000C763A">
        <w:t>. Identifikovali sme tak riziká, ktoré súvisia s reálnosťou splnenia jednotlivých cieľov v kontexte navrhnutého rozpočtu na rok 202</w:t>
      </w:r>
      <w:r w:rsidR="00A51D9E">
        <w:t>6</w:t>
      </w:r>
      <w:r w:rsidRPr="000C763A">
        <w:t>.</w:t>
      </w:r>
    </w:p>
    <w:p w14:paraId="09C7B47D" w14:textId="08802CF2" w:rsidR="00AC1187" w:rsidRDefault="00D36B99" w:rsidP="00AC1187">
      <w:pPr>
        <w:spacing w:before="60" w:after="60"/>
      </w:pPr>
      <w:r w:rsidRPr="000C763A">
        <w:t xml:space="preserve">Bližšie sme sa venovali </w:t>
      </w:r>
      <w:r w:rsidR="00342619" w:rsidRPr="000C763A">
        <w:t xml:space="preserve">tým </w:t>
      </w:r>
      <w:r w:rsidRPr="000C763A">
        <w:t xml:space="preserve">oblastiam verejných politík, ktoré sú </w:t>
      </w:r>
      <w:r w:rsidR="005D0892">
        <w:t>aj strategickými</w:t>
      </w:r>
      <w:r w:rsidR="007A35C9" w:rsidRPr="000C763A">
        <w:t xml:space="preserve"> </w:t>
      </w:r>
      <w:r w:rsidRPr="000C763A">
        <w:t>prioritami kontrolnej činnosti NKÚ SR</w:t>
      </w:r>
      <w:r w:rsidR="001F78F5" w:rsidRPr="000C763A">
        <w:t xml:space="preserve"> a v ktorých identifikujeme</w:t>
      </w:r>
      <w:r w:rsidR="009E736A">
        <w:t xml:space="preserve"> najväčšie objemy plánovaných investícií či</w:t>
      </w:r>
      <w:r w:rsidR="001F78F5" w:rsidRPr="000C763A">
        <w:t xml:space="preserve"> dlhodobé zaostávanie Slovenska resp. systémové problémy</w:t>
      </w:r>
      <w:r w:rsidRPr="000C763A">
        <w:t xml:space="preserve"> – zdravotníctvo, </w:t>
      </w:r>
      <w:r w:rsidR="009E736A">
        <w:t>sociálne politiky, obrana</w:t>
      </w:r>
      <w:r w:rsidR="00342619" w:rsidRPr="000C763A">
        <w:t xml:space="preserve"> a životné prostredie</w:t>
      </w:r>
      <w:r w:rsidRPr="000C763A">
        <w:t>.</w:t>
      </w:r>
      <w:r w:rsidR="00AC1187" w:rsidRPr="00AC1187">
        <w:t xml:space="preserve"> </w:t>
      </w:r>
      <w:r w:rsidR="00AC1187">
        <w:t xml:space="preserve">Na tieto </w:t>
      </w:r>
      <w:r w:rsidR="009E736A">
        <w:t>štyri</w:t>
      </w:r>
      <w:r w:rsidR="00AC1187">
        <w:t xml:space="preserve"> oblasti sú v návrhu rozpočtu </w:t>
      </w:r>
      <w:r w:rsidR="00AC1187" w:rsidRPr="000A2A24">
        <w:t xml:space="preserve">vyčlenené prostriedky v celkovom objeme </w:t>
      </w:r>
      <w:r w:rsidR="000A2A24" w:rsidRPr="000A2A24">
        <w:t>34,8</w:t>
      </w:r>
      <w:r w:rsidR="00AC1187" w:rsidRPr="000A2A24">
        <w:t xml:space="preserve"> mld. eur, čo predstavuje viac ako </w:t>
      </w:r>
      <w:r w:rsidR="000A2A24" w:rsidRPr="000A2A24">
        <w:t>polovicu</w:t>
      </w:r>
      <w:r w:rsidR="00AC1187" w:rsidRPr="000A2A24">
        <w:t xml:space="preserve"> celkových verejných výdavkov</w:t>
      </w:r>
      <w:r w:rsidR="00AC1187">
        <w:t xml:space="preserve"> rozpočtovaných na rok 202</w:t>
      </w:r>
      <w:r w:rsidR="009E736A">
        <w:t>6</w:t>
      </w:r>
      <w:r w:rsidR="00AC1187">
        <w:t>.</w:t>
      </w:r>
    </w:p>
    <w:p w14:paraId="41925747" w14:textId="78E21A6F" w:rsidR="00D36B99" w:rsidRDefault="009A14AE" w:rsidP="00440621">
      <w:pPr>
        <w:pStyle w:val="Nadpis2"/>
      </w:pPr>
      <w:bookmarkStart w:id="41" w:name="_Toc86396380"/>
      <w:bookmarkStart w:id="42" w:name="_Toc119482911"/>
      <w:r>
        <w:t xml:space="preserve"> </w:t>
      </w:r>
      <w:bookmarkStart w:id="43" w:name="_Toc211249091"/>
      <w:r w:rsidR="00B829E1">
        <w:t>Sociálne politiky</w:t>
      </w:r>
      <w:bookmarkEnd w:id="41"/>
      <w:bookmarkEnd w:id="42"/>
      <w:bookmarkEnd w:id="43"/>
    </w:p>
    <w:p w14:paraId="7166946D" w14:textId="256A442D" w:rsidR="00596F88" w:rsidRDefault="00596F88" w:rsidP="00596F88">
      <w:r>
        <w:t>V sociálnych politikách dominuje podpora rodiny a dôchodkový systém. Obidve časti sú vzájomne previazané a úspešná politika štátu v podpore rodín s deťmi určuje budúci vývoj a spôsob zvládnutia narastajúcich výdavkov na dôchodky a tým aj úroveň verejných financií a ich udržateľnosť.</w:t>
      </w:r>
    </w:p>
    <w:p w14:paraId="0759014D" w14:textId="151D01B9" w:rsidR="00596F88" w:rsidRDefault="009A14AE" w:rsidP="00596F88">
      <w:pPr>
        <w:pStyle w:val="Nadpis3"/>
      </w:pPr>
      <w:r>
        <w:t xml:space="preserve"> </w:t>
      </w:r>
      <w:r w:rsidR="00596F88">
        <w:t xml:space="preserve"> </w:t>
      </w:r>
      <w:bookmarkStart w:id="44" w:name="_Toc211249092"/>
      <w:r w:rsidR="00596F88">
        <w:t>Výdavky v sociálnej oblasti</w:t>
      </w:r>
      <w:bookmarkEnd w:id="44"/>
    </w:p>
    <w:p w14:paraId="7C93A96E" w14:textId="27F9CCBF" w:rsidR="00596F88" w:rsidRPr="004F216F" w:rsidRDefault="00596F88" w:rsidP="00596F88">
      <w:r>
        <w:t xml:space="preserve">Na rok 2026 </w:t>
      </w:r>
      <w:r w:rsidR="003D32ED">
        <w:t xml:space="preserve">sú </w:t>
      </w:r>
      <w:r>
        <w:t xml:space="preserve">na sociálne politiky a na podporu zamestnanosti rozpočtované výdavky v celkovej výške 19 609,2 mil. eur, medziročne o 3 mil. eur menej. Z celkových výdavkov </w:t>
      </w:r>
      <w:r w:rsidR="003D32ED">
        <w:t>RVS</w:t>
      </w:r>
      <w:r>
        <w:t xml:space="preserve"> predstavujú 28,9 %. Podstatnú časť z nich tvoria výdavky Sociálnej poisťovne v sume 15 145,5 mil. eur, ktoré sa medziročne zvýšili o </w:t>
      </w:r>
      <w:r w:rsidR="00CC2DFA">
        <w:t>2</w:t>
      </w:r>
      <w:r>
        <w:t>,</w:t>
      </w:r>
      <w:r w:rsidR="00CC2DFA">
        <w:t>5</w:t>
      </w:r>
      <w:r>
        <w:t xml:space="preserve"> %, t.</w:t>
      </w:r>
      <w:r w:rsidR="003D32ED">
        <w:t xml:space="preserve"> </w:t>
      </w:r>
      <w:r>
        <w:t>j. o 366 mil. eur, pričom rozhodujúce sú dôchodkové dávky s 88 % podielom. Rozpočet rezortu práce počíta s výdavkami vo výške 4 461,4 mil. eur, ktoré sú nižšie o 7,6 %, t.</w:t>
      </w:r>
      <w:r w:rsidR="003D32ED">
        <w:t xml:space="preserve"> </w:t>
      </w:r>
      <w:r>
        <w:t>j. o 369,5 mil. eur oproti minuloročnému rozpočtu. Dominujú výdavky na sociálnu inklúziu, ktoré tvoria 83,1 %, nasleduje podpora zamestnanosti s 10,3 % a ostatné programy tvoria 6,6 % (graf</w:t>
      </w:r>
      <w:r w:rsidR="000D40A9">
        <w:t xml:space="preserve"> 27</w:t>
      </w:r>
      <w:r>
        <w:t>).</w:t>
      </w:r>
    </w:p>
    <w:tbl>
      <w:tblPr>
        <w:tblStyle w:val="Mriekatabuky"/>
        <w:tblW w:w="516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690"/>
        <w:gridCol w:w="4681"/>
      </w:tblGrid>
      <w:tr w:rsidR="008F16D1" w14:paraId="67071763" w14:textId="77777777" w:rsidTr="00BB314F">
        <w:trPr>
          <w:trHeight w:val="271"/>
        </w:trPr>
        <w:tc>
          <w:tcPr>
            <w:tcW w:w="4690" w:type="dxa"/>
            <w:tcBorders>
              <w:bottom w:val="single" w:sz="4" w:space="0" w:color="314364"/>
            </w:tcBorders>
          </w:tcPr>
          <w:p w14:paraId="350B72C5" w14:textId="77777777" w:rsidR="008F16D1" w:rsidRPr="00A63D03" w:rsidRDefault="008F16D1" w:rsidP="00BB314F">
            <w:pPr>
              <w:pStyle w:val="Popis"/>
              <w:keepNext/>
              <w:ind w:right="150"/>
              <w:jc w:val="left"/>
              <w:rPr>
                <w:noProof/>
                <w:lang w:eastAsia="sk-SK"/>
              </w:rPr>
            </w:pPr>
            <w:r w:rsidRPr="00A63D03">
              <w:rPr>
                <w:color w:val="314364"/>
              </w:rPr>
              <w:t xml:space="preserve">Graf </w:t>
            </w:r>
            <w:r>
              <w:rPr>
                <w:color w:val="314364"/>
              </w:rPr>
              <w:t>27</w:t>
            </w:r>
            <w:r w:rsidRPr="00A63D03">
              <w:rPr>
                <w:color w:val="314364"/>
              </w:rPr>
              <w:t xml:space="preserve">: </w:t>
            </w:r>
            <w:r>
              <w:rPr>
                <w:color w:val="314364"/>
              </w:rPr>
              <w:t xml:space="preserve">Výdavky MPSVR SR na programy v rokoch </w:t>
            </w:r>
            <w:r w:rsidRPr="00A63D03">
              <w:rPr>
                <w:iCs w:val="0"/>
                <w:color w:val="314364"/>
              </w:rPr>
              <w:t>20</w:t>
            </w:r>
            <w:r>
              <w:rPr>
                <w:iCs w:val="0"/>
                <w:color w:val="314364"/>
              </w:rPr>
              <w:t xml:space="preserve">23 až </w:t>
            </w:r>
            <w:r>
              <w:rPr>
                <w:color w:val="314364"/>
              </w:rPr>
              <w:t>2028 (v mil. eur)</w:t>
            </w:r>
          </w:p>
        </w:tc>
        <w:tc>
          <w:tcPr>
            <w:tcW w:w="4682" w:type="dxa"/>
            <w:tcBorders>
              <w:bottom w:val="single" w:sz="4" w:space="0" w:color="314364"/>
            </w:tcBorders>
          </w:tcPr>
          <w:p w14:paraId="133EB088" w14:textId="77777777" w:rsidR="008F16D1" w:rsidRPr="00545626" w:rsidRDefault="008F16D1" w:rsidP="00BB314F">
            <w:pPr>
              <w:spacing w:after="0"/>
              <w:jc w:val="left"/>
              <w:rPr>
                <w:b/>
                <w:iCs/>
                <w:color w:val="314364"/>
                <w:szCs w:val="18"/>
              </w:rPr>
            </w:pPr>
            <w:r w:rsidRPr="00545626">
              <w:rPr>
                <w:b/>
                <w:color w:val="314364"/>
              </w:rPr>
              <w:t xml:space="preserve">Graf </w:t>
            </w:r>
            <w:r>
              <w:rPr>
                <w:b/>
                <w:color w:val="314364"/>
              </w:rPr>
              <w:t>28</w:t>
            </w:r>
            <w:r w:rsidRPr="00545626">
              <w:rPr>
                <w:b/>
                <w:color w:val="314364"/>
              </w:rPr>
              <w:t>:</w:t>
            </w:r>
            <w:r>
              <w:rPr>
                <w:color w:val="314364"/>
              </w:rPr>
              <w:t xml:space="preserve"> </w:t>
            </w:r>
            <w:r w:rsidRPr="00CA0E12">
              <w:rPr>
                <w:b/>
                <w:color w:val="314364"/>
              </w:rPr>
              <w:t xml:space="preserve">Výdavky MPSVR SR na podporu rodiny v rokoch 2023 až 2028 </w:t>
            </w:r>
            <w:r>
              <w:rPr>
                <w:b/>
                <w:color w:val="314364"/>
              </w:rPr>
              <w:t>(</w:t>
            </w:r>
            <w:r w:rsidRPr="00CA0E12">
              <w:rPr>
                <w:b/>
                <w:color w:val="314364"/>
              </w:rPr>
              <w:t>v mil. eur</w:t>
            </w:r>
            <w:r>
              <w:rPr>
                <w:b/>
                <w:color w:val="314364"/>
              </w:rPr>
              <w:t>)</w:t>
            </w:r>
          </w:p>
        </w:tc>
      </w:tr>
      <w:tr w:rsidR="008F16D1" w:rsidRPr="00C75134" w14:paraId="5D806750" w14:textId="77777777" w:rsidTr="00BB314F">
        <w:trPr>
          <w:trHeight w:val="1505"/>
        </w:trPr>
        <w:tc>
          <w:tcPr>
            <w:tcW w:w="9372" w:type="dxa"/>
            <w:gridSpan w:val="2"/>
            <w:tcBorders>
              <w:top w:val="single" w:sz="4" w:space="0" w:color="314364"/>
              <w:bottom w:val="single" w:sz="4" w:space="0" w:color="314364"/>
            </w:tcBorders>
            <w:vAlign w:val="center"/>
          </w:tcPr>
          <w:p w14:paraId="161923D5" w14:textId="77777777" w:rsidR="008F16D1" w:rsidRPr="00C75134" w:rsidRDefault="008F16D1" w:rsidP="00BB314F">
            <w:pPr>
              <w:spacing w:after="0"/>
              <w:jc w:val="center"/>
              <w:rPr>
                <w:b/>
                <w:color w:val="576431"/>
              </w:rPr>
            </w:pPr>
            <w:r>
              <w:rPr>
                <w:noProof/>
                <w:lang w:eastAsia="sk-SK"/>
              </w:rPr>
              <w:drawing>
                <wp:inline distT="0" distB="0" distL="0" distR="0" wp14:anchorId="32760559" wp14:editId="74B8001F">
                  <wp:extent cx="2872740" cy="1874520"/>
                  <wp:effectExtent l="0" t="0" r="3810" b="0"/>
                  <wp:docPr id="22" name="Graf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noProof/>
                <w:lang w:eastAsia="sk-SK"/>
              </w:rPr>
              <w:t xml:space="preserve"> </w:t>
            </w:r>
            <w:r>
              <w:rPr>
                <w:noProof/>
                <w:lang w:eastAsia="sk-SK"/>
              </w:rPr>
              <w:drawing>
                <wp:inline distT="0" distB="0" distL="0" distR="0" wp14:anchorId="51E98877" wp14:editId="072529F5">
                  <wp:extent cx="2880360" cy="1859280"/>
                  <wp:effectExtent l="0" t="0" r="0" b="7620"/>
                  <wp:docPr id="23" name="Graf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bl>
    <w:p w14:paraId="2208461A" w14:textId="77777777" w:rsidR="008F16D1" w:rsidRPr="00990206" w:rsidRDefault="008F16D1" w:rsidP="008F16D1">
      <w:pPr>
        <w:spacing w:line="240" w:lineRule="auto"/>
        <w:jc w:val="left"/>
        <w:rPr>
          <w:i/>
          <w:color w:val="314364" w:themeColor="text2"/>
          <w:sz w:val="16"/>
        </w:rPr>
      </w:pPr>
      <w:r w:rsidRPr="00990206">
        <w:rPr>
          <w:i/>
          <w:color w:val="314364" w:themeColor="text2"/>
          <w:sz w:val="16"/>
        </w:rPr>
        <w:t xml:space="preserve">Zdroj: </w:t>
      </w:r>
      <w:r>
        <w:rPr>
          <w:i/>
          <w:color w:val="314364" w:themeColor="text2"/>
          <w:sz w:val="16"/>
        </w:rPr>
        <w:t>MPSVR SR</w:t>
      </w:r>
      <w:r>
        <w:rPr>
          <w:i/>
          <w:color w:val="314364" w:themeColor="text2"/>
          <w:sz w:val="16"/>
          <w:lang w:val="en-US"/>
        </w:rPr>
        <w:t>;</w:t>
      </w:r>
      <w:r w:rsidRPr="00990206">
        <w:rPr>
          <w:i/>
          <w:color w:val="314364" w:themeColor="text2"/>
          <w:sz w:val="16"/>
        </w:rPr>
        <w:t xml:space="preserve"> spracovanie NKÚ SR.</w:t>
      </w:r>
    </w:p>
    <w:p w14:paraId="75D12098" w14:textId="407BD968" w:rsidR="005C70B5" w:rsidRDefault="005C70B5" w:rsidP="005C70B5">
      <w:r w:rsidRPr="003D32ED">
        <w:rPr>
          <w:b/>
          <w:bCs/>
        </w:rPr>
        <w:t>Na budúci rok sa počíta s poklesom výdavkov na sociálnu inklúziu o</w:t>
      </w:r>
      <w:r>
        <w:rPr>
          <w:b/>
          <w:bCs/>
        </w:rPr>
        <w:t xml:space="preserve"> 12,9 % </w:t>
      </w:r>
      <w:r w:rsidR="004D3196" w:rsidRPr="004D3196">
        <w:t xml:space="preserve">(o </w:t>
      </w:r>
      <w:r w:rsidRPr="004D3196">
        <w:t>548,5 mil. eur</w:t>
      </w:r>
      <w:r w:rsidR="004D3196" w:rsidRPr="004D3196">
        <w:t>)</w:t>
      </w:r>
      <w:r w:rsidRPr="003D32ED">
        <w:rPr>
          <w:b/>
          <w:bCs/>
        </w:rPr>
        <w:t>.</w:t>
      </w:r>
      <w:r>
        <w:t xml:space="preserve"> Dôvodom je poistné platené štátom za vybrané skupiny osôb, ktoré zaniká a následne vo forme transferu z kapitoly VPS bude použité na dofinancovanie rozpočtu SP. Príspevok na zvýšenú splátku úveru na </w:t>
      </w:r>
      <w:r>
        <w:lastRenderedPageBreak/>
        <w:t>bývanie, ktorý si do konca roku 2025 vyžiada 37 mil. eur, nie je na budúci rok rozpočtovaný. Na strane druhej sa zvýšia výdavky kapitoly na kompenzáciu sociálnych dôsledkov ŤZP o 11,1 % na sumu 993,4 mil. eur z dôvodu zvýšenia peňažného príspevku na opatrovanie a príspevku na osobnú asistenciu od júla 2025.</w:t>
      </w:r>
    </w:p>
    <w:p w14:paraId="6EE7F69F" w14:textId="485B00DC" w:rsidR="00596F88" w:rsidRDefault="00596F88" w:rsidP="00596F88">
      <w:r w:rsidRPr="007A742F">
        <w:rPr>
          <w:b/>
          <w:bCs/>
        </w:rPr>
        <w:t>V podpore rodiny sa rozpočtujú celkové výdavky v sume 1 744,4 mil. eur, ktoré budú medziročne nižšie o</w:t>
      </w:r>
      <w:r w:rsidR="007A742F">
        <w:rPr>
          <w:b/>
          <w:bCs/>
        </w:rPr>
        <w:t xml:space="preserve"> 5,9 %, resp. o </w:t>
      </w:r>
      <w:r w:rsidRPr="007A742F">
        <w:rPr>
          <w:b/>
          <w:bCs/>
        </w:rPr>
        <w:t xml:space="preserve">109,5 mil. eur </w:t>
      </w:r>
      <w:r w:rsidRPr="007A742F">
        <w:t>(graf</w:t>
      </w:r>
      <w:r w:rsidR="000D40A9">
        <w:t xml:space="preserve"> 28</w:t>
      </w:r>
      <w:r w:rsidRPr="007A742F">
        <w:t>)</w:t>
      </w:r>
      <w:r w:rsidRPr="007A742F">
        <w:rPr>
          <w:b/>
          <w:bCs/>
        </w:rPr>
        <w:t>.</w:t>
      </w:r>
      <w:r>
        <w:t xml:space="preserve">  </w:t>
      </w:r>
      <w:r w:rsidR="000A2A24">
        <w:t xml:space="preserve">Znížia sa </w:t>
      </w:r>
      <w:r>
        <w:t>výdavk</w:t>
      </w:r>
      <w:r w:rsidR="000A2A24">
        <w:t>y</w:t>
      </w:r>
      <w:r>
        <w:t xml:space="preserve"> na štátne sociálne dávky ako je prídavok na dieťa o 4,6 mil. eur (825,4 mil. eur), rodičovský príspevok o 93,5 mil. eur (688,9 mil. eur) a príspevok pri narodení dieťaťa o takmer 6 mil. eur (34,1 mil. eur), </w:t>
      </w:r>
      <w:r w:rsidR="000A2A24">
        <w:t>Tento pokles výdavkov s</w:t>
      </w:r>
      <w:r>
        <w:t xml:space="preserve">úvisí s poklesom počtu novonarodených detí a naznačuje nepriaznivý demografický vývoj. Výdavky na podporu výchovy k stravovacím návykom dieťaťa budú v sume 185 mil. eur, v porovnaní s minuloročným rozpočtom o 5 mil. eur </w:t>
      </w:r>
      <w:r w:rsidR="00667150">
        <w:t>menej</w:t>
      </w:r>
      <w:r>
        <w:t>.</w:t>
      </w:r>
    </w:p>
    <w:p w14:paraId="21710921" w14:textId="2219963A" w:rsidR="00D20668" w:rsidRDefault="00D20668" w:rsidP="00D20668">
      <w:r w:rsidRPr="00D20668">
        <w:rPr>
          <w:b/>
          <w:bCs/>
        </w:rPr>
        <w:t>NKÚ SR upozorňuje, že rozpočtované prostriedky na aktívnu politiku trhu práce a zvýšenie zamestnateľnosti nepokryjú celkovú potrebu výdavkov na realizáciu aktívnych opatrení trhu práce</w:t>
      </w:r>
      <w:r w:rsidR="002B3942">
        <w:rPr>
          <w:b/>
          <w:bCs/>
        </w:rPr>
        <w:t>.</w:t>
      </w:r>
      <w:r w:rsidRPr="00D20668">
        <w:rPr>
          <w:b/>
          <w:bCs/>
        </w:rPr>
        <w:t xml:space="preserve"> </w:t>
      </w:r>
      <w:r>
        <w:t>Na politiku zamestnanosti sú rozpočtované prostriedky vo výške 56,8 mil. eur</w:t>
      </w:r>
      <w:r w:rsidR="00591C59">
        <w:t>, čo je</w:t>
      </w:r>
      <w:r>
        <w:t xml:space="preserve"> medziročne </w:t>
      </w:r>
      <w:r w:rsidR="00591C59">
        <w:t>menej</w:t>
      </w:r>
      <w:r>
        <w:t xml:space="preserve"> o 7,9 mil. eur.</w:t>
      </w:r>
      <w:r w:rsidR="002B3942" w:rsidRPr="002B3942">
        <w:t xml:space="preserve"> </w:t>
      </w:r>
      <w:r w:rsidR="002B3942">
        <w:t>M</w:t>
      </w:r>
      <w:r w:rsidR="002B3942" w:rsidRPr="002B3942">
        <w:t>nožstvo aktivít</w:t>
      </w:r>
      <w:r w:rsidR="00591C59">
        <w:t>,</w:t>
      </w:r>
      <w:r w:rsidR="002B3942" w:rsidRPr="002B3942">
        <w:t xml:space="preserve"> ako sú rekvalifikácie, vzdelávacie aktivity a podpora zamestnanosti</w:t>
      </w:r>
      <w:r w:rsidR="00591C59">
        <w:t>,</w:t>
      </w:r>
      <w:r w:rsidR="002B3942" w:rsidRPr="002B3942">
        <w:t xml:space="preserve"> sa </w:t>
      </w:r>
      <w:r w:rsidR="002B3942">
        <w:t xml:space="preserve">tak </w:t>
      </w:r>
      <w:r w:rsidR="002B3942" w:rsidRPr="002B3942">
        <w:t>nepodarí zrealizovať.</w:t>
      </w:r>
    </w:p>
    <w:p w14:paraId="34AFE923" w14:textId="14D7D12E" w:rsidR="00596F88" w:rsidRDefault="00596F88" w:rsidP="00596F88">
      <w:pPr>
        <w:pStyle w:val="Nadpis3"/>
      </w:pPr>
      <w:r>
        <w:t xml:space="preserve"> </w:t>
      </w:r>
      <w:r w:rsidR="009A14AE">
        <w:t xml:space="preserve"> </w:t>
      </w:r>
      <w:bookmarkStart w:id="45" w:name="_Toc211249093"/>
      <w:r>
        <w:t>Vybrané rizika sociálnych politík</w:t>
      </w:r>
      <w:bookmarkEnd w:id="45"/>
    </w:p>
    <w:p w14:paraId="5B8FC63F" w14:textId="04C8EC7A" w:rsidR="00596F88" w:rsidRDefault="00596F88" w:rsidP="00596F88">
      <w:r>
        <w:t>Súčasná vláda SR sa v PVV zavia</w:t>
      </w:r>
      <w:r w:rsidR="00C425FA">
        <w:t>za</w:t>
      </w:r>
      <w:r>
        <w:t>la, že v oblasti udržania sociálneho štátu zabezpečí zastavenie ďalšieho prepadávania životnej úrovne občanov SR a obnovenie rastu životnej úrovne na Slovensku, bude efektívne bojovať so zdražovaním a zastaví šírenie chudoby a navráti dôstojnosť do života nízkopríjmových skupín</w:t>
      </w:r>
      <w:r w:rsidR="000E0C95">
        <w:rPr>
          <w:rStyle w:val="Odkaznapoznmkupodiarou"/>
        </w:rPr>
        <w:footnoteReference w:id="60"/>
      </w:r>
      <w:r>
        <w:t>.</w:t>
      </w:r>
    </w:p>
    <w:p w14:paraId="7FD90AEA" w14:textId="4C431886" w:rsidR="005F768F" w:rsidRDefault="005F768F" w:rsidP="005F768F">
      <w:r>
        <w:rPr>
          <w:b/>
        </w:rPr>
        <w:t xml:space="preserve">Napĺňanie </w:t>
      </w:r>
      <w:r w:rsidRPr="00247108">
        <w:rPr>
          <w:b/>
        </w:rPr>
        <w:t>PVV v tejto oblasti</w:t>
      </w:r>
      <w:r>
        <w:rPr>
          <w:b/>
        </w:rPr>
        <w:t xml:space="preserve"> je veľmi ťažké, </w:t>
      </w:r>
      <w:r w:rsidR="009A14AE">
        <w:rPr>
          <w:b/>
        </w:rPr>
        <w:t>keďže</w:t>
      </w:r>
      <w:r>
        <w:rPr>
          <w:b/>
        </w:rPr>
        <w:t xml:space="preserve"> sociálna situácia obyvateľstva na Slovensku sa zhoršuje už od roku 2020.</w:t>
      </w:r>
      <w:r>
        <w:t xml:space="preserve"> </w:t>
      </w:r>
      <w:r>
        <w:rPr>
          <w:bCs/>
        </w:rPr>
        <w:t>P</w:t>
      </w:r>
      <w:r w:rsidRPr="00794C2F">
        <w:rPr>
          <w:bCs/>
        </w:rPr>
        <w:t xml:space="preserve">otvrdzuje </w:t>
      </w:r>
      <w:r>
        <w:rPr>
          <w:bCs/>
        </w:rPr>
        <w:t xml:space="preserve">to vývoj </w:t>
      </w:r>
      <w:r w:rsidRPr="00794C2F">
        <w:rPr>
          <w:bCs/>
        </w:rPr>
        <w:t>mier</w:t>
      </w:r>
      <w:r>
        <w:rPr>
          <w:bCs/>
        </w:rPr>
        <w:t>y</w:t>
      </w:r>
      <w:r w:rsidRPr="00794C2F">
        <w:rPr>
          <w:bCs/>
        </w:rPr>
        <w:t xml:space="preserve"> rizika chudoby alebo sociálneho vylúčenia, ktorá sa </w:t>
      </w:r>
      <w:r>
        <w:rPr>
          <w:bCs/>
        </w:rPr>
        <w:t xml:space="preserve">v roku 2024 medziročne </w:t>
      </w:r>
      <w:r w:rsidRPr="00794C2F">
        <w:rPr>
          <w:bCs/>
        </w:rPr>
        <w:t xml:space="preserve">zvýšila o 0,7 p. b., počet </w:t>
      </w:r>
      <w:r w:rsidR="0042198C">
        <w:rPr>
          <w:bCs/>
        </w:rPr>
        <w:t xml:space="preserve">ohrozených </w:t>
      </w:r>
      <w:r w:rsidRPr="00794C2F">
        <w:rPr>
          <w:bCs/>
        </w:rPr>
        <w:t>chudob</w:t>
      </w:r>
      <w:r w:rsidR="0042198C">
        <w:rPr>
          <w:bCs/>
        </w:rPr>
        <w:t>ou</w:t>
      </w:r>
      <w:r w:rsidRPr="00794C2F">
        <w:rPr>
          <w:bCs/>
        </w:rPr>
        <w:t xml:space="preserve"> dosiahol viac ako 980 tisíc osôb</w:t>
      </w:r>
      <w:r w:rsidRPr="00247108">
        <w:rPr>
          <w:b/>
        </w:rPr>
        <w:t xml:space="preserve"> </w:t>
      </w:r>
      <w:r>
        <w:t>(graf</w:t>
      </w:r>
      <w:r w:rsidR="000D40A9">
        <w:t xml:space="preserve"> 29</w:t>
      </w:r>
      <w:r>
        <w:t xml:space="preserve">). Z regionálneho hľadiska je priepastný rozdiel medzi </w:t>
      </w:r>
      <w:r w:rsidR="000A2A24">
        <w:t>mierou</w:t>
      </w:r>
      <w:r>
        <w:t xml:space="preserve"> chudoby v Prešovskom kraji – 28,0 % (223 974 osôb) a Bratislavskom kraji – 8,6 % (62 274 osôb) a to o 19,4 p. b. Znižovanie chudoby by malo byť dlhodobou prioritou sociálnych politík nielen na národnej úrovni, ale aj na regionálnej, čo sa však nedarí napĺňať. Z pohľadu dimenzií chudoby dominuje miera rizika príjmovej chudoby so 14,5 %, závažná materiálna a sociálna deprivácia dosahuje 7,6 % a miera veľmi nízkej intenzity práce 3,8 %. Aj v jednotlivých dimenziách chudoby je na tom najhoršie práve Prešovský kraj.</w:t>
      </w:r>
    </w:p>
    <w:p w14:paraId="037C32B0" w14:textId="5AB4AF56" w:rsidR="00596F88" w:rsidRDefault="00596F88" w:rsidP="00596F88">
      <w:pPr>
        <w:rPr>
          <w:b/>
          <w:bCs/>
        </w:rPr>
      </w:pPr>
      <w:r w:rsidRPr="00794C2F">
        <w:rPr>
          <w:b/>
          <w:bCs/>
        </w:rPr>
        <w:t>Z hľadiska chudoby medzi najohrozenejšie typy domácnosti patria domácnosti osamelého rodiča s </w:t>
      </w:r>
      <w:r w:rsidR="00794C2F">
        <w:rPr>
          <w:b/>
          <w:bCs/>
        </w:rPr>
        <w:t>jedným</w:t>
      </w:r>
      <w:r w:rsidRPr="00794C2F">
        <w:rPr>
          <w:b/>
          <w:bCs/>
        </w:rPr>
        <w:t xml:space="preserve"> a viac deťmi, tzv. neúpln</w:t>
      </w:r>
      <w:r w:rsidR="00794C2F">
        <w:rPr>
          <w:b/>
          <w:bCs/>
        </w:rPr>
        <w:t>é</w:t>
      </w:r>
      <w:r w:rsidRPr="00794C2F">
        <w:rPr>
          <w:b/>
          <w:bCs/>
        </w:rPr>
        <w:t xml:space="preserve"> domácnosti</w:t>
      </w:r>
      <w:r>
        <w:t xml:space="preserve"> (2024: 37,8 %), domácnosti jednotlivca (2024: 28,3 %) a domácnosti s vyšším počtom závislých detí (2024: 19,5 %)</w:t>
      </w:r>
      <w:r w:rsidR="00CC2DFA">
        <w:rPr>
          <w:rStyle w:val="Odkaznapoznmkupodiarou"/>
        </w:rPr>
        <w:footnoteReference w:id="61"/>
      </w:r>
      <w:r w:rsidRPr="00794C2F">
        <w:rPr>
          <w:b/>
          <w:bCs/>
        </w:rPr>
        <w:t>.</w:t>
      </w:r>
    </w:p>
    <w:p w14:paraId="486ACC0B" w14:textId="77777777" w:rsidR="00BA6E74" w:rsidRPr="00B829E1" w:rsidRDefault="00BA6E74" w:rsidP="00596F88"/>
    <w:p w14:paraId="3FFC7055" w14:textId="77777777" w:rsidR="008F16D1" w:rsidRPr="00990206" w:rsidRDefault="008F16D1" w:rsidP="008F16D1">
      <w:pPr>
        <w:spacing w:after="0"/>
        <w:rPr>
          <w:b/>
          <w:iCs/>
          <w:color w:val="314364"/>
          <w:szCs w:val="18"/>
        </w:rPr>
      </w:pPr>
      <w:r w:rsidRPr="00990206">
        <w:rPr>
          <w:b/>
          <w:iCs/>
          <w:color w:val="314364"/>
          <w:szCs w:val="18"/>
        </w:rPr>
        <w:lastRenderedPageBreak/>
        <w:t xml:space="preserve">Graf </w:t>
      </w:r>
      <w:r>
        <w:rPr>
          <w:b/>
          <w:iCs/>
          <w:color w:val="314364"/>
          <w:szCs w:val="18"/>
        </w:rPr>
        <w:t>29</w:t>
      </w:r>
      <w:r w:rsidRPr="00990206">
        <w:rPr>
          <w:b/>
          <w:iCs/>
          <w:color w:val="314364"/>
          <w:szCs w:val="18"/>
        </w:rPr>
        <w:t xml:space="preserve">: </w:t>
      </w:r>
      <w:r>
        <w:rPr>
          <w:b/>
          <w:iCs/>
          <w:color w:val="314364"/>
          <w:szCs w:val="18"/>
        </w:rPr>
        <w:t>Miera rizika chudoby alebo sociálneho vylúčenia na Slovensku a v EÚ27 v rokoch 2015 až 2024 (</w:t>
      </w:r>
      <w:r w:rsidRPr="00990206">
        <w:rPr>
          <w:b/>
          <w:iCs/>
          <w:color w:val="314364"/>
          <w:szCs w:val="18"/>
        </w:rPr>
        <w:t xml:space="preserve">v </w:t>
      </w:r>
      <w:r>
        <w:rPr>
          <w:b/>
          <w:iCs/>
          <w:color w:val="314364"/>
          <w:szCs w:val="18"/>
        </w:rPr>
        <w:t>%</w:t>
      </w:r>
      <w:r w:rsidRPr="00990206">
        <w:rPr>
          <w:b/>
          <w:iCs/>
          <w:color w:val="314364"/>
          <w:szCs w:val="18"/>
        </w:rPr>
        <w:t>)</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8F16D1" w:rsidRPr="00990206" w14:paraId="69E9C60B" w14:textId="77777777" w:rsidTr="00BB314F">
        <w:trPr>
          <w:trHeight w:val="3118"/>
        </w:trPr>
        <w:tc>
          <w:tcPr>
            <w:tcW w:w="5000" w:type="pct"/>
            <w:tcBorders>
              <w:top w:val="single" w:sz="4" w:space="0" w:color="314364"/>
              <w:bottom w:val="single" w:sz="4" w:space="0" w:color="314364"/>
            </w:tcBorders>
            <w:vAlign w:val="center"/>
          </w:tcPr>
          <w:p w14:paraId="526E3B67" w14:textId="77777777" w:rsidR="008F16D1" w:rsidRPr="00990206" w:rsidRDefault="008F16D1" w:rsidP="00BB314F">
            <w:pPr>
              <w:spacing w:after="0"/>
              <w:rPr>
                <w:b/>
                <w:color w:val="576431"/>
                <w:sz w:val="16"/>
                <w:szCs w:val="16"/>
              </w:rPr>
            </w:pPr>
            <w:r>
              <w:rPr>
                <w:noProof/>
                <w:lang w:eastAsia="sk-SK"/>
              </w:rPr>
              <w:drawing>
                <wp:inline distT="0" distB="0" distL="0" distR="0" wp14:anchorId="11390E94" wp14:editId="54F10A33">
                  <wp:extent cx="5570220" cy="1980000"/>
                  <wp:effectExtent l="0" t="0" r="0" b="1270"/>
                  <wp:docPr id="5"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14:paraId="485F75DA" w14:textId="77777777" w:rsidR="008F16D1" w:rsidRPr="00990206" w:rsidRDefault="008F16D1" w:rsidP="008F16D1">
      <w:pPr>
        <w:spacing w:line="240" w:lineRule="auto"/>
        <w:jc w:val="left"/>
        <w:rPr>
          <w:i/>
          <w:color w:val="314364" w:themeColor="text2"/>
          <w:sz w:val="16"/>
        </w:rPr>
      </w:pPr>
      <w:r w:rsidRPr="00990206">
        <w:rPr>
          <w:i/>
          <w:color w:val="314364" w:themeColor="text2"/>
          <w:sz w:val="16"/>
        </w:rPr>
        <w:t xml:space="preserve">Zdroj: </w:t>
      </w:r>
      <w:r>
        <w:rPr>
          <w:i/>
          <w:color w:val="314364" w:themeColor="text2"/>
          <w:sz w:val="16"/>
        </w:rPr>
        <w:t>Eurostat</w:t>
      </w:r>
      <w:r>
        <w:rPr>
          <w:i/>
          <w:color w:val="314364" w:themeColor="text2"/>
          <w:sz w:val="16"/>
          <w:lang w:val="en-US"/>
        </w:rPr>
        <w:t>;</w:t>
      </w:r>
      <w:r w:rsidRPr="00990206">
        <w:rPr>
          <w:i/>
          <w:color w:val="314364" w:themeColor="text2"/>
          <w:sz w:val="16"/>
        </w:rPr>
        <w:t xml:space="preserve"> spracovanie NKÚ SR.</w:t>
      </w:r>
    </w:p>
    <w:p w14:paraId="4059A6E0" w14:textId="6706EFA9" w:rsidR="00596F88" w:rsidRPr="00700277" w:rsidRDefault="00596F88" w:rsidP="00596F88">
      <w:pPr>
        <w:rPr>
          <w:b/>
          <w:bCs/>
        </w:rPr>
      </w:pPr>
      <w:r w:rsidRPr="00700277">
        <w:rPr>
          <w:b/>
          <w:bCs/>
        </w:rPr>
        <w:t xml:space="preserve">NKÚ SR poukazuje na </w:t>
      </w:r>
      <w:r w:rsidR="00700277" w:rsidRPr="00700277">
        <w:rPr>
          <w:b/>
          <w:bCs/>
        </w:rPr>
        <w:t xml:space="preserve">to, že tretí prijatý </w:t>
      </w:r>
      <w:r w:rsidRPr="00700277">
        <w:rPr>
          <w:b/>
          <w:bCs/>
        </w:rPr>
        <w:t>konsolidačný balík sa dotkne životnej úrovne obyvateľov Slovenska, predovšetkým pracujúcich, SZČO a následne aj rodín s deťmi.</w:t>
      </w:r>
    </w:p>
    <w:tbl>
      <w:tblPr>
        <w:tblStyle w:val="Mriekatabuky"/>
        <w:tblW w:w="515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333"/>
        <w:gridCol w:w="5015"/>
      </w:tblGrid>
      <w:tr w:rsidR="00596F88" w14:paraId="3A5BD788" w14:textId="77777777" w:rsidTr="00BB314F">
        <w:trPr>
          <w:trHeight w:val="283"/>
        </w:trPr>
        <w:tc>
          <w:tcPr>
            <w:tcW w:w="4333" w:type="dxa"/>
            <w:tcBorders>
              <w:bottom w:val="single" w:sz="4" w:space="0" w:color="314364"/>
            </w:tcBorders>
          </w:tcPr>
          <w:p w14:paraId="4A63BF0F" w14:textId="7E002308" w:rsidR="00596F88" w:rsidRPr="00A63D03" w:rsidRDefault="00596F88" w:rsidP="00BB314F">
            <w:pPr>
              <w:pStyle w:val="Popis"/>
              <w:keepNext/>
              <w:ind w:right="150"/>
              <w:jc w:val="left"/>
              <w:rPr>
                <w:noProof/>
                <w:lang w:eastAsia="sk-SK"/>
              </w:rPr>
            </w:pPr>
            <w:r w:rsidRPr="00A63D03">
              <w:rPr>
                <w:color w:val="314364"/>
              </w:rPr>
              <w:t>Graf</w:t>
            </w:r>
            <w:r w:rsidR="000D40A9">
              <w:rPr>
                <w:color w:val="314364"/>
              </w:rPr>
              <w:t xml:space="preserve"> 30</w:t>
            </w:r>
            <w:r w:rsidRPr="00A63D03">
              <w:rPr>
                <w:color w:val="314364"/>
              </w:rPr>
              <w:t xml:space="preserve">: </w:t>
            </w:r>
            <w:r w:rsidRPr="00A63D03">
              <w:rPr>
                <w:iCs w:val="0"/>
                <w:color w:val="314364"/>
              </w:rPr>
              <w:t>Indexy starnutia</w:t>
            </w:r>
            <w:r w:rsidRPr="00A63D03">
              <w:rPr>
                <w:color w:val="314364"/>
              </w:rPr>
              <w:t xml:space="preserve"> </w:t>
            </w:r>
            <w:r>
              <w:rPr>
                <w:color w:val="314364"/>
              </w:rPr>
              <w:t xml:space="preserve">v rokoch </w:t>
            </w:r>
            <w:r w:rsidRPr="00A63D03">
              <w:rPr>
                <w:iCs w:val="0"/>
                <w:color w:val="314364"/>
              </w:rPr>
              <w:t>2005</w:t>
            </w:r>
            <w:r>
              <w:rPr>
                <w:color w:val="314364"/>
              </w:rPr>
              <w:t xml:space="preserve"> až 2024 (v %</w:t>
            </w:r>
            <w:r w:rsidRPr="00A63D03">
              <w:rPr>
                <w:color w:val="314364"/>
              </w:rPr>
              <w:t>)</w:t>
            </w:r>
          </w:p>
        </w:tc>
        <w:tc>
          <w:tcPr>
            <w:tcW w:w="5014" w:type="dxa"/>
            <w:tcBorders>
              <w:bottom w:val="single" w:sz="4" w:space="0" w:color="314364"/>
            </w:tcBorders>
          </w:tcPr>
          <w:p w14:paraId="6FA57A90" w14:textId="5D3875BF" w:rsidR="00596F88" w:rsidRPr="00545626" w:rsidRDefault="00596F88" w:rsidP="00BB314F">
            <w:pPr>
              <w:spacing w:after="0"/>
              <w:jc w:val="left"/>
              <w:rPr>
                <w:b/>
                <w:iCs/>
                <w:color w:val="314364"/>
                <w:szCs w:val="18"/>
              </w:rPr>
            </w:pPr>
            <w:r w:rsidRPr="00545626">
              <w:rPr>
                <w:b/>
                <w:color w:val="314364"/>
              </w:rPr>
              <w:t xml:space="preserve">Graf </w:t>
            </w:r>
            <w:r w:rsidR="000D40A9">
              <w:rPr>
                <w:b/>
                <w:color w:val="314364"/>
              </w:rPr>
              <w:t>31</w:t>
            </w:r>
            <w:r w:rsidRPr="00545626">
              <w:rPr>
                <w:b/>
                <w:color w:val="314364"/>
              </w:rPr>
              <w:t>:</w:t>
            </w:r>
            <w:r w:rsidRPr="00F51C17">
              <w:rPr>
                <w:color w:val="314364"/>
              </w:rPr>
              <w:t xml:space="preserve"> </w:t>
            </w:r>
            <w:r>
              <w:rPr>
                <w:b/>
                <w:iCs/>
                <w:color w:val="314364"/>
                <w:szCs w:val="18"/>
              </w:rPr>
              <w:t>Hrubá miera živorodenosti v rokoch 2000</w:t>
            </w:r>
            <w:r w:rsidRPr="00A63D03">
              <w:rPr>
                <w:b/>
                <w:iCs/>
                <w:color w:val="314364"/>
                <w:szCs w:val="18"/>
              </w:rPr>
              <w:t xml:space="preserve"> </w:t>
            </w:r>
            <w:r>
              <w:rPr>
                <w:b/>
                <w:iCs/>
                <w:color w:val="314364"/>
                <w:szCs w:val="18"/>
              </w:rPr>
              <w:t xml:space="preserve">až </w:t>
            </w:r>
            <w:r w:rsidRPr="00A63D03">
              <w:rPr>
                <w:b/>
                <w:iCs/>
                <w:color w:val="314364"/>
                <w:szCs w:val="18"/>
              </w:rPr>
              <w:t xml:space="preserve">2024 </w:t>
            </w:r>
            <w:r>
              <w:rPr>
                <w:b/>
                <w:iCs/>
                <w:color w:val="314364"/>
                <w:szCs w:val="18"/>
              </w:rPr>
              <w:t>(</w:t>
            </w:r>
            <w:r w:rsidRPr="00A63D03">
              <w:rPr>
                <w:b/>
                <w:iCs/>
                <w:color w:val="314364"/>
                <w:szCs w:val="18"/>
              </w:rPr>
              <w:t xml:space="preserve">v </w:t>
            </w:r>
            <w:r>
              <w:rPr>
                <w:rFonts w:cs="Segoe UI"/>
                <w:b/>
                <w:iCs/>
                <w:color w:val="314364"/>
                <w:szCs w:val="18"/>
              </w:rPr>
              <w:t>‰</w:t>
            </w:r>
            <w:r>
              <w:rPr>
                <w:b/>
                <w:iCs/>
                <w:color w:val="314364"/>
                <w:szCs w:val="18"/>
              </w:rPr>
              <w:t>)</w:t>
            </w:r>
          </w:p>
        </w:tc>
      </w:tr>
      <w:tr w:rsidR="00596F88" w:rsidRPr="00C75134" w14:paraId="6AA82440" w14:textId="77777777" w:rsidTr="00BB314F">
        <w:trPr>
          <w:trHeight w:val="1567"/>
        </w:trPr>
        <w:tc>
          <w:tcPr>
            <w:tcW w:w="9347" w:type="dxa"/>
            <w:gridSpan w:val="2"/>
            <w:tcBorders>
              <w:top w:val="single" w:sz="4" w:space="0" w:color="314364"/>
              <w:bottom w:val="single" w:sz="4" w:space="0" w:color="314364"/>
            </w:tcBorders>
            <w:vAlign w:val="center"/>
          </w:tcPr>
          <w:p w14:paraId="70684190" w14:textId="77777777" w:rsidR="00596F88" w:rsidRPr="00C75134" w:rsidRDefault="00596F88" w:rsidP="00BB314F">
            <w:pPr>
              <w:spacing w:after="0"/>
              <w:jc w:val="center"/>
              <w:rPr>
                <w:b/>
                <w:color w:val="576431"/>
              </w:rPr>
            </w:pPr>
            <w:r>
              <w:rPr>
                <w:noProof/>
                <w:lang w:eastAsia="sk-SK"/>
              </w:rPr>
              <w:drawing>
                <wp:inline distT="0" distB="0" distL="0" distR="0" wp14:anchorId="2D124D94" wp14:editId="3236F4D8">
                  <wp:extent cx="3017520" cy="1714500"/>
                  <wp:effectExtent l="0" t="0" r="0" b="0"/>
                  <wp:docPr id="6"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lang w:eastAsia="sk-SK"/>
              </w:rPr>
              <w:t xml:space="preserve"> </w:t>
            </w:r>
            <w:r>
              <w:rPr>
                <w:noProof/>
                <w:lang w:eastAsia="sk-SK"/>
              </w:rPr>
              <w:drawing>
                <wp:inline distT="0" distB="0" distL="0" distR="0" wp14:anchorId="015BC04A" wp14:editId="37EC84BD">
                  <wp:extent cx="2788920" cy="1706880"/>
                  <wp:effectExtent l="0" t="0" r="0" b="7620"/>
                  <wp:docPr id="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bl>
    <w:p w14:paraId="4F839DAA" w14:textId="190D342A" w:rsidR="00596F88" w:rsidRPr="00990206" w:rsidRDefault="00596F88" w:rsidP="00596F88">
      <w:pPr>
        <w:spacing w:line="240" w:lineRule="auto"/>
        <w:jc w:val="left"/>
        <w:rPr>
          <w:i/>
          <w:color w:val="314364" w:themeColor="text2"/>
          <w:sz w:val="16"/>
        </w:rPr>
      </w:pPr>
      <w:r w:rsidRPr="00990206">
        <w:rPr>
          <w:i/>
          <w:color w:val="314364" w:themeColor="text2"/>
          <w:sz w:val="16"/>
        </w:rPr>
        <w:t xml:space="preserve">Zdroj: </w:t>
      </w:r>
      <w:r>
        <w:rPr>
          <w:i/>
          <w:color w:val="314364" w:themeColor="text2"/>
          <w:sz w:val="16"/>
        </w:rPr>
        <w:t>ŠÚ SR. Eurostat</w:t>
      </w:r>
      <w:r w:rsidR="00700277">
        <w:rPr>
          <w:i/>
          <w:color w:val="314364" w:themeColor="text2"/>
          <w:sz w:val="16"/>
          <w:lang w:val="en-US"/>
        </w:rPr>
        <w:t>;</w:t>
      </w:r>
      <w:r w:rsidRPr="00990206">
        <w:rPr>
          <w:i/>
          <w:color w:val="314364" w:themeColor="text2"/>
          <w:sz w:val="16"/>
        </w:rPr>
        <w:t xml:space="preserve"> spracovanie NKÚ SR.</w:t>
      </w:r>
    </w:p>
    <w:p w14:paraId="07446A9D" w14:textId="001B899F" w:rsidR="00596F88" w:rsidRPr="00627D05" w:rsidRDefault="00700277" w:rsidP="00596F88">
      <w:r>
        <w:rPr>
          <w:b/>
        </w:rPr>
        <w:t xml:space="preserve">V tejto </w:t>
      </w:r>
      <w:r w:rsidR="00CC2DFA">
        <w:rPr>
          <w:b/>
        </w:rPr>
        <w:t>súvislosti</w:t>
      </w:r>
      <w:r>
        <w:rPr>
          <w:b/>
        </w:rPr>
        <w:t xml:space="preserve"> </w:t>
      </w:r>
      <w:r w:rsidR="00596F88" w:rsidRPr="006C099D">
        <w:rPr>
          <w:b/>
        </w:rPr>
        <w:t xml:space="preserve">NKÚ SR </w:t>
      </w:r>
      <w:r w:rsidR="00596F88">
        <w:rPr>
          <w:b/>
        </w:rPr>
        <w:t>p</w:t>
      </w:r>
      <w:r>
        <w:rPr>
          <w:b/>
        </w:rPr>
        <w:t>oukazuje aj na n</w:t>
      </w:r>
      <w:r w:rsidR="00596F88">
        <w:rPr>
          <w:b/>
        </w:rPr>
        <w:t xml:space="preserve">epriaznivý demografický vývoj, ktorý </w:t>
      </w:r>
      <w:r>
        <w:rPr>
          <w:b/>
        </w:rPr>
        <w:t>dokumentuje</w:t>
      </w:r>
      <w:r w:rsidR="00596F88">
        <w:rPr>
          <w:b/>
        </w:rPr>
        <w:t xml:space="preserve"> </w:t>
      </w:r>
      <w:r w:rsidR="00596F88" w:rsidRPr="00C20299">
        <w:rPr>
          <w:rFonts w:cs="Segoe UI"/>
          <w:b/>
          <w:szCs w:val="20"/>
        </w:rPr>
        <w:t xml:space="preserve">okrem starnutia obyvateľstva </w:t>
      </w:r>
      <w:r w:rsidR="00596F88" w:rsidRPr="00700277">
        <w:rPr>
          <w:rFonts w:cs="Segoe UI"/>
          <w:bCs/>
          <w:szCs w:val="20"/>
        </w:rPr>
        <w:t>(graf</w:t>
      </w:r>
      <w:r w:rsidR="000D40A9">
        <w:rPr>
          <w:rFonts w:cs="Segoe UI"/>
          <w:bCs/>
          <w:szCs w:val="20"/>
        </w:rPr>
        <w:t xml:space="preserve"> 30</w:t>
      </w:r>
      <w:r w:rsidR="00596F88" w:rsidRPr="00700277">
        <w:rPr>
          <w:rFonts w:cs="Segoe UI"/>
          <w:bCs/>
          <w:szCs w:val="20"/>
        </w:rPr>
        <w:t>)</w:t>
      </w:r>
      <w:r w:rsidR="00596F88">
        <w:rPr>
          <w:rFonts w:cs="Segoe UI"/>
          <w:b/>
          <w:szCs w:val="20"/>
        </w:rPr>
        <w:t xml:space="preserve"> aj</w:t>
      </w:r>
      <w:r w:rsidR="00596F88" w:rsidRPr="00C20299">
        <w:rPr>
          <w:rFonts w:cs="Segoe UI"/>
          <w:b/>
          <w:szCs w:val="20"/>
        </w:rPr>
        <w:t xml:space="preserve"> vývoj </w:t>
      </w:r>
      <w:r w:rsidR="00596F88" w:rsidRPr="00931DE0">
        <w:rPr>
          <w:rFonts w:cs="Segoe UI"/>
          <w:b/>
          <w:szCs w:val="20"/>
        </w:rPr>
        <w:t>hrubej miery živorodenosti</w:t>
      </w:r>
      <w:r w:rsidR="00596F88">
        <w:rPr>
          <w:rFonts w:cs="Segoe UI"/>
          <w:b/>
          <w:szCs w:val="20"/>
        </w:rPr>
        <w:t>.</w:t>
      </w:r>
      <w:r w:rsidR="00596F88">
        <w:rPr>
          <w:rFonts w:cs="Segoe UI"/>
          <w:szCs w:val="20"/>
        </w:rPr>
        <w:t xml:space="preserve"> Počet živonarodených detí </w:t>
      </w:r>
      <w:r w:rsidR="00596F88" w:rsidRPr="009167E4">
        <w:rPr>
          <w:rFonts w:cs="Segoe UI"/>
          <w:szCs w:val="20"/>
        </w:rPr>
        <w:t xml:space="preserve">klesá už tretí rok </w:t>
      </w:r>
      <w:r>
        <w:rPr>
          <w:rFonts w:cs="Segoe UI"/>
          <w:szCs w:val="20"/>
        </w:rPr>
        <w:t>po sebe</w:t>
      </w:r>
      <w:r w:rsidR="00596F88" w:rsidRPr="009167E4">
        <w:rPr>
          <w:rFonts w:cs="Segoe UI"/>
          <w:szCs w:val="20"/>
        </w:rPr>
        <w:t xml:space="preserve"> a dostal sa na najnižšiu úroveň 853 živonarodených detí na 100 tisíc obyvateľov za posledných </w:t>
      </w:r>
      <w:r w:rsidR="00596F88">
        <w:rPr>
          <w:rFonts w:cs="Segoe UI"/>
          <w:szCs w:val="20"/>
        </w:rPr>
        <w:t>30</w:t>
      </w:r>
      <w:r w:rsidR="00596F88" w:rsidRPr="009167E4">
        <w:rPr>
          <w:rFonts w:cs="Segoe UI"/>
          <w:szCs w:val="20"/>
        </w:rPr>
        <w:t xml:space="preserve"> rokov</w:t>
      </w:r>
      <w:r w:rsidR="00596F88">
        <w:rPr>
          <w:rFonts w:cs="Segoe UI"/>
          <w:szCs w:val="20"/>
        </w:rPr>
        <w:t xml:space="preserve"> (graf</w:t>
      </w:r>
      <w:r w:rsidR="000D40A9">
        <w:rPr>
          <w:rFonts w:cs="Segoe UI"/>
          <w:szCs w:val="20"/>
        </w:rPr>
        <w:t xml:space="preserve"> 31</w:t>
      </w:r>
      <w:r w:rsidR="00596F88">
        <w:rPr>
          <w:rFonts w:cs="Segoe UI"/>
          <w:szCs w:val="20"/>
        </w:rPr>
        <w:t>)</w:t>
      </w:r>
      <w:r w:rsidR="00596F88" w:rsidRPr="009167E4">
        <w:rPr>
          <w:rFonts w:cs="Segoe UI"/>
          <w:szCs w:val="20"/>
        </w:rPr>
        <w:t>.</w:t>
      </w:r>
      <w:r w:rsidR="00596F88">
        <w:rPr>
          <w:rFonts w:cs="Segoe UI"/>
          <w:szCs w:val="20"/>
        </w:rPr>
        <w:t xml:space="preserve"> Okrem úprav v dôchodkovom systéme sú preto potrebné zmeny v súčasnej štátnej politike na</w:t>
      </w:r>
      <w:r w:rsidR="00596F88" w:rsidRPr="009167E4">
        <w:rPr>
          <w:rFonts w:cs="Segoe UI"/>
          <w:szCs w:val="20"/>
        </w:rPr>
        <w:t xml:space="preserve"> podpor</w:t>
      </w:r>
      <w:r w:rsidR="00596F88">
        <w:rPr>
          <w:rFonts w:cs="Segoe UI"/>
          <w:szCs w:val="20"/>
        </w:rPr>
        <w:t>u</w:t>
      </w:r>
      <w:r w:rsidR="00596F88" w:rsidRPr="009167E4">
        <w:rPr>
          <w:rFonts w:cs="Segoe UI"/>
          <w:szCs w:val="20"/>
        </w:rPr>
        <w:t xml:space="preserve"> rodín</w:t>
      </w:r>
      <w:r w:rsidR="00596F88">
        <w:rPr>
          <w:rFonts w:cs="Segoe UI"/>
          <w:szCs w:val="20"/>
        </w:rPr>
        <w:t xml:space="preserve"> s deťmi. Nové nástroje v populačnej politike by sa mali stať prioritou vlády SR.</w:t>
      </w:r>
    </w:p>
    <w:p w14:paraId="6271591E" w14:textId="4CE1F56F" w:rsidR="00FA1775" w:rsidRDefault="00B829E1" w:rsidP="00440621">
      <w:pPr>
        <w:pStyle w:val="Nadpis2"/>
      </w:pPr>
      <w:bookmarkStart w:id="46" w:name="_Toc211249094"/>
      <w:r>
        <w:t>Zdravotníctvo</w:t>
      </w:r>
      <w:bookmarkEnd w:id="46"/>
    </w:p>
    <w:p w14:paraId="6DEA1014" w14:textId="44961E4A" w:rsidR="008A38CD" w:rsidRDefault="008A38CD" w:rsidP="008A38CD">
      <w:r w:rsidRPr="000B127F">
        <w:rPr>
          <w:b/>
        </w:rPr>
        <w:t xml:space="preserve">Podľa návrhu rozpočtu majú v budúcom roku smerovať do zdravotníctva verejné výdavky v celkovom objeme </w:t>
      </w:r>
      <w:r>
        <w:rPr>
          <w:b/>
        </w:rPr>
        <w:t>10,67 mld.</w:t>
      </w:r>
      <w:r w:rsidRPr="000B127F">
        <w:rPr>
          <w:b/>
        </w:rPr>
        <w:t xml:space="preserve"> eur.</w:t>
      </w:r>
      <w:r>
        <w:t xml:space="preserve"> Oproti rozpočtu na rok 2025 </w:t>
      </w:r>
      <w:r w:rsidR="00925527">
        <w:t>vzrastú o</w:t>
      </w:r>
      <w:r>
        <w:t xml:space="preserve"> 9,6 % </w:t>
      </w:r>
      <w:r w:rsidR="00925527">
        <w:t>(</w:t>
      </w:r>
      <w:r>
        <w:t>935 mil. eur</w:t>
      </w:r>
      <w:r w:rsidR="00925527">
        <w:t>).</w:t>
      </w:r>
    </w:p>
    <w:p w14:paraId="219B23D6" w14:textId="12E09966" w:rsidR="00631E66" w:rsidRDefault="008A38CD" w:rsidP="008A38CD">
      <w:pPr>
        <w:rPr>
          <w:bCs/>
        </w:rPr>
      </w:pPr>
      <w:r w:rsidRPr="00BB314F">
        <w:rPr>
          <w:b/>
          <w:bCs/>
        </w:rPr>
        <w:t>MZ SR sa dlhodobo nedarí vysporiadať s</w:t>
      </w:r>
      <w:r w:rsidR="00925527">
        <w:rPr>
          <w:b/>
          <w:bCs/>
        </w:rPr>
        <w:t xml:space="preserve"> pretrvávajúcimi </w:t>
      </w:r>
      <w:r w:rsidRPr="00BB314F">
        <w:rPr>
          <w:b/>
          <w:bCs/>
        </w:rPr>
        <w:t xml:space="preserve">problémami slovenského zdravotníctva, na ktoré NKÚ SR </w:t>
      </w:r>
      <w:r>
        <w:rPr>
          <w:b/>
          <w:bCs/>
        </w:rPr>
        <w:t>opakovane</w:t>
      </w:r>
      <w:r w:rsidRPr="00BB314F">
        <w:rPr>
          <w:b/>
          <w:bCs/>
        </w:rPr>
        <w:t xml:space="preserve"> upozorňuje.</w:t>
      </w:r>
      <w:r>
        <w:rPr>
          <w:b/>
          <w:bCs/>
        </w:rPr>
        <w:t xml:space="preserve"> </w:t>
      </w:r>
      <w:r>
        <w:rPr>
          <w:bCs/>
        </w:rPr>
        <w:t>N</w:t>
      </w:r>
      <w:r w:rsidR="009C3CB5">
        <w:rPr>
          <w:bCs/>
        </w:rPr>
        <w:t xml:space="preserve">ávrh </w:t>
      </w:r>
      <w:r>
        <w:rPr>
          <w:bCs/>
        </w:rPr>
        <w:t xml:space="preserve">RVS na roky 2026 – 2028 opätovne </w:t>
      </w:r>
      <w:r w:rsidR="00925527">
        <w:rPr>
          <w:bCs/>
        </w:rPr>
        <w:t xml:space="preserve">zvyšuje </w:t>
      </w:r>
      <w:r>
        <w:rPr>
          <w:bCs/>
        </w:rPr>
        <w:t>alok</w:t>
      </w:r>
      <w:r w:rsidR="00925527">
        <w:rPr>
          <w:bCs/>
        </w:rPr>
        <w:t>áciu</w:t>
      </w:r>
      <w:r>
        <w:rPr>
          <w:bCs/>
        </w:rPr>
        <w:t xml:space="preserve"> zdroj</w:t>
      </w:r>
      <w:r w:rsidR="00925527">
        <w:rPr>
          <w:bCs/>
        </w:rPr>
        <w:t xml:space="preserve">ov </w:t>
      </w:r>
      <w:r>
        <w:rPr>
          <w:bCs/>
        </w:rPr>
        <w:t xml:space="preserve">do ústavnej zdravotnej starostlivosti a liekovej politiky, </w:t>
      </w:r>
      <w:r w:rsidR="00925527">
        <w:rPr>
          <w:bCs/>
        </w:rPr>
        <w:t>pričom ich</w:t>
      </w:r>
      <w:r>
        <w:rPr>
          <w:bCs/>
        </w:rPr>
        <w:t xml:space="preserve"> podiel na celkových výdavkoch VZP </w:t>
      </w:r>
      <w:r w:rsidR="00925527">
        <w:rPr>
          <w:bCs/>
        </w:rPr>
        <w:t xml:space="preserve">sa </w:t>
      </w:r>
      <w:r>
        <w:rPr>
          <w:bCs/>
        </w:rPr>
        <w:t>v čase postupne zvyšuje na úkor ostatných typov zdravotnej starostlivosti</w:t>
      </w:r>
    </w:p>
    <w:p w14:paraId="1825A99A" w14:textId="4CBEF840" w:rsidR="00925527" w:rsidRDefault="008A38CD" w:rsidP="00925527">
      <w:r w:rsidRPr="009C3CB5">
        <w:rPr>
          <w:b/>
        </w:rPr>
        <w:t>NKÚ SR rozumie potrebe zvýšenej alokácie výdavkov v rámci systému VZP v kontexte starnutia populácie, zvýšenej inflácie ako aj nárastu miezd zdravotníckych pracovníkov, avšak vidí riziko v dlhodobo stagnujúcom a zadlžujúcom sa systéme VZP.</w:t>
      </w:r>
      <w:r>
        <w:rPr>
          <w:bCs/>
        </w:rPr>
        <w:t xml:space="preserve"> </w:t>
      </w:r>
      <w:r w:rsidR="00925527">
        <w:rPr>
          <w:bCs/>
        </w:rPr>
        <w:t>Z</w:t>
      </w:r>
      <w:r>
        <w:rPr>
          <w:bCs/>
        </w:rPr>
        <w:t>adlženosť nemocníc</w:t>
      </w:r>
      <w:r w:rsidR="00925527">
        <w:rPr>
          <w:bCs/>
        </w:rPr>
        <w:t xml:space="preserve"> nepretržite rastie</w:t>
      </w:r>
      <w:r>
        <w:rPr>
          <w:bCs/>
        </w:rPr>
        <w:t xml:space="preserve">, vo </w:t>
      </w:r>
      <w:r>
        <w:rPr>
          <w:bCs/>
        </w:rPr>
        <w:lastRenderedPageBreak/>
        <w:t xml:space="preserve">väčšine prípadov sa neplnia úsporné opatrenia </w:t>
      </w:r>
      <w:r w:rsidR="00925527">
        <w:rPr>
          <w:bCs/>
        </w:rPr>
        <w:t xml:space="preserve">a </w:t>
      </w:r>
      <w:r>
        <w:rPr>
          <w:bCs/>
        </w:rPr>
        <w:t>narastá riziko nedostupnosti poskytovaných služieb z dôvodu starnutia zdravotníckych pracovníkov</w:t>
      </w:r>
      <w:r w:rsidR="00925527">
        <w:rPr>
          <w:bCs/>
        </w:rPr>
        <w:t>.</w:t>
      </w:r>
    </w:p>
    <w:p w14:paraId="6A9356DF" w14:textId="20365E3F" w:rsidR="008A38CD" w:rsidRDefault="009A14AE" w:rsidP="00C0783B">
      <w:pPr>
        <w:pStyle w:val="Nadpis3"/>
      </w:pPr>
      <w:bookmarkStart w:id="47" w:name="_Toc210822635"/>
      <w:r>
        <w:t xml:space="preserve"> </w:t>
      </w:r>
      <w:bookmarkStart w:id="48" w:name="_Toc211249095"/>
      <w:r w:rsidR="008A38CD" w:rsidRPr="00313019">
        <w:t xml:space="preserve">Výdavky </w:t>
      </w:r>
      <w:r w:rsidR="008A38CD">
        <w:t>verejného zdravotného poistenia</w:t>
      </w:r>
      <w:bookmarkEnd w:id="47"/>
      <w:bookmarkEnd w:id="48"/>
    </w:p>
    <w:p w14:paraId="2B312D9F" w14:textId="3AC59954" w:rsidR="009C3CB5" w:rsidRDefault="009C3CB5" w:rsidP="009C3CB5">
      <w:r w:rsidRPr="00177B8C">
        <w:rPr>
          <w:b/>
        </w:rPr>
        <w:t>Podstatnú časť celkových výdavkov na zdravotníctvo predstavujú výdavky VZP, ktoré medziročne vzrast</w:t>
      </w:r>
      <w:r>
        <w:rPr>
          <w:b/>
        </w:rPr>
        <w:t>ú</w:t>
      </w:r>
      <w:r w:rsidRPr="00177B8C">
        <w:rPr>
          <w:b/>
        </w:rPr>
        <w:t xml:space="preserve"> o 564 mil. eur. Celkovo tak systém VZP bude v roku 2026 </w:t>
      </w:r>
      <w:r w:rsidR="006232DE" w:rsidRPr="00177B8C">
        <w:rPr>
          <w:b/>
        </w:rPr>
        <w:t xml:space="preserve">disponovať </w:t>
      </w:r>
      <w:r w:rsidRPr="00177B8C">
        <w:rPr>
          <w:b/>
        </w:rPr>
        <w:t>sumou 8,8 mld. eur.</w:t>
      </w:r>
      <w:r>
        <w:t xml:space="preserve"> V náraste výdavkov sú okrem iného zahrnuté aj investície na výstavbu nemocníc z POO a investície od </w:t>
      </w:r>
      <w:r w:rsidR="00751DA8">
        <w:t>ďalších</w:t>
      </w:r>
      <w:r>
        <w:t xml:space="preserve"> rezortov v</w:t>
      </w:r>
      <w:r w:rsidR="00751DA8">
        <w:t xml:space="preserve"> celkovej</w:t>
      </w:r>
      <w:r>
        <w:t xml:space="preserve"> výške 607 mil. eur. Len zdravotná starostlivosť si v roku 2026 vyžiada o 541 mil. eur viac ako v predchádzajúcom roku.</w:t>
      </w:r>
    </w:p>
    <w:p w14:paraId="64344324" w14:textId="099AB10C" w:rsidR="009C3CB5" w:rsidRPr="004134C4" w:rsidRDefault="009C3CB5" w:rsidP="009C3CB5">
      <w:r>
        <w:rPr>
          <w:b/>
        </w:rPr>
        <w:t xml:space="preserve">NKÚ </w:t>
      </w:r>
      <w:r w:rsidRPr="004134C4">
        <w:rPr>
          <w:b/>
        </w:rPr>
        <w:t xml:space="preserve">SR </w:t>
      </w:r>
      <w:r>
        <w:rPr>
          <w:b/>
        </w:rPr>
        <w:t>negatívne</w:t>
      </w:r>
      <w:r w:rsidRPr="004134C4">
        <w:rPr>
          <w:b/>
        </w:rPr>
        <w:t xml:space="preserve"> hodnotí, že jedna z najväčších položiek </w:t>
      </w:r>
      <w:r>
        <w:rPr>
          <w:b/>
        </w:rPr>
        <w:t xml:space="preserve">návrhu RVS na roky 2026 až 2028, ktorou sú výdavky </w:t>
      </w:r>
      <w:r w:rsidRPr="004134C4">
        <w:rPr>
          <w:b/>
        </w:rPr>
        <w:t>VZP</w:t>
      </w:r>
      <w:r>
        <w:rPr>
          <w:b/>
        </w:rPr>
        <w:t>,</w:t>
      </w:r>
      <w:r w:rsidRPr="004134C4">
        <w:rPr>
          <w:b/>
        </w:rPr>
        <w:t xml:space="preserve"> už nie je rozdelená podľa typov zdravotnej starostlivosti, ako to bolo v predchádzajúcich rozpočtoch. </w:t>
      </w:r>
      <w:r w:rsidRPr="00177B8C">
        <w:t>V</w:t>
      </w:r>
      <w:r>
        <w:t> návrhu rozpočtu</w:t>
      </w:r>
      <w:r w:rsidRPr="00177B8C">
        <w:t xml:space="preserve"> sa uvádza, že podrobnejšie členenie výdavkov má priniesť až sprievodná dokumentácia </w:t>
      </w:r>
      <w:r>
        <w:t>k</w:t>
      </w:r>
      <w:r w:rsidRPr="00177B8C">
        <w:t xml:space="preserve"> programovej vyhláške </w:t>
      </w:r>
      <w:r>
        <w:t>MZ</w:t>
      </w:r>
      <w:r w:rsidRPr="00177B8C">
        <w:t xml:space="preserve"> SR. </w:t>
      </w:r>
      <w:r w:rsidRPr="009C3CB5">
        <w:rPr>
          <w:b/>
          <w:bCs/>
        </w:rPr>
        <w:t>NKÚ SR upozorňuje, že transparentnos</w:t>
      </w:r>
      <w:r w:rsidR="00751DA8">
        <w:rPr>
          <w:b/>
          <w:bCs/>
        </w:rPr>
        <w:t>ť</w:t>
      </w:r>
      <w:r w:rsidRPr="009C3CB5">
        <w:rPr>
          <w:b/>
          <w:bCs/>
        </w:rPr>
        <w:t xml:space="preserve"> rozpočtového procesu VZP je nevyhnutné pre objektívne posúdenie využívania verejných financií v zdravotníctve.</w:t>
      </w:r>
      <w:r w:rsidRPr="00177B8C">
        <w:t xml:space="preserve"> Nedostatočné členenie výdavkov a oneskoren</w:t>
      </w:r>
      <w:r w:rsidRPr="004134C4">
        <w:t>é vydanie programovej vyhlášky</w:t>
      </w:r>
      <w:r>
        <w:t xml:space="preserve">, </w:t>
      </w:r>
      <w:r w:rsidR="00751DA8">
        <w:t xml:space="preserve">ktoré </w:t>
      </w:r>
      <w:r>
        <w:t>každoročne</w:t>
      </w:r>
      <w:r w:rsidRPr="00177B8C">
        <w:t xml:space="preserve"> </w:t>
      </w:r>
      <w:r w:rsidR="00751DA8">
        <w:t xml:space="preserve">prichádza </w:t>
      </w:r>
      <w:r w:rsidRPr="00177B8C">
        <w:t>až p</w:t>
      </w:r>
      <w:r w:rsidRPr="004134C4">
        <w:t>o začiatku fiškálneho obdobia</w:t>
      </w:r>
      <w:r>
        <w:t xml:space="preserve">, </w:t>
      </w:r>
      <w:r w:rsidRPr="00177B8C">
        <w:t>zvyšuj</w:t>
      </w:r>
      <w:r w:rsidR="00751DA8">
        <w:t>e</w:t>
      </w:r>
      <w:r w:rsidRPr="00177B8C">
        <w:t xml:space="preserve"> riziko ne</w:t>
      </w:r>
      <w:r>
        <w:t>dostatočného</w:t>
      </w:r>
      <w:r w:rsidRPr="00177B8C">
        <w:t xml:space="preserve"> monitorovania výdavkov systému VZP.</w:t>
      </w:r>
    </w:p>
    <w:p w14:paraId="6572E76E" w14:textId="19B1DCB8" w:rsidR="00D81534" w:rsidRDefault="00313019" w:rsidP="00D81534">
      <w:pPr>
        <w:rPr>
          <w:rFonts w:cs="Segoe UI"/>
        </w:rPr>
      </w:pPr>
      <w:r>
        <w:rPr>
          <w:rFonts w:cs="Segoe UI"/>
          <w:b/>
        </w:rPr>
        <w:t>Výdavky</w:t>
      </w:r>
      <w:r w:rsidR="00D81534" w:rsidRPr="00292FA8">
        <w:rPr>
          <w:rFonts w:cs="Segoe UI"/>
          <w:b/>
        </w:rPr>
        <w:t xml:space="preserve"> VZP dlhodobo rastú a od roku 2015</w:t>
      </w:r>
      <w:r w:rsidR="00A05EA1">
        <w:rPr>
          <w:rFonts w:cs="Segoe UI"/>
          <w:b/>
        </w:rPr>
        <w:t xml:space="preserve"> rast</w:t>
      </w:r>
      <w:r w:rsidR="008104C1">
        <w:rPr>
          <w:rFonts w:cs="Segoe UI"/>
          <w:b/>
        </w:rPr>
        <w:t>ú rýchlejšie ako</w:t>
      </w:r>
      <w:r w:rsidR="00D81534" w:rsidRPr="00292FA8">
        <w:rPr>
          <w:rFonts w:cs="Segoe UI"/>
          <w:b/>
        </w:rPr>
        <w:t xml:space="preserve"> HDP SR </w:t>
      </w:r>
      <w:r w:rsidR="00D81534" w:rsidRPr="00292FA8">
        <w:rPr>
          <w:rFonts w:cs="Segoe UI"/>
        </w:rPr>
        <w:t xml:space="preserve">(graf </w:t>
      </w:r>
      <w:r w:rsidR="000D40A9">
        <w:rPr>
          <w:rFonts w:cs="Segoe UI"/>
        </w:rPr>
        <w:t>32</w:t>
      </w:r>
      <w:r w:rsidR="00D81534" w:rsidRPr="00292FA8">
        <w:rPr>
          <w:rFonts w:cs="Segoe UI"/>
        </w:rPr>
        <w:t>)</w:t>
      </w:r>
      <w:r w:rsidR="00D81534" w:rsidRPr="00292FA8">
        <w:rPr>
          <w:rFonts w:cs="Segoe UI"/>
          <w:b/>
        </w:rPr>
        <w:t xml:space="preserve">. </w:t>
      </w:r>
      <w:r w:rsidR="007D180C" w:rsidRPr="007D180C">
        <w:rPr>
          <w:rFonts w:cs="Segoe UI"/>
          <w:bCs/>
        </w:rPr>
        <w:t>Rýchly</w:t>
      </w:r>
      <w:r w:rsidRPr="007D180C">
        <w:rPr>
          <w:rFonts w:cs="Segoe UI"/>
          <w:bCs/>
        </w:rPr>
        <w:t xml:space="preserve"> </w:t>
      </w:r>
      <w:r>
        <w:rPr>
          <w:rFonts w:cs="Segoe UI"/>
        </w:rPr>
        <w:t xml:space="preserve">nárast výdavkov VZP spôsobuje, že </w:t>
      </w:r>
      <w:r w:rsidR="00751DA8">
        <w:rPr>
          <w:rFonts w:cs="Segoe UI"/>
        </w:rPr>
        <w:t xml:space="preserve">dostupné </w:t>
      </w:r>
      <w:r>
        <w:rPr>
          <w:rFonts w:cs="Segoe UI"/>
        </w:rPr>
        <w:t xml:space="preserve">zdroje nestačia na </w:t>
      </w:r>
      <w:r w:rsidR="00751DA8">
        <w:rPr>
          <w:rFonts w:cs="Segoe UI"/>
        </w:rPr>
        <w:t xml:space="preserve">ich </w:t>
      </w:r>
      <w:r w:rsidR="007D180C">
        <w:rPr>
          <w:rFonts w:cs="Segoe UI"/>
        </w:rPr>
        <w:t>pokrytie</w:t>
      </w:r>
      <w:r w:rsidR="00751DA8">
        <w:rPr>
          <w:rFonts w:cs="Segoe UI"/>
        </w:rPr>
        <w:t>, čo si vyžaduje</w:t>
      </w:r>
      <w:r>
        <w:rPr>
          <w:rFonts w:cs="Segoe UI"/>
        </w:rPr>
        <w:t xml:space="preserve"> opakované dofinancovanie systému. </w:t>
      </w:r>
      <w:r w:rsidR="00D81534" w:rsidRPr="00292FA8">
        <w:rPr>
          <w:rFonts w:cs="Segoe UI"/>
        </w:rPr>
        <w:t xml:space="preserve">V posledných rokoch bol tiež zaznamenaný prudký nárast výdavkov na lieky </w:t>
      </w:r>
      <w:r w:rsidR="00751DA8">
        <w:rPr>
          <w:rFonts w:cs="Segoe UI"/>
        </w:rPr>
        <w:t xml:space="preserve">hradené </w:t>
      </w:r>
      <w:r w:rsidR="00D81534" w:rsidRPr="00292FA8">
        <w:rPr>
          <w:rFonts w:cs="Segoe UI"/>
        </w:rPr>
        <w:t xml:space="preserve">zo zdrojov VZP, na ktorý NKÚ SR </w:t>
      </w:r>
      <w:r w:rsidR="002A2B50">
        <w:rPr>
          <w:rFonts w:cs="Segoe UI"/>
        </w:rPr>
        <w:t>opakovane</w:t>
      </w:r>
      <w:r w:rsidR="00D81534" w:rsidRPr="00292FA8">
        <w:rPr>
          <w:rFonts w:cs="Segoe UI"/>
        </w:rPr>
        <w:t xml:space="preserve"> upozornil</w:t>
      </w:r>
      <w:r w:rsidR="009C3CB5">
        <w:rPr>
          <w:rStyle w:val="Odkaznapoznmkupodiarou"/>
          <w:rFonts w:cs="Segoe UI"/>
        </w:rPr>
        <w:footnoteReference w:id="62"/>
      </w:r>
      <w:r w:rsidR="00D81534" w:rsidRPr="00292FA8">
        <w:rPr>
          <w:rFonts w:cs="Segoe UI"/>
        </w:rPr>
        <w:t xml:space="preserve">. </w:t>
      </w:r>
      <w:r w:rsidR="00751DA8">
        <w:rPr>
          <w:rFonts w:cs="Segoe UI"/>
        </w:rPr>
        <w:t>Očakávané z</w:t>
      </w:r>
      <w:r w:rsidR="000F4345">
        <w:rPr>
          <w:rFonts w:cs="Segoe UI"/>
        </w:rPr>
        <w:t>níženie v</w:t>
      </w:r>
      <w:r w:rsidR="00751DA8">
        <w:rPr>
          <w:rFonts w:cs="Segoe UI"/>
        </w:rPr>
        <w:t> </w:t>
      </w:r>
      <w:r w:rsidR="000F4345">
        <w:rPr>
          <w:rFonts w:cs="Segoe UI"/>
        </w:rPr>
        <w:t>roku</w:t>
      </w:r>
      <w:r w:rsidR="00751DA8">
        <w:rPr>
          <w:rFonts w:cs="Segoe UI"/>
        </w:rPr>
        <w:t xml:space="preserve"> 2025</w:t>
      </w:r>
      <w:r w:rsidR="007D180C">
        <w:rPr>
          <w:rFonts w:cs="Segoe UI"/>
        </w:rPr>
        <w:t>,</w:t>
      </w:r>
      <w:r w:rsidR="000F4345">
        <w:rPr>
          <w:rFonts w:cs="Segoe UI"/>
        </w:rPr>
        <w:t xml:space="preserve"> je spôsobené</w:t>
      </w:r>
      <w:r w:rsidR="00D81534">
        <w:rPr>
          <w:rFonts w:cs="Segoe UI"/>
        </w:rPr>
        <w:t xml:space="preserve"> pozastaven</w:t>
      </w:r>
      <w:r w:rsidR="000F4345">
        <w:rPr>
          <w:rFonts w:cs="Segoe UI"/>
        </w:rPr>
        <w:t>ím</w:t>
      </w:r>
      <w:r w:rsidR="00D81534">
        <w:rPr>
          <w:rFonts w:cs="Segoe UI"/>
        </w:rPr>
        <w:t xml:space="preserve"> kategorizácie liekov v septembri 2024 a nízk</w:t>
      </w:r>
      <w:r w:rsidR="000F4345">
        <w:rPr>
          <w:rFonts w:cs="Segoe UI"/>
        </w:rPr>
        <w:t>ym počtom</w:t>
      </w:r>
      <w:r w:rsidR="00D81534">
        <w:rPr>
          <w:rFonts w:cs="Segoe UI"/>
        </w:rPr>
        <w:t xml:space="preserve"> zaradených liekov v prvej polovici roku 2025.</w:t>
      </w:r>
      <w:r w:rsidR="00D81534" w:rsidRPr="00292FA8">
        <w:rPr>
          <w:rFonts w:cs="Segoe UI"/>
        </w:rPr>
        <w:t xml:space="preserve"> Z dôvodu rizika neefektívne vynakladaných zdrojov VZP </w:t>
      </w:r>
      <w:r w:rsidR="000F4345">
        <w:rPr>
          <w:rFonts w:cs="Segoe UI"/>
        </w:rPr>
        <w:t xml:space="preserve">na lieky </w:t>
      </w:r>
      <w:r w:rsidR="00D81534" w:rsidRPr="00292FA8">
        <w:rPr>
          <w:rFonts w:cs="Segoe UI"/>
        </w:rPr>
        <w:t xml:space="preserve">začal </w:t>
      </w:r>
      <w:r w:rsidR="00751DA8">
        <w:rPr>
          <w:rFonts w:cs="Segoe UI"/>
        </w:rPr>
        <w:t xml:space="preserve">NKÚ SR </w:t>
      </w:r>
      <w:r w:rsidR="00D81534" w:rsidRPr="00292FA8">
        <w:rPr>
          <w:rFonts w:cs="Segoe UI"/>
        </w:rPr>
        <w:t xml:space="preserve">v roku 2025 kontrolu na MZ SR </w:t>
      </w:r>
      <w:r w:rsidR="00751DA8">
        <w:rPr>
          <w:rFonts w:cs="Segoe UI"/>
        </w:rPr>
        <w:t>zameranú na</w:t>
      </w:r>
      <w:r w:rsidR="00D81534" w:rsidRPr="00292FA8">
        <w:rPr>
          <w:rFonts w:cs="Segoe UI"/>
        </w:rPr>
        <w:t xml:space="preserve"> systém kategorizácie liekov.</w:t>
      </w:r>
    </w:p>
    <w:p w14:paraId="648D7A3C" w14:textId="77777777" w:rsidR="008F16D1" w:rsidRPr="009749C6" w:rsidRDefault="008F16D1" w:rsidP="008F16D1">
      <w:pPr>
        <w:pStyle w:val="Popis"/>
        <w:keepNext/>
        <w:rPr>
          <w:rFonts w:cs="Segoe UI"/>
          <w:color w:val="314364"/>
        </w:rPr>
      </w:pPr>
      <w:r w:rsidRPr="009749C6">
        <w:rPr>
          <w:rFonts w:cs="Segoe UI"/>
          <w:color w:val="314364"/>
        </w:rPr>
        <w:t xml:space="preserve">Graf </w:t>
      </w:r>
      <w:r>
        <w:rPr>
          <w:rFonts w:cs="Segoe UI"/>
          <w:color w:val="314364"/>
        </w:rPr>
        <w:t>32</w:t>
      </w:r>
      <w:r w:rsidRPr="009749C6">
        <w:rPr>
          <w:rFonts w:cs="Segoe UI"/>
          <w:color w:val="314364"/>
        </w:rPr>
        <w:t xml:space="preserve">: </w:t>
      </w:r>
      <w:r w:rsidRPr="00D81534">
        <w:rPr>
          <w:rFonts w:cs="Segoe UI"/>
          <w:color w:val="314364"/>
        </w:rPr>
        <w:t>Vývoj výdavkov na VZP</w:t>
      </w:r>
      <w:r>
        <w:rPr>
          <w:rFonts w:cs="Segoe UI"/>
          <w:color w:val="314364"/>
        </w:rPr>
        <w:t xml:space="preserve">, </w:t>
      </w:r>
      <w:r w:rsidRPr="00D81534">
        <w:rPr>
          <w:rFonts w:cs="Segoe UI"/>
          <w:color w:val="314364"/>
        </w:rPr>
        <w:t>lieky vydané na lekársky predpis a HDP v bežných cenách</w:t>
      </w:r>
      <w:r>
        <w:rPr>
          <w:rFonts w:cs="Segoe UI"/>
          <w:color w:val="314364"/>
        </w:rPr>
        <w:t xml:space="preserve"> (v % oproti hodnote roka 2015)</w:t>
      </w:r>
    </w:p>
    <w:tbl>
      <w:tblPr>
        <w:tblStyle w:val="Mriekatabuky"/>
        <w:tblW w:w="0" w:type="auto"/>
        <w:tblCellMar>
          <w:left w:w="70" w:type="dxa"/>
          <w:right w:w="70" w:type="dxa"/>
        </w:tblCellMar>
        <w:tblLook w:val="04A0" w:firstRow="1" w:lastRow="0" w:firstColumn="1" w:lastColumn="0" w:noHBand="0" w:noVBand="1"/>
      </w:tblPr>
      <w:tblGrid>
        <w:gridCol w:w="9070"/>
      </w:tblGrid>
      <w:tr w:rsidR="008F16D1" w:rsidRPr="009749C6" w14:paraId="1E138DA5" w14:textId="77777777" w:rsidTr="00BB314F">
        <w:trPr>
          <w:trHeight w:val="3118"/>
        </w:trPr>
        <w:tc>
          <w:tcPr>
            <w:tcW w:w="9070" w:type="dxa"/>
            <w:tcBorders>
              <w:top w:val="single" w:sz="4" w:space="0" w:color="314364" w:themeColor="text2"/>
              <w:left w:val="nil"/>
              <w:bottom w:val="single" w:sz="4" w:space="0" w:color="314364" w:themeColor="text2"/>
              <w:right w:val="nil"/>
            </w:tcBorders>
          </w:tcPr>
          <w:p w14:paraId="22973687" w14:textId="77777777" w:rsidR="008F16D1" w:rsidRPr="009749C6" w:rsidRDefault="008F16D1" w:rsidP="00BB314F">
            <w:pPr>
              <w:spacing w:after="0" w:line="240" w:lineRule="auto"/>
              <w:rPr>
                <w:rFonts w:cs="Segoe UI"/>
              </w:rPr>
            </w:pPr>
            <w:r>
              <w:rPr>
                <w:noProof/>
                <w:lang w:eastAsia="sk-SK"/>
              </w:rPr>
              <w:drawing>
                <wp:inline distT="0" distB="0" distL="0" distR="0" wp14:anchorId="484746A9" wp14:editId="716E953D">
                  <wp:extent cx="5759450" cy="1980000"/>
                  <wp:effectExtent l="0" t="0" r="0" b="0"/>
                  <wp:docPr id="17" name="Graf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bl>
    <w:p w14:paraId="6F2DBA0C" w14:textId="77777777" w:rsidR="008F16D1" w:rsidRPr="00AD311F" w:rsidRDefault="008F16D1" w:rsidP="008F16D1">
      <w:pPr>
        <w:rPr>
          <w:rFonts w:cs="Segoe UI"/>
          <w:i/>
          <w:sz w:val="18"/>
        </w:rPr>
      </w:pPr>
      <w:r w:rsidRPr="00D81534">
        <w:rPr>
          <w:rFonts w:cs="Segoe UI"/>
          <w:i/>
          <w:color w:val="314364" w:themeColor="text2"/>
          <w:sz w:val="16"/>
        </w:rPr>
        <w:t>Zdroj: ŠÚ SR, MF SR, MZ SR, NCZI</w:t>
      </w:r>
      <w:r>
        <w:rPr>
          <w:rFonts w:cs="Segoe UI"/>
          <w:i/>
          <w:color w:val="314364" w:themeColor="text2"/>
          <w:sz w:val="16"/>
        </w:rPr>
        <w:t>, údaje z prezentácie Rady pre tvorbu rozpočtu v zdravotníctve</w:t>
      </w:r>
      <w:r>
        <w:rPr>
          <w:rFonts w:cs="Segoe UI"/>
          <w:i/>
          <w:color w:val="314364" w:themeColor="text2"/>
          <w:sz w:val="16"/>
          <w:lang w:val="en-US"/>
        </w:rPr>
        <w:t>;</w:t>
      </w:r>
      <w:r w:rsidRPr="00D81534">
        <w:rPr>
          <w:rFonts w:cs="Segoe UI"/>
          <w:i/>
          <w:color w:val="314364" w:themeColor="text2"/>
          <w:sz w:val="16"/>
        </w:rPr>
        <w:t xml:space="preserve"> spracovanie NKÚ SR.</w:t>
      </w:r>
    </w:p>
    <w:p w14:paraId="2326032A" w14:textId="2A0E8CE3" w:rsidR="008F16D1" w:rsidRDefault="00751DA8" w:rsidP="008F16D1">
      <w:pPr>
        <w:rPr>
          <w:rFonts w:cs="Segoe UI"/>
        </w:rPr>
      </w:pPr>
      <w:r w:rsidRPr="00D90FB0">
        <w:rPr>
          <w:rFonts w:cs="Segoe UI"/>
          <w:b/>
        </w:rPr>
        <w:t>Celkové zdroje na VZP rastú spolu s celkovými výdavkami na túto oblasť.</w:t>
      </w:r>
      <w:r w:rsidRPr="00D90FB0">
        <w:rPr>
          <w:rFonts w:cs="Segoe UI"/>
        </w:rPr>
        <w:t xml:space="preserve"> Najrýchlejšie rastúcimi oblasťami sú ústavná zdravotná starostlivosť</w:t>
      </w:r>
      <w:r w:rsidRPr="00E313CE">
        <w:rPr>
          <w:rFonts w:cs="Segoe UI"/>
        </w:rPr>
        <w:t xml:space="preserve"> </w:t>
      </w:r>
      <w:r>
        <w:rPr>
          <w:rFonts w:cs="Segoe UI"/>
        </w:rPr>
        <w:t xml:space="preserve">a výdavky na </w:t>
      </w:r>
      <w:r w:rsidRPr="00D90FB0">
        <w:rPr>
          <w:rFonts w:cs="Segoe UI"/>
        </w:rPr>
        <w:t>lieky</w:t>
      </w:r>
      <w:r>
        <w:rPr>
          <w:rFonts w:cs="Segoe UI"/>
        </w:rPr>
        <w:t>. Rast výdavkov na ústavnú zdravotnú starostlivosť spôsobuje najmä rast miezd zdravotníckych pracovníkov a inflácia.</w:t>
      </w:r>
      <w:r w:rsidRPr="00D90FB0">
        <w:rPr>
          <w:rFonts w:cs="Segoe UI"/>
        </w:rPr>
        <w:t xml:space="preserve"> </w:t>
      </w:r>
      <w:r>
        <w:rPr>
          <w:rFonts w:cs="Segoe UI"/>
        </w:rPr>
        <w:t>P</w:t>
      </w:r>
      <w:r w:rsidRPr="00D90FB0">
        <w:rPr>
          <w:rFonts w:cs="Segoe UI"/>
        </w:rPr>
        <w:t xml:space="preserve">odiel </w:t>
      </w:r>
      <w:r>
        <w:rPr>
          <w:rFonts w:cs="Segoe UI"/>
        </w:rPr>
        <w:t xml:space="preserve">týchto dvoch skupín výdavkov sa v čase zvyšuje na úkor ostatných oblastí </w:t>
      </w:r>
      <w:r w:rsidRPr="00D90FB0">
        <w:rPr>
          <w:rFonts w:cs="Segoe UI"/>
        </w:rPr>
        <w:t>zdravotnej starostlivosti</w:t>
      </w:r>
      <w:r>
        <w:rPr>
          <w:rFonts w:cs="Segoe UI"/>
        </w:rPr>
        <w:t xml:space="preserve">, najmä všeobecnej </w:t>
      </w:r>
      <w:r>
        <w:rPr>
          <w:rFonts w:cs="Segoe UI"/>
        </w:rPr>
        <w:lastRenderedPageBreak/>
        <w:t>ambulantnej starostlivosti (graf 33)</w:t>
      </w:r>
      <w:r w:rsidRPr="00D90FB0">
        <w:rPr>
          <w:rFonts w:cs="Segoe UI"/>
        </w:rPr>
        <w:t xml:space="preserve">. V roku 2025 presiahne ich podiel 60 % z celkového balíka </w:t>
      </w:r>
      <w:r>
        <w:rPr>
          <w:rFonts w:cs="Segoe UI"/>
        </w:rPr>
        <w:t xml:space="preserve">výdavkov </w:t>
      </w:r>
      <w:r w:rsidRPr="00D90FB0">
        <w:rPr>
          <w:rFonts w:cs="Segoe UI"/>
        </w:rPr>
        <w:t xml:space="preserve">VZP. </w:t>
      </w:r>
      <w:r>
        <w:rPr>
          <w:rFonts w:cs="Segoe UI"/>
        </w:rPr>
        <w:t>Podľa údajov MZ SR prezentovaných na stretnutí Rady pre tvorbu rozpočtu v zdravotníctve na rok 2026 by mal tento podiel dosiahnuť 58,6 %. V návrhu rozpočtu sa v roku 2026 predpokladá zvýšenie bázy mzdových výdavkov o 294 mil. eur a liekových výdavkov o 117 mil. eur</w:t>
      </w:r>
      <w:r w:rsidDel="00E313CE">
        <w:rPr>
          <w:rFonts w:cs="Segoe UI"/>
        </w:rPr>
        <w:t xml:space="preserve"> </w:t>
      </w:r>
      <w:r>
        <w:rPr>
          <w:rFonts w:cs="Segoe UI"/>
        </w:rPr>
        <w:t xml:space="preserve">oproti predchádzajúcemu roku. </w:t>
      </w:r>
      <w:r>
        <w:t xml:space="preserve">Zo zvýšených výdavkov systému VZP o 587 mil. eur pripadá až 70 % na mzdy a lieky. V prípade liekov ide o dobiehajúci dopad kategorizácie po novele zákona č. 363/2011 Z. z. z roku 2022, ktorou sa začalo dlhodobé prekračovanie rozpočtovaných </w:t>
      </w:r>
      <w:r w:rsidR="008F16D1">
        <w:t>výdavkov na lieky.</w:t>
      </w:r>
    </w:p>
    <w:p w14:paraId="0454149D" w14:textId="77777777" w:rsidR="008F16D1" w:rsidRPr="009749C6" w:rsidRDefault="008F16D1" w:rsidP="008F16D1">
      <w:pPr>
        <w:pStyle w:val="Popis"/>
        <w:keepNext/>
        <w:rPr>
          <w:rFonts w:cs="Segoe UI"/>
          <w:color w:val="314364"/>
        </w:rPr>
      </w:pPr>
      <w:r w:rsidRPr="009749C6">
        <w:rPr>
          <w:rFonts w:cs="Segoe UI"/>
          <w:color w:val="314364"/>
        </w:rPr>
        <w:t xml:space="preserve">Graf </w:t>
      </w:r>
      <w:r>
        <w:rPr>
          <w:rFonts w:cs="Segoe UI"/>
          <w:color w:val="314364"/>
        </w:rPr>
        <w:t>33</w:t>
      </w:r>
      <w:r w:rsidRPr="009749C6">
        <w:rPr>
          <w:rFonts w:cs="Segoe UI"/>
          <w:color w:val="314364"/>
        </w:rPr>
        <w:t xml:space="preserve">: </w:t>
      </w:r>
      <w:r w:rsidRPr="00313019">
        <w:rPr>
          <w:rFonts w:cs="Segoe UI"/>
          <w:color w:val="314364"/>
        </w:rPr>
        <w:t>Vývoj štruktúry výdavkov VZP (v %)</w:t>
      </w:r>
    </w:p>
    <w:tbl>
      <w:tblPr>
        <w:tblStyle w:val="Mriekatabuky"/>
        <w:tblW w:w="0" w:type="auto"/>
        <w:tblCellMar>
          <w:left w:w="70" w:type="dxa"/>
          <w:right w:w="70" w:type="dxa"/>
        </w:tblCellMar>
        <w:tblLook w:val="04A0" w:firstRow="1" w:lastRow="0" w:firstColumn="1" w:lastColumn="0" w:noHBand="0" w:noVBand="1"/>
      </w:tblPr>
      <w:tblGrid>
        <w:gridCol w:w="9070"/>
      </w:tblGrid>
      <w:tr w:rsidR="008F16D1" w:rsidRPr="009749C6" w14:paraId="3D093520" w14:textId="77777777" w:rsidTr="00BB314F">
        <w:trPr>
          <w:trHeight w:val="3402"/>
        </w:trPr>
        <w:tc>
          <w:tcPr>
            <w:tcW w:w="9070" w:type="dxa"/>
            <w:tcBorders>
              <w:top w:val="single" w:sz="4" w:space="0" w:color="314364" w:themeColor="text2"/>
              <w:left w:val="nil"/>
              <w:bottom w:val="single" w:sz="4" w:space="0" w:color="314364" w:themeColor="text2"/>
              <w:right w:val="nil"/>
            </w:tcBorders>
          </w:tcPr>
          <w:p w14:paraId="28A780E9" w14:textId="77777777" w:rsidR="008F16D1" w:rsidRPr="009749C6" w:rsidRDefault="008F16D1" w:rsidP="00BB314F">
            <w:pPr>
              <w:spacing w:after="0"/>
              <w:rPr>
                <w:rFonts w:cs="Segoe UI"/>
              </w:rPr>
            </w:pPr>
            <w:r>
              <w:rPr>
                <w:noProof/>
                <w:lang w:eastAsia="sk-SK"/>
              </w:rPr>
              <w:drawing>
                <wp:inline distT="0" distB="0" distL="0" distR="0" wp14:anchorId="4FCC12A6" wp14:editId="62F43874">
                  <wp:extent cx="5759450" cy="2160000"/>
                  <wp:effectExtent l="0" t="0" r="0" b="0"/>
                  <wp:docPr id="1254382038" name="Graf 1254382038">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bl>
    <w:p w14:paraId="2547D53C" w14:textId="77777777" w:rsidR="008F16D1" w:rsidRPr="00D90FB0" w:rsidRDefault="008F16D1" w:rsidP="008F16D1">
      <w:pPr>
        <w:rPr>
          <w:rFonts w:cs="Segoe UI"/>
        </w:rPr>
      </w:pPr>
      <w:r w:rsidRPr="00313019">
        <w:rPr>
          <w:rFonts w:cs="Segoe UI"/>
          <w:i/>
          <w:color w:val="314364" w:themeColor="text2"/>
          <w:sz w:val="16"/>
        </w:rPr>
        <w:t>Zdroj: MZ SR, MF SR,</w:t>
      </w:r>
      <w:r>
        <w:rPr>
          <w:rFonts w:cs="Segoe UI"/>
          <w:i/>
          <w:color w:val="314364" w:themeColor="text2"/>
          <w:sz w:val="16"/>
        </w:rPr>
        <w:t xml:space="preserve"> vrátane údajov z prezentácie Rady pre tvorbu rozpočtu v zdravotníctve</w:t>
      </w:r>
      <w:r>
        <w:rPr>
          <w:rFonts w:cs="Segoe UI"/>
          <w:i/>
          <w:color w:val="314364" w:themeColor="text2"/>
          <w:sz w:val="16"/>
          <w:lang w:val="en-US"/>
        </w:rPr>
        <w:t>;</w:t>
      </w:r>
      <w:r w:rsidRPr="00313019">
        <w:rPr>
          <w:rFonts w:cs="Segoe UI"/>
          <w:i/>
          <w:color w:val="314364" w:themeColor="text2"/>
          <w:sz w:val="16"/>
        </w:rPr>
        <w:t xml:space="preserve"> spracovanie NKÚ SR.</w:t>
      </w:r>
    </w:p>
    <w:p w14:paraId="093064B2" w14:textId="1B0F4C77" w:rsidR="00C0783B" w:rsidRPr="00F678D2" w:rsidRDefault="00D81534" w:rsidP="00C0783B">
      <w:pPr>
        <w:rPr>
          <w:rFonts w:cs="Segoe UI"/>
          <w:b/>
          <w:bCs/>
        </w:rPr>
      </w:pPr>
      <w:r w:rsidRPr="00B53B27">
        <w:rPr>
          <w:rFonts w:cs="Segoe UI"/>
          <w:b/>
        </w:rPr>
        <w:t xml:space="preserve">Úspory v zdravotníctve </w:t>
      </w:r>
      <w:r w:rsidR="00751DA8">
        <w:rPr>
          <w:rFonts w:cs="Segoe UI"/>
          <w:b/>
        </w:rPr>
        <w:t xml:space="preserve">sa </w:t>
      </w:r>
      <w:r w:rsidRPr="00B53B27">
        <w:rPr>
          <w:rFonts w:cs="Segoe UI"/>
          <w:b/>
        </w:rPr>
        <w:t>opätovne nedarí napĺňať</w:t>
      </w:r>
      <w:r w:rsidR="00751DA8">
        <w:rPr>
          <w:rFonts w:cs="Segoe UI"/>
          <w:b/>
        </w:rPr>
        <w:t>, pričom</w:t>
      </w:r>
      <w:r w:rsidRPr="00B53B27">
        <w:rPr>
          <w:rFonts w:cs="Segoe UI"/>
          <w:b/>
        </w:rPr>
        <w:t xml:space="preserve"> MZ SR v spolupráci s ÚV SR </w:t>
      </w:r>
      <w:r w:rsidR="00751DA8">
        <w:rPr>
          <w:rFonts w:cs="Segoe UI"/>
          <w:b/>
        </w:rPr>
        <w:t xml:space="preserve">viaceré úsporné opatrenia </w:t>
      </w:r>
      <w:r w:rsidRPr="00B53B27">
        <w:rPr>
          <w:rFonts w:cs="Segoe UI"/>
          <w:b/>
        </w:rPr>
        <w:t>ruší alebo od</w:t>
      </w:r>
      <w:r w:rsidR="00F678D2">
        <w:rPr>
          <w:rFonts w:cs="Segoe UI"/>
          <w:b/>
        </w:rPr>
        <w:t>kladá</w:t>
      </w:r>
      <w:r w:rsidRPr="00313019">
        <w:rPr>
          <w:rStyle w:val="Odkaznapoznmkupodiarou"/>
          <w:rFonts w:cs="Segoe UI"/>
        </w:rPr>
        <w:footnoteReference w:id="63"/>
      </w:r>
      <w:r w:rsidR="00313019">
        <w:rPr>
          <w:rFonts w:cs="Segoe UI"/>
          <w:b/>
        </w:rPr>
        <w:t>.</w:t>
      </w:r>
      <w:r w:rsidRPr="00B53B27">
        <w:rPr>
          <w:rFonts w:cs="Segoe UI"/>
          <w:b/>
        </w:rPr>
        <w:t xml:space="preserve"> </w:t>
      </w:r>
      <w:r w:rsidRPr="00B53B27">
        <w:rPr>
          <w:rFonts w:cs="Segoe UI"/>
        </w:rPr>
        <w:t xml:space="preserve">Ukončené a pozastavené úsporné opatrenia mohli potenciálne ušetriť 228,2 mil. eur </w:t>
      </w:r>
      <w:r>
        <w:rPr>
          <w:rFonts w:cs="Segoe UI"/>
        </w:rPr>
        <w:t xml:space="preserve">z celkovo plánovaných 483 mil. eur. </w:t>
      </w:r>
      <w:r w:rsidRPr="00AD311F">
        <w:rPr>
          <w:rFonts w:cs="Segoe UI"/>
        </w:rPr>
        <w:t xml:space="preserve">Podľa </w:t>
      </w:r>
      <w:r w:rsidR="00F678D2">
        <w:rPr>
          <w:rFonts w:cs="Segoe UI"/>
        </w:rPr>
        <w:t>r</w:t>
      </w:r>
      <w:r>
        <w:rPr>
          <w:rFonts w:cs="Segoe UI"/>
        </w:rPr>
        <w:t>evízie výdavkov na zdravotníctvo</w:t>
      </w:r>
      <w:r w:rsidR="00A05EA1">
        <w:rPr>
          <w:rStyle w:val="Odkaznapoznmkupodiarou"/>
          <w:rFonts w:cs="Segoe UI"/>
        </w:rPr>
        <w:footnoteReference w:id="64"/>
      </w:r>
      <w:r>
        <w:rPr>
          <w:rFonts w:cs="Segoe UI"/>
        </w:rPr>
        <w:t xml:space="preserve"> mali byť </w:t>
      </w:r>
      <w:r w:rsidR="00751DA8">
        <w:rPr>
          <w:rFonts w:cs="Segoe UI"/>
        </w:rPr>
        <w:t xml:space="preserve">v rokoch 2023 a 2024 </w:t>
      </w:r>
      <w:r>
        <w:rPr>
          <w:rFonts w:cs="Segoe UI"/>
        </w:rPr>
        <w:t xml:space="preserve">dosiahnuté úspory v zdravotníctve vo výške takmer 443 mil. eur. </w:t>
      </w:r>
      <w:r w:rsidR="00751DA8">
        <w:rPr>
          <w:rFonts w:cs="Segoe UI"/>
        </w:rPr>
        <w:t>P</w:t>
      </w:r>
      <w:r>
        <w:rPr>
          <w:rFonts w:cs="Segoe UI"/>
        </w:rPr>
        <w:t xml:space="preserve">odľa údajov ÚV SR </w:t>
      </w:r>
      <w:r w:rsidR="00751DA8">
        <w:rPr>
          <w:rFonts w:cs="Segoe UI"/>
        </w:rPr>
        <w:t xml:space="preserve">sa však podarilo </w:t>
      </w:r>
      <w:r w:rsidR="00313019">
        <w:rPr>
          <w:rFonts w:cs="Segoe UI"/>
        </w:rPr>
        <w:t>v dvoch rokoch ušetriť 112</w:t>
      </w:r>
      <w:r>
        <w:rPr>
          <w:rFonts w:cs="Segoe UI"/>
        </w:rPr>
        <w:t xml:space="preserve"> mil. eur. </w:t>
      </w:r>
      <w:r w:rsidR="00751DA8">
        <w:rPr>
          <w:rFonts w:cs="Segoe UI"/>
        </w:rPr>
        <w:t>N</w:t>
      </w:r>
      <w:r w:rsidR="00C0783B">
        <w:rPr>
          <w:rFonts w:cs="Segoe UI"/>
        </w:rPr>
        <w:t xml:space="preserve">a rok 2026 </w:t>
      </w:r>
      <w:r w:rsidR="00751DA8">
        <w:rPr>
          <w:rFonts w:cs="Segoe UI"/>
        </w:rPr>
        <w:t xml:space="preserve">je </w:t>
      </w:r>
      <w:r w:rsidR="00C0783B">
        <w:rPr>
          <w:rFonts w:cs="Segoe UI"/>
        </w:rPr>
        <w:t>v ro</w:t>
      </w:r>
      <w:r w:rsidR="008104C1">
        <w:rPr>
          <w:rFonts w:cs="Segoe UI"/>
        </w:rPr>
        <w:t>z</w:t>
      </w:r>
      <w:r w:rsidR="00C0783B">
        <w:rPr>
          <w:rFonts w:cs="Segoe UI"/>
        </w:rPr>
        <w:t>počte naplánovaná úspora vo výške 232 mil. eur</w:t>
      </w:r>
      <w:r w:rsidR="00C0783B">
        <w:rPr>
          <w:rStyle w:val="Odkaznapoznmkupodiarou"/>
          <w:rFonts w:cs="Segoe UI"/>
        </w:rPr>
        <w:footnoteReference w:id="65"/>
      </w:r>
      <w:r w:rsidR="00C0783B">
        <w:rPr>
          <w:rFonts w:cs="Segoe UI"/>
        </w:rPr>
        <w:t xml:space="preserve">, ktorú </w:t>
      </w:r>
      <w:r w:rsidR="00751DA8">
        <w:rPr>
          <w:rFonts w:cs="Segoe UI"/>
        </w:rPr>
        <w:t xml:space="preserve">NKÚ SR </w:t>
      </w:r>
      <w:r w:rsidR="00C0783B">
        <w:rPr>
          <w:rFonts w:cs="Segoe UI"/>
        </w:rPr>
        <w:t xml:space="preserve">v kontexte nenaplnených úsporných opatrení v predošlých rokoch považuje za príliš ambicióznu. </w:t>
      </w:r>
      <w:r w:rsidR="00C0783B" w:rsidRPr="00F678D2">
        <w:rPr>
          <w:rFonts w:cs="Segoe UI"/>
          <w:b/>
          <w:bCs/>
        </w:rPr>
        <w:t>Veľmi slabé napĺňanie úsporných opatrení, ktoré by systému VZP mohli u</w:t>
      </w:r>
      <w:r w:rsidR="00751DA8">
        <w:rPr>
          <w:rFonts w:cs="Segoe UI"/>
          <w:b/>
          <w:bCs/>
        </w:rPr>
        <w:t>šetriť</w:t>
      </w:r>
      <w:r w:rsidR="00C0783B" w:rsidRPr="00F678D2">
        <w:rPr>
          <w:rFonts w:cs="Segoe UI"/>
          <w:b/>
          <w:bCs/>
        </w:rPr>
        <w:t xml:space="preserve"> značnú časť finančných prostriedkov vníma NKÚ SR ako riziko neefektívneho vynakladania </w:t>
      </w:r>
      <w:r w:rsidR="00751DA8">
        <w:rPr>
          <w:rFonts w:cs="Segoe UI"/>
          <w:b/>
          <w:bCs/>
        </w:rPr>
        <w:t>verejných financií</w:t>
      </w:r>
      <w:r w:rsidR="00C0783B" w:rsidRPr="00F678D2">
        <w:rPr>
          <w:rFonts w:cs="Segoe UI"/>
          <w:b/>
          <w:bCs/>
        </w:rPr>
        <w:t xml:space="preserve"> a tejto </w:t>
      </w:r>
      <w:r w:rsidR="00751DA8">
        <w:rPr>
          <w:rFonts w:cs="Segoe UI"/>
          <w:b/>
          <w:bCs/>
        </w:rPr>
        <w:t>problematike</w:t>
      </w:r>
      <w:r w:rsidR="00C0783B" w:rsidRPr="00F678D2">
        <w:rPr>
          <w:rFonts w:cs="Segoe UI"/>
          <w:b/>
          <w:bCs/>
        </w:rPr>
        <w:t xml:space="preserve"> sa </w:t>
      </w:r>
      <w:r w:rsidR="00751DA8">
        <w:rPr>
          <w:rFonts w:cs="Segoe UI"/>
          <w:b/>
          <w:bCs/>
        </w:rPr>
        <w:t xml:space="preserve">plánuje </w:t>
      </w:r>
      <w:r w:rsidR="00C0783B" w:rsidRPr="00F678D2">
        <w:rPr>
          <w:rFonts w:cs="Segoe UI"/>
          <w:b/>
          <w:bCs/>
        </w:rPr>
        <w:t>naďalej venovať.</w:t>
      </w:r>
    </w:p>
    <w:p w14:paraId="6B63F92B" w14:textId="77777777" w:rsidR="00C0783B" w:rsidRPr="00C0783B" w:rsidRDefault="00C0783B" w:rsidP="00C0783B">
      <w:pPr>
        <w:pStyle w:val="Nadpis3"/>
      </w:pPr>
      <w:bookmarkStart w:id="49" w:name="_Toc210822636"/>
      <w:bookmarkStart w:id="50" w:name="_Toc211249096"/>
      <w:r w:rsidRPr="00C0783B">
        <w:t>Posilňovanie spolupráce so zainteresovanými stranami</w:t>
      </w:r>
      <w:bookmarkEnd w:id="49"/>
      <w:bookmarkEnd w:id="50"/>
      <w:r w:rsidRPr="00C0783B">
        <w:t xml:space="preserve"> </w:t>
      </w:r>
    </w:p>
    <w:p w14:paraId="3E747AC8" w14:textId="03C2F24C" w:rsidR="008215D0" w:rsidRDefault="009C4829" w:rsidP="009C4829">
      <w:r w:rsidRPr="00E648FC">
        <w:rPr>
          <w:b/>
        </w:rPr>
        <w:t>V </w:t>
      </w:r>
      <w:r w:rsidR="008215D0">
        <w:rPr>
          <w:b/>
        </w:rPr>
        <w:t>júni</w:t>
      </w:r>
      <w:r w:rsidRPr="00E648FC">
        <w:rPr>
          <w:b/>
        </w:rPr>
        <w:t xml:space="preserve"> 2025 bolo podpísané Memorandum o nastolení spravodlivosti vo financovaní ústavnej zdravotnej starostlivosti.</w:t>
      </w:r>
      <w:r>
        <w:t xml:space="preserve"> </w:t>
      </w:r>
      <w:r w:rsidR="0031019A">
        <w:t>Signatármi memoranda sú</w:t>
      </w:r>
      <w:r>
        <w:t xml:space="preserve"> </w:t>
      </w:r>
      <w:r w:rsidR="00500DD6">
        <w:t>MZ SR</w:t>
      </w:r>
      <w:r w:rsidR="0031019A">
        <w:t>, Asociácia</w:t>
      </w:r>
      <w:r w:rsidR="00E648FC">
        <w:t xml:space="preserve"> nemocníc Slovenska</w:t>
      </w:r>
      <w:r>
        <w:t>, Asociáci</w:t>
      </w:r>
      <w:r w:rsidR="0031019A">
        <w:t>a</w:t>
      </w:r>
      <w:r>
        <w:t xml:space="preserve"> štátnych</w:t>
      </w:r>
      <w:r w:rsidR="00E648FC">
        <w:t xml:space="preserve"> nemocníc S</w:t>
      </w:r>
      <w:r w:rsidR="001742E4">
        <w:t>R</w:t>
      </w:r>
      <w:r w:rsidR="00E648FC">
        <w:t xml:space="preserve"> a všetk</w:t>
      </w:r>
      <w:r w:rsidR="0031019A">
        <w:t>y</w:t>
      </w:r>
      <w:r w:rsidR="00E648FC">
        <w:t xml:space="preserve"> tr</w:t>
      </w:r>
      <w:r w:rsidR="0031019A">
        <w:t>i</w:t>
      </w:r>
      <w:r w:rsidR="00E648FC">
        <w:t xml:space="preserve"> zdravotn</w:t>
      </w:r>
      <w:r w:rsidR="0031019A">
        <w:t>é</w:t>
      </w:r>
      <w:r w:rsidR="00E648FC">
        <w:t xml:space="preserve"> poisťov</w:t>
      </w:r>
      <w:r w:rsidR="0031019A">
        <w:t xml:space="preserve">ne. Ide o reakciu na pretrvávajúce problémy, </w:t>
      </w:r>
      <w:r w:rsidR="00831DD2">
        <w:t>najmä</w:t>
      </w:r>
      <w:r w:rsidR="0031019A">
        <w:t xml:space="preserve"> na neobjektívne rozdiely vo financovaní</w:t>
      </w:r>
      <w:r w:rsidR="00831DD2">
        <w:t xml:space="preserve"> ústavnej zdravotnej starostlivosti</w:t>
      </w:r>
      <w:r w:rsidR="0031019A">
        <w:t xml:space="preserve">. Cieľom memoranda je </w:t>
      </w:r>
      <w:r w:rsidR="0031019A">
        <w:lastRenderedPageBreak/>
        <w:t>dosiahnuť spravodlivosť v tomto financovaní najneskôr počas roka 2027. Dokument obsahuje konkrétne kroky k dosiahnutiu tohto cieľa, vrátane harmonogramu</w:t>
      </w:r>
      <w:r w:rsidR="00C156DF">
        <w:t xml:space="preserve"> a rozdelenia zodpovednost</w:t>
      </w:r>
      <w:r w:rsidR="001742E4">
        <w:t>í</w:t>
      </w:r>
      <w:r w:rsidR="00C156DF">
        <w:t>.</w:t>
      </w:r>
    </w:p>
    <w:p w14:paraId="12CD0751" w14:textId="3703D764" w:rsidR="008215D0" w:rsidRDefault="008215D0" w:rsidP="009C4829">
      <w:r w:rsidRPr="00500DD6">
        <w:rPr>
          <w:b/>
        </w:rPr>
        <w:t xml:space="preserve">V rovnakom období bolo podpísané aj Memorandum o spolupráci medzi </w:t>
      </w:r>
      <w:r w:rsidR="00500DD6" w:rsidRPr="00500DD6">
        <w:rPr>
          <w:b/>
        </w:rPr>
        <w:t xml:space="preserve">MZ SR a Zväzom ambulantných poskytovateľov. </w:t>
      </w:r>
      <w:r w:rsidR="00500DD6">
        <w:t xml:space="preserve">Signatári sa v ňom hlásia k potrebe dlhodobej stabilizácie ambulantného sektora založenej na odbornom, koordinovanom a dátovo podloženom prístupe. Cieľom je vytvorenie podmienok pre dostupnú, kvalitnú a ekonomicky udržateľnú ambulantnú zdravotnú starostlivosť pre všetkých poistencov. Memorandum definuje konkrétne krátkodobé, strednodobé a dlhodobé priority a predpokladá zriadenie spoločnej implementačnej skupiny. </w:t>
      </w:r>
    </w:p>
    <w:p w14:paraId="3D833993" w14:textId="02A5315E" w:rsidR="006C378D" w:rsidRPr="001742E4" w:rsidRDefault="006C378D" w:rsidP="006C378D">
      <w:pPr>
        <w:rPr>
          <w:b/>
          <w:bCs/>
        </w:rPr>
      </w:pPr>
      <w:r>
        <w:rPr>
          <w:b/>
          <w:bCs/>
        </w:rPr>
        <w:t>Obe m</w:t>
      </w:r>
      <w:r w:rsidRPr="001742E4">
        <w:rPr>
          <w:b/>
          <w:bCs/>
        </w:rPr>
        <w:t>emorandá</w:t>
      </w:r>
      <w:r>
        <w:t xml:space="preserve"> </w:t>
      </w:r>
      <w:r w:rsidRPr="00103FE7">
        <w:rPr>
          <w:b/>
        </w:rPr>
        <w:t>majú potenciál zvýšiť transparentnosť, efektívnosť a účinnosť napĺňania rozpočtu v</w:t>
      </w:r>
      <w:r>
        <w:rPr>
          <w:b/>
        </w:rPr>
        <w:t xml:space="preserve"> ústavnej a ambulantnej zdravotnej starostlivosti, teda </w:t>
      </w:r>
      <w:r w:rsidR="00EB59F7">
        <w:rPr>
          <w:b/>
        </w:rPr>
        <w:t xml:space="preserve">v </w:t>
      </w:r>
      <w:r w:rsidRPr="00103FE7">
        <w:rPr>
          <w:b/>
        </w:rPr>
        <w:t xml:space="preserve">dvoch kľúčových podoblastiach zdravotníctva </w:t>
      </w:r>
      <w:r>
        <w:rPr>
          <w:b/>
        </w:rPr>
        <w:t xml:space="preserve">a </w:t>
      </w:r>
      <w:r w:rsidRPr="00103FE7">
        <w:rPr>
          <w:b/>
        </w:rPr>
        <w:t xml:space="preserve">NKÚ </w:t>
      </w:r>
      <w:r>
        <w:rPr>
          <w:b/>
        </w:rPr>
        <w:t>SR t</w:t>
      </w:r>
      <w:r w:rsidRPr="00103FE7">
        <w:rPr>
          <w:b/>
        </w:rPr>
        <w:t>ieto aktivity víta</w:t>
      </w:r>
      <w:r>
        <w:t xml:space="preserve"> </w:t>
      </w:r>
      <w:r w:rsidRPr="001742E4">
        <w:rPr>
          <w:b/>
          <w:bCs/>
        </w:rPr>
        <w:t xml:space="preserve">a bude sledovať </w:t>
      </w:r>
      <w:r>
        <w:rPr>
          <w:b/>
          <w:bCs/>
        </w:rPr>
        <w:t>ich fungovanie v praxi</w:t>
      </w:r>
      <w:r w:rsidRPr="001742E4">
        <w:rPr>
          <w:b/>
          <w:bCs/>
        </w:rPr>
        <w:t xml:space="preserve">.  </w:t>
      </w:r>
    </w:p>
    <w:p w14:paraId="318CA8B1" w14:textId="77777777" w:rsidR="00831DD2" w:rsidRDefault="00831DD2" w:rsidP="00831DD2">
      <w:r w:rsidRPr="00DB6960">
        <w:rPr>
          <w:b/>
        </w:rPr>
        <w:t xml:space="preserve">Novovytvorená Rada pre tvorbu rozpočtu v zdravotníctve dosiahla </w:t>
      </w:r>
      <w:r>
        <w:rPr>
          <w:b/>
        </w:rPr>
        <w:t>reálnu</w:t>
      </w:r>
      <w:r w:rsidRPr="00DB6960">
        <w:rPr>
          <w:b/>
        </w:rPr>
        <w:t xml:space="preserve"> funkčnosť</w:t>
      </w:r>
      <w:r>
        <w:rPr>
          <w:b/>
        </w:rPr>
        <w:t xml:space="preserve"> až tesne pred finalizáciou návrhu rozpočtu</w:t>
      </w:r>
      <w:r w:rsidRPr="00DB6960">
        <w:rPr>
          <w:b/>
        </w:rPr>
        <w:t>.</w:t>
      </w:r>
      <w:r>
        <w:t xml:space="preserve"> V júni 2025 bol vo vestníku MZ SR zverejnený jej štatút a v tom istom období sa uskutočnilo aj nulté zasadnutie Výboru pre tvorbu rozpočtu. Dá sa teda konštatovať, že rada začala formálne fungovať v júni 2025. Napriek tomu ešte v polovici septembra 2025 nebol sfinalizovaný zoznam členov pracovných skupín ani doriešený režim pozorovateľov. Pozitívnym signálom je uskutočnenie </w:t>
      </w:r>
      <w:r w:rsidRPr="00786E19">
        <w:t>ustanovujúce</w:t>
      </w:r>
      <w:r>
        <w:t>ho zasadnutia</w:t>
      </w:r>
      <w:r w:rsidRPr="00786E19">
        <w:t xml:space="preserve"> Výboru pre monitori</w:t>
      </w:r>
      <w:r>
        <w:t xml:space="preserve">ng </w:t>
      </w:r>
      <w:r w:rsidRPr="00845EE6">
        <w:t xml:space="preserve">a </w:t>
      </w:r>
      <w:r w:rsidRPr="00BB314F">
        <w:t>Výboru pre tvorbu rozpočtu, ktoré sa konalo 23. septembra 2025</w:t>
      </w:r>
      <w:r>
        <w:t>, na ktoré bol ako pozorovateľ pozvaný aj zástupca NKÚ SR</w:t>
      </w:r>
      <w:r w:rsidRPr="00BB314F">
        <w:t>.</w:t>
      </w:r>
      <w:r>
        <w:t xml:space="preserve"> Podľa štatútu majú byť zápisnice z rokovaní zverejňované na stránke </w:t>
      </w:r>
      <w:r w:rsidRPr="00845EE6">
        <w:t>ministerstva</w:t>
      </w:r>
      <w:r>
        <w:rPr>
          <w:rStyle w:val="Odkaznapoznmkupodiarou"/>
        </w:rPr>
        <w:footnoteReference w:id="66"/>
      </w:r>
      <w:r w:rsidRPr="00845EE6">
        <w:t xml:space="preserve">, </w:t>
      </w:r>
      <w:r w:rsidRPr="00BB314F">
        <w:t xml:space="preserve">no </w:t>
      </w:r>
      <w:r>
        <w:t xml:space="preserve">ani </w:t>
      </w:r>
      <w:r w:rsidRPr="00BB314F">
        <w:t xml:space="preserve">zápisnica </w:t>
      </w:r>
      <w:r>
        <w:t>z </w:t>
      </w:r>
      <w:r w:rsidRPr="00BB314F">
        <w:t>nultého</w:t>
      </w:r>
      <w:r>
        <w:t>,</w:t>
      </w:r>
      <w:r w:rsidRPr="00BB314F">
        <w:t xml:space="preserve"> </w:t>
      </w:r>
      <w:r>
        <w:t>ani z ustanovujúceho zasadnutia</w:t>
      </w:r>
      <w:r w:rsidRPr="00BB314F">
        <w:t xml:space="preserve"> </w:t>
      </w:r>
      <w:r>
        <w:t xml:space="preserve">neboli k októbru </w:t>
      </w:r>
      <w:r w:rsidRPr="00BB314F">
        <w:t>zverejnen</w:t>
      </w:r>
      <w:r>
        <w:t>é</w:t>
      </w:r>
      <w:r w:rsidRPr="00BB314F">
        <w:t>.</w:t>
      </w:r>
      <w:r w:rsidRPr="00845EE6">
        <w:t xml:space="preserve"> So</w:t>
      </w:r>
      <w:r>
        <w:t xml:space="preserve"> vznikom tejto rady sú spojené značné očakávania týkajúce sa zvýšenej transparentnosti a zlepšenia rozpočtového procesu v  zdravotníctve, avšak NKÚ SR konštatuje, že tieto očakávania zatiaľ neboli naplnené.</w:t>
      </w:r>
    </w:p>
    <w:p w14:paraId="73205A49" w14:textId="0B4D0178" w:rsidR="005B35A5" w:rsidRPr="003A2D2B" w:rsidRDefault="000F57BF" w:rsidP="00C0783B">
      <w:pPr>
        <w:pStyle w:val="Nadpis3"/>
      </w:pPr>
      <w:bookmarkStart w:id="51" w:name="_Toc211249097"/>
      <w:r>
        <w:t>Vybrané</w:t>
      </w:r>
      <w:r w:rsidR="00AA4788">
        <w:t xml:space="preserve"> systémové</w:t>
      </w:r>
      <w:r>
        <w:t xml:space="preserve"> riziká v sektore zdravotníctva</w:t>
      </w:r>
      <w:bookmarkEnd w:id="51"/>
    </w:p>
    <w:p w14:paraId="3AC943AB" w14:textId="77777777" w:rsidR="00E722EE" w:rsidRDefault="00E722EE" w:rsidP="00E722EE">
      <w:pPr>
        <w:spacing w:after="160" w:line="259" w:lineRule="auto"/>
      </w:pPr>
      <w:r w:rsidRPr="00FD071A">
        <w:rPr>
          <w:b/>
          <w:bCs/>
        </w:rPr>
        <w:t xml:space="preserve">NKÚ SR vo svojich výstupoch </w:t>
      </w:r>
      <w:r>
        <w:rPr>
          <w:b/>
          <w:bCs/>
        </w:rPr>
        <w:t>opakovane</w:t>
      </w:r>
      <w:r w:rsidRPr="00FD071A">
        <w:rPr>
          <w:b/>
          <w:bCs/>
        </w:rPr>
        <w:t xml:space="preserve"> upozorňuje na mnohé dlhodobo neriešené systémové riziká v slovenskom zdravotníctve.</w:t>
      </w:r>
      <w:r>
        <w:t xml:space="preserve"> Tvorba rozpočtu môže byť priestorom na postupné riešenie aspoň niektorých z nich tým, že sa verejné zdroje alokujú do oblastí s najväčšími rizikami a ich čerpanie sa podmieni systémovými zmenami. Predložený rozpočet však neobsahuje reformné prvky a pôsobí skôr udržiavacím dojmom. V ďalšom texte poukazujeme na tri vybrané systémové zlyhania: </w:t>
      </w:r>
    </w:p>
    <w:p w14:paraId="5635C1E6" w14:textId="77777777" w:rsidR="00E722EE" w:rsidRDefault="00E722EE" w:rsidP="00E722EE">
      <w:pPr>
        <w:pStyle w:val="Odsekzoznamu"/>
        <w:numPr>
          <w:ilvl w:val="0"/>
          <w:numId w:val="21"/>
        </w:numPr>
        <w:spacing w:after="160" w:line="259" w:lineRule="auto"/>
      </w:pPr>
      <w:r>
        <w:t xml:space="preserve">neschopnosť slovenského zdravotníctva dosahovať adekvátne výsledky, </w:t>
      </w:r>
    </w:p>
    <w:p w14:paraId="675C7908" w14:textId="77777777" w:rsidR="00E722EE" w:rsidRDefault="00E722EE" w:rsidP="00E722EE">
      <w:pPr>
        <w:pStyle w:val="Odsekzoznamu"/>
        <w:numPr>
          <w:ilvl w:val="0"/>
          <w:numId w:val="21"/>
        </w:numPr>
        <w:spacing w:after="160" w:line="259" w:lineRule="auto"/>
      </w:pPr>
      <w:r>
        <w:t xml:space="preserve">riziká zdravotnej dostupnosti plynúce z vysokého priemerného veku lekárov, </w:t>
      </w:r>
    </w:p>
    <w:p w14:paraId="619C17FF" w14:textId="77777777" w:rsidR="00E722EE" w:rsidRDefault="00E722EE" w:rsidP="00E722EE">
      <w:pPr>
        <w:pStyle w:val="Odsekzoznamu"/>
        <w:numPr>
          <w:ilvl w:val="0"/>
          <w:numId w:val="21"/>
        </w:numPr>
        <w:spacing w:after="160" w:line="259" w:lineRule="auto"/>
      </w:pPr>
      <w:r>
        <w:t>a pretrvávajúce zadlžovanie sa nemocníc.</w:t>
      </w:r>
    </w:p>
    <w:p w14:paraId="1B1F9421" w14:textId="7733CB7E" w:rsidR="00E722EE" w:rsidRPr="00E722EE" w:rsidRDefault="00E722EE" w:rsidP="00E722EE">
      <w:pPr>
        <w:spacing w:after="160" w:line="259" w:lineRule="auto"/>
        <w:rPr>
          <w:b/>
        </w:rPr>
      </w:pPr>
      <w:r w:rsidRPr="00E722EE">
        <w:rPr>
          <w:b/>
        </w:rPr>
        <w:t>NKÚ SR dlhodobo a opakovane poukazuje na to, že výsledky slovenského zdravotníctva sú neuspokojivé, pričom na to upozorňujú aj ďalšie inštitúcie.</w:t>
      </w:r>
      <w:r>
        <w:t xml:space="preserve"> NBS vo svojej správe</w:t>
      </w:r>
      <w:r>
        <w:rPr>
          <w:rStyle w:val="Odkaznapoznmkupodiarou"/>
        </w:rPr>
        <w:footnoteReference w:id="67"/>
      </w:r>
      <w:r>
        <w:t xml:space="preserve"> z júla 2025 konštatovala: </w:t>
      </w:r>
      <w:r w:rsidRPr="00E722EE">
        <w:rPr>
          <w:i/>
          <w:iCs/>
        </w:rPr>
        <w:t>„Zdravie obyvateľstva naďalej predstavuje vážny problém. Slovensko dosahuje dlhodobo nepriaznivé zdravotné výsledky, čo poukazuje na naliehavú potrebu hĺbkových reforiem v zdravotníctve. Zlepšenie zdravotného stavu populácie je kľúčové na zvýšenie celkovej kvality života, ale súčasne aj z hľadiska výkonnosti ekonomiky a dlhodobej udržateľnosti verejných financií</w:t>
      </w:r>
      <w:r w:rsidRPr="00850F7D">
        <w:t>.“</w:t>
      </w:r>
      <w:r>
        <w:t xml:space="preserve"> </w:t>
      </w:r>
      <w:r w:rsidRPr="00E722EE">
        <w:rPr>
          <w:b/>
          <w:bCs/>
        </w:rPr>
        <w:t>Podľa MZ SR</w:t>
      </w:r>
      <w:r>
        <w:t xml:space="preserve"> </w:t>
      </w:r>
      <w:r w:rsidRPr="00E722EE">
        <w:rPr>
          <w:b/>
        </w:rPr>
        <w:t>nie je splniteľný ani jeden cieľ stanovený do roku 2030 ohľadom desiatich sledovaných ukazovateľov zdravotného stavu obyvateľstva.</w:t>
      </w:r>
      <w:r w:rsidR="00501658">
        <w:rPr>
          <w:rStyle w:val="Odkaznapoznmkupodiarou"/>
        </w:rPr>
        <w:footnoteReference w:id="68"/>
      </w:r>
    </w:p>
    <w:p w14:paraId="3E9077FF" w14:textId="25558B34" w:rsidR="00E722EE" w:rsidRPr="001D582D" w:rsidRDefault="00E722EE" w:rsidP="00E722EE">
      <w:r w:rsidRPr="006373BB">
        <w:rPr>
          <w:b/>
        </w:rPr>
        <w:lastRenderedPageBreak/>
        <w:t xml:space="preserve">Ak by Slovensko maximalizovalo efektívnosť využívania zdrojov </w:t>
      </w:r>
      <w:r>
        <w:rPr>
          <w:b/>
        </w:rPr>
        <w:t>vynakladaných</w:t>
      </w:r>
      <w:r w:rsidRPr="006373BB">
        <w:rPr>
          <w:b/>
        </w:rPr>
        <w:t xml:space="preserve"> </w:t>
      </w:r>
      <w:r>
        <w:rPr>
          <w:b/>
        </w:rPr>
        <w:t>v</w:t>
      </w:r>
      <w:r w:rsidRPr="006373BB">
        <w:rPr>
          <w:b/>
        </w:rPr>
        <w:t xml:space="preserve"> zdravotníctv</w:t>
      </w:r>
      <w:r>
        <w:rPr>
          <w:b/>
        </w:rPr>
        <w:t>e</w:t>
      </w:r>
      <w:r w:rsidRPr="006373BB">
        <w:rPr>
          <w:b/>
        </w:rPr>
        <w:t xml:space="preserve">, priemerný občan </w:t>
      </w:r>
      <w:r>
        <w:rPr>
          <w:b/>
        </w:rPr>
        <w:t xml:space="preserve">by sa </w:t>
      </w:r>
      <w:r w:rsidRPr="006373BB">
        <w:rPr>
          <w:b/>
        </w:rPr>
        <w:t>dožil v zdraví o 3,47 rokov viac</w:t>
      </w:r>
      <w:r>
        <w:t>.</w:t>
      </w:r>
      <w:r w:rsidRPr="001D582D">
        <w:t xml:space="preserve"> </w:t>
      </w:r>
      <w:r>
        <w:t>Podľa štúdie publikovanej v</w:t>
      </w:r>
      <w:r w:rsidRPr="001D582D">
        <w:t> </w:t>
      </w:r>
      <w:r>
        <w:t>júli</w:t>
      </w:r>
      <w:r w:rsidRPr="001D582D">
        <w:t xml:space="preserve"> </w:t>
      </w:r>
      <w:r>
        <w:t>2025</w:t>
      </w:r>
      <w:r w:rsidRPr="001D582D">
        <w:t xml:space="preserve"> v</w:t>
      </w:r>
      <w:r>
        <w:t> </w:t>
      </w:r>
      <w:r w:rsidRPr="001D582D">
        <w:t>časopise</w:t>
      </w:r>
      <w:r>
        <w:t xml:space="preserve"> The</w:t>
      </w:r>
      <w:r w:rsidRPr="001D582D">
        <w:t xml:space="preserve"> Lancet</w:t>
      </w:r>
      <w:r>
        <w:rPr>
          <w:rStyle w:val="Odkaznapoznmkupodiarou"/>
        </w:rPr>
        <w:footnoteReference w:id="69"/>
      </w:r>
      <w:r w:rsidRPr="001D582D">
        <w:t>, ktorá merala neefek</w:t>
      </w:r>
      <w:r>
        <w:t>tívnosť</w:t>
      </w:r>
      <w:r w:rsidRPr="001D582D">
        <w:t xml:space="preserve"> </w:t>
      </w:r>
      <w:r>
        <w:t xml:space="preserve">výdavkov na zdravotníctvo v 201 krajinách sveta za obdobie rokov 1995 až 2022, patrí Slovensko medzi krajiny EÚ s najvyššou mierou neefektívnosti </w:t>
      </w:r>
      <w:r w:rsidRPr="00E722EE">
        <w:t>(graf 34).</w:t>
      </w:r>
      <w:r w:rsidRPr="001D582D">
        <w:t xml:space="preserve"> </w:t>
      </w:r>
      <w:r>
        <w:t>Autori štúdie prepočítali, o koľko vyšší by bol ukazovateľ počtu zdravých rokov života</w:t>
      </w:r>
      <w:r>
        <w:rPr>
          <w:rStyle w:val="Odkaznapoznmkupodiarou"/>
        </w:rPr>
        <w:footnoteReference w:id="70"/>
      </w:r>
      <w:r>
        <w:t>, ak by krajina využila daný objem prostriedkov vynaložený v zdravotníctve maximálne efektívne. Znepokojujúce je, že táto hodnota bola v roku 2022 vyššia ako v roku 1995, čo naznačuje zhoršovanie efektívnosti slovenského zdravotníctva. Keďže po roku 2022 slovenské zdravotníctvo nezaznamenalo žiadne zásadné systémové zlepšenia, možno predpokladať, že podobná miera neefektívnosti pretrváva aj v súčasnosti a bude sprevádzať aj vynakladanie verejných zdrojov rozpočtovaných na zdravotníctvo pre budúci rok.</w:t>
      </w:r>
    </w:p>
    <w:p w14:paraId="65D5865F" w14:textId="77777777" w:rsidR="008F16D1" w:rsidRPr="00BC3CA3" w:rsidRDefault="008F16D1" w:rsidP="008F16D1">
      <w:pPr>
        <w:pStyle w:val="Popis"/>
        <w:keepNext/>
        <w:rPr>
          <w:color w:val="314364"/>
        </w:rPr>
      </w:pPr>
      <w:r w:rsidRPr="00BC3CA3">
        <w:rPr>
          <w:color w:val="314364"/>
        </w:rPr>
        <w:t>Graf</w:t>
      </w:r>
      <w:r>
        <w:rPr>
          <w:color w:val="314364"/>
        </w:rPr>
        <w:t xml:space="preserve"> 34</w:t>
      </w:r>
      <w:r w:rsidRPr="00BC3CA3">
        <w:rPr>
          <w:color w:val="314364"/>
        </w:rPr>
        <w:t>:</w:t>
      </w:r>
      <w:r>
        <w:rPr>
          <w:color w:val="314364"/>
        </w:rPr>
        <w:t xml:space="preserve"> Neefektivita zdravotníctva krajiny (v dodatočných rokoch zdravého života)</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8F16D1" w:rsidRPr="00C75134" w14:paraId="0CF1950D" w14:textId="77777777" w:rsidTr="00BB314F">
        <w:trPr>
          <w:trHeight w:val="3685"/>
        </w:trPr>
        <w:tc>
          <w:tcPr>
            <w:tcW w:w="5000" w:type="pct"/>
            <w:tcBorders>
              <w:top w:val="single" w:sz="4" w:space="0" w:color="314364"/>
              <w:bottom w:val="single" w:sz="4" w:space="0" w:color="314364"/>
            </w:tcBorders>
            <w:vAlign w:val="center"/>
          </w:tcPr>
          <w:p w14:paraId="4B90CC11" w14:textId="77777777" w:rsidR="008F16D1" w:rsidRPr="00C75134" w:rsidRDefault="008F16D1" w:rsidP="00BB314F">
            <w:pPr>
              <w:spacing w:after="0"/>
              <w:rPr>
                <w:b/>
                <w:color w:val="576431"/>
              </w:rPr>
            </w:pPr>
            <w:r>
              <w:rPr>
                <w:noProof/>
                <w:lang w:eastAsia="sk-SK"/>
              </w:rPr>
              <w:drawing>
                <wp:inline distT="0" distB="0" distL="0" distR="0" wp14:anchorId="4B49A63E" wp14:editId="621F0552">
                  <wp:extent cx="5759450" cy="2340000"/>
                  <wp:effectExtent l="0" t="0" r="0" b="3175"/>
                  <wp:docPr id="1"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bl>
    <w:p w14:paraId="2AEFC447" w14:textId="77777777" w:rsidR="008F16D1" w:rsidRDefault="008F16D1" w:rsidP="008F16D1">
      <w:pPr>
        <w:pStyle w:val="Zdroj"/>
        <w:spacing w:line="276" w:lineRule="auto"/>
      </w:pPr>
      <w:r w:rsidRPr="00627D87">
        <w:t xml:space="preserve">Zdroj: </w:t>
      </w:r>
      <w:r>
        <w:t xml:space="preserve">Dáta zo štúdie </w:t>
      </w:r>
      <w:r w:rsidRPr="009F74B4">
        <w:t>Global, regional, and national health-care inefficiency and associated factors in 201 countries, 1995–2022: a stochastic frontier meta-analysis for the Global Burden of Disease Study 2023</w:t>
      </w:r>
      <w:r>
        <w:t xml:space="preserve">. </w:t>
      </w:r>
      <w:r w:rsidRPr="009F74B4">
        <w:t>The Lance</w:t>
      </w:r>
      <w:r>
        <w:t>t.</w:t>
      </w:r>
      <w:r w:rsidRPr="009F74B4">
        <w:t xml:space="preserve"> </w:t>
      </w:r>
      <w:r>
        <w:t>j</w:t>
      </w:r>
      <w:r w:rsidRPr="009F74B4">
        <w:t>úl 2025</w:t>
      </w:r>
      <w:r>
        <w:t>.</w:t>
      </w:r>
    </w:p>
    <w:p w14:paraId="16E0197E" w14:textId="1AFE40A9" w:rsidR="00844FCB" w:rsidRDefault="00844FCB" w:rsidP="00844FCB">
      <w:r w:rsidRPr="00844FCB">
        <w:rPr>
          <w:b/>
        </w:rPr>
        <w:t>Priemerný vek lekárov</w:t>
      </w:r>
      <w:r w:rsidR="001E093E" w:rsidRPr="001E093E">
        <w:rPr>
          <w:rStyle w:val="Odkaznapoznmkupodiarou"/>
          <w:bCs/>
        </w:rPr>
        <w:footnoteReference w:id="71"/>
      </w:r>
      <w:r w:rsidRPr="001E093E">
        <w:rPr>
          <w:bCs/>
        </w:rPr>
        <w:t xml:space="preserve"> </w:t>
      </w:r>
      <w:r w:rsidRPr="00844FCB">
        <w:rPr>
          <w:b/>
        </w:rPr>
        <w:t>bol v roku 2024 na úrovni  47 rokov.</w:t>
      </w:r>
      <w:r>
        <w:t xml:space="preserve"> Databáza Soc</w:t>
      </w:r>
      <w:r w:rsidR="000F57BF">
        <w:t xml:space="preserve">iálnej poisťovne </w:t>
      </w:r>
      <w:r>
        <w:t>obsahuje pri každom poistencovi aj údaj o roku narodenia, čo umožňuje analýzu vekovej štruktúry v členení podľa ISCO číselníka</w:t>
      </w:r>
      <w:r w:rsidR="001E093E">
        <w:rPr>
          <w:rStyle w:val="Odkaznapoznmkupodiarou"/>
        </w:rPr>
        <w:footnoteReference w:id="72"/>
      </w:r>
      <w:r>
        <w:t xml:space="preserve">. </w:t>
      </w:r>
      <w:r w:rsidR="001E093E">
        <w:t>P</w:t>
      </w:r>
      <w:r>
        <w:t xml:space="preserve">riemerný vek lekárov </w:t>
      </w:r>
      <w:r w:rsidR="00E722EE">
        <w:t>znižuje</w:t>
      </w:r>
      <w:r>
        <w:t xml:space="preserve"> najmä početn</w:t>
      </w:r>
      <w:r w:rsidR="00E722EE">
        <w:t>á</w:t>
      </w:r>
      <w:r>
        <w:t xml:space="preserve"> skupin</w:t>
      </w:r>
      <w:r w:rsidR="00E722EE">
        <w:t>a</w:t>
      </w:r>
      <w:r>
        <w:t xml:space="preserve"> lekárov bez špecializácie (ISCO </w:t>
      </w:r>
      <w:r w:rsidRPr="007C25F2">
        <w:t>2211003</w:t>
      </w:r>
      <w:r>
        <w:t>)</w:t>
      </w:r>
      <w:r w:rsidR="001E093E">
        <w:t>,</w:t>
      </w:r>
      <w:r>
        <w:t xml:space="preserve"> u ktorých bol priemerný vek 33 rokov. </w:t>
      </w:r>
      <w:r w:rsidR="00E722EE">
        <w:t xml:space="preserve">Na druhej strane, </w:t>
      </w:r>
      <w:r>
        <w:t>všeobecn</w:t>
      </w:r>
      <w:r w:rsidR="00E722EE">
        <w:t>í</w:t>
      </w:r>
      <w:r>
        <w:t xml:space="preserve"> lekár</w:t>
      </w:r>
      <w:r w:rsidR="00E722EE">
        <w:t>i</w:t>
      </w:r>
      <w:r>
        <w:t xml:space="preserve"> pre dospelých, ako aj pre deti a dorast (ISCO </w:t>
      </w:r>
      <w:r w:rsidRPr="007C25F2">
        <w:t>2211001</w:t>
      </w:r>
      <w:r>
        <w:t xml:space="preserve"> a 2211002) </w:t>
      </w:r>
      <w:r w:rsidR="00E722EE">
        <w:t>mali</w:t>
      </w:r>
      <w:r>
        <w:t xml:space="preserve"> priemerný vek 53 rokov. </w:t>
      </w:r>
      <w:r w:rsidR="00E722EE">
        <w:t>V</w:t>
      </w:r>
      <w:r>
        <w:t> podskupin</w:t>
      </w:r>
      <w:r w:rsidR="00E722EE">
        <w:t>e</w:t>
      </w:r>
      <w:r>
        <w:t xml:space="preserve"> lekárov špecialistov (ISCO 2212)</w:t>
      </w:r>
      <w:r w:rsidR="00E722EE">
        <w:t xml:space="preserve"> dosahoval v roku 2024</w:t>
      </w:r>
      <w:r>
        <w:t> priemern</w:t>
      </w:r>
      <w:r w:rsidR="00E722EE">
        <w:t>ý vek</w:t>
      </w:r>
      <w:r>
        <w:t xml:space="preserve"> 51 rokov. </w:t>
      </w:r>
    </w:p>
    <w:p w14:paraId="2E3EA48E" w14:textId="5B1435BB" w:rsidR="00844FCB" w:rsidRDefault="00844FCB" w:rsidP="00844FCB">
      <w:r w:rsidRPr="00844FCB">
        <w:rPr>
          <w:b/>
        </w:rPr>
        <w:t xml:space="preserve">NKÚ </w:t>
      </w:r>
      <w:r w:rsidR="001E093E">
        <w:rPr>
          <w:b/>
        </w:rPr>
        <w:t xml:space="preserve">SR </w:t>
      </w:r>
      <w:r w:rsidRPr="00844FCB">
        <w:rPr>
          <w:b/>
        </w:rPr>
        <w:t xml:space="preserve">upozorňuje na vážne riziko zníženia dostupnosti zdravotnej starostlivosti v oblastiach, </w:t>
      </w:r>
      <w:r w:rsidR="00817383">
        <w:rPr>
          <w:b/>
        </w:rPr>
        <w:t>kde</w:t>
      </w:r>
      <w:r w:rsidRPr="00844FCB">
        <w:rPr>
          <w:b/>
        </w:rPr>
        <w:t xml:space="preserve"> veľkú časť pracovníkov tvoria </w:t>
      </w:r>
      <w:r w:rsidR="00817383">
        <w:rPr>
          <w:b/>
        </w:rPr>
        <w:t xml:space="preserve">osoby vo veku </w:t>
      </w:r>
      <w:r w:rsidRPr="00844FCB">
        <w:rPr>
          <w:b/>
        </w:rPr>
        <w:t xml:space="preserve">65 a viac. </w:t>
      </w:r>
      <w:r>
        <w:t xml:space="preserve">Detailnejší pohľad na dáta ukazuje viacero špecializácií, kde bol značný podiel lekárov vo veku nad </w:t>
      </w:r>
      <w:r w:rsidR="00817383">
        <w:t>touto hranicou</w:t>
      </w:r>
      <w:r>
        <w:t xml:space="preserve">. Viac ako štvrtinu tvoria </w:t>
      </w:r>
      <w:r w:rsidR="00817383">
        <w:t>lekári</w:t>
      </w:r>
      <w:r>
        <w:t xml:space="preserve"> </w:t>
      </w:r>
      <w:r w:rsidR="00817383">
        <w:t>starší ako</w:t>
      </w:r>
      <w:r>
        <w:t xml:space="preserve"> 65 rokov </w:t>
      </w:r>
      <w:r w:rsidR="00817383">
        <w:t xml:space="preserve">– </w:t>
      </w:r>
      <w:r>
        <w:t xml:space="preserve">napríklad </w:t>
      </w:r>
      <w:r w:rsidR="00817383">
        <w:t xml:space="preserve">medzi </w:t>
      </w:r>
      <w:r>
        <w:t>všeobecný</w:t>
      </w:r>
      <w:r w:rsidR="00817383">
        <w:t>mi</w:t>
      </w:r>
      <w:r>
        <w:t xml:space="preserve"> lekár</w:t>
      </w:r>
      <w:r w:rsidR="00817383">
        <w:t>mi</w:t>
      </w:r>
      <w:r>
        <w:t xml:space="preserve"> </w:t>
      </w:r>
      <w:r w:rsidR="00501658">
        <w:t xml:space="preserve">a </w:t>
      </w:r>
      <w:r>
        <w:t xml:space="preserve">medzi vekovou štruktúrou ohrozenými profesiami </w:t>
      </w:r>
      <w:r w:rsidR="001E093E">
        <w:t xml:space="preserve">sa </w:t>
      </w:r>
      <w:r>
        <w:t>nachádza viacero pediatrických špecializácií (pediatrický kardiológ, pediatrický infektológ, všeobecný pediater, pediater intenzívnej medicíny, pediatrický neurológ, detský chirurg</w:t>
      </w:r>
      <w:r w:rsidR="001E093E">
        <w:t>)</w:t>
      </w:r>
      <w:r>
        <w:t xml:space="preserve"> </w:t>
      </w:r>
      <w:r w:rsidRPr="000D40A9">
        <w:t xml:space="preserve">(graf </w:t>
      </w:r>
      <w:r w:rsidR="000D40A9" w:rsidRPr="000D40A9">
        <w:t>35</w:t>
      </w:r>
      <w:r w:rsidRPr="000D40A9">
        <w:t>).</w:t>
      </w:r>
      <w:r>
        <w:t xml:space="preserve"> </w:t>
      </w:r>
    </w:p>
    <w:p w14:paraId="235D3747" w14:textId="77777777" w:rsidR="008F16D1" w:rsidRPr="00BC3CA3" w:rsidRDefault="008F16D1" w:rsidP="008F16D1">
      <w:pPr>
        <w:pStyle w:val="Popis"/>
        <w:keepNext/>
        <w:rPr>
          <w:color w:val="314364"/>
        </w:rPr>
      </w:pPr>
      <w:r w:rsidRPr="00BC3CA3">
        <w:rPr>
          <w:color w:val="314364"/>
        </w:rPr>
        <w:lastRenderedPageBreak/>
        <w:t>Graf</w:t>
      </w:r>
      <w:r>
        <w:rPr>
          <w:color w:val="314364"/>
        </w:rPr>
        <w:t xml:space="preserve"> 35</w:t>
      </w:r>
      <w:r w:rsidRPr="00BC3CA3">
        <w:rPr>
          <w:color w:val="314364"/>
        </w:rPr>
        <w:t>:</w:t>
      </w:r>
      <w:r>
        <w:rPr>
          <w:color w:val="314364"/>
        </w:rPr>
        <w:t xml:space="preserve"> Veková štruktúra vybraných lekárskych profesií (ISCO klasifikácia) v roku 2024</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8F16D1" w:rsidRPr="00C75134" w14:paraId="0BCD8A22" w14:textId="77777777" w:rsidTr="00BB314F">
        <w:trPr>
          <w:trHeight w:val="4819"/>
        </w:trPr>
        <w:tc>
          <w:tcPr>
            <w:tcW w:w="9070" w:type="dxa"/>
            <w:tcBorders>
              <w:top w:val="single" w:sz="4" w:space="0" w:color="314364"/>
              <w:bottom w:val="single" w:sz="4" w:space="0" w:color="314364"/>
            </w:tcBorders>
            <w:vAlign w:val="center"/>
          </w:tcPr>
          <w:p w14:paraId="4A1E69CC" w14:textId="77777777" w:rsidR="008F16D1" w:rsidRPr="00C75134" w:rsidRDefault="008F16D1" w:rsidP="00BB314F">
            <w:pPr>
              <w:spacing w:after="0"/>
              <w:rPr>
                <w:b/>
                <w:color w:val="576431"/>
              </w:rPr>
            </w:pPr>
            <w:r>
              <w:rPr>
                <w:noProof/>
                <w:lang w:eastAsia="sk-SK"/>
              </w:rPr>
              <w:drawing>
                <wp:inline distT="0" distB="0" distL="0" distR="0" wp14:anchorId="0F841E9F" wp14:editId="5A9765E5">
                  <wp:extent cx="5759450" cy="3060000"/>
                  <wp:effectExtent l="0" t="0" r="0" b="7620"/>
                  <wp:docPr id="13" name="Graf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14:paraId="6738F7B7" w14:textId="77777777" w:rsidR="008F16D1" w:rsidRDefault="008F16D1" w:rsidP="008F16D1">
      <w:pPr>
        <w:pStyle w:val="Zdroj"/>
        <w:spacing w:line="276" w:lineRule="auto"/>
      </w:pPr>
      <w:r w:rsidRPr="00627D87">
        <w:t xml:space="preserve">Zdroj: </w:t>
      </w:r>
      <w:r>
        <w:t>Sociálna poisťovňa; spracovanie NKÚ SR.</w:t>
      </w:r>
    </w:p>
    <w:p w14:paraId="2204E696" w14:textId="17B75FFD" w:rsidR="00A0570B" w:rsidRPr="009749C6" w:rsidRDefault="00A0570B" w:rsidP="00A0570B">
      <w:pPr>
        <w:rPr>
          <w:rFonts w:cs="Segoe UI"/>
        </w:rPr>
      </w:pPr>
      <w:r w:rsidRPr="009749C6">
        <w:rPr>
          <w:rFonts w:cs="Segoe UI"/>
          <w:b/>
        </w:rPr>
        <w:t xml:space="preserve">Záväzky trinástich najväčších univerzitných </w:t>
      </w:r>
      <w:r w:rsidRPr="00865FDC">
        <w:rPr>
          <w:rFonts w:cs="Segoe UI"/>
          <w:bCs/>
        </w:rPr>
        <w:t>(UN)</w:t>
      </w:r>
      <w:r w:rsidRPr="009749C6">
        <w:rPr>
          <w:rFonts w:cs="Segoe UI"/>
          <w:b/>
        </w:rPr>
        <w:t xml:space="preserve"> a fakultných nemocníc </w:t>
      </w:r>
      <w:r w:rsidRPr="00865FDC">
        <w:rPr>
          <w:rFonts w:cs="Segoe UI"/>
          <w:bCs/>
        </w:rPr>
        <w:t>(FN)</w:t>
      </w:r>
      <w:r w:rsidRPr="009749C6">
        <w:rPr>
          <w:rFonts w:cs="Segoe UI"/>
          <w:b/>
        </w:rPr>
        <w:t xml:space="preserve"> prekročili </w:t>
      </w:r>
      <w:r w:rsidR="00817383">
        <w:rPr>
          <w:rFonts w:cs="Segoe UI"/>
          <w:b/>
        </w:rPr>
        <w:t xml:space="preserve">v prvom polroku 2025 </w:t>
      </w:r>
      <w:r w:rsidRPr="009749C6">
        <w:rPr>
          <w:rFonts w:cs="Segoe UI"/>
          <w:b/>
        </w:rPr>
        <w:t>na úrovni istiny bez transferov úroveň 1,27 mld. eur.</w:t>
      </w:r>
      <w:r w:rsidRPr="009749C6">
        <w:rPr>
          <w:rFonts w:cs="Segoe UI"/>
        </w:rPr>
        <w:t xml:space="preserve"> Nárast záväzkov predpokladalo MF SR v roku 2025 na maximálnej úrovni 100 mil. eur vo všetkých verejných zdravotníckych zariadeniach (ZZ). Tento nárast prekročilo 13 ZZ za menej ako pol roka. </w:t>
      </w:r>
      <w:r w:rsidR="00FD071A">
        <w:rPr>
          <w:rFonts w:cs="Segoe UI"/>
        </w:rPr>
        <w:t>Ku koncu júna 2025</w:t>
      </w:r>
      <w:r w:rsidRPr="009749C6">
        <w:rPr>
          <w:rFonts w:cs="Segoe UI"/>
        </w:rPr>
        <w:t xml:space="preserve"> </w:t>
      </w:r>
      <w:r w:rsidR="00FD071A">
        <w:rPr>
          <w:rFonts w:cs="Segoe UI"/>
        </w:rPr>
        <w:t xml:space="preserve">bolo </w:t>
      </w:r>
      <w:r w:rsidRPr="009749C6">
        <w:rPr>
          <w:rFonts w:cs="Segoe UI"/>
        </w:rPr>
        <w:t>takmer 70 % záväzkov po lehote splatnosti a najväčší dlh</w:t>
      </w:r>
      <w:r w:rsidR="00865FDC">
        <w:rPr>
          <w:rFonts w:cs="Segoe UI"/>
        </w:rPr>
        <w:t>, viac ako pol m</w:t>
      </w:r>
      <w:r w:rsidR="00817383">
        <w:rPr>
          <w:rFonts w:cs="Segoe UI"/>
        </w:rPr>
        <w:t>iliardy</w:t>
      </w:r>
      <w:r w:rsidR="00865FDC">
        <w:rPr>
          <w:rFonts w:cs="Segoe UI"/>
        </w:rPr>
        <w:t xml:space="preserve"> eur</w:t>
      </w:r>
      <w:r w:rsidRPr="009749C6">
        <w:rPr>
          <w:rFonts w:cs="Segoe UI"/>
        </w:rPr>
        <w:t xml:space="preserve"> </w:t>
      </w:r>
      <w:r w:rsidR="00817383">
        <w:rPr>
          <w:rFonts w:cs="Segoe UI"/>
        </w:rPr>
        <w:t>eviduje</w:t>
      </w:r>
      <w:r>
        <w:rPr>
          <w:rFonts w:cs="Segoe UI"/>
        </w:rPr>
        <w:t> S</w:t>
      </w:r>
      <w:r w:rsidR="00865FDC">
        <w:rPr>
          <w:rFonts w:cs="Segoe UI"/>
        </w:rPr>
        <w:t>P</w:t>
      </w:r>
      <w:r>
        <w:rPr>
          <w:rFonts w:cs="Segoe UI"/>
        </w:rPr>
        <w:t xml:space="preserve"> </w:t>
      </w:r>
      <w:r w:rsidRPr="009749C6">
        <w:rPr>
          <w:rFonts w:cs="Segoe UI"/>
        </w:rPr>
        <w:t xml:space="preserve">(graf </w:t>
      </w:r>
      <w:r w:rsidR="000D40A9">
        <w:rPr>
          <w:rFonts w:cs="Segoe UI"/>
        </w:rPr>
        <w:t>36</w:t>
      </w:r>
      <w:r w:rsidRPr="009749C6">
        <w:rPr>
          <w:rFonts w:cs="Segoe UI"/>
        </w:rPr>
        <w:t xml:space="preserve">). Tento dlh tvorí 43 % na celkových záväzkoch vybraných ZZ, pričom v SP </w:t>
      </w:r>
      <w:r>
        <w:rPr>
          <w:rFonts w:cs="Segoe UI"/>
        </w:rPr>
        <w:t xml:space="preserve">je </w:t>
      </w:r>
      <w:r w:rsidRPr="009749C6">
        <w:rPr>
          <w:rFonts w:cs="Segoe UI"/>
        </w:rPr>
        <w:t>94,5 % záväzkov po lehote splatnosti, čo preukazuje dlhodobé neplatenie odvodov</w:t>
      </w:r>
      <w:r w:rsidR="00865FDC">
        <w:rPr>
          <w:rFonts w:cs="Segoe UI"/>
        </w:rPr>
        <w:t xml:space="preserve"> ZZ</w:t>
      </w:r>
      <w:r w:rsidRPr="009749C6">
        <w:rPr>
          <w:rFonts w:cs="Segoe UI"/>
        </w:rPr>
        <w:t xml:space="preserve"> za svojich zamestnancov. </w:t>
      </w:r>
    </w:p>
    <w:p w14:paraId="7870E295" w14:textId="77777777" w:rsidR="008F16D1" w:rsidRPr="009749C6" w:rsidRDefault="008F16D1" w:rsidP="008F16D1">
      <w:pPr>
        <w:pStyle w:val="Popis"/>
        <w:keepNext/>
        <w:rPr>
          <w:rFonts w:cs="Segoe UI"/>
          <w:color w:val="314364"/>
        </w:rPr>
      </w:pPr>
      <w:r w:rsidRPr="009749C6">
        <w:rPr>
          <w:rFonts w:cs="Segoe UI"/>
          <w:color w:val="314364"/>
        </w:rPr>
        <w:t xml:space="preserve">Graf </w:t>
      </w:r>
      <w:r>
        <w:rPr>
          <w:rFonts w:cs="Segoe UI"/>
          <w:color w:val="314364"/>
        </w:rPr>
        <w:t>36</w:t>
      </w:r>
      <w:r w:rsidRPr="009749C6">
        <w:rPr>
          <w:rFonts w:cs="Segoe UI"/>
          <w:color w:val="314364"/>
        </w:rPr>
        <w:t xml:space="preserve">: Záväzky 13 </w:t>
      </w:r>
      <w:r>
        <w:rPr>
          <w:rFonts w:cs="Segoe UI"/>
          <w:color w:val="314364"/>
        </w:rPr>
        <w:t>univerzitných a fakultných nemocníc</w:t>
      </w:r>
      <w:r w:rsidRPr="009749C6">
        <w:rPr>
          <w:rFonts w:cs="Segoe UI"/>
          <w:color w:val="314364"/>
        </w:rPr>
        <w:t xml:space="preserve"> na úrovni istiny bez transferov k 30.</w:t>
      </w:r>
      <w:r>
        <w:rPr>
          <w:rFonts w:cs="Segoe UI"/>
          <w:color w:val="314364"/>
        </w:rPr>
        <w:t xml:space="preserve"> </w:t>
      </w:r>
      <w:r w:rsidRPr="009749C6">
        <w:rPr>
          <w:rFonts w:cs="Segoe UI"/>
          <w:color w:val="314364"/>
        </w:rPr>
        <w:t>6.</w:t>
      </w:r>
      <w:r>
        <w:rPr>
          <w:rFonts w:cs="Segoe UI"/>
          <w:color w:val="314364"/>
        </w:rPr>
        <w:t xml:space="preserve"> </w:t>
      </w:r>
      <w:r w:rsidRPr="009749C6">
        <w:rPr>
          <w:rFonts w:cs="Segoe UI"/>
          <w:color w:val="314364"/>
        </w:rPr>
        <w:t>2025 (v mil. eur)</w:t>
      </w:r>
    </w:p>
    <w:tbl>
      <w:tblPr>
        <w:tblStyle w:val="Mriekatabuky"/>
        <w:tblW w:w="0" w:type="auto"/>
        <w:tblLook w:val="04A0" w:firstRow="1" w:lastRow="0" w:firstColumn="1" w:lastColumn="0" w:noHBand="0" w:noVBand="1"/>
      </w:tblPr>
      <w:tblGrid>
        <w:gridCol w:w="9070"/>
      </w:tblGrid>
      <w:tr w:rsidR="008F16D1" w:rsidRPr="009749C6" w14:paraId="3BB45B1C" w14:textId="77777777" w:rsidTr="00BB314F">
        <w:trPr>
          <w:trHeight w:val="3118"/>
        </w:trPr>
        <w:tc>
          <w:tcPr>
            <w:tcW w:w="9060" w:type="dxa"/>
            <w:tcBorders>
              <w:top w:val="single" w:sz="4" w:space="0" w:color="314364" w:themeColor="text2"/>
              <w:left w:val="nil"/>
              <w:bottom w:val="single" w:sz="4" w:space="0" w:color="314364" w:themeColor="text2"/>
              <w:right w:val="nil"/>
            </w:tcBorders>
          </w:tcPr>
          <w:p w14:paraId="1DB173CE" w14:textId="77777777" w:rsidR="008F16D1" w:rsidRPr="009749C6" w:rsidRDefault="008F16D1" w:rsidP="00BB314F">
            <w:pPr>
              <w:spacing w:after="0"/>
              <w:rPr>
                <w:rFonts w:cs="Segoe UI"/>
              </w:rPr>
            </w:pPr>
            <w:r w:rsidRPr="009749C6">
              <w:rPr>
                <w:rFonts w:cs="Segoe UI"/>
                <w:noProof/>
                <w:lang w:eastAsia="sk-SK"/>
              </w:rPr>
              <w:drawing>
                <wp:inline distT="0" distB="0" distL="0" distR="0" wp14:anchorId="65A8AA0F" wp14:editId="1290FF08">
                  <wp:extent cx="5760720" cy="2016000"/>
                  <wp:effectExtent l="0" t="0" r="0" b="3810"/>
                  <wp:docPr id="10"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bl>
    <w:p w14:paraId="111820A2" w14:textId="77777777" w:rsidR="008F16D1" w:rsidRDefault="008F16D1" w:rsidP="008F16D1">
      <w:pPr>
        <w:pStyle w:val="Zdroj"/>
        <w:rPr>
          <w:rFonts w:cs="Segoe UI"/>
        </w:rPr>
      </w:pPr>
      <w:r w:rsidRPr="009749C6">
        <w:rPr>
          <w:rFonts w:cs="Segoe UI"/>
        </w:rPr>
        <w:t>Zdroj: MZ SR, MO SR</w:t>
      </w:r>
      <w:r>
        <w:rPr>
          <w:rFonts w:cs="Segoe UI"/>
          <w:lang w:val="en-US"/>
        </w:rPr>
        <w:t>;</w:t>
      </w:r>
      <w:r w:rsidRPr="009749C6">
        <w:rPr>
          <w:rFonts w:cs="Segoe UI"/>
        </w:rPr>
        <w:t xml:space="preserve"> spracovanie NKÚ SR.</w:t>
      </w:r>
    </w:p>
    <w:p w14:paraId="39692AB4" w14:textId="58F98BB1" w:rsidR="00A0570B" w:rsidRDefault="00A0570B" w:rsidP="00A0570B">
      <w:pPr>
        <w:pStyle w:val="Zdroj"/>
        <w:rPr>
          <w:rFonts w:cs="Segoe UI"/>
        </w:rPr>
      </w:pPr>
    </w:p>
    <w:p w14:paraId="18CC573A" w14:textId="37F261CF" w:rsidR="00865FDC" w:rsidRDefault="00817383" w:rsidP="00865FDC">
      <w:pPr>
        <w:rPr>
          <w:rFonts w:cs="Segoe UI"/>
          <w:b/>
          <w:bCs/>
        </w:rPr>
      </w:pPr>
      <w:r>
        <w:rPr>
          <w:rFonts w:cs="Segoe UI"/>
          <w:b/>
        </w:rPr>
        <w:t>Z</w:t>
      </w:r>
      <w:r w:rsidRPr="009749C6">
        <w:rPr>
          <w:rFonts w:cs="Segoe UI"/>
          <w:b/>
        </w:rPr>
        <w:t>áväzky UN a FN voči dodávateľom</w:t>
      </w:r>
      <w:r>
        <w:rPr>
          <w:rFonts w:cs="Segoe UI"/>
          <w:b/>
        </w:rPr>
        <w:t xml:space="preserve"> dosiahli</w:t>
      </w:r>
      <w:r w:rsidRPr="009749C6">
        <w:rPr>
          <w:rFonts w:cs="Segoe UI"/>
          <w:b/>
        </w:rPr>
        <w:t xml:space="preserve"> 421 mil. eur, z čoho 260 mil. eur </w:t>
      </w:r>
      <w:r w:rsidRPr="00865FDC">
        <w:rPr>
          <w:rFonts w:cs="Segoe UI"/>
          <w:bCs/>
        </w:rPr>
        <w:t>(61,7 %)</w:t>
      </w:r>
      <w:r w:rsidRPr="009749C6">
        <w:rPr>
          <w:rFonts w:cs="Segoe UI"/>
          <w:b/>
        </w:rPr>
        <w:t xml:space="preserve"> sú záväzky po lehote splatnosti.</w:t>
      </w:r>
      <w:r w:rsidRPr="009749C6">
        <w:rPr>
          <w:rFonts w:cs="Segoe UI"/>
        </w:rPr>
        <w:t xml:space="preserve"> </w:t>
      </w:r>
      <w:r w:rsidR="00865FDC" w:rsidRPr="009749C6">
        <w:rPr>
          <w:rFonts w:cs="Segoe UI"/>
        </w:rPr>
        <w:t xml:space="preserve">Voči Národnej transfúznej službe SR (NTS SR) majú UN a FN záväzky vo výške 22,8 mil. eur z dôvodu neplatenia za krv a krvné produkty. NTS SR tak musí naďalej pomáhať štát, aby vyviazla z druhotnej platobnej neschopnosti. V roku 2024 prebehlo oddlženie v prospech NTS SR vo výške 7,32 mil. eur, ktoré dlžila SP za predchádzajúce obdobia. </w:t>
      </w:r>
      <w:r w:rsidR="00FD071A">
        <w:rPr>
          <w:rFonts w:cs="Segoe UI"/>
        </w:rPr>
        <w:t>Ku koncu júna</w:t>
      </w:r>
      <w:r w:rsidR="00865FDC" w:rsidRPr="009749C6">
        <w:rPr>
          <w:rFonts w:cs="Segoe UI"/>
        </w:rPr>
        <w:t xml:space="preserve"> </w:t>
      </w:r>
      <w:r w:rsidR="00FD071A">
        <w:rPr>
          <w:rFonts w:cs="Segoe UI"/>
        </w:rPr>
        <w:t xml:space="preserve">boli </w:t>
      </w:r>
      <w:r w:rsidR="00865FDC" w:rsidRPr="009749C6">
        <w:rPr>
          <w:rFonts w:cs="Segoe UI"/>
        </w:rPr>
        <w:t>záväzky NTS SR na úrovni 45,4 mil. eur pričom pohľadávky predstavujú 34,1 mil. eur</w:t>
      </w:r>
      <w:r w:rsidR="00865FDC">
        <w:rPr>
          <w:rFonts w:cs="Segoe UI"/>
        </w:rPr>
        <w:t>.</w:t>
      </w:r>
      <w:r w:rsidR="00865FDC" w:rsidRPr="009749C6">
        <w:rPr>
          <w:rFonts w:cs="Segoe UI"/>
        </w:rPr>
        <w:t xml:space="preserve"> </w:t>
      </w:r>
      <w:r w:rsidR="00865FDC">
        <w:rPr>
          <w:rFonts w:cs="Segoe UI"/>
        </w:rPr>
        <w:t>S</w:t>
      </w:r>
      <w:r w:rsidR="00865FDC" w:rsidRPr="009749C6">
        <w:rPr>
          <w:rFonts w:cs="Segoe UI"/>
        </w:rPr>
        <w:t xml:space="preserve">platenie pohľadávok by </w:t>
      </w:r>
      <w:r w:rsidR="00865FDC">
        <w:rPr>
          <w:rFonts w:cs="Segoe UI"/>
        </w:rPr>
        <w:t xml:space="preserve">tak </w:t>
      </w:r>
      <w:r w:rsidR="00865FDC" w:rsidRPr="009749C6">
        <w:rPr>
          <w:rFonts w:cs="Segoe UI"/>
        </w:rPr>
        <w:t xml:space="preserve">NTS SR </w:t>
      </w:r>
      <w:r w:rsidR="00865FDC" w:rsidRPr="009749C6">
        <w:rPr>
          <w:rFonts w:cs="Segoe UI"/>
        </w:rPr>
        <w:lastRenderedPageBreak/>
        <w:t xml:space="preserve">nestačilo na vyrovnanie všetkých záväzkov a bez pomoci štátu by skončila v platobnej neschopnosti. </w:t>
      </w:r>
      <w:r w:rsidRPr="00865FDC">
        <w:rPr>
          <w:rFonts w:cs="Segoe UI"/>
          <w:b/>
          <w:bCs/>
        </w:rPr>
        <w:t>NKÚ SR zdôrazňuje potrebu včasného uhrádzania záväzkov v rezorte zdravotníctva</w:t>
      </w:r>
      <w:r>
        <w:rPr>
          <w:rFonts w:cs="Segoe UI"/>
          <w:b/>
          <w:bCs/>
        </w:rPr>
        <w:t>, a to</w:t>
      </w:r>
      <w:r w:rsidRPr="00865FDC">
        <w:rPr>
          <w:rFonts w:cs="Segoe UI"/>
          <w:b/>
          <w:bCs/>
        </w:rPr>
        <w:t xml:space="preserve"> nielen voči dodávateľom, ale aj voči ostatným verejným inštitúciám</w:t>
      </w:r>
      <w:r>
        <w:rPr>
          <w:rFonts w:cs="Segoe UI"/>
          <w:b/>
          <w:bCs/>
        </w:rPr>
        <w:t xml:space="preserve">, keďže </w:t>
      </w:r>
      <w:r w:rsidR="00865FDC" w:rsidRPr="00865FDC">
        <w:rPr>
          <w:rFonts w:cs="Segoe UI"/>
          <w:b/>
          <w:bCs/>
        </w:rPr>
        <w:t>cyklické oddlžovani</w:t>
      </w:r>
      <w:r>
        <w:rPr>
          <w:rFonts w:cs="Segoe UI"/>
          <w:b/>
          <w:bCs/>
        </w:rPr>
        <w:t>e</w:t>
      </w:r>
      <w:r w:rsidR="00865FDC" w:rsidRPr="00865FDC">
        <w:rPr>
          <w:rFonts w:cs="Segoe UI"/>
          <w:b/>
          <w:bCs/>
        </w:rPr>
        <w:t xml:space="preserve"> je len krátkodobým riešením.</w:t>
      </w:r>
    </w:p>
    <w:p w14:paraId="31F61B05" w14:textId="37AA9BEB" w:rsidR="00B829E1" w:rsidRDefault="00A30F6A" w:rsidP="00440621">
      <w:pPr>
        <w:pStyle w:val="Nadpis2"/>
      </w:pPr>
      <w:r>
        <w:t xml:space="preserve"> </w:t>
      </w:r>
      <w:bookmarkStart w:id="52" w:name="_Toc211249098"/>
      <w:r w:rsidR="00B829E1">
        <w:t>Obrana</w:t>
      </w:r>
      <w:bookmarkEnd w:id="52"/>
    </w:p>
    <w:p w14:paraId="6C99DACA" w14:textId="2E1B1FA0" w:rsidR="002A7C02" w:rsidRPr="000C00CE" w:rsidRDefault="006652C5" w:rsidP="002A7C02">
      <w:pPr>
        <w:rPr>
          <w:rFonts w:cs="Segoe UI"/>
          <w:szCs w:val="20"/>
        </w:rPr>
      </w:pPr>
      <w:bookmarkStart w:id="53" w:name="_Toc112856429"/>
      <w:r w:rsidRPr="006652C5">
        <w:rPr>
          <w:rFonts w:cs="Segoe UI"/>
          <w:b/>
          <w:bCs/>
          <w:szCs w:val="20"/>
        </w:rPr>
        <w:t>V</w:t>
      </w:r>
      <w:r w:rsidR="00CE514E">
        <w:rPr>
          <w:rFonts w:cs="Segoe UI"/>
          <w:b/>
          <w:bCs/>
          <w:szCs w:val="20"/>
        </w:rPr>
        <w:t xml:space="preserve"> posledných rokoch rastie v </w:t>
      </w:r>
      <w:r w:rsidRPr="006652C5">
        <w:rPr>
          <w:rFonts w:cs="Segoe UI"/>
          <w:b/>
          <w:bCs/>
          <w:szCs w:val="20"/>
        </w:rPr>
        <w:t>EÚ priorita posilňovania vojenských kapacít v kontexte zhoršujúceho sa bezpečnostného prostredia a záväzku posilniť obranné a odstrašovacie schopnosti členských štátov.</w:t>
      </w:r>
      <w:r w:rsidRPr="00E92FA4">
        <w:rPr>
          <w:rFonts w:cs="Segoe UI"/>
          <w:szCs w:val="20"/>
        </w:rPr>
        <w:t xml:space="preserve"> </w:t>
      </w:r>
      <w:r w:rsidR="000B28D8" w:rsidRPr="006652C5">
        <w:rPr>
          <w:rFonts w:cs="Segoe UI"/>
          <w:szCs w:val="20"/>
        </w:rPr>
        <w:t xml:space="preserve">V roku 2024 vynaložili krajiny EÚ </w:t>
      </w:r>
      <w:r>
        <w:rPr>
          <w:rFonts w:cs="Segoe UI"/>
          <w:szCs w:val="20"/>
        </w:rPr>
        <w:t xml:space="preserve">na obranu spolu </w:t>
      </w:r>
      <w:r w:rsidR="000B28D8" w:rsidRPr="006652C5">
        <w:rPr>
          <w:rFonts w:cs="Segoe UI"/>
          <w:szCs w:val="20"/>
        </w:rPr>
        <w:t xml:space="preserve">343 mld. eur (1,9 % HDP, graf </w:t>
      </w:r>
      <w:r w:rsidR="000D40A9">
        <w:rPr>
          <w:rFonts w:cs="Segoe UI"/>
          <w:szCs w:val="20"/>
        </w:rPr>
        <w:t>37</w:t>
      </w:r>
      <w:r w:rsidR="000B28D8" w:rsidRPr="006652C5">
        <w:rPr>
          <w:rFonts w:cs="Segoe UI"/>
          <w:szCs w:val="20"/>
        </w:rPr>
        <w:t xml:space="preserve">), pričom prognózy pre rok 2025 </w:t>
      </w:r>
      <w:r>
        <w:rPr>
          <w:rFonts w:cs="Segoe UI"/>
          <w:szCs w:val="20"/>
        </w:rPr>
        <w:t>očakávajú</w:t>
      </w:r>
      <w:r w:rsidR="000B28D8" w:rsidRPr="006652C5">
        <w:rPr>
          <w:rFonts w:cs="Segoe UI"/>
          <w:szCs w:val="20"/>
        </w:rPr>
        <w:t xml:space="preserve"> prekročenie </w:t>
      </w:r>
      <w:r w:rsidR="000B28D8" w:rsidRPr="006652C5">
        <w:rPr>
          <w:rFonts w:cs="Segoe UI"/>
          <w:szCs w:val="20"/>
          <w:lang w:val="en-US"/>
        </w:rPr>
        <w:t>2 % HDP</w:t>
      </w:r>
      <w:r w:rsidR="000B28D8" w:rsidRPr="006652C5">
        <w:rPr>
          <w:rFonts w:cs="Segoe UI"/>
          <w:szCs w:val="20"/>
        </w:rPr>
        <w:t xml:space="preserve"> na úroveň 392 mld. eur.</w:t>
      </w:r>
      <w:r w:rsidR="000B28D8" w:rsidRPr="00E92FA4">
        <w:rPr>
          <w:rFonts w:cs="Segoe UI"/>
          <w:b/>
          <w:szCs w:val="20"/>
          <w:lang w:val="en-US"/>
        </w:rPr>
        <w:t xml:space="preserve"> </w:t>
      </w:r>
      <w:r w:rsidR="000B28D8" w:rsidRPr="00E92FA4">
        <w:rPr>
          <w:rFonts w:cs="Segoe UI"/>
          <w:szCs w:val="20"/>
        </w:rPr>
        <w:t xml:space="preserve">SR zaznamenala od roku 2014 zdvojnásobenie týchto výdavkov, keď v roku 2014 dala na obranu 0,98 </w:t>
      </w:r>
      <w:r w:rsidR="000B28D8" w:rsidRPr="00E92FA4">
        <w:rPr>
          <w:rFonts w:cs="Segoe UI"/>
          <w:szCs w:val="20"/>
          <w:lang w:val="en-US"/>
        </w:rPr>
        <w:t xml:space="preserve">% a </w:t>
      </w:r>
      <w:r w:rsidR="002A7C02" w:rsidRPr="000C00CE">
        <w:rPr>
          <w:rFonts w:cs="Segoe UI"/>
          <w:szCs w:val="20"/>
        </w:rPr>
        <w:t xml:space="preserve">v tomto roku </w:t>
      </w:r>
      <w:r w:rsidR="002A7C02">
        <w:rPr>
          <w:rFonts w:cs="Segoe UI"/>
          <w:szCs w:val="20"/>
        </w:rPr>
        <w:t>očakáva</w:t>
      </w:r>
      <w:r w:rsidR="002A7C02" w:rsidRPr="000959C3">
        <w:rPr>
          <w:rFonts w:cs="Segoe UI"/>
          <w:szCs w:val="20"/>
        </w:rPr>
        <w:t xml:space="preserve"> 2,03 </w:t>
      </w:r>
      <w:r w:rsidR="002A7C02" w:rsidRPr="000C00CE">
        <w:rPr>
          <w:rFonts w:cs="Segoe UI"/>
          <w:szCs w:val="20"/>
        </w:rPr>
        <w:t xml:space="preserve">% HDP. Pre rok </w:t>
      </w:r>
      <w:r w:rsidR="002A7C02">
        <w:rPr>
          <w:rFonts w:cs="Segoe UI"/>
          <w:szCs w:val="20"/>
        </w:rPr>
        <w:t xml:space="preserve">2026 </w:t>
      </w:r>
      <w:r w:rsidR="002A7C02" w:rsidRPr="000C00CE">
        <w:rPr>
          <w:rFonts w:cs="Segoe UI"/>
          <w:szCs w:val="20"/>
        </w:rPr>
        <w:t>sú výdavky SR na obranu rozpočtované vo výške 2 % HDP.</w:t>
      </w:r>
    </w:p>
    <w:p w14:paraId="7C68EB9D" w14:textId="77777777" w:rsidR="008F16D1" w:rsidRPr="002A7C02" w:rsidRDefault="008F16D1" w:rsidP="008F16D1">
      <w:pPr>
        <w:pStyle w:val="Popis"/>
        <w:keepNext/>
        <w:rPr>
          <w:rFonts w:cs="Segoe UI"/>
          <w:color w:val="314364"/>
        </w:rPr>
      </w:pPr>
      <w:bookmarkStart w:id="54" w:name="_Hlk196478128"/>
      <w:r w:rsidRPr="002A7C02">
        <w:rPr>
          <w:rFonts w:cs="Segoe UI"/>
          <w:color w:val="314364"/>
        </w:rPr>
        <w:t xml:space="preserve">Graf </w:t>
      </w:r>
      <w:r>
        <w:rPr>
          <w:rFonts w:cs="Segoe UI"/>
          <w:color w:val="314364"/>
        </w:rPr>
        <w:t>37</w:t>
      </w:r>
      <w:r w:rsidRPr="002A7C02">
        <w:rPr>
          <w:rFonts w:cs="Segoe UI"/>
          <w:color w:val="314364"/>
        </w:rPr>
        <w:t>: Vývoj výdavkov na obranu v krajinách EÚ (v mld. eur)</w:t>
      </w:r>
    </w:p>
    <w:tbl>
      <w:tblPr>
        <w:tblStyle w:val="Mriekatabuky"/>
        <w:tblW w:w="496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8F16D1" w:rsidRPr="000F43AE" w14:paraId="5DE55114" w14:textId="77777777" w:rsidTr="00BB314F">
        <w:trPr>
          <w:trHeight w:val="2835"/>
        </w:trPr>
        <w:tc>
          <w:tcPr>
            <w:tcW w:w="9009" w:type="dxa"/>
            <w:tcBorders>
              <w:top w:val="single" w:sz="4" w:space="0" w:color="314364"/>
              <w:bottom w:val="single" w:sz="4" w:space="0" w:color="314364"/>
            </w:tcBorders>
            <w:vAlign w:val="center"/>
          </w:tcPr>
          <w:p w14:paraId="6023F11A" w14:textId="77777777" w:rsidR="008F16D1" w:rsidRPr="000F43AE" w:rsidRDefault="008F16D1" w:rsidP="00BB314F">
            <w:pPr>
              <w:spacing w:after="0"/>
              <w:rPr>
                <w:b/>
                <w:color w:val="576431"/>
                <w:highlight w:val="yellow"/>
              </w:rPr>
            </w:pPr>
            <w:r>
              <w:rPr>
                <w:noProof/>
                <w:lang w:eastAsia="sk-SK"/>
              </w:rPr>
              <w:drawing>
                <wp:inline distT="0" distB="0" distL="0" distR="0" wp14:anchorId="6E7FCE00" wp14:editId="380ECCE9">
                  <wp:extent cx="5694680" cy="1800000"/>
                  <wp:effectExtent l="0" t="0" r="0" b="0"/>
                  <wp:docPr id="1382928446" name="Graf 1">
                    <a:extLst xmlns:a="http://schemas.openxmlformats.org/drawingml/2006/main">
                      <a:ext uri="{FF2B5EF4-FFF2-40B4-BE49-F238E27FC236}">
                        <a16:creationId xmlns:a16="http://schemas.microsoft.com/office/drawing/2014/main" id="{6E190B7F-40E2-4D33-8327-86A4C0712D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14:paraId="416455EA" w14:textId="4C45DAB3" w:rsidR="008F16D1" w:rsidRDefault="008F16D1" w:rsidP="008F16D1">
      <w:pPr>
        <w:pStyle w:val="Zdroj"/>
        <w:spacing w:after="0"/>
      </w:pPr>
      <w:r>
        <w:t>Zdroj: E</w:t>
      </w:r>
      <w:r w:rsidR="00501658">
        <w:t xml:space="preserve">uropean </w:t>
      </w:r>
      <w:r>
        <w:t>D</w:t>
      </w:r>
      <w:r w:rsidR="00501658">
        <w:t xml:space="preserve">efence </w:t>
      </w:r>
      <w:r>
        <w:t>A</w:t>
      </w:r>
      <w:r w:rsidR="00501658">
        <w:t>gency</w:t>
      </w:r>
      <w:r>
        <w:t>; spracovanie NKÚ SR.</w:t>
      </w:r>
    </w:p>
    <w:p w14:paraId="4140D031" w14:textId="77777777" w:rsidR="008F16D1" w:rsidRDefault="008F16D1" w:rsidP="008F16D1">
      <w:pPr>
        <w:pStyle w:val="Zdroj"/>
      </w:pPr>
      <w:r>
        <w:t>*výdavky na obstarávanie obranného vybavenia vrátane výdavkov na výskum a vývoj</w:t>
      </w:r>
    </w:p>
    <w:p w14:paraId="140A72E5" w14:textId="3E8CA003" w:rsidR="00CE514E" w:rsidRDefault="00CE514E" w:rsidP="00CE514E">
      <w:pPr>
        <w:pStyle w:val="Normlnywebov"/>
        <w:spacing w:before="0" w:beforeAutospacing="0" w:after="120" w:afterAutospacing="0" w:line="276" w:lineRule="auto"/>
        <w:jc w:val="both"/>
        <w:rPr>
          <w:rFonts w:ascii="Segoe UI" w:hAnsi="Segoe UI" w:cs="Segoe UI"/>
          <w:sz w:val="20"/>
          <w:szCs w:val="20"/>
        </w:rPr>
      </w:pPr>
      <w:r w:rsidRPr="006652C5">
        <w:rPr>
          <w:rFonts w:ascii="Segoe UI" w:hAnsi="Segoe UI" w:cs="Segoe UI"/>
          <w:b/>
          <w:bCs/>
          <w:sz w:val="20"/>
          <w:szCs w:val="20"/>
        </w:rPr>
        <w:t xml:space="preserve">V roku 2024 dosiahli v EÚ investície do obrany 106 mld. eur, čo je 31 % celkových výdavkov krajín EÚ na obranu </w:t>
      </w:r>
      <w:r w:rsidRPr="006652C5">
        <w:rPr>
          <w:rFonts w:ascii="Segoe UI" w:hAnsi="Segoe UI" w:cs="Segoe UI"/>
          <w:sz w:val="20"/>
          <w:szCs w:val="20"/>
        </w:rPr>
        <w:t xml:space="preserve">(graf </w:t>
      </w:r>
      <w:r w:rsidR="000D40A9" w:rsidRPr="00501658">
        <w:rPr>
          <w:rFonts w:ascii="Segoe UI" w:hAnsi="Segoe UI" w:cs="Segoe UI"/>
          <w:sz w:val="20"/>
          <w:szCs w:val="20"/>
        </w:rPr>
        <w:t>37</w:t>
      </w:r>
      <w:r w:rsidRPr="00501658">
        <w:rPr>
          <w:rFonts w:ascii="Segoe UI" w:hAnsi="Segoe UI" w:cs="Segoe UI"/>
          <w:sz w:val="20"/>
          <w:szCs w:val="20"/>
        </w:rPr>
        <w:t>)</w:t>
      </w:r>
      <w:r w:rsidRPr="00501658">
        <w:rPr>
          <w:rFonts w:ascii="Segoe UI" w:hAnsi="Segoe UI" w:cs="Segoe UI"/>
          <w:b/>
          <w:bCs/>
          <w:sz w:val="20"/>
          <w:szCs w:val="20"/>
        </w:rPr>
        <w:t>.</w:t>
      </w:r>
      <w:r w:rsidRPr="00501658">
        <w:rPr>
          <w:rFonts w:ascii="Segoe UI" w:hAnsi="Segoe UI" w:cs="Segoe UI"/>
          <w:sz w:val="20"/>
          <w:szCs w:val="20"/>
        </w:rPr>
        <w:t xml:space="preserve"> V r</w:t>
      </w:r>
      <w:r w:rsidRPr="00CC530E">
        <w:rPr>
          <w:rFonts w:ascii="Segoe UI" w:hAnsi="Segoe UI" w:cs="Segoe UI"/>
          <w:sz w:val="20"/>
          <w:szCs w:val="20"/>
        </w:rPr>
        <w:t xml:space="preserve">oku 2025 sa očakáva ďalší rast k hranici </w:t>
      </w:r>
      <w:r w:rsidRPr="00CC530E">
        <w:rPr>
          <w:rStyle w:val="Vrazn"/>
          <w:rFonts w:ascii="Segoe UI" w:hAnsi="Segoe UI" w:cs="Segoe UI"/>
          <w:b w:val="0"/>
          <w:bCs w:val="0"/>
          <w:sz w:val="20"/>
          <w:szCs w:val="20"/>
        </w:rPr>
        <w:t>130 mld. eur</w:t>
      </w:r>
      <w:r w:rsidRPr="00CC530E">
        <w:rPr>
          <w:rFonts w:ascii="Segoe UI" w:hAnsi="Segoe UI" w:cs="Segoe UI"/>
          <w:b/>
          <w:bCs/>
          <w:sz w:val="20"/>
          <w:szCs w:val="20"/>
        </w:rPr>
        <w:t>.</w:t>
      </w:r>
      <w:r w:rsidRPr="00CC530E">
        <w:rPr>
          <w:rFonts w:ascii="Segoe UI" w:hAnsi="Segoe UI" w:cs="Segoe UI"/>
          <w:sz w:val="20"/>
          <w:szCs w:val="20"/>
        </w:rPr>
        <w:t xml:space="preserve"> Členské štáty sú výrazne nad dohodnutou kolektívnou referenčnou hodnotou 20 %. Kľúčovým motorom bol </w:t>
      </w:r>
      <w:r w:rsidRPr="00CC530E">
        <w:rPr>
          <w:rStyle w:val="Vrazn"/>
          <w:rFonts w:ascii="Segoe UI" w:hAnsi="Segoe UI" w:cs="Segoe UI"/>
          <w:b w:val="0"/>
          <w:bCs w:val="0"/>
          <w:sz w:val="20"/>
          <w:szCs w:val="20"/>
        </w:rPr>
        <w:t>nákup obranného vybavenia</w:t>
      </w:r>
      <w:r w:rsidRPr="00CC530E">
        <w:rPr>
          <w:rFonts w:ascii="Segoe UI" w:hAnsi="Segoe UI" w:cs="Segoe UI"/>
          <w:sz w:val="20"/>
          <w:szCs w:val="20"/>
        </w:rPr>
        <w:t xml:space="preserve">, ktorý vzrástol na </w:t>
      </w:r>
      <w:r w:rsidRPr="00CC530E">
        <w:rPr>
          <w:rStyle w:val="Vrazn"/>
          <w:rFonts w:ascii="Segoe UI" w:hAnsi="Segoe UI" w:cs="Segoe UI"/>
          <w:b w:val="0"/>
          <w:bCs w:val="0"/>
          <w:sz w:val="20"/>
          <w:szCs w:val="20"/>
        </w:rPr>
        <w:t>88 m</w:t>
      </w:r>
      <w:r>
        <w:rPr>
          <w:rStyle w:val="Vrazn"/>
          <w:rFonts w:ascii="Segoe UI" w:hAnsi="Segoe UI" w:cs="Segoe UI"/>
          <w:b w:val="0"/>
          <w:bCs w:val="0"/>
          <w:sz w:val="20"/>
          <w:szCs w:val="20"/>
        </w:rPr>
        <w:t>ld.</w:t>
      </w:r>
      <w:r w:rsidRPr="00CC530E">
        <w:rPr>
          <w:rStyle w:val="Vrazn"/>
          <w:rFonts w:ascii="Segoe UI" w:hAnsi="Segoe UI" w:cs="Segoe UI"/>
          <w:b w:val="0"/>
          <w:bCs w:val="0"/>
          <w:sz w:val="20"/>
          <w:szCs w:val="20"/>
        </w:rPr>
        <w:t xml:space="preserve"> eur</w:t>
      </w:r>
      <w:r w:rsidRPr="00CC530E">
        <w:rPr>
          <w:rFonts w:ascii="Segoe UI" w:hAnsi="Segoe UI" w:cs="Segoe UI"/>
          <w:sz w:val="20"/>
          <w:szCs w:val="20"/>
        </w:rPr>
        <w:t xml:space="preserve"> (</w:t>
      </w:r>
      <w:r>
        <w:rPr>
          <w:rFonts w:ascii="Segoe UI" w:hAnsi="Segoe UI" w:cs="Segoe UI"/>
          <w:sz w:val="20"/>
          <w:szCs w:val="20"/>
        </w:rPr>
        <w:t>medziročne</w:t>
      </w:r>
      <w:r w:rsidRPr="00CC530E">
        <w:rPr>
          <w:rFonts w:ascii="Segoe UI" w:hAnsi="Segoe UI" w:cs="Segoe UI"/>
          <w:sz w:val="20"/>
          <w:szCs w:val="20"/>
        </w:rPr>
        <w:t xml:space="preserve"> o 39 %). Tento trend bude pokračovať v dôsledku nových rozpočtových navýšení a významných kontraktov uzatvorených v roku 2024. Celkové výdavky na výskum a vývoj v oblasti obrany dosiahli v roku 2024 výšku 13 mld. eur a v roku 2025 sa očakáva </w:t>
      </w:r>
      <w:r>
        <w:rPr>
          <w:rFonts w:ascii="Segoe UI" w:hAnsi="Segoe UI" w:cs="Segoe UI"/>
          <w:sz w:val="20"/>
          <w:szCs w:val="20"/>
        </w:rPr>
        <w:t>ich</w:t>
      </w:r>
      <w:r w:rsidRPr="00CC530E">
        <w:rPr>
          <w:rFonts w:ascii="Segoe UI" w:hAnsi="Segoe UI" w:cs="Segoe UI"/>
          <w:sz w:val="20"/>
          <w:szCs w:val="20"/>
        </w:rPr>
        <w:t xml:space="preserve"> zvýšenie na </w:t>
      </w:r>
      <w:r w:rsidRPr="00CC530E">
        <w:rPr>
          <w:rStyle w:val="Vrazn"/>
          <w:rFonts w:ascii="Segoe UI" w:hAnsi="Segoe UI" w:cs="Segoe UI"/>
          <w:b w:val="0"/>
          <w:bCs w:val="0"/>
          <w:sz w:val="20"/>
          <w:szCs w:val="20"/>
        </w:rPr>
        <w:t>17 m</w:t>
      </w:r>
      <w:r>
        <w:rPr>
          <w:rStyle w:val="Vrazn"/>
          <w:rFonts w:ascii="Segoe UI" w:hAnsi="Segoe UI" w:cs="Segoe UI"/>
          <w:b w:val="0"/>
          <w:bCs w:val="0"/>
          <w:sz w:val="20"/>
          <w:szCs w:val="20"/>
        </w:rPr>
        <w:t>ld.</w:t>
      </w:r>
      <w:r w:rsidRPr="00CC530E">
        <w:rPr>
          <w:rStyle w:val="Vrazn"/>
          <w:rFonts w:ascii="Segoe UI" w:hAnsi="Segoe UI" w:cs="Segoe UI"/>
          <w:b w:val="0"/>
          <w:bCs w:val="0"/>
          <w:sz w:val="20"/>
          <w:szCs w:val="20"/>
        </w:rPr>
        <w:t xml:space="preserve"> eur</w:t>
      </w:r>
      <w:r w:rsidRPr="00CC530E">
        <w:rPr>
          <w:rFonts w:ascii="Segoe UI" w:hAnsi="Segoe UI" w:cs="Segoe UI"/>
          <w:sz w:val="20"/>
          <w:szCs w:val="20"/>
        </w:rPr>
        <w:t xml:space="preserve">. Európska obranná agentúra upozorňuje, že hoci je rast investícií výrazný, </w:t>
      </w:r>
      <w:r w:rsidRPr="00CC530E">
        <w:rPr>
          <w:rStyle w:val="Vrazn"/>
          <w:rFonts w:ascii="Segoe UI" w:hAnsi="Segoe UI" w:cs="Segoe UI"/>
          <w:b w:val="0"/>
          <w:bCs w:val="0"/>
          <w:sz w:val="20"/>
          <w:szCs w:val="20"/>
        </w:rPr>
        <w:t xml:space="preserve">podiel spolupráce medzi členskými štátmi </w:t>
      </w:r>
      <w:r>
        <w:rPr>
          <w:rStyle w:val="Vrazn"/>
          <w:rFonts w:ascii="Segoe UI" w:hAnsi="Segoe UI" w:cs="Segoe UI"/>
          <w:b w:val="0"/>
          <w:bCs w:val="0"/>
          <w:sz w:val="20"/>
          <w:szCs w:val="20"/>
        </w:rPr>
        <w:t>z</w:t>
      </w:r>
      <w:r w:rsidRPr="00CC530E">
        <w:rPr>
          <w:rStyle w:val="Vrazn"/>
          <w:rFonts w:ascii="Segoe UI" w:hAnsi="Segoe UI" w:cs="Segoe UI"/>
          <w:b w:val="0"/>
          <w:bCs w:val="0"/>
          <w:sz w:val="20"/>
          <w:szCs w:val="20"/>
        </w:rPr>
        <w:t>ostáva relatívne nízky</w:t>
      </w:r>
      <w:r w:rsidRPr="00CC530E">
        <w:rPr>
          <w:rFonts w:ascii="Segoe UI" w:hAnsi="Segoe UI" w:cs="Segoe UI"/>
          <w:sz w:val="20"/>
          <w:szCs w:val="20"/>
        </w:rPr>
        <w:t>. To predstavuje strategickú príležitosť efektívnejšie využívať spoločné mechanizmy financovania EÚ, podporovať interoperabilitu zbraňových systémov a zvyšovať návratnosť vynaložených prostriedkov.</w:t>
      </w:r>
    </w:p>
    <w:p w14:paraId="1629E567" w14:textId="03075970" w:rsidR="000B28D8" w:rsidRPr="007C738F" w:rsidRDefault="000B28D8" w:rsidP="000B28D8">
      <w:pPr>
        <w:rPr>
          <w:rFonts w:cs="Segoe UI"/>
          <w:szCs w:val="18"/>
        </w:rPr>
      </w:pPr>
      <w:r w:rsidRPr="007C738F">
        <w:rPr>
          <w:rFonts w:cs="Segoe UI"/>
          <w:b/>
          <w:szCs w:val="18"/>
        </w:rPr>
        <w:t>Európska rada na svojom mimoriadnom zasadnutí 6. marca 2025 rokovala o európskej obrane a prijala závery, ktoré majú za cieľ posilniť obranné kapacity EÚ.</w:t>
      </w:r>
      <w:r w:rsidRPr="007C738F">
        <w:rPr>
          <w:rFonts w:cs="Segoe UI"/>
          <w:szCs w:val="18"/>
        </w:rPr>
        <w:t xml:space="preserve"> Na základe týchto záverov bola koncom marca vypracovaná „Spoločná biela kniha pre európsku obrannú pripravenosť do roku 2030“.</w:t>
      </w:r>
      <w:r w:rsidRPr="007C738F">
        <w:rPr>
          <w:rStyle w:val="Odkaznapoznmkupodiarou"/>
          <w:rFonts w:cs="Segoe UI"/>
          <w:szCs w:val="18"/>
        </w:rPr>
        <w:footnoteReference w:id="73"/>
      </w:r>
      <w:r w:rsidRPr="007C738F">
        <w:rPr>
          <w:rFonts w:cs="Segoe UI"/>
          <w:szCs w:val="18"/>
        </w:rPr>
        <w:t xml:space="preserve"> Biela kniha uvádza strategický kontext v oblasti európskej bezpečnosti, definuje strategický cieľ a predstavuje konkrétny plán na dosiahnutie tohto cieľa. Zameriava sa tiež na podporu Ukrajiny, kritické kapacitné nedostatky a vytvorenie konkurencieschopnej a inovatívnej obrannej základne EÚ.</w:t>
      </w:r>
    </w:p>
    <w:p w14:paraId="550DB1F8" w14:textId="799E9655" w:rsidR="000B28D8" w:rsidRPr="000F242E" w:rsidRDefault="000B28D8" w:rsidP="000F242E">
      <w:pPr>
        <w:rPr>
          <w:rFonts w:cs="Segoe UI"/>
          <w:szCs w:val="18"/>
        </w:rPr>
      </w:pPr>
      <w:r w:rsidRPr="007C738F">
        <w:rPr>
          <w:rFonts w:cs="Segoe UI"/>
          <w:b/>
          <w:bCs/>
          <w:szCs w:val="18"/>
        </w:rPr>
        <w:t xml:space="preserve">Strategickým cieľom je dosiahnuť plnú európsku obrannú pripravenosť do roku 2030. </w:t>
      </w:r>
      <w:r w:rsidRPr="007C738F">
        <w:rPr>
          <w:rFonts w:cs="Segoe UI"/>
          <w:szCs w:val="18"/>
        </w:rPr>
        <w:t xml:space="preserve">Cieľ má byť dosiahnutý prostredníctvom masívnych investícií, rozvoja obranného priemyslu a intenzívnejšej </w:t>
      </w:r>
      <w:r w:rsidRPr="007C738F">
        <w:rPr>
          <w:rFonts w:cs="Segoe UI"/>
          <w:szCs w:val="18"/>
        </w:rPr>
        <w:lastRenderedPageBreak/>
        <w:t xml:space="preserve">spolupráce členských štátov. Hlavným prostriedkom pre zvýšenie investícií </w:t>
      </w:r>
      <w:r>
        <w:rPr>
          <w:rFonts w:cs="Segoe UI"/>
          <w:szCs w:val="18"/>
        </w:rPr>
        <w:t xml:space="preserve">je </w:t>
      </w:r>
      <w:r w:rsidRPr="007C738F">
        <w:rPr>
          <w:rFonts w:cs="Segoe UI"/>
          <w:szCs w:val="18"/>
        </w:rPr>
        <w:t>plán ReArm</w:t>
      </w:r>
      <w:r>
        <w:rPr>
          <w:rFonts w:cs="Segoe UI"/>
          <w:szCs w:val="18"/>
        </w:rPr>
        <w:t xml:space="preserve"> Europe</w:t>
      </w:r>
      <w:r w:rsidRPr="007C738F">
        <w:rPr>
          <w:rFonts w:cs="Segoe UI"/>
          <w:szCs w:val="18"/>
        </w:rPr>
        <w:t>, ktorý stavia na piatich pilieroch pre urýchlené a výrazné zvýšenie európskych výdavkov na obranu</w:t>
      </w:r>
      <w:r>
        <w:rPr>
          <w:rFonts w:cs="Segoe UI"/>
          <w:szCs w:val="18"/>
        </w:rPr>
        <w:t>:</w:t>
      </w:r>
      <w:bookmarkEnd w:id="54"/>
      <w:r w:rsidR="000F242E">
        <w:rPr>
          <w:rFonts w:cs="Segoe UI"/>
          <w:szCs w:val="18"/>
        </w:rPr>
        <w:t xml:space="preserve"> </w:t>
      </w:r>
      <w:r w:rsidR="000F242E" w:rsidRPr="000F242E">
        <w:rPr>
          <w:rFonts w:cs="Segoe UI"/>
          <w:szCs w:val="18"/>
        </w:rPr>
        <w:t>n</w:t>
      </w:r>
      <w:r w:rsidRPr="000F242E">
        <w:rPr>
          <w:rFonts w:cs="Segoe UI"/>
          <w:szCs w:val="18"/>
        </w:rPr>
        <w:t>ové pôžičky pre masívne navýšenie obranných investícií</w:t>
      </w:r>
      <w:r w:rsidR="000F242E" w:rsidRPr="000F242E">
        <w:rPr>
          <w:rFonts w:cs="Segoe UI"/>
          <w:szCs w:val="18"/>
        </w:rPr>
        <w:t>, a</w:t>
      </w:r>
      <w:r w:rsidRPr="000F242E">
        <w:rPr>
          <w:rFonts w:cs="Segoe UI"/>
          <w:iCs/>
          <w:szCs w:val="18"/>
        </w:rPr>
        <w:t>ktivácia národnej únikovej doložky z Paktu stability a</w:t>
      </w:r>
      <w:r w:rsidR="000F242E" w:rsidRPr="000F242E">
        <w:rPr>
          <w:rFonts w:cs="Segoe UI"/>
          <w:iCs/>
          <w:szCs w:val="18"/>
        </w:rPr>
        <w:t> </w:t>
      </w:r>
      <w:r w:rsidRPr="000F242E">
        <w:rPr>
          <w:rFonts w:cs="Segoe UI"/>
          <w:iCs/>
          <w:szCs w:val="18"/>
        </w:rPr>
        <w:t>rastu</w:t>
      </w:r>
      <w:r w:rsidR="000F242E" w:rsidRPr="000F242E">
        <w:rPr>
          <w:rFonts w:cs="Segoe UI"/>
          <w:iCs/>
          <w:szCs w:val="18"/>
        </w:rPr>
        <w:t>, v</w:t>
      </w:r>
      <w:r w:rsidRPr="000F242E">
        <w:rPr>
          <w:rFonts w:cs="Segoe UI"/>
          <w:szCs w:val="18"/>
        </w:rPr>
        <w:t>äčšia flexibilita existujúcich nástrojov EÚ s cieľom zvýšiť investície do obrany</w:t>
      </w:r>
      <w:r w:rsidR="000F242E" w:rsidRPr="000F242E">
        <w:rPr>
          <w:rFonts w:cs="Segoe UI"/>
          <w:szCs w:val="18"/>
        </w:rPr>
        <w:t>, p</w:t>
      </w:r>
      <w:r w:rsidRPr="000F242E">
        <w:rPr>
          <w:rFonts w:cs="Segoe UI"/>
          <w:szCs w:val="18"/>
        </w:rPr>
        <w:t>ríspevky Európskej investičnej banky</w:t>
      </w:r>
      <w:r w:rsidR="000F242E" w:rsidRPr="000F242E">
        <w:rPr>
          <w:rFonts w:cs="Segoe UI"/>
          <w:szCs w:val="18"/>
        </w:rPr>
        <w:t>, m</w:t>
      </w:r>
      <w:r w:rsidRPr="000F242E">
        <w:rPr>
          <w:rFonts w:cs="Segoe UI"/>
          <w:szCs w:val="18"/>
        </w:rPr>
        <w:t>obilizácia súkromného kapitálu</w:t>
      </w:r>
      <w:r w:rsidR="000F242E" w:rsidRPr="000F242E">
        <w:rPr>
          <w:rFonts w:cs="Segoe UI"/>
          <w:szCs w:val="18"/>
        </w:rPr>
        <w:t>.</w:t>
      </w:r>
    </w:p>
    <w:p w14:paraId="1181D398" w14:textId="39222155" w:rsidR="00A04C25" w:rsidRPr="00E20DDF" w:rsidRDefault="00A04C25" w:rsidP="00A04C25">
      <w:pPr>
        <w:rPr>
          <w:rFonts w:cs="Segoe UI"/>
          <w:szCs w:val="18"/>
        </w:rPr>
      </w:pPr>
      <w:r w:rsidRPr="007C738F">
        <w:rPr>
          <w:rFonts w:cs="Segoe UI"/>
          <w:b/>
          <w:szCs w:val="18"/>
        </w:rPr>
        <w:t xml:space="preserve">Vďaka plánu ReArm Europe možno očakávať ďalší významný nárast výdavkov na obranu v nasledujúcich </w:t>
      </w:r>
      <w:r w:rsidRPr="00604C5B">
        <w:rPr>
          <w:rFonts w:cs="Segoe UI"/>
          <w:b/>
          <w:szCs w:val="18"/>
        </w:rPr>
        <w:t>štyroch rokoc</w:t>
      </w:r>
      <w:r w:rsidRPr="00F6187C">
        <w:rPr>
          <w:rFonts w:cs="Segoe UI"/>
          <w:b/>
          <w:szCs w:val="18"/>
        </w:rPr>
        <w:t>h.</w:t>
      </w:r>
      <w:r>
        <w:rPr>
          <w:rFonts w:cs="Segoe UI"/>
          <w:szCs w:val="18"/>
        </w:rPr>
        <w:t xml:space="preserve"> E</w:t>
      </w:r>
      <w:r w:rsidRPr="00E20DDF">
        <w:rPr>
          <w:rFonts w:cs="Segoe UI"/>
          <w:szCs w:val="18"/>
        </w:rPr>
        <w:t>K v apríli 2025 navrhla zaviesť štvrté odvetvie v</w:t>
      </w:r>
      <w:r>
        <w:rPr>
          <w:rFonts w:cs="Segoe UI"/>
          <w:szCs w:val="18"/>
        </w:rPr>
        <w:t> </w:t>
      </w:r>
      <w:r w:rsidRPr="00E20DDF">
        <w:rPr>
          <w:rFonts w:cs="Segoe UI"/>
          <w:szCs w:val="18"/>
        </w:rPr>
        <w:t>rámci</w:t>
      </w:r>
      <w:r>
        <w:rPr>
          <w:rFonts w:cs="Segoe UI"/>
          <w:szCs w:val="18"/>
        </w:rPr>
        <w:t xml:space="preserve"> </w:t>
      </w:r>
      <w:r w:rsidRPr="00E20DDF">
        <w:rPr>
          <w:rFonts w:cs="Segoe UI"/>
          <w:szCs w:val="18"/>
        </w:rPr>
        <w:t>platformy</w:t>
      </w:r>
      <w:r>
        <w:rPr>
          <w:rFonts w:cs="Segoe UI"/>
          <w:szCs w:val="18"/>
        </w:rPr>
        <w:t xml:space="preserve"> </w:t>
      </w:r>
      <w:r w:rsidRPr="00E20DDF">
        <w:rPr>
          <w:rFonts w:cs="Segoe UI"/>
          <w:szCs w:val="18"/>
        </w:rPr>
        <w:t>STEP</w:t>
      </w:r>
      <w:r>
        <w:rPr>
          <w:rStyle w:val="Odkaznapoznmkupodiarou"/>
          <w:rFonts w:cs="Segoe UI"/>
          <w:szCs w:val="18"/>
        </w:rPr>
        <w:footnoteReference w:id="74"/>
      </w:r>
      <w:r w:rsidRPr="00E20DDF">
        <w:rPr>
          <w:rFonts w:cs="Segoe UI"/>
          <w:szCs w:val="18"/>
        </w:rPr>
        <w:t xml:space="preserve"> – obranu – a rozšíriť finančné stimuly dostupné v rámci platformy STEP pre politiku</w:t>
      </w:r>
      <w:r>
        <w:rPr>
          <w:rFonts w:cs="Segoe UI"/>
          <w:szCs w:val="18"/>
        </w:rPr>
        <w:t xml:space="preserve"> </w:t>
      </w:r>
      <w:r w:rsidRPr="00E20DDF">
        <w:rPr>
          <w:rFonts w:cs="Segoe UI"/>
          <w:szCs w:val="18"/>
        </w:rPr>
        <w:t>súdržnosti. Tieto novinky boli zavedené v návrhu nariadenia, pokiaľ ide o stimulovanie investícií do</w:t>
      </w:r>
      <w:r>
        <w:rPr>
          <w:rFonts w:cs="Segoe UI"/>
          <w:szCs w:val="18"/>
        </w:rPr>
        <w:t xml:space="preserve"> </w:t>
      </w:r>
      <w:r w:rsidRPr="00E20DDF">
        <w:rPr>
          <w:rFonts w:cs="Segoe UI"/>
          <w:szCs w:val="18"/>
        </w:rPr>
        <w:t>obrany v</w:t>
      </w:r>
      <w:r>
        <w:rPr>
          <w:rFonts w:cs="Segoe UI"/>
          <w:szCs w:val="18"/>
        </w:rPr>
        <w:t> </w:t>
      </w:r>
      <w:r w:rsidRPr="00E20DDF">
        <w:rPr>
          <w:rFonts w:cs="Segoe UI"/>
          <w:szCs w:val="18"/>
        </w:rPr>
        <w:t>rozpočte EÚ</w:t>
      </w:r>
      <w:r>
        <w:rPr>
          <w:rStyle w:val="Odkaznapoznmkupodiarou"/>
          <w:rFonts w:cs="Segoe UI"/>
          <w:szCs w:val="18"/>
        </w:rPr>
        <w:footnoteReference w:id="75"/>
      </w:r>
      <w:r w:rsidRPr="00E20DDF">
        <w:rPr>
          <w:rFonts w:cs="Segoe UI"/>
          <w:szCs w:val="18"/>
        </w:rPr>
        <w:t xml:space="preserve"> a v návrhu nariadenia v rámci strednodobého preskúmania politiky súdržnosti</w:t>
      </w:r>
      <w:r>
        <w:rPr>
          <w:rStyle w:val="Odkaznapoznmkupodiarou"/>
          <w:rFonts w:cs="Segoe UI"/>
          <w:szCs w:val="18"/>
        </w:rPr>
        <w:footnoteReference w:id="76"/>
      </w:r>
      <w:r w:rsidRPr="00E20DDF">
        <w:rPr>
          <w:rFonts w:cs="Segoe UI"/>
          <w:szCs w:val="18"/>
        </w:rPr>
        <w:t>.</w:t>
      </w:r>
    </w:p>
    <w:p w14:paraId="38556A03" w14:textId="46B4AE53" w:rsidR="002A7C02" w:rsidRPr="002A7C02" w:rsidRDefault="002A7C02" w:rsidP="002A7C02">
      <w:pPr>
        <w:rPr>
          <w:rFonts w:cs="Segoe UI"/>
          <w:szCs w:val="20"/>
        </w:rPr>
      </w:pPr>
      <w:r w:rsidRPr="00F42C97">
        <w:rPr>
          <w:rFonts w:cs="Segoe UI"/>
          <w:b/>
          <w:bCs/>
          <w:szCs w:val="20"/>
        </w:rPr>
        <w:t>Na samite NATO v dňoch 24. a 25. júna 2025 v Haagu bolo deklarované, že členské krajiny NATO do roku 2035 zvýšia svoje výdavky na obranu na 5 % svojho HDP</w:t>
      </w:r>
      <w:r w:rsidRPr="002A7C02">
        <w:rPr>
          <w:rStyle w:val="Odkaznapoznmkupodiarou"/>
          <w:rFonts w:cs="Segoe UI"/>
          <w:szCs w:val="20"/>
        </w:rPr>
        <w:footnoteReference w:id="77"/>
      </w:r>
      <w:r w:rsidRPr="00F42C97">
        <w:rPr>
          <w:rFonts w:cs="Segoe UI"/>
          <w:b/>
          <w:bCs/>
          <w:szCs w:val="20"/>
        </w:rPr>
        <w:t>.</w:t>
      </w:r>
      <w:r>
        <w:rPr>
          <w:rFonts w:cs="Segoe UI"/>
          <w:b/>
          <w:bCs/>
          <w:szCs w:val="20"/>
        </w:rPr>
        <w:t xml:space="preserve"> </w:t>
      </w:r>
      <w:r w:rsidRPr="002A7C02">
        <w:rPr>
          <w:rFonts w:cs="Segoe UI"/>
          <w:szCs w:val="20"/>
        </w:rPr>
        <w:t>Slovenský prezident podporil odloženie nového cieľa výdavkov NATO na obranu vo výške 5 % HDP do roku 2035.</w:t>
      </w:r>
    </w:p>
    <w:p w14:paraId="0269FDC1" w14:textId="65994AA9" w:rsidR="00B7436F" w:rsidRPr="00B7436F" w:rsidRDefault="00B7436F" w:rsidP="00B7436F">
      <w:r w:rsidRPr="00B7436F">
        <w:rPr>
          <w:b/>
          <w:bCs/>
        </w:rPr>
        <w:t xml:space="preserve">Na európskej úrovni zohráva významnú úlohu pri zvyšovaní transparentnosti a znižovaní rizík pri využívaní verejných zdrojov aj Medzinárodná rada audítorov NATO (IBAN), ktorá vykonáva nezávislé audity v oblasti obranných investícií a výdavkov </w:t>
      </w:r>
      <w:r w:rsidRPr="00B7436F">
        <w:t xml:space="preserve">(box </w:t>
      </w:r>
      <w:r w:rsidR="000D40A9">
        <w:t>5</w:t>
      </w:r>
      <w:r w:rsidRPr="00B7436F">
        <w:t>)</w:t>
      </w:r>
      <w:r w:rsidRPr="00B7436F">
        <w:rPr>
          <w:b/>
          <w:bCs/>
        </w:rPr>
        <w:t>.</w:t>
      </w:r>
      <w:r w:rsidRPr="00B7436F">
        <w:t xml:space="preserve"> Bola založená v roku 1953, štyri roky po podpísaní zakladajúcej zmluvy NATO a jej hlavným mandátom je poskytnúť Severoatlantickej rade (NAC) a vládam členských krajín NATO uistenie, že spoločné fondy boli riadne použité na vyrovnanie schválených výdavkov. Práca IBAN sa riadi tromi základnými hodnotami: nezávislosťou, integritou a profesionalitou.</w:t>
      </w:r>
    </w:p>
    <w:tbl>
      <w:tblPr>
        <w:tblStyle w:val="Mriekatabuky1"/>
        <w:tblW w:w="0" w:type="auto"/>
        <w:tblBorders>
          <w:top w:val="single" w:sz="4" w:space="0" w:color="314364"/>
          <w:left w:val="single" w:sz="4" w:space="0" w:color="314364"/>
          <w:bottom w:val="single" w:sz="4" w:space="0" w:color="314364"/>
          <w:right w:val="single" w:sz="4" w:space="0" w:color="314364"/>
          <w:insideH w:val="none" w:sz="0" w:space="0" w:color="auto"/>
          <w:insideV w:val="none" w:sz="0" w:space="0" w:color="auto"/>
        </w:tblBorders>
        <w:shd w:val="clear" w:color="auto" w:fill="EBF0FB"/>
        <w:tblLook w:val="04A0" w:firstRow="1" w:lastRow="0" w:firstColumn="1" w:lastColumn="0" w:noHBand="0" w:noVBand="1"/>
      </w:tblPr>
      <w:tblGrid>
        <w:gridCol w:w="9060"/>
      </w:tblGrid>
      <w:tr w:rsidR="00B7436F" w:rsidRPr="002772DE" w14:paraId="5C8B166A" w14:textId="77777777" w:rsidTr="00392A41">
        <w:tc>
          <w:tcPr>
            <w:tcW w:w="9060" w:type="dxa"/>
            <w:shd w:val="clear" w:color="auto" w:fill="EBF0FB"/>
          </w:tcPr>
          <w:p w14:paraId="37389614" w14:textId="3885E4BC" w:rsidR="00B7436F" w:rsidRPr="00B7436F" w:rsidRDefault="00B7436F" w:rsidP="00392A41">
            <w:pPr>
              <w:spacing w:before="120"/>
              <w:ind w:right="163"/>
              <w:rPr>
                <w:rFonts w:cs="Times New Roman"/>
                <w:b/>
              </w:rPr>
            </w:pPr>
            <w:r w:rsidRPr="00B7436F">
              <w:rPr>
                <w:rFonts w:cs="Times New Roman"/>
                <w:b/>
              </w:rPr>
              <w:t xml:space="preserve">Box </w:t>
            </w:r>
            <w:r w:rsidR="000D40A9">
              <w:rPr>
                <w:rFonts w:cs="Times New Roman"/>
                <w:b/>
              </w:rPr>
              <w:t>5</w:t>
            </w:r>
            <w:r w:rsidRPr="00B7436F">
              <w:rPr>
                <w:rFonts w:cs="Times New Roman"/>
                <w:b/>
              </w:rPr>
              <w:t>: Výročná správa IBAN za rok 2024</w:t>
            </w:r>
          </w:p>
          <w:p w14:paraId="10E24341" w14:textId="172B9156" w:rsidR="00B7436F" w:rsidRPr="001A754A" w:rsidRDefault="00B7436F" w:rsidP="00392A41">
            <w:pPr>
              <w:rPr>
                <w:sz w:val="18"/>
                <w:szCs w:val="18"/>
              </w:rPr>
            </w:pPr>
            <w:r w:rsidRPr="001A754A">
              <w:rPr>
                <w:sz w:val="18"/>
                <w:szCs w:val="18"/>
              </w:rPr>
              <w:t>Výročn</w:t>
            </w:r>
            <w:r w:rsidR="00501658">
              <w:rPr>
                <w:sz w:val="18"/>
                <w:szCs w:val="18"/>
              </w:rPr>
              <w:t>á</w:t>
            </w:r>
            <w:r w:rsidRPr="001A754A">
              <w:rPr>
                <w:sz w:val="18"/>
                <w:szCs w:val="18"/>
              </w:rPr>
              <w:t xml:space="preserve"> správ</w:t>
            </w:r>
            <w:r w:rsidR="00501658">
              <w:rPr>
                <w:sz w:val="18"/>
                <w:szCs w:val="18"/>
              </w:rPr>
              <w:t>a</w:t>
            </w:r>
            <w:r w:rsidRPr="001A754A">
              <w:rPr>
                <w:sz w:val="18"/>
                <w:szCs w:val="18"/>
              </w:rPr>
              <w:t xml:space="preserve"> IBAN za rok 2024 konštatuje, že IBAN v sledovanom období zabezpečovala nezávislé finančné a výkonnostné audity subjektov NATO a Programu bezpečnostných investícií NATO (NSIP), pričom audity pokryli viac ako 9 mld. eur. V roku 2024 sa uskutočnilo 23 zasadnutí IBAN, v rámci ktorých bolo vykonaných 27 auditov (24 v rámci NATO, 3 mimo NATO) a vydaných 54 stanovísk (27 finančných, 27 k súladu).</w:t>
            </w:r>
          </w:p>
          <w:p w14:paraId="533AD1C1" w14:textId="77777777" w:rsidR="00B7436F" w:rsidRPr="001A754A" w:rsidRDefault="00B7436F" w:rsidP="00392A41">
            <w:pPr>
              <w:rPr>
                <w:sz w:val="18"/>
                <w:szCs w:val="18"/>
              </w:rPr>
            </w:pPr>
            <w:r w:rsidRPr="001A754A">
              <w:rPr>
                <w:b/>
                <w:bCs/>
                <w:sz w:val="18"/>
                <w:szCs w:val="18"/>
              </w:rPr>
              <w:t>NKÚ SR oceňuje pokračujúci trend zvyšovania kvality finančných výkazov, avšak konštatuje pretrvávajúci vysoký počet nevyriešených odporúčaní, čo poukazuje na potrebu efektívnejšieho mechanizmu ich implementácie.</w:t>
            </w:r>
            <w:r w:rsidRPr="001A754A">
              <w:rPr>
                <w:sz w:val="18"/>
                <w:szCs w:val="18"/>
              </w:rPr>
              <w:t xml:space="preserve"> V oblasti výkonnostných auditov bol realizovaný jeden rozsiahly audit týkajúci sa vojenských cvičení NATO (utajená správa).</w:t>
            </w:r>
          </w:p>
          <w:p w14:paraId="128DBB59" w14:textId="77777777" w:rsidR="00B7436F" w:rsidRPr="001A754A" w:rsidRDefault="00B7436F" w:rsidP="00392A41">
            <w:pPr>
              <w:rPr>
                <w:b/>
                <w:bCs/>
                <w:sz w:val="18"/>
                <w:szCs w:val="18"/>
              </w:rPr>
            </w:pPr>
            <w:r w:rsidRPr="001A754A">
              <w:rPr>
                <w:sz w:val="18"/>
                <w:szCs w:val="18"/>
              </w:rPr>
              <w:t xml:space="preserve">V rámci NSIP bolo vydaných 60 správ o výdavkoch, ktoré monitorovali 283 mil. eur (3 % výdavkov NSIP). </w:t>
            </w:r>
            <w:r w:rsidRPr="001A754A">
              <w:rPr>
                <w:b/>
                <w:bCs/>
                <w:sz w:val="18"/>
                <w:szCs w:val="18"/>
              </w:rPr>
              <w:t>NKÚ SR upozorňuje, že až 50 % stanovísk bolo modifikovaných, najmä z dôvodu výdavkov mimo schválenej oblasti, nedostatočnej dokumentácie, prekročenia nákladov a nedodržania postupov verejného obstarávania.</w:t>
            </w:r>
          </w:p>
          <w:p w14:paraId="6258FDD4" w14:textId="77777777" w:rsidR="00B7436F" w:rsidRPr="001A754A" w:rsidRDefault="00B7436F" w:rsidP="00392A41">
            <w:pPr>
              <w:rPr>
                <w:sz w:val="18"/>
                <w:szCs w:val="18"/>
              </w:rPr>
            </w:pPr>
            <w:r w:rsidRPr="001A754A">
              <w:rPr>
                <w:sz w:val="18"/>
                <w:szCs w:val="18"/>
              </w:rPr>
              <w:t>Rozpočet IBAN na rok 2024 predstavoval 5,22 mil. eur, pričom 29 % pracovných miest zostalo neobsadených, čo môže negatívne ovplyvniť kapacity IBAN pri plnení jej úloh. Z celkového počtu 4 032 osobodní bolo 87 % využitých na audity (59 % finančné, 32 % výkonnostné, 9 % NSIP), pričom podiel výkonnostných auditov prekročil plánovaný cieľ (32 % vs 25 %).</w:t>
            </w:r>
          </w:p>
          <w:p w14:paraId="0B0E8636" w14:textId="77777777" w:rsidR="00B7436F" w:rsidRPr="001A754A" w:rsidRDefault="00B7436F" w:rsidP="00392A41">
            <w:pPr>
              <w:rPr>
                <w:sz w:val="18"/>
                <w:szCs w:val="18"/>
              </w:rPr>
            </w:pPr>
            <w:r w:rsidRPr="001A754A">
              <w:rPr>
                <w:sz w:val="18"/>
                <w:szCs w:val="18"/>
              </w:rPr>
              <w:t xml:space="preserve">Pozitívne možno hodnotiť spoluprácu IBAN s národnými kontrolnými inštitúciami a medzinárodnými partnermi, ako aj podpis memoránd o spolupráci s ČR, Severným Macedónskom a Rumunskom. Len 68 % stanovísk však </w:t>
            </w:r>
            <w:r w:rsidRPr="001A754A">
              <w:rPr>
                <w:sz w:val="18"/>
                <w:szCs w:val="18"/>
              </w:rPr>
              <w:lastRenderedPageBreak/>
              <w:t>bolo vydaných v stanovenom termíne (cieľ bol 100 %), čo poukazuje na potrebu zlepšenia v oblasti včasnosti výstupov.</w:t>
            </w:r>
          </w:p>
          <w:p w14:paraId="473F7113" w14:textId="77777777" w:rsidR="00B7436F" w:rsidRPr="001A754A" w:rsidRDefault="00B7436F" w:rsidP="00392A41">
            <w:pPr>
              <w:rPr>
                <w:sz w:val="18"/>
                <w:szCs w:val="18"/>
              </w:rPr>
            </w:pPr>
            <w:r w:rsidRPr="001A754A">
              <w:rPr>
                <w:sz w:val="18"/>
                <w:szCs w:val="18"/>
              </w:rPr>
              <w:t>Dôležitými míľnikmi boli včasné vydanie Výročnej správy za rok 2024 ako aj schválenie nových strategických priorít na obdobie 2025 – 2029, ktoré smerujú k posilneniu kapacít, zlepšeniu spolupráce a zvýšeniu viditeľnosti IBAN.</w:t>
            </w:r>
          </w:p>
          <w:p w14:paraId="67E1CD3A" w14:textId="77777777" w:rsidR="00B7436F" w:rsidRPr="00057B52" w:rsidRDefault="00B7436F" w:rsidP="00392A41">
            <w:r w:rsidRPr="001A754A">
              <w:rPr>
                <w:b/>
                <w:bCs/>
                <w:sz w:val="18"/>
                <w:szCs w:val="18"/>
              </w:rPr>
              <w:t>Celkovo možno konštatovať, že IBAN v roku 2024 významne prispela k transparentnosti a zodpovednosti v rámci NATO, avšak naďalej čelí výzvam v oblasti včasnosti výstupov, implementácie odporúčaní a zabezpečenia dostatočných ľudských zdrojov.</w:t>
            </w:r>
          </w:p>
        </w:tc>
      </w:tr>
    </w:tbl>
    <w:p w14:paraId="5C5FE54E" w14:textId="272C4C6E" w:rsidR="000B28D8" w:rsidRPr="00917469" w:rsidRDefault="00A30F6A" w:rsidP="00F93715">
      <w:pPr>
        <w:pStyle w:val="Nadpis3"/>
        <w:spacing w:before="120"/>
      </w:pPr>
      <w:r>
        <w:lastRenderedPageBreak/>
        <w:t xml:space="preserve"> </w:t>
      </w:r>
      <w:bookmarkStart w:id="55" w:name="_Toc211249099"/>
      <w:r w:rsidR="002A7C02">
        <w:t>Vývoj rozpočtu a n</w:t>
      </w:r>
      <w:r w:rsidR="000B28D8">
        <w:t>ajväčšie investície</w:t>
      </w:r>
      <w:bookmarkEnd w:id="55"/>
    </w:p>
    <w:p w14:paraId="357EF71E" w14:textId="6F8183A2" w:rsidR="00BA02BB" w:rsidRPr="00FD729C" w:rsidRDefault="00BA02BB" w:rsidP="00BA02BB">
      <w:pPr>
        <w:rPr>
          <w:b/>
          <w:bCs/>
        </w:rPr>
      </w:pPr>
      <w:r w:rsidRPr="00BA02BB">
        <w:rPr>
          <w:b/>
          <w:bCs/>
        </w:rPr>
        <w:t>NKÚ SR konštatuje, že štruktúra</w:t>
      </w:r>
      <w:r w:rsidRPr="00FD729C">
        <w:rPr>
          <w:b/>
          <w:bCs/>
        </w:rPr>
        <w:t xml:space="preserve"> </w:t>
      </w:r>
      <w:r>
        <w:rPr>
          <w:b/>
          <w:bCs/>
        </w:rPr>
        <w:t xml:space="preserve">plánovaných </w:t>
      </w:r>
      <w:r w:rsidRPr="00FD729C">
        <w:rPr>
          <w:b/>
          <w:bCs/>
        </w:rPr>
        <w:t xml:space="preserve">výdavkov </w:t>
      </w:r>
      <w:r w:rsidR="00F93715">
        <w:rPr>
          <w:b/>
          <w:bCs/>
        </w:rPr>
        <w:t xml:space="preserve">kapitoly MO SR </w:t>
      </w:r>
      <w:r w:rsidRPr="00FD729C">
        <w:rPr>
          <w:b/>
          <w:bCs/>
        </w:rPr>
        <w:t>je v súlade s odporúčaniami NATO, ktor</w:t>
      </w:r>
      <w:r>
        <w:rPr>
          <w:b/>
          <w:bCs/>
        </w:rPr>
        <w:t>é</w:t>
      </w:r>
      <w:r w:rsidRPr="00FD729C">
        <w:rPr>
          <w:b/>
          <w:bCs/>
        </w:rPr>
        <w:t xml:space="preserve"> stanovuj</w:t>
      </w:r>
      <w:r>
        <w:rPr>
          <w:b/>
          <w:bCs/>
        </w:rPr>
        <w:t>ú</w:t>
      </w:r>
      <w:r w:rsidRPr="00FD729C">
        <w:rPr>
          <w:b/>
          <w:bCs/>
        </w:rPr>
        <w:t>, že podiel personálnych výdavkov by nemal presiahnuť 50 % celkových obranných výdavkov a na modernizačné projekty by malo smerovať minimálne 20 % rozpočtu.</w:t>
      </w:r>
      <w:r w:rsidRPr="00BA02BB">
        <w:t xml:space="preserve"> </w:t>
      </w:r>
      <w:r w:rsidR="00F93715">
        <w:t>V n</w:t>
      </w:r>
      <w:r w:rsidRPr="00CE2496">
        <w:t xml:space="preserve">ávrhu rozpočtu na rok 2026 tvoria bežné výdavky kapitoly </w:t>
      </w:r>
      <w:r>
        <w:t xml:space="preserve">MO </w:t>
      </w:r>
      <w:r w:rsidRPr="00CE2496">
        <w:t>SR 63 % celkových výdavkov, pričom 43 % z tejto sumy je určených na osobné výdavky vojakov a zamestnancov. Kapitálové výdavky predstavujú 37 % rozpočtu rezortu.</w:t>
      </w:r>
    </w:p>
    <w:p w14:paraId="103379B8" w14:textId="06EC1636" w:rsidR="002A7C02" w:rsidRPr="000959C3" w:rsidRDefault="002A7C02" w:rsidP="002A7C02">
      <w:pPr>
        <w:rPr>
          <w:rFonts w:cs="Segoe UI"/>
          <w:b/>
          <w:bCs/>
          <w:szCs w:val="20"/>
        </w:rPr>
      </w:pPr>
      <w:r w:rsidRPr="000959C3">
        <w:rPr>
          <w:rFonts w:cs="Segoe UI"/>
          <w:b/>
          <w:bCs/>
          <w:szCs w:val="20"/>
        </w:rPr>
        <w:t xml:space="preserve">NKÚ SR upozorňuje, že plánované tempo rastu obranných výdavkov SR pre roky 2026 </w:t>
      </w:r>
      <w:r>
        <w:rPr>
          <w:rFonts w:cs="Segoe UI"/>
          <w:b/>
          <w:bCs/>
          <w:szCs w:val="20"/>
        </w:rPr>
        <w:t xml:space="preserve">až </w:t>
      </w:r>
      <w:r w:rsidRPr="000959C3">
        <w:rPr>
          <w:rFonts w:cs="Segoe UI"/>
          <w:b/>
          <w:bCs/>
          <w:szCs w:val="20"/>
        </w:rPr>
        <w:t xml:space="preserve">2028 </w:t>
      </w:r>
      <w:r w:rsidRPr="00BB314F">
        <w:rPr>
          <w:rFonts w:cs="Segoe UI"/>
          <w:szCs w:val="20"/>
        </w:rPr>
        <w:t>(3,6 – 4 % HDP)</w:t>
      </w:r>
      <w:r w:rsidRPr="000959C3">
        <w:rPr>
          <w:rFonts w:cs="Segoe UI"/>
          <w:b/>
          <w:bCs/>
          <w:szCs w:val="20"/>
        </w:rPr>
        <w:t xml:space="preserve"> významne prevyšuje prognózovaný rast HDP </w:t>
      </w:r>
      <w:r w:rsidRPr="00BB314F">
        <w:rPr>
          <w:rFonts w:cs="Segoe UI"/>
          <w:szCs w:val="20"/>
        </w:rPr>
        <w:t>(1,3 – 1,8 %). To v čase konsolidácie rozpočtu zvyšuje dôraz na preukázateľnú efektívnosť obstarávaní a nadväznosť investícií na dlhodobé strategické dokumenty SR.</w:t>
      </w:r>
      <w:r w:rsidRPr="00BB314F">
        <w:rPr>
          <w:rStyle w:val="Odkaznapoznmkupodiarou"/>
          <w:rFonts w:cs="Segoe UI"/>
          <w:szCs w:val="20"/>
        </w:rPr>
        <w:footnoteReference w:id="78"/>
      </w:r>
      <w:r w:rsidRPr="000959C3">
        <w:rPr>
          <w:rFonts w:cs="Segoe UI"/>
          <w:b/>
          <w:bCs/>
          <w:szCs w:val="20"/>
        </w:rPr>
        <w:t xml:space="preserve"> Bezprecedentný rast celkových obranných výdavkov v roku 2024 vo výške 21,04 </w:t>
      </w:r>
      <w:r w:rsidRPr="00BB314F">
        <w:rPr>
          <w:rFonts w:cs="Segoe UI"/>
          <w:b/>
          <w:bCs/>
          <w:szCs w:val="20"/>
        </w:rPr>
        <w:t xml:space="preserve">% </w:t>
      </w:r>
      <w:r>
        <w:rPr>
          <w:rFonts w:cs="Segoe UI"/>
          <w:b/>
          <w:bCs/>
          <w:szCs w:val="20"/>
        </w:rPr>
        <w:t xml:space="preserve">sa v roku 2025 znížil na 7,29 </w:t>
      </w:r>
      <w:r w:rsidRPr="00E4154D">
        <w:rPr>
          <w:rFonts w:cs="Segoe UI"/>
          <w:b/>
          <w:bCs/>
          <w:szCs w:val="20"/>
        </w:rPr>
        <w:t>%</w:t>
      </w:r>
      <w:r>
        <w:rPr>
          <w:rFonts w:cs="Segoe UI"/>
          <w:b/>
          <w:bCs/>
          <w:szCs w:val="20"/>
        </w:rPr>
        <w:t xml:space="preserve">. </w:t>
      </w:r>
      <w:r w:rsidRPr="000959C3">
        <w:rPr>
          <w:rFonts w:cs="Segoe UI"/>
          <w:b/>
          <w:bCs/>
          <w:szCs w:val="20"/>
        </w:rPr>
        <w:t xml:space="preserve">Celkové obranné výdavky </w:t>
      </w:r>
      <w:r w:rsidR="00BA02BB">
        <w:rPr>
          <w:rFonts w:cs="Segoe UI"/>
          <w:b/>
          <w:bCs/>
          <w:szCs w:val="20"/>
        </w:rPr>
        <w:t xml:space="preserve">sa </w:t>
      </w:r>
      <w:r w:rsidRPr="000959C3">
        <w:rPr>
          <w:rFonts w:cs="Segoe UI"/>
          <w:b/>
          <w:bCs/>
          <w:szCs w:val="20"/>
        </w:rPr>
        <w:t>pre rok 2026 zvyšujú o 99,9 mil. eur na sumu 2,88 mld. eur</w:t>
      </w:r>
      <w:r>
        <w:rPr>
          <w:rFonts w:cs="Segoe UI"/>
          <w:b/>
          <w:bCs/>
          <w:szCs w:val="20"/>
        </w:rPr>
        <w:t xml:space="preserve"> </w:t>
      </w:r>
      <w:r w:rsidRPr="002A7C02">
        <w:rPr>
          <w:rFonts w:cs="Segoe UI"/>
          <w:szCs w:val="20"/>
        </w:rPr>
        <w:t xml:space="preserve">(graf </w:t>
      </w:r>
      <w:r w:rsidR="000D40A9">
        <w:rPr>
          <w:rFonts w:cs="Segoe UI"/>
          <w:szCs w:val="20"/>
        </w:rPr>
        <w:t>38</w:t>
      </w:r>
      <w:r w:rsidRPr="002A7C02">
        <w:rPr>
          <w:rFonts w:cs="Segoe UI"/>
          <w:szCs w:val="20"/>
        </w:rPr>
        <w:t>)</w:t>
      </w:r>
      <w:r w:rsidRPr="000959C3">
        <w:rPr>
          <w:rFonts w:cs="Segoe UI"/>
          <w:b/>
          <w:bCs/>
          <w:szCs w:val="20"/>
        </w:rPr>
        <w:t>.</w:t>
      </w:r>
    </w:p>
    <w:p w14:paraId="6756E68E" w14:textId="77777777" w:rsidR="00933176" w:rsidRPr="002A7C02" w:rsidRDefault="00933176" w:rsidP="00933176">
      <w:pPr>
        <w:pStyle w:val="Popis"/>
        <w:keepNext/>
        <w:rPr>
          <w:rFonts w:cs="Segoe UI"/>
          <w:color w:val="314364"/>
        </w:rPr>
      </w:pPr>
      <w:r w:rsidRPr="002A7C02">
        <w:rPr>
          <w:rFonts w:cs="Segoe UI"/>
          <w:color w:val="314364"/>
        </w:rPr>
        <w:t xml:space="preserve">Graf </w:t>
      </w:r>
      <w:r>
        <w:rPr>
          <w:rFonts w:cs="Segoe UI"/>
          <w:color w:val="314364"/>
        </w:rPr>
        <w:t>38</w:t>
      </w:r>
      <w:r w:rsidRPr="002A7C02">
        <w:rPr>
          <w:rFonts w:cs="Segoe UI"/>
          <w:color w:val="314364"/>
        </w:rPr>
        <w:t>: Vývoj výdavkov na obranu v SR (v mld. eur)</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933176" w:rsidRPr="000959C3" w14:paraId="6E5A6448" w14:textId="77777777" w:rsidTr="00BB314F">
        <w:trPr>
          <w:trHeight w:val="2835"/>
        </w:trPr>
        <w:tc>
          <w:tcPr>
            <w:tcW w:w="9070" w:type="dxa"/>
            <w:tcBorders>
              <w:top w:val="single" w:sz="4" w:space="0" w:color="314364"/>
              <w:bottom w:val="single" w:sz="4" w:space="0" w:color="314364"/>
            </w:tcBorders>
            <w:vAlign w:val="center"/>
          </w:tcPr>
          <w:p w14:paraId="0BD7BC2B" w14:textId="77777777" w:rsidR="00933176" w:rsidRPr="000959C3" w:rsidRDefault="00933176" w:rsidP="00BB314F">
            <w:pPr>
              <w:spacing w:after="0"/>
              <w:rPr>
                <w:b/>
                <w:color w:val="576431"/>
                <w:highlight w:val="yellow"/>
              </w:rPr>
            </w:pPr>
            <w:r>
              <w:rPr>
                <w:noProof/>
                <w:lang w:eastAsia="sk-SK"/>
              </w:rPr>
              <w:drawing>
                <wp:inline distT="0" distB="0" distL="0" distR="0" wp14:anchorId="75F51345" wp14:editId="55F14649">
                  <wp:extent cx="5760000" cy="1800000"/>
                  <wp:effectExtent l="0" t="0" r="0" b="0"/>
                  <wp:docPr id="14" name="Graf 14">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bl>
    <w:p w14:paraId="1CC613DF" w14:textId="77777777" w:rsidR="00933176" w:rsidRPr="000959C3" w:rsidRDefault="00933176" w:rsidP="00933176">
      <w:pPr>
        <w:pStyle w:val="Zdroj"/>
      </w:pPr>
      <w:r w:rsidRPr="000959C3">
        <w:t>Zdroj: Návrh RVS na roky 2026 – 2028</w:t>
      </w:r>
      <w:r>
        <w:rPr>
          <w:lang w:val="en-US"/>
        </w:rPr>
        <w:t>;</w:t>
      </w:r>
      <w:r w:rsidRPr="000959C3">
        <w:t xml:space="preserve"> spracovanie NKÚ SR.</w:t>
      </w:r>
    </w:p>
    <w:p w14:paraId="1179FC04" w14:textId="3D7D7057" w:rsidR="002A7C02" w:rsidRDefault="002A7C02" w:rsidP="002A7C02">
      <w:r w:rsidRPr="000959C3">
        <w:rPr>
          <w:b/>
        </w:rPr>
        <w:t>Trend neefektívneho plánovacieho procesu v rámci rezortu pokračoval aj v roku 2025</w:t>
      </w:r>
      <w:r>
        <w:rPr>
          <w:b/>
        </w:rPr>
        <w:t>,</w:t>
      </w:r>
      <w:r w:rsidRPr="000959C3">
        <w:rPr>
          <w:b/>
        </w:rPr>
        <w:t xml:space="preserve"> nakoľko väčšina </w:t>
      </w:r>
      <w:r w:rsidRPr="000959C3">
        <w:rPr>
          <w:bCs/>
        </w:rPr>
        <w:t>(8</w:t>
      </w:r>
      <w:r>
        <w:rPr>
          <w:bCs/>
        </w:rPr>
        <w:t>2</w:t>
      </w:r>
      <w:r w:rsidRPr="000959C3">
        <w:rPr>
          <w:bCs/>
        </w:rPr>
        <w:t>,</w:t>
      </w:r>
      <w:r>
        <w:rPr>
          <w:bCs/>
        </w:rPr>
        <w:t>5</w:t>
      </w:r>
      <w:r w:rsidRPr="000959C3">
        <w:rPr>
          <w:bCs/>
        </w:rPr>
        <w:t xml:space="preserve"> </w:t>
      </w:r>
      <w:r w:rsidRPr="000C00CE">
        <w:rPr>
          <w:bCs/>
        </w:rPr>
        <w:t>%</w:t>
      </w:r>
      <w:r w:rsidRPr="000959C3">
        <w:rPr>
          <w:bCs/>
        </w:rPr>
        <w:t>)</w:t>
      </w:r>
      <w:r w:rsidRPr="000959C3">
        <w:rPr>
          <w:b/>
        </w:rPr>
        <w:t xml:space="preserve"> realizovaných investícií nebola rozpočtovaná a ich rozpočet bol upravovaný v priebehu roka. </w:t>
      </w:r>
      <w:r w:rsidRPr="00BB314F">
        <w:rPr>
          <w:bCs/>
        </w:rPr>
        <w:t xml:space="preserve">Len 9 </w:t>
      </w:r>
      <w:r w:rsidRPr="00CA633C">
        <w:rPr>
          <w:bCs/>
        </w:rPr>
        <w:t>% zrealizovaných investícií bolo riadne rozpočtovaných. Parlamentom</w:t>
      </w:r>
      <w:r w:rsidRPr="000959C3">
        <w:rPr>
          <w:bCs/>
        </w:rPr>
        <w:t xml:space="preserve"> schválený rozpočet investícií MO SR na rok 2025 bol vo výške 1,02 mld. eur.</w:t>
      </w:r>
      <w:r w:rsidRPr="000959C3">
        <w:t xml:space="preserve"> 67,3 % investičných výdavkov sa plánovalo do rozvoja výzbroje techniky a materiálu (tabuľka </w:t>
      </w:r>
      <w:r w:rsidR="0034440C">
        <w:t>1</w:t>
      </w:r>
      <w:r w:rsidR="0032471C">
        <w:t>4</w:t>
      </w:r>
      <w:r w:rsidRPr="000959C3">
        <w:t>).</w:t>
      </w:r>
    </w:p>
    <w:p w14:paraId="4BCD07F8" w14:textId="77777777" w:rsidR="0032471C" w:rsidRDefault="0032471C" w:rsidP="002A7C02"/>
    <w:p w14:paraId="39907553" w14:textId="77777777" w:rsidR="0032471C" w:rsidRPr="000959C3" w:rsidRDefault="0032471C" w:rsidP="002A7C02"/>
    <w:bookmarkEnd w:id="53"/>
    <w:p w14:paraId="4FD61664" w14:textId="0B4D0D9D" w:rsidR="001932B9" w:rsidRDefault="001932B9" w:rsidP="001932B9">
      <w:pPr>
        <w:spacing w:after="0"/>
        <w:rPr>
          <w:b/>
          <w:iCs/>
          <w:color w:val="314364" w:themeColor="text2"/>
          <w:szCs w:val="18"/>
        </w:rPr>
      </w:pPr>
      <w:r w:rsidRPr="009F0BC5">
        <w:rPr>
          <w:b/>
          <w:iCs/>
          <w:color w:val="314364" w:themeColor="text2"/>
          <w:szCs w:val="18"/>
        </w:rPr>
        <w:lastRenderedPageBreak/>
        <w:t xml:space="preserve">Tabuľka </w:t>
      </w:r>
      <w:r>
        <w:rPr>
          <w:b/>
          <w:iCs/>
          <w:color w:val="314364" w:themeColor="text2"/>
          <w:szCs w:val="18"/>
        </w:rPr>
        <w:t>1</w:t>
      </w:r>
      <w:r w:rsidR="0032471C">
        <w:rPr>
          <w:b/>
          <w:iCs/>
          <w:color w:val="314364" w:themeColor="text2"/>
          <w:szCs w:val="18"/>
        </w:rPr>
        <w:t>4</w:t>
      </w:r>
      <w:r>
        <w:rPr>
          <w:b/>
          <w:iCs/>
          <w:color w:val="314364" w:themeColor="text2"/>
          <w:szCs w:val="18"/>
        </w:rPr>
        <w:t>:</w:t>
      </w:r>
      <w:r w:rsidRPr="009F0BC5">
        <w:rPr>
          <w:b/>
          <w:iCs/>
          <w:color w:val="314364" w:themeColor="text2"/>
          <w:szCs w:val="18"/>
        </w:rPr>
        <w:t xml:space="preserve"> Najväčšie plánované </w:t>
      </w:r>
      <w:r>
        <w:rPr>
          <w:b/>
          <w:iCs/>
          <w:color w:val="314364" w:themeColor="text2"/>
          <w:szCs w:val="18"/>
        </w:rPr>
        <w:t xml:space="preserve">a realizované </w:t>
      </w:r>
      <w:r w:rsidRPr="009F0BC5">
        <w:rPr>
          <w:b/>
          <w:iCs/>
          <w:color w:val="314364" w:themeColor="text2"/>
          <w:szCs w:val="18"/>
        </w:rPr>
        <w:t>investície rezortu obrany v roku 202</w:t>
      </w:r>
      <w:r>
        <w:rPr>
          <w:b/>
          <w:iCs/>
          <w:color w:val="314364" w:themeColor="text2"/>
          <w:szCs w:val="18"/>
        </w:rPr>
        <w:t>5</w:t>
      </w:r>
    </w:p>
    <w:tbl>
      <w:tblPr>
        <w:tblW w:w="5000" w:type="pct"/>
        <w:tblLayout w:type="fixed"/>
        <w:tblCellMar>
          <w:left w:w="70" w:type="dxa"/>
          <w:right w:w="70" w:type="dxa"/>
        </w:tblCellMar>
        <w:tblLook w:val="04A0" w:firstRow="1" w:lastRow="0" w:firstColumn="1" w:lastColumn="0" w:noHBand="0" w:noVBand="1"/>
      </w:tblPr>
      <w:tblGrid>
        <w:gridCol w:w="6236"/>
        <w:gridCol w:w="1419"/>
        <w:gridCol w:w="1415"/>
      </w:tblGrid>
      <w:tr w:rsidR="001932B9" w:rsidRPr="00765701" w14:paraId="3ADE47E3" w14:textId="77777777" w:rsidTr="00BB314F">
        <w:trPr>
          <w:trHeight w:val="283"/>
        </w:trPr>
        <w:tc>
          <w:tcPr>
            <w:tcW w:w="3438" w:type="pct"/>
            <w:tcBorders>
              <w:top w:val="nil"/>
              <w:left w:val="nil"/>
              <w:bottom w:val="nil"/>
              <w:right w:val="nil"/>
            </w:tcBorders>
            <w:shd w:val="clear" w:color="000000" w:fill="314364"/>
            <w:noWrap/>
            <w:vAlign w:val="center"/>
            <w:hideMark/>
          </w:tcPr>
          <w:p w14:paraId="6325E5B3" w14:textId="7F5E35BE" w:rsidR="001932B9" w:rsidRPr="00765701" w:rsidRDefault="00501658" w:rsidP="00BB314F">
            <w:pPr>
              <w:spacing w:after="0" w:line="240" w:lineRule="auto"/>
              <w:jc w:val="left"/>
              <w:rPr>
                <w:rFonts w:eastAsia="Times New Roman" w:cs="Segoe UI"/>
                <w:b/>
                <w:bCs/>
                <w:color w:val="FFFFFF"/>
                <w:sz w:val="18"/>
                <w:szCs w:val="18"/>
                <w:lang w:eastAsia="sk-SK"/>
              </w:rPr>
            </w:pPr>
            <w:r>
              <w:rPr>
                <w:rFonts w:eastAsia="Times New Roman" w:cs="Segoe UI"/>
                <w:b/>
                <w:bCs/>
                <w:color w:val="FFFFFF"/>
                <w:sz w:val="18"/>
                <w:szCs w:val="18"/>
                <w:lang w:eastAsia="sk-SK"/>
              </w:rPr>
              <w:t>R</w:t>
            </w:r>
            <w:r w:rsidR="001932B9" w:rsidRPr="00765701">
              <w:rPr>
                <w:rFonts w:eastAsia="Times New Roman" w:cs="Segoe UI"/>
                <w:b/>
                <w:bCs/>
                <w:color w:val="FFFFFF"/>
                <w:sz w:val="18"/>
                <w:szCs w:val="18"/>
                <w:lang w:eastAsia="sk-SK"/>
              </w:rPr>
              <w:t>ozpočtované investície v roku 2025 (70,1 % schváleného rozpočtu, investície nad 10 mil. eur.)</w:t>
            </w:r>
          </w:p>
        </w:tc>
        <w:tc>
          <w:tcPr>
            <w:tcW w:w="782" w:type="pct"/>
            <w:tcBorders>
              <w:top w:val="nil"/>
              <w:left w:val="nil"/>
              <w:bottom w:val="nil"/>
              <w:right w:val="nil"/>
            </w:tcBorders>
            <w:shd w:val="clear" w:color="000000" w:fill="314364"/>
            <w:noWrap/>
            <w:vAlign w:val="center"/>
            <w:hideMark/>
          </w:tcPr>
          <w:p w14:paraId="3FE9E908" w14:textId="77777777" w:rsidR="001932B9" w:rsidRPr="00765701" w:rsidRDefault="001932B9" w:rsidP="00BB314F">
            <w:pPr>
              <w:spacing w:after="0" w:line="240" w:lineRule="auto"/>
              <w:jc w:val="right"/>
              <w:rPr>
                <w:rFonts w:eastAsia="Times New Roman" w:cs="Segoe UI"/>
                <w:b/>
                <w:bCs/>
                <w:color w:val="FFFFFF"/>
                <w:sz w:val="18"/>
                <w:szCs w:val="18"/>
                <w:lang w:eastAsia="sk-SK"/>
              </w:rPr>
            </w:pPr>
            <w:r w:rsidRPr="00765701">
              <w:rPr>
                <w:rFonts w:eastAsia="Times New Roman" w:cs="Segoe UI"/>
                <w:b/>
                <w:bCs/>
                <w:color w:val="FFFFFF"/>
                <w:sz w:val="18"/>
                <w:szCs w:val="18"/>
                <w:lang w:eastAsia="sk-SK"/>
              </w:rPr>
              <w:t>Schválený rozpočet 2025</w:t>
            </w:r>
          </w:p>
        </w:tc>
        <w:tc>
          <w:tcPr>
            <w:tcW w:w="780" w:type="pct"/>
            <w:tcBorders>
              <w:top w:val="nil"/>
              <w:left w:val="nil"/>
              <w:bottom w:val="nil"/>
              <w:right w:val="nil"/>
            </w:tcBorders>
            <w:shd w:val="clear" w:color="000000" w:fill="314364"/>
            <w:noWrap/>
            <w:vAlign w:val="center"/>
            <w:hideMark/>
          </w:tcPr>
          <w:p w14:paraId="0B9DAC0E" w14:textId="2FF01C3D" w:rsidR="001932B9" w:rsidRPr="00765701" w:rsidRDefault="001932B9" w:rsidP="00BB314F">
            <w:pPr>
              <w:spacing w:after="0" w:line="240" w:lineRule="auto"/>
              <w:jc w:val="right"/>
              <w:rPr>
                <w:rFonts w:eastAsia="Times New Roman" w:cs="Segoe UI"/>
                <w:b/>
                <w:bCs/>
                <w:color w:val="FFFFFF"/>
                <w:sz w:val="18"/>
                <w:szCs w:val="18"/>
                <w:lang w:eastAsia="sk-SK"/>
              </w:rPr>
            </w:pPr>
            <w:r w:rsidRPr="00765701">
              <w:rPr>
                <w:rFonts w:eastAsia="Times New Roman" w:cs="Segoe UI"/>
                <w:b/>
                <w:bCs/>
                <w:color w:val="FFFFFF"/>
                <w:sz w:val="18"/>
                <w:szCs w:val="18"/>
                <w:lang w:eastAsia="sk-SK"/>
              </w:rPr>
              <w:t xml:space="preserve">Skutočnosť </w:t>
            </w:r>
            <w:r>
              <w:rPr>
                <w:rFonts w:eastAsia="Times New Roman" w:cs="Segoe UI"/>
                <w:b/>
                <w:bCs/>
                <w:color w:val="FFFFFF"/>
                <w:sz w:val="18"/>
                <w:szCs w:val="18"/>
                <w:lang w:eastAsia="sk-SK"/>
              </w:rPr>
              <w:t>október</w:t>
            </w:r>
            <w:r w:rsidRPr="00765701">
              <w:rPr>
                <w:rFonts w:eastAsia="Times New Roman" w:cs="Segoe UI"/>
                <w:b/>
                <w:bCs/>
                <w:color w:val="FFFFFF"/>
                <w:sz w:val="18"/>
                <w:szCs w:val="18"/>
                <w:lang w:eastAsia="sk-SK"/>
              </w:rPr>
              <w:t xml:space="preserve"> 2025</w:t>
            </w:r>
          </w:p>
        </w:tc>
      </w:tr>
      <w:tr w:rsidR="001932B9" w:rsidRPr="00765701" w14:paraId="3D57E9F1" w14:textId="77777777" w:rsidTr="00BB314F">
        <w:trPr>
          <w:trHeight w:val="283"/>
        </w:trPr>
        <w:tc>
          <w:tcPr>
            <w:tcW w:w="3438" w:type="pct"/>
            <w:tcBorders>
              <w:top w:val="nil"/>
              <w:left w:val="nil"/>
              <w:bottom w:val="nil"/>
              <w:right w:val="nil"/>
            </w:tcBorders>
            <w:noWrap/>
            <w:vAlign w:val="center"/>
            <w:hideMark/>
          </w:tcPr>
          <w:p w14:paraId="7C78AF25"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Tanková technika</w:t>
            </w:r>
          </w:p>
        </w:tc>
        <w:tc>
          <w:tcPr>
            <w:tcW w:w="782" w:type="pct"/>
            <w:tcBorders>
              <w:top w:val="nil"/>
              <w:left w:val="nil"/>
              <w:bottom w:val="nil"/>
              <w:right w:val="nil"/>
            </w:tcBorders>
            <w:noWrap/>
            <w:vAlign w:val="center"/>
            <w:hideMark/>
          </w:tcPr>
          <w:p w14:paraId="3CE41CEC"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161 098 229</w:t>
            </w:r>
          </w:p>
        </w:tc>
        <w:tc>
          <w:tcPr>
            <w:tcW w:w="780" w:type="pct"/>
            <w:tcBorders>
              <w:top w:val="nil"/>
              <w:left w:val="nil"/>
              <w:bottom w:val="nil"/>
              <w:right w:val="nil"/>
            </w:tcBorders>
            <w:noWrap/>
            <w:vAlign w:val="center"/>
            <w:hideMark/>
          </w:tcPr>
          <w:p w14:paraId="16365497"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r>
      <w:tr w:rsidR="001932B9" w:rsidRPr="00765701" w14:paraId="4FDBD2CE" w14:textId="77777777" w:rsidTr="00BB314F">
        <w:trPr>
          <w:trHeight w:val="283"/>
        </w:trPr>
        <w:tc>
          <w:tcPr>
            <w:tcW w:w="3438" w:type="pct"/>
            <w:tcBorders>
              <w:top w:val="nil"/>
              <w:left w:val="nil"/>
              <w:bottom w:val="nil"/>
              <w:right w:val="nil"/>
            </w:tcBorders>
            <w:noWrap/>
            <w:vAlign w:val="center"/>
            <w:hideMark/>
          </w:tcPr>
          <w:p w14:paraId="70B68828"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BOV 8x8</w:t>
            </w:r>
          </w:p>
        </w:tc>
        <w:tc>
          <w:tcPr>
            <w:tcW w:w="782" w:type="pct"/>
            <w:tcBorders>
              <w:top w:val="nil"/>
              <w:left w:val="nil"/>
              <w:bottom w:val="nil"/>
              <w:right w:val="nil"/>
            </w:tcBorders>
            <w:noWrap/>
            <w:vAlign w:val="center"/>
            <w:hideMark/>
          </w:tcPr>
          <w:p w14:paraId="25925CEB"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156 574 000</w:t>
            </w:r>
          </w:p>
        </w:tc>
        <w:tc>
          <w:tcPr>
            <w:tcW w:w="780" w:type="pct"/>
            <w:tcBorders>
              <w:top w:val="nil"/>
              <w:left w:val="nil"/>
              <w:bottom w:val="nil"/>
              <w:right w:val="nil"/>
            </w:tcBorders>
            <w:noWrap/>
            <w:vAlign w:val="center"/>
            <w:hideMark/>
          </w:tcPr>
          <w:p w14:paraId="7B037CE8"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r>
      <w:tr w:rsidR="001932B9" w:rsidRPr="00765701" w14:paraId="053E1CC8" w14:textId="77777777" w:rsidTr="00BB314F">
        <w:trPr>
          <w:trHeight w:val="283"/>
        </w:trPr>
        <w:tc>
          <w:tcPr>
            <w:tcW w:w="3438" w:type="pct"/>
            <w:tcBorders>
              <w:top w:val="nil"/>
              <w:left w:val="nil"/>
              <w:bottom w:val="nil"/>
              <w:right w:val="nil"/>
            </w:tcBorders>
            <w:noWrap/>
            <w:vAlign w:val="center"/>
            <w:hideMark/>
          </w:tcPr>
          <w:p w14:paraId="3F3312DC"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Špeciálne stroje prístroje a zariadenia</w:t>
            </w:r>
          </w:p>
        </w:tc>
        <w:tc>
          <w:tcPr>
            <w:tcW w:w="782" w:type="pct"/>
            <w:tcBorders>
              <w:top w:val="nil"/>
              <w:left w:val="nil"/>
              <w:bottom w:val="nil"/>
              <w:right w:val="nil"/>
            </w:tcBorders>
            <w:noWrap/>
            <w:vAlign w:val="center"/>
            <w:hideMark/>
          </w:tcPr>
          <w:p w14:paraId="25675C96"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91 377 671</w:t>
            </w:r>
          </w:p>
        </w:tc>
        <w:tc>
          <w:tcPr>
            <w:tcW w:w="780" w:type="pct"/>
            <w:tcBorders>
              <w:top w:val="nil"/>
              <w:left w:val="nil"/>
              <w:bottom w:val="nil"/>
              <w:right w:val="nil"/>
            </w:tcBorders>
            <w:noWrap/>
            <w:vAlign w:val="center"/>
            <w:hideMark/>
          </w:tcPr>
          <w:p w14:paraId="0957B818"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r>
      <w:tr w:rsidR="001932B9" w:rsidRPr="00765701" w14:paraId="27ACAFFD" w14:textId="77777777" w:rsidTr="00BB314F">
        <w:trPr>
          <w:trHeight w:val="283"/>
        </w:trPr>
        <w:tc>
          <w:tcPr>
            <w:tcW w:w="3438" w:type="pct"/>
            <w:tcBorders>
              <w:top w:val="nil"/>
              <w:left w:val="nil"/>
              <w:bottom w:val="nil"/>
              <w:right w:val="nil"/>
            </w:tcBorders>
            <w:noWrap/>
            <w:vAlign w:val="center"/>
            <w:hideMark/>
          </w:tcPr>
          <w:p w14:paraId="3AE2D0A4"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Viacúčelové taktické lietadlá</w:t>
            </w:r>
          </w:p>
        </w:tc>
        <w:tc>
          <w:tcPr>
            <w:tcW w:w="782" w:type="pct"/>
            <w:tcBorders>
              <w:top w:val="nil"/>
              <w:left w:val="nil"/>
              <w:bottom w:val="nil"/>
              <w:right w:val="nil"/>
            </w:tcBorders>
            <w:noWrap/>
            <w:vAlign w:val="center"/>
            <w:hideMark/>
          </w:tcPr>
          <w:p w14:paraId="2A6AEEF5"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75 000 000</w:t>
            </w:r>
          </w:p>
        </w:tc>
        <w:tc>
          <w:tcPr>
            <w:tcW w:w="780" w:type="pct"/>
            <w:tcBorders>
              <w:top w:val="nil"/>
              <w:left w:val="nil"/>
              <w:bottom w:val="nil"/>
              <w:right w:val="nil"/>
            </w:tcBorders>
            <w:noWrap/>
            <w:vAlign w:val="center"/>
            <w:hideMark/>
          </w:tcPr>
          <w:p w14:paraId="635DFC80"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29 452 573</w:t>
            </w:r>
          </w:p>
        </w:tc>
      </w:tr>
      <w:tr w:rsidR="001932B9" w:rsidRPr="00765701" w14:paraId="601ED9E2" w14:textId="77777777" w:rsidTr="00BB314F">
        <w:trPr>
          <w:trHeight w:val="283"/>
        </w:trPr>
        <w:tc>
          <w:tcPr>
            <w:tcW w:w="3438" w:type="pct"/>
            <w:tcBorders>
              <w:top w:val="nil"/>
              <w:left w:val="nil"/>
              <w:bottom w:val="nil"/>
              <w:right w:val="nil"/>
            </w:tcBorders>
            <w:noWrap/>
            <w:vAlign w:val="center"/>
            <w:hideMark/>
          </w:tcPr>
          <w:p w14:paraId="26E84F8F"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Pásové bojové vozidlá</w:t>
            </w:r>
          </w:p>
        </w:tc>
        <w:tc>
          <w:tcPr>
            <w:tcW w:w="782" w:type="pct"/>
            <w:tcBorders>
              <w:top w:val="nil"/>
              <w:left w:val="nil"/>
              <w:bottom w:val="nil"/>
              <w:right w:val="nil"/>
            </w:tcBorders>
            <w:noWrap/>
            <w:vAlign w:val="center"/>
            <w:hideMark/>
          </w:tcPr>
          <w:p w14:paraId="3940E1D6"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42 976 313</w:t>
            </w:r>
          </w:p>
        </w:tc>
        <w:tc>
          <w:tcPr>
            <w:tcW w:w="780" w:type="pct"/>
            <w:tcBorders>
              <w:top w:val="nil"/>
              <w:left w:val="nil"/>
              <w:bottom w:val="nil"/>
              <w:right w:val="nil"/>
            </w:tcBorders>
            <w:noWrap/>
            <w:vAlign w:val="center"/>
            <w:hideMark/>
          </w:tcPr>
          <w:p w14:paraId="0924B420"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r>
      <w:tr w:rsidR="001932B9" w:rsidRPr="00765701" w14:paraId="37E3B28A" w14:textId="77777777" w:rsidTr="00BB314F">
        <w:trPr>
          <w:trHeight w:val="283"/>
        </w:trPr>
        <w:tc>
          <w:tcPr>
            <w:tcW w:w="3438" w:type="pct"/>
            <w:tcBorders>
              <w:top w:val="nil"/>
              <w:left w:val="nil"/>
              <w:bottom w:val="nil"/>
              <w:right w:val="nil"/>
            </w:tcBorders>
            <w:noWrap/>
            <w:vAlign w:val="center"/>
            <w:hideMark/>
          </w:tcPr>
          <w:p w14:paraId="1A999E07"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Ľahké VTV 4x4 (JLTV)</w:t>
            </w:r>
          </w:p>
        </w:tc>
        <w:tc>
          <w:tcPr>
            <w:tcW w:w="782" w:type="pct"/>
            <w:tcBorders>
              <w:top w:val="nil"/>
              <w:left w:val="nil"/>
              <w:bottom w:val="nil"/>
              <w:right w:val="nil"/>
            </w:tcBorders>
            <w:noWrap/>
            <w:vAlign w:val="center"/>
            <w:hideMark/>
          </w:tcPr>
          <w:p w14:paraId="12502DBD"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37 500 000</w:t>
            </w:r>
          </w:p>
        </w:tc>
        <w:tc>
          <w:tcPr>
            <w:tcW w:w="780" w:type="pct"/>
            <w:tcBorders>
              <w:top w:val="nil"/>
              <w:left w:val="nil"/>
              <w:bottom w:val="nil"/>
              <w:right w:val="nil"/>
            </w:tcBorders>
            <w:noWrap/>
            <w:vAlign w:val="center"/>
            <w:hideMark/>
          </w:tcPr>
          <w:p w14:paraId="28F7722B"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347 742</w:t>
            </w:r>
          </w:p>
        </w:tc>
      </w:tr>
      <w:tr w:rsidR="001932B9" w:rsidRPr="00765701" w14:paraId="567D1EA4" w14:textId="77777777" w:rsidTr="00BB314F">
        <w:trPr>
          <w:trHeight w:val="283"/>
        </w:trPr>
        <w:tc>
          <w:tcPr>
            <w:tcW w:w="3438" w:type="pct"/>
            <w:tcBorders>
              <w:top w:val="nil"/>
              <w:left w:val="nil"/>
              <w:bottom w:val="nil"/>
              <w:right w:val="nil"/>
            </w:tcBorders>
            <w:noWrap/>
            <w:vAlign w:val="center"/>
            <w:hideMark/>
          </w:tcPr>
          <w:p w14:paraId="35452695"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Ručné zbrane</w:t>
            </w:r>
          </w:p>
        </w:tc>
        <w:tc>
          <w:tcPr>
            <w:tcW w:w="782" w:type="pct"/>
            <w:tcBorders>
              <w:top w:val="nil"/>
              <w:left w:val="nil"/>
              <w:bottom w:val="nil"/>
              <w:right w:val="nil"/>
            </w:tcBorders>
            <w:noWrap/>
            <w:vAlign w:val="center"/>
            <w:hideMark/>
          </w:tcPr>
          <w:p w14:paraId="38E602CA"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33 074 458</w:t>
            </w:r>
          </w:p>
        </w:tc>
        <w:tc>
          <w:tcPr>
            <w:tcW w:w="780" w:type="pct"/>
            <w:tcBorders>
              <w:top w:val="nil"/>
              <w:left w:val="nil"/>
              <w:bottom w:val="nil"/>
              <w:right w:val="nil"/>
            </w:tcBorders>
            <w:noWrap/>
            <w:vAlign w:val="center"/>
            <w:hideMark/>
          </w:tcPr>
          <w:p w14:paraId="6B05BEFF"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69 752</w:t>
            </w:r>
          </w:p>
        </w:tc>
      </w:tr>
      <w:tr w:rsidR="001932B9" w:rsidRPr="00765701" w14:paraId="5F3A7185" w14:textId="77777777" w:rsidTr="00BB314F">
        <w:trPr>
          <w:trHeight w:val="283"/>
        </w:trPr>
        <w:tc>
          <w:tcPr>
            <w:tcW w:w="3438" w:type="pct"/>
            <w:tcBorders>
              <w:top w:val="nil"/>
              <w:left w:val="nil"/>
              <w:bottom w:val="nil"/>
              <w:right w:val="nil"/>
            </w:tcBorders>
            <w:noWrap/>
            <w:vAlign w:val="center"/>
            <w:hideMark/>
          </w:tcPr>
          <w:p w14:paraId="190D69E6" w14:textId="77777777" w:rsidR="001932B9" w:rsidRPr="00765701" w:rsidRDefault="001932B9" w:rsidP="00BB314F">
            <w:pPr>
              <w:spacing w:after="0" w:line="240" w:lineRule="auto"/>
              <w:ind w:right="-66"/>
              <w:jc w:val="left"/>
              <w:rPr>
                <w:rFonts w:eastAsia="Times New Roman" w:cs="Segoe UI"/>
                <w:sz w:val="18"/>
                <w:szCs w:val="18"/>
                <w:lang w:eastAsia="sk-SK"/>
              </w:rPr>
            </w:pPr>
            <w:r w:rsidRPr="00765701">
              <w:rPr>
                <w:rFonts w:eastAsia="Times New Roman" w:cs="Segoe UI"/>
                <w:sz w:val="18"/>
                <w:szCs w:val="18"/>
                <w:lang w:eastAsia="sk-SK"/>
              </w:rPr>
              <w:t> Sliač - rekonštrukcia rolovacích dráh a vybudovanie nových rolovacích dráh</w:t>
            </w:r>
          </w:p>
        </w:tc>
        <w:tc>
          <w:tcPr>
            <w:tcW w:w="782" w:type="pct"/>
            <w:tcBorders>
              <w:top w:val="nil"/>
              <w:left w:val="nil"/>
              <w:bottom w:val="nil"/>
              <w:right w:val="nil"/>
            </w:tcBorders>
            <w:noWrap/>
            <w:vAlign w:val="center"/>
            <w:hideMark/>
          </w:tcPr>
          <w:p w14:paraId="32A45ABF"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30 981 910</w:t>
            </w:r>
          </w:p>
        </w:tc>
        <w:tc>
          <w:tcPr>
            <w:tcW w:w="780" w:type="pct"/>
            <w:tcBorders>
              <w:top w:val="nil"/>
              <w:left w:val="nil"/>
              <w:bottom w:val="nil"/>
              <w:right w:val="nil"/>
            </w:tcBorders>
            <w:noWrap/>
            <w:vAlign w:val="center"/>
            <w:hideMark/>
          </w:tcPr>
          <w:p w14:paraId="663A2215"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3 676 643</w:t>
            </w:r>
          </w:p>
        </w:tc>
      </w:tr>
      <w:tr w:rsidR="001932B9" w:rsidRPr="00765701" w14:paraId="53A4AF1D" w14:textId="77777777" w:rsidTr="00BB314F">
        <w:trPr>
          <w:trHeight w:val="283"/>
        </w:trPr>
        <w:tc>
          <w:tcPr>
            <w:tcW w:w="3438" w:type="pct"/>
            <w:tcBorders>
              <w:top w:val="nil"/>
              <w:left w:val="nil"/>
              <w:bottom w:val="nil"/>
              <w:right w:val="nil"/>
            </w:tcBorders>
            <w:noWrap/>
            <w:vAlign w:val="center"/>
            <w:hideMark/>
          </w:tcPr>
          <w:p w14:paraId="6021D8C0"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Modernizácia tanku Leopard 2A4</w:t>
            </w:r>
          </w:p>
        </w:tc>
        <w:tc>
          <w:tcPr>
            <w:tcW w:w="782" w:type="pct"/>
            <w:tcBorders>
              <w:top w:val="nil"/>
              <w:left w:val="nil"/>
              <w:bottom w:val="nil"/>
              <w:right w:val="nil"/>
            </w:tcBorders>
            <w:noWrap/>
            <w:vAlign w:val="center"/>
            <w:hideMark/>
          </w:tcPr>
          <w:p w14:paraId="0D852B00"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25 000 000</w:t>
            </w:r>
          </w:p>
        </w:tc>
        <w:tc>
          <w:tcPr>
            <w:tcW w:w="780" w:type="pct"/>
            <w:tcBorders>
              <w:top w:val="nil"/>
              <w:left w:val="nil"/>
              <w:bottom w:val="nil"/>
              <w:right w:val="nil"/>
            </w:tcBorders>
            <w:noWrap/>
            <w:vAlign w:val="center"/>
            <w:hideMark/>
          </w:tcPr>
          <w:p w14:paraId="48CF4C08"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r>
      <w:tr w:rsidR="001932B9" w:rsidRPr="00765701" w14:paraId="3C742DBD" w14:textId="77777777" w:rsidTr="00BB314F">
        <w:trPr>
          <w:trHeight w:val="283"/>
        </w:trPr>
        <w:tc>
          <w:tcPr>
            <w:tcW w:w="3438" w:type="pct"/>
            <w:tcBorders>
              <w:top w:val="nil"/>
              <w:left w:val="nil"/>
              <w:bottom w:val="nil"/>
              <w:right w:val="nil"/>
            </w:tcBorders>
            <w:noWrap/>
            <w:vAlign w:val="center"/>
            <w:hideMark/>
          </w:tcPr>
          <w:p w14:paraId="6FDECE10"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Viacúčelové vrtuľníky pre špeciálne úlohy</w:t>
            </w:r>
          </w:p>
        </w:tc>
        <w:tc>
          <w:tcPr>
            <w:tcW w:w="782" w:type="pct"/>
            <w:tcBorders>
              <w:top w:val="nil"/>
              <w:left w:val="nil"/>
              <w:bottom w:val="nil"/>
              <w:right w:val="nil"/>
            </w:tcBorders>
            <w:noWrap/>
            <w:vAlign w:val="center"/>
            <w:hideMark/>
          </w:tcPr>
          <w:p w14:paraId="5194368B"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19 320 000</w:t>
            </w:r>
          </w:p>
        </w:tc>
        <w:tc>
          <w:tcPr>
            <w:tcW w:w="780" w:type="pct"/>
            <w:tcBorders>
              <w:top w:val="nil"/>
              <w:left w:val="nil"/>
              <w:bottom w:val="nil"/>
              <w:right w:val="nil"/>
            </w:tcBorders>
            <w:noWrap/>
            <w:vAlign w:val="center"/>
            <w:hideMark/>
          </w:tcPr>
          <w:p w14:paraId="3DFD60B7"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26 985</w:t>
            </w:r>
          </w:p>
        </w:tc>
      </w:tr>
      <w:tr w:rsidR="001932B9" w:rsidRPr="00765701" w14:paraId="6A05DF2C" w14:textId="77777777" w:rsidTr="00BB314F">
        <w:trPr>
          <w:trHeight w:val="283"/>
        </w:trPr>
        <w:tc>
          <w:tcPr>
            <w:tcW w:w="3438" w:type="pct"/>
            <w:tcBorders>
              <w:top w:val="nil"/>
              <w:left w:val="nil"/>
              <w:bottom w:val="nil"/>
              <w:right w:val="nil"/>
            </w:tcBorders>
            <w:noWrap/>
            <w:vAlign w:val="center"/>
            <w:hideMark/>
          </w:tcPr>
          <w:p w14:paraId="500B7CA8"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Spojovacie prostriedky a ochrana informácií</w:t>
            </w:r>
          </w:p>
        </w:tc>
        <w:tc>
          <w:tcPr>
            <w:tcW w:w="782" w:type="pct"/>
            <w:tcBorders>
              <w:top w:val="nil"/>
              <w:left w:val="nil"/>
              <w:bottom w:val="nil"/>
              <w:right w:val="nil"/>
            </w:tcBorders>
            <w:noWrap/>
            <w:vAlign w:val="center"/>
            <w:hideMark/>
          </w:tcPr>
          <w:p w14:paraId="63BA206E"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15 000 000</w:t>
            </w:r>
          </w:p>
        </w:tc>
        <w:tc>
          <w:tcPr>
            <w:tcW w:w="780" w:type="pct"/>
            <w:tcBorders>
              <w:top w:val="nil"/>
              <w:left w:val="nil"/>
              <w:bottom w:val="nil"/>
              <w:right w:val="nil"/>
            </w:tcBorders>
            <w:noWrap/>
            <w:vAlign w:val="center"/>
            <w:hideMark/>
          </w:tcPr>
          <w:p w14:paraId="767B0F46"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508 228</w:t>
            </w:r>
          </w:p>
        </w:tc>
      </w:tr>
      <w:tr w:rsidR="001932B9" w:rsidRPr="00765701" w14:paraId="26794C21" w14:textId="77777777" w:rsidTr="00BB314F">
        <w:trPr>
          <w:trHeight w:val="283"/>
        </w:trPr>
        <w:tc>
          <w:tcPr>
            <w:tcW w:w="3438" w:type="pct"/>
            <w:tcBorders>
              <w:top w:val="nil"/>
              <w:left w:val="nil"/>
              <w:bottom w:val="nil"/>
              <w:right w:val="nil"/>
            </w:tcBorders>
            <w:noWrap/>
            <w:vAlign w:val="center"/>
            <w:hideMark/>
          </w:tcPr>
          <w:p w14:paraId="7E4F86CD"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Taktický navigačný systém TACAN</w:t>
            </w:r>
          </w:p>
        </w:tc>
        <w:tc>
          <w:tcPr>
            <w:tcW w:w="782" w:type="pct"/>
            <w:tcBorders>
              <w:top w:val="nil"/>
              <w:left w:val="nil"/>
              <w:bottom w:val="nil"/>
              <w:right w:val="nil"/>
            </w:tcBorders>
            <w:noWrap/>
            <w:vAlign w:val="center"/>
            <w:hideMark/>
          </w:tcPr>
          <w:p w14:paraId="4BF37549"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14 000 000</w:t>
            </w:r>
          </w:p>
        </w:tc>
        <w:tc>
          <w:tcPr>
            <w:tcW w:w="780" w:type="pct"/>
            <w:tcBorders>
              <w:top w:val="nil"/>
              <w:left w:val="nil"/>
              <w:bottom w:val="nil"/>
              <w:right w:val="nil"/>
            </w:tcBorders>
            <w:noWrap/>
            <w:vAlign w:val="center"/>
            <w:hideMark/>
          </w:tcPr>
          <w:p w14:paraId="55E75373"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r>
      <w:tr w:rsidR="001932B9" w:rsidRPr="00765701" w14:paraId="5F808312" w14:textId="77777777" w:rsidTr="00BB314F">
        <w:trPr>
          <w:trHeight w:val="283"/>
        </w:trPr>
        <w:tc>
          <w:tcPr>
            <w:tcW w:w="3438" w:type="pct"/>
            <w:tcBorders>
              <w:top w:val="nil"/>
              <w:left w:val="nil"/>
              <w:bottom w:val="single" w:sz="8" w:space="0" w:color="314364"/>
              <w:right w:val="nil"/>
            </w:tcBorders>
            <w:noWrap/>
            <w:vAlign w:val="center"/>
            <w:hideMark/>
          </w:tcPr>
          <w:p w14:paraId="166A504D"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BSVR - Brigádny systém velenia a riadenia</w:t>
            </w:r>
          </w:p>
        </w:tc>
        <w:tc>
          <w:tcPr>
            <w:tcW w:w="782" w:type="pct"/>
            <w:tcBorders>
              <w:top w:val="nil"/>
              <w:left w:val="nil"/>
              <w:bottom w:val="single" w:sz="8" w:space="0" w:color="314364"/>
              <w:right w:val="nil"/>
            </w:tcBorders>
            <w:noWrap/>
            <w:vAlign w:val="center"/>
            <w:hideMark/>
          </w:tcPr>
          <w:p w14:paraId="07976A4D"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11 000 000</w:t>
            </w:r>
          </w:p>
        </w:tc>
        <w:tc>
          <w:tcPr>
            <w:tcW w:w="780" w:type="pct"/>
            <w:tcBorders>
              <w:top w:val="nil"/>
              <w:left w:val="nil"/>
              <w:bottom w:val="single" w:sz="8" w:space="0" w:color="314364"/>
              <w:right w:val="nil"/>
            </w:tcBorders>
            <w:noWrap/>
            <w:vAlign w:val="center"/>
            <w:hideMark/>
          </w:tcPr>
          <w:p w14:paraId="56D5B4A8"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r>
      <w:tr w:rsidR="001932B9" w:rsidRPr="00765701" w14:paraId="537B03F1" w14:textId="77777777" w:rsidTr="00BB314F">
        <w:trPr>
          <w:trHeight w:val="283"/>
        </w:trPr>
        <w:tc>
          <w:tcPr>
            <w:tcW w:w="3438" w:type="pct"/>
            <w:tcBorders>
              <w:top w:val="nil"/>
              <w:left w:val="nil"/>
              <w:bottom w:val="single" w:sz="8" w:space="0" w:color="314364"/>
              <w:right w:val="nil"/>
            </w:tcBorders>
            <w:noWrap/>
            <w:vAlign w:val="center"/>
            <w:hideMark/>
          </w:tcPr>
          <w:p w14:paraId="603134E9" w14:textId="77777777" w:rsidR="001932B9" w:rsidRPr="00765701" w:rsidRDefault="001932B9" w:rsidP="00BB314F">
            <w:pPr>
              <w:spacing w:after="0" w:line="240" w:lineRule="auto"/>
              <w:jc w:val="left"/>
              <w:rPr>
                <w:rFonts w:eastAsia="Times New Roman" w:cs="Segoe UI"/>
                <w:b/>
                <w:bCs/>
                <w:sz w:val="18"/>
                <w:szCs w:val="18"/>
                <w:lang w:eastAsia="sk-SK"/>
              </w:rPr>
            </w:pPr>
            <w:r w:rsidRPr="00765701">
              <w:rPr>
                <w:rFonts w:eastAsia="Times New Roman" w:cs="Segoe UI"/>
                <w:b/>
                <w:bCs/>
                <w:sz w:val="18"/>
                <w:szCs w:val="18"/>
                <w:lang w:eastAsia="sk-SK"/>
              </w:rPr>
              <w:t>SPOLU</w:t>
            </w:r>
          </w:p>
        </w:tc>
        <w:tc>
          <w:tcPr>
            <w:tcW w:w="782" w:type="pct"/>
            <w:tcBorders>
              <w:top w:val="nil"/>
              <w:left w:val="nil"/>
              <w:bottom w:val="single" w:sz="8" w:space="0" w:color="314364"/>
              <w:right w:val="nil"/>
            </w:tcBorders>
            <w:noWrap/>
            <w:vAlign w:val="center"/>
            <w:hideMark/>
          </w:tcPr>
          <w:p w14:paraId="5AC7B3A6" w14:textId="77777777" w:rsidR="001932B9" w:rsidRPr="00765701" w:rsidRDefault="001932B9" w:rsidP="00BB314F">
            <w:pPr>
              <w:spacing w:after="0" w:line="240" w:lineRule="auto"/>
              <w:jc w:val="right"/>
              <w:rPr>
                <w:rFonts w:eastAsia="Times New Roman" w:cs="Segoe UI"/>
                <w:b/>
                <w:bCs/>
                <w:sz w:val="18"/>
                <w:szCs w:val="18"/>
                <w:lang w:eastAsia="sk-SK"/>
              </w:rPr>
            </w:pPr>
            <w:r w:rsidRPr="00765701">
              <w:rPr>
                <w:rFonts w:eastAsia="Times New Roman" w:cs="Segoe UI"/>
                <w:b/>
                <w:bCs/>
                <w:sz w:val="18"/>
                <w:szCs w:val="18"/>
                <w:lang w:eastAsia="sk-SK"/>
              </w:rPr>
              <w:t>712 902 581</w:t>
            </w:r>
          </w:p>
        </w:tc>
        <w:tc>
          <w:tcPr>
            <w:tcW w:w="780" w:type="pct"/>
            <w:tcBorders>
              <w:top w:val="nil"/>
              <w:left w:val="nil"/>
              <w:bottom w:val="single" w:sz="8" w:space="0" w:color="314364"/>
              <w:right w:val="nil"/>
            </w:tcBorders>
            <w:noWrap/>
            <w:vAlign w:val="center"/>
            <w:hideMark/>
          </w:tcPr>
          <w:p w14:paraId="3A43BB73" w14:textId="77777777" w:rsidR="001932B9" w:rsidRPr="00765701" w:rsidRDefault="001932B9" w:rsidP="00BB314F">
            <w:pPr>
              <w:spacing w:after="0" w:line="240" w:lineRule="auto"/>
              <w:jc w:val="right"/>
              <w:rPr>
                <w:rFonts w:eastAsia="Times New Roman" w:cs="Segoe UI"/>
                <w:b/>
                <w:bCs/>
                <w:sz w:val="18"/>
                <w:szCs w:val="18"/>
                <w:lang w:eastAsia="sk-SK"/>
              </w:rPr>
            </w:pPr>
            <w:r w:rsidRPr="00765701">
              <w:rPr>
                <w:rFonts w:eastAsia="Times New Roman" w:cs="Segoe UI"/>
                <w:b/>
                <w:bCs/>
                <w:sz w:val="18"/>
                <w:szCs w:val="18"/>
                <w:lang w:eastAsia="sk-SK"/>
              </w:rPr>
              <w:t>34 081 923</w:t>
            </w:r>
          </w:p>
        </w:tc>
      </w:tr>
      <w:tr w:rsidR="001932B9" w:rsidRPr="00765701" w14:paraId="3DB7135F" w14:textId="77777777" w:rsidTr="00BB314F">
        <w:trPr>
          <w:trHeight w:val="283"/>
        </w:trPr>
        <w:tc>
          <w:tcPr>
            <w:tcW w:w="3438" w:type="pct"/>
            <w:tcBorders>
              <w:top w:val="nil"/>
              <w:left w:val="nil"/>
              <w:bottom w:val="nil"/>
              <w:right w:val="nil"/>
            </w:tcBorders>
            <w:shd w:val="clear" w:color="000000" w:fill="314364"/>
            <w:noWrap/>
            <w:vAlign w:val="center"/>
            <w:hideMark/>
          </w:tcPr>
          <w:p w14:paraId="3153143C" w14:textId="3BDC0213" w:rsidR="001932B9" w:rsidRPr="00765701" w:rsidRDefault="00501658" w:rsidP="00BB314F">
            <w:pPr>
              <w:spacing w:after="0" w:line="240" w:lineRule="auto"/>
              <w:jc w:val="left"/>
              <w:rPr>
                <w:rFonts w:eastAsia="Times New Roman" w:cs="Segoe UI"/>
                <w:b/>
                <w:bCs/>
                <w:color w:val="FFFFFF"/>
                <w:sz w:val="18"/>
                <w:szCs w:val="18"/>
                <w:lang w:eastAsia="sk-SK"/>
              </w:rPr>
            </w:pPr>
            <w:r>
              <w:rPr>
                <w:rFonts w:eastAsia="Times New Roman" w:cs="Segoe UI"/>
                <w:b/>
                <w:bCs/>
                <w:color w:val="FFFFFF"/>
                <w:sz w:val="18"/>
                <w:szCs w:val="18"/>
                <w:lang w:eastAsia="sk-SK"/>
              </w:rPr>
              <w:t>R</w:t>
            </w:r>
            <w:r w:rsidR="001932B9" w:rsidRPr="00765701">
              <w:rPr>
                <w:rFonts w:eastAsia="Times New Roman" w:cs="Segoe UI"/>
                <w:b/>
                <w:bCs/>
                <w:color w:val="FFFFFF"/>
                <w:sz w:val="18"/>
                <w:szCs w:val="18"/>
                <w:lang w:eastAsia="sk-SK"/>
              </w:rPr>
              <w:t>ealizované investície v roku 2025 (</w:t>
            </w:r>
            <w:r w:rsidR="001932B9">
              <w:rPr>
                <w:rFonts w:eastAsia="Times New Roman" w:cs="Segoe UI"/>
                <w:b/>
                <w:bCs/>
                <w:color w:val="FFFFFF"/>
                <w:sz w:val="18"/>
                <w:szCs w:val="18"/>
                <w:lang w:eastAsia="sk-SK"/>
              </w:rPr>
              <w:t>25,8</w:t>
            </w:r>
            <w:r w:rsidR="001932B9" w:rsidRPr="00765701">
              <w:rPr>
                <w:rFonts w:eastAsia="Times New Roman" w:cs="Segoe UI"/>
                <w:b/>
                <w:bCs/>
                <w:color w:val="FFFFFF"/>
                <w:sz w:val="18"/>
                <w:szCs w:val="18"/>
                <w:lang w:eastAsia="sk-SK"/>
              </w:rPr>
              <w:t xml:space="preserve"> % schváleného rozpočtu, investície nad 5 mil. eur.)</w:t>
            </w:r>
          </w:p>
        </w:tc>
        <w:tc>
          <w:tcPr>
            <w:tcW w:w="782" w:type="pct"/>
            <w:tcBorders>
              <w:top w:val="nil"/>
              <w:left w:val="nil"/>
              <w:bottom w:val="nil"/>
              <w:right w:val="nil"/>
            </w:tcBorders>
            <w:shd w:val="clear" w:color="000000" w:fill="314364"/>
            <w:noWrap/>
            <w:vAlign w:val="center"/>
            <w:hideMark/>
          </w:tcPr>
          <w:p w14:paraId="5B3C19E9" w14:textId="77777777" w:rsidR="001932B9" w:rsidRPr="00765701" w:rsidRDefault="001932B9" w:rsidP="00BB314F">
            <w:pPr>
              <w:spacing w:after="0" w:line="240" w:lineRule="auto"/>
              <w:jc w:val="right"/>
              <w:rPr>
                <w:rFonts w:eastAsia="Times New Roman" w:cs="Segoe UI"/>
                <w:b/>
                <w:bCs/>
                <w:color w:val="FFFFFF"/>
                <w:sz w:val="18"/>
                <w:szCs w:val="18"/>
                <w:lang w:eastAsia="sk-SK"/>
              </w:rPr>
            </w:pPr>
            <w:r w:rsidRPr="00765701">
              <w:rPr>
                <w:rFonts w:eastAsia="Times New Roman" w:cs="Segoe UI"/>
                <w:b/>
                <w:bCs/>
                <w:color w:val="FFFFFF"/>
                <w:sz w:val="18"/>
                <w:szCs w:val="18"/>
                <w:lang w:eastAsia="sk-SK"/>
              </w:rPr>
              <w:t>Schválený rozpočet 2025</w:t>
            </w:r>
          </w:p>
        </w:tc>
        <w:tc>
          <w:tcPr>
            <w:tcW w:w="780" w:type="pct"/>
            <w:tcBorders>
              <w:top w:val="nil"/>
              <w:left w:val="nil"/>
              <w:bottom w:val="nil"/>
              <w:right w:val="nil"/>
            </w:tcBorders>
            <w:shd w:val="clear" w:color="000000" w:fill="314364"/>
            <w:noWrap/>
            <w:vAlign w:val="center"/>
            <w:hideMark/>
          </w:tcPr>
          <w:p w14:paraId="2BBAF0DD" w14:textId="04C4B75B" w:rsidR="001932B9" w:rsidRPr="00765701" w:rsidRDefault="001932B9" w:rsidP="00BB314F">
            <w:pPr>
              <w:spacing w:after="0" w:line="240" w:lineRule="auto"/>
              <w:jc w:val="right"/>
              <w:rPr>
                <w:rFonts w:eastAsia="Times New Roman" w:cs="Segoe UI"/>
                <w:b/>
                <w:bCs/>
                <w:color w:val="FFFFFF"/>
                <w:sz w:val="18"/>
                <w:szCs w:val="18"/>
                <w:lang w:eastAsia="sk-SK"/>
              </w:rPr>
            </w:pPr>
            <w:r w:rsidRPr="00765701">
              <w:rPr>
                <w:rFonts w:eastAsia="Times New Roman" w:cs="Segoe UI"/>
                <w:b/>
                <w:bCs/>
                <w:color w:val="FFFFFF"/>
                <w:sz w:val="18"/>
                <w:szCs w:val="18"/>
                <w:lang w:eastAsia="sk-SK"/>
              </w:rPr>
              <w:t xml:space="preserve">Skutočnosť </w:t>
            </w:r>
            <w:r w:rsidR="00A84DEF">
              <w:rPr>
                <w:rFonts w:eastAsia="Times New Roman" w:cs="Segoe UI"/>
                <w:b/>
                <w:bCs/>
                <w:color w:val="FFFFFF"/>
                <w:sz w:val="18"/>
                <w:szCs w:val="18"/>
                <w:lang w:eastAsia="sk-SK"/>
              </w:rPr>
              <w:t>október</w:t>
            </w:r>
            <w:r w:rsidRPr="00765701">
              <w:rPr>
                <w:rFonts w:eastAsia="Times New Roman" w:cs="Segoe UI"/>
                <w:b/>
                <w:bCs/>
                <w:color w:val="FFFFFF"/>
                <w:sz w:val="18"/>
                <w:szCs w:val="18"/>
                <w:lang w:eastAsia="sk-SK"/>
              </w:rPr>
              <w:t xml:space="preserve"> 2025</w:t>
            </w:r>
          </w:p>
        </w:tc>
      </w:tr>
      <w:tr w:rsidR="001932B9" w:rsidRPr="00765701" w14:paraId="1BF7E79D" w14:textId="77777777" w:rsidTr="00BB314F">
        <w:trPr>
          <w:trHeight w:val="283"/>
        </w:trPr>
        <w:tc>
          <w:tcPr>
            <w:tcW w:w="3438" w:type="pct"/>
            <w:tcBorders>
              <w:top w:val="nil"/>
              <w:left w:val="nil"/>
              <w:bottom w:val="nil"/>
              <w:right w:val="nil"/>
            </w:tcBorders>
            <w:noWrap/>
            <w:vAlign w:val="center"/>
            <w:hideMark/>
          </w:tcPr>
          <w:p w14:paraId="336EE91F"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Špeciálna bezpečnostná podpora - infra 4</w:t>
            </w:r>
          </w:p>
        </w:tc>
        <w:tc>
          <w:tcPr>
            <w:tcW w:w="782" w:type="pct"/>
            <w:tcBorders>
              <w:top w:val="nil"/>
              <w:left w:val="nil"/>
              <w:bottom w:val="nil"/>
              <w:right w:val="nil"/>
            </w:tcBorders>
            <w:noWrap/>
            <w:vAlign w:val="center"/>
            <w:hideMark/>
          </w:tcPr>
          <w:p w14:paraId="40F21A49"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c>
          <w:tcPr>
            <w:tcW w:w="780" w:type="pct"/>
            <w:tcBorders>
              <w:top w:val="nil"/>
              <w:left w:val="nil"/>
              <w:bottom w:val="nil"/>
              <w:right w:val="nil"/>
            </w:tcBorders>
            <w:noWrap/>
            <w:vAlign w:val="center"/>
            <w:hideMark/>
          </w:tcPr>
          <w:p w14:paraId="22E73C10"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88 034 728</w:t>
            </w:r>
          </w:p>
        </w:tc>
      </w:tr>
      <w:tr w:rsidR="001932B9" w:rsidRPr="00765701" w14:paraId="3EB15A8D" w14:textId="77777777" w:rsidTr="00BB314F">
        <w:trPr>
          <w:trHeight w:val="283"/>
        </w:trPr>
        <w:tc>
          <w:tcPr>
            <w:tcW w:w="3438" w:type="pct"/>
            <w:tcBorders>
              <w:top w:val="nil"/>
              <w:left w:val="nil"/>
              <w:bottom w:val="nil"/>
              <w:right w:val="nil"/>
            </w:tcBorders>
            <w:noWrap/>
            <w:vAlign w:val="center"/>
            <w:hideMark/>
          </w:tcPr>
          <w:p w14:paraId="107D358C"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Viacúčelové vrtuľníky UH-60L</w:t>
            </w:r>
          </w:p>
        </w:tc>
        <w:tc>
          <w:tcPr>
            <w:tcW w:w="782" w:type="pct"/>
            <w:tcBorders>
              <w:top w:val="nil"/>
              <w:left w:val="nil"/>
              <w:bottom w:val="nil"/>
              <w:right w:val="nil"/>
            </w:tcBorders>
            <w:noWrap/>
            <w:vAlign w:val="center"/>
            <w:hideMark/>
          </w:tcPr>
          <w:p w14:paraId="2E7C0896"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c>
          <w:tcPr>
            <w:tcW w:w="780" w:type="pct"/>
            <w:tcBorders>
              <w:top w:val="nil"/>
              <w:left w:val="nil"/>
              <w:bottom w:val="nil"/>
              <w:right w:val="nil"/>
            </w:tcBorders>
            <w:noWrap/>
            <w:vAlign w:val="center"/>
            <w:hideMark/>
          </w:tcPr>
          <w:p w14:paraId="67623C54"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68 821 642</w:t>
            </w:r>
          </w:p>
        </w:tc>
      </w:tr>
      <w:tr w:rsidR="001932B9" w:rsidRPr="00765701" w14:paraId="4E623BB2" w14:textId="77777777" w:rsidTr="00BB314F">
        <w:trPr>
          <w:trHeight w:val="283"/>
        </w:trPr>
        <w:tc>
          <w:tcPr>
            <w:tcW w:w="3438" w:type="pct"/>
            <w:tcBorders>
              <w:top w:val="nil"/>
              <w:left w:val="nil"/>
              <w:bottom w:val="nil"/>
              <w:right w:val="nil"/>
            </w:tcBorders>
            <w:noWrap/>
            <w:vAlign w:val="center"/>
            <w:hideMark/>
          </w:tcPr>
          <w:p w14:paraId="34EBAC9D"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Viacúčelové taktické lietadlá</w:t>
            </w:r>
          </w:p>
        </w:tc>
        <w:tc>
          <w:tcPr>
            <w:tcW w:w="782" w:type="pct"/>
            <w:tcBorders>
              <w:top w:val="nil"/>
              <w:left w:val="nil"/>
              <w:bottom w:val="nil"/>
              <w:right w:val="nil"/>
            </w:tcBorders>
            <w:noWrap/>
            <w:vAlign w:val="center"/>
            <w:hideMark/>
          </w:tcPr>
          <w:p w14:paraId="5049D142"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75 000 000</w:t>
            </w:r>
          </w:p>
        </w:tc>
        <w:tc>
          <w:tcPr>
            <w:tcW w:w="780" w:type="pct"/>
            <w:tcBorders>
              <w:top w:val="nil"/>
              <w:left w:val="nil"/>
              <w:bottom w:val="nil"/>
              <w:right w:val="nil"/>
            </w:tcBorders>
            <w:noWrap/>
            <w:vAlign w:val="center"/>
            <w:hideMark/>
          </w:tcPr>
          <w:p w14:paraId="3AEDC318"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29 452 573</w:t>
            </w:r>
          </w:p>
        </w:tc>
      </w:tr>
      <w:tr w:rsidR="001932B9" w:rsidRPr="00765701" w14:paraId="414F4241" w14:textId="77777777" w:rsidTr="00BB314F">
        <w:trPr>
          <w:trHeight w:val="283"/>
        </w:trPr>
        <w:tc>
          <w:tcPr>
            <w:tcW w:w="3438" w:type="pct"/>
            <w:tcBorders>
              <w:top w:val="nil"/>
              <w:left w:val="nil"/>
              <w:bottom w:val="nil"/>
              <w:right w:val="nil"/>
            </w:tcBorders>
            <w:noWrap/>
            <w:vAlign w:val="center"/>
            <w:hideMark/>
          </w:tcPr>
          <w:p w14:paraId="2998FC8C"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Rádiolokátor 3D - stredný dosah</w:t>
            </w:r>
          </w:p>
        </w:tc>
        <w:tc>
          <w:tcPr>
            <w:tcW w:w="782" w:type="pct"/>
            <w:tcBorders>
              <w:top w:val="nil"/>
              <w:left w:val="nil"/>
              <w:bottom w:val="nil"/>
              <w:right w:val="nil"/>
            </w:tcBorders>
            <w:noWrap/>
            <w:vAlign w:val="center"/>
            <w:hideMark/>
          </w:tcPr>
          <w:p w14:paraId="6D1D5B60"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9 754 000</w:t>
            </w:r>
          </w:p>
        </w:tc>
        <w:tc>
          <w:tcPr>
            <w:tcW w:w="780" w:type="pct"/>
            <w:tcBorders>
              <w:top w:val="nil"/>
              <w:left w:val="nil"/>
              <w:bottom w:val="nil"/>
              <w:right w:val="nil"/>
            </w:tcBorders>
            <w:noWrap/>
            <w:vAlign w:val="center"/>
            <w:hideMark/>
          </w:tcPr>
          <w:p w14:paraId="1A476DE2"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13 256 040</w:t>
            </w:r>
          </w:p>
        </w:tc>
      </w:tr>
      <w:tr w:rsidR="001932B9" w:rsidRPr="00765701" w14:paraId="77217620" w14:textId="77777777" w:rsidTr="00BB314F">
        <w:trPr>
          <w:trHeight w:val="283"/>
        </w:trPr>
        <w:tc>
          <w:tcPr>
            <w:tcW w:w="3438" w:type="pct"/>
            <w:tcBorders>
              <w:top w:val="nil"/>
              <w:left w:val="nil"/>
              <w:bottom w:val="nil"/>
              <w:right w:val="nil"/>
            </w:tcBorders>
            <w:noWrap/>
            <w:vAlign w:val="center"/>
            <w:hideMark/>
          </w:tcPr>
          <w:p w14:paraId="18AD9893"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Malé vojenské dopravné lietadlo</w:t>
            </w:r>
          </w:p>
        </w:tc>
        <w:tc>
          <w:tcPr>
            <w:tcW w:w="782" w:type="pct"/>
            <w:tcBorders>
              <w:top w:val="nil"/>
              <w:left w:val="nil"/>
              <w:bottom w:val="nil"/>
              <w:right w:val="nil"/>
            </w:tcBorders>
            <w:noWrap/>
            <w:vAlign w:val="center"/>
            <w:hideMark/>
          </w:tcPr>
          <w:p w14:paraId="56C2F487"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c>
          <w:tcPr>
            <w:tcW w:w="780" w:type="pct"/>
            <w:tcBorders>
              <w:top w:val="nil"/>
              <w:left w:val="nil"/>
              <w:bottom w:val="nil"/>
              <w:right w:val="nil"/>
            </w:tcBorders>
            <w:noWrap/>
            <w:vAlign w:val="center"/>
            <w:hideMark/>
          </w:tcPr>
          <w:p w14:paraId="102BB091"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11 776 296</w:t>
            </w:r>
          </w:p>
        </w:tc>
      </w:tr>
      <w:tr w:rsidR="001932B9" w:rsidRPr="00765701" w14:paraId="756DE765" w14:textId="77777777" w:rsidTr="00BB314F">
        <w:trPr>
          <w:trHeight w:val="283"/>
        </w:trPr>
        <w:tc>
          <w:tcPr>
            <w:tcW w:w="3438" w:type="pct"/>
            <w:tcBorders>
              <w:top w:val="nil"/>
              <w:left w:val="nil"/>
              <w:bottom w:val="nil"/>
              <w:right w:val="nil"/>
            </w:tcBorders>
            <w:noWrap/>
            <w:vAlign w:val="center"/>
            <w:hideMark/>
          </w:tcPr>
          <w:p w14:paraId="59BDA674"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BARMO</w:t>
            </w:r>
          </w:p>
        </w:tc>
        <w:tc>
          <w:tcPr>
            <w:tcW w:w="782" w:type="pct"/>
            <w:tcBorders>
              <w:top w:val="nil"/>
              <w:left w:val="nil"/>
              <w:bottom w:val="nil"/>
              <w:right w:val="nil"/>
            </w:tcBorders>
            <w:noWrap/>
            <w:vAlign w:val="center"/>
            <w:hideMark/>
          </w:tcPr>
          <w:p w14:paraId="5BA7A1A8"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c>
          <w:tcPr>
            <w:tcW w:w="780" w:type="pct"/>
            <w:tcBorders>
              <w:top w:val="nil"/>
              <w:left w:val="nil"/>
              <w:bottom w:val="nil"/>
              <w:right w:val="nil"/>
            </w:tcBorders>
            <w:noWrap/>
            <w:vAlign w:val="center"/>
            <w:hideMark/>
          </w:tcPr>
          <w:p w14:paraId="48F18AFD"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10 000 000</w:t>
            </w:r>
          </w:p>
        </w:tc>
      </w:tr>
      <w:tr w:rsidR="001932B9" w:rsidRPr="00765701" w14:paraId="604FA290" w14:textId="77777777" w:rsidTr="00BB314F">
        <w:trPr>
          <w:trHeight w:val="283"/>
        </w:trPr>
        <w:tc>
          <w:tcPr>
            <w:tcW w:w="3438" w:type="pct"/>
            <w:tcBorders>
              <w:top w:val="nil"/>
              <w:left w:val="nil"/>
              <w:bottom w:val="nil"/>
              <w:right w:val="nil"/>
            </w:tcBorders>
            <w:noWrap/>
            <w:vAlign w:val="center"/>
            <w:hideMark/>
          </w:tcPr>
          <w:p w14:paraId="14530594"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Odmínovacie zariadenie</w:t>
            </w:r>
          </w:p>
        </w:tc>
        <w:tc>
          <w:tcPr>
            <w:tcW w:w="782" w:type="pct"/>
            <w:tcBorders>
              <w:top w:val="nil"/>
              <w:left w:val="nil"/>
              <w:bottom w:val="nil"/>
              <w:right w:val="nil"/>
            </w:tcBorders>
            <w:noWrap/>
            <w:vAlign w:val="center"/>
            <w:hideMark/>
          </w:tcPr>
          <w:p w14:paraId="5009CA38"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1 700 000</w:t>
            </w:r>
          </w:p>
        </w:tc>
        <w:tc>
          <w:tcPr>
            <w:tcW w:w="780" w:type="pct"/>
            <w:tcBorders>
              <w:top w:val="nil"/>
              <w:left w:val="nil"/>
              <w:bottom w:val="nil"/>
              <w:right w:val="nil"/>
            </w:tcBorders>
            <w:noWrap/>
            <w:vAlign w:val="center"/>
            <w:hideMark/>
          </w:tcPr>
          <w:p w14:paraId="229F9CD0"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8 534 267</w:t>
            </w:r>
          </w:p>
        </w:tc>
      </w:tr>
      <w:tr w:rsidR="001932B9" w:rsidRPr="00765701" w14:paraId="39BE01BA" w14:textId="77777777" w:rsidTr="00BB314F">
        <w:trPr>
          <w:trHeight w:val="283"/>
        </w:trPr>
        <w:tc>
          <w:tcPr>
            <w:tcW w:w="3438" w:type="pct"/>
            <w:tcBorders>
              <w:top w:val="nil"/>
              <w:left w:val="nil"/>
              <w:bottom w:val="nil"/>
              <w:right w:val="nil"/>
            </w:tcBorders>
            <w:noWrap/>
            <w:vAlign w:val="center"/>
            <w:hideMark/>
          </w:tcPr>
          <w:p w14:paraId="6A1C67B2"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Špeciálna bezpečnostná podpora - infra 4</w:t>
            </w:r>
          </w:p>
        </w:tc>
        <w:tc>
          <w:tcPr>
            <w:tcW w:w="782" w:type="pct"/>
            <w:tcBorders>
              <w:top w:val="nil"/>
              <w:left w:val="nil"/>
              <w:bottom w:val="nil"/>
              <w:right w:val="nil"/>
            </w:tcBorders>
            <w:noWrap/>
            <w:vAlign w:val="center"/>
            <w:hideMark/>
          </w:tcPr>
          <w:p w14:paraId="5EC2FB64"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c>
          <w:tcPr>
            <w:tcW w:w="780" w:type="pct"/>
            <w:tcBorders>
              <w:top w:val="nil"/>
              <w:left w:val="nil"/>
              <w:bottom w:val="nil"/>
              <w:right w:val="nil"/>
            </w:tcBorders>
            <w:noWrap/>
            <w:vAlign w:val="center"/>
            <w:hideMark/>
          </w:tcPr>
          <w:p w14:paraId="79332276"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8 419 909</w:t>
            </w:r>
          </w:p>
        </w:tc>
      </w:tr>
      <w:tr w:rsidR="001932B9" w:rsidRPr="00765701" w14:paraId="0F19D270" w14:textId="77777777" w:rsidTr="00BB314F">
        <w:trPr>
          <w:trHeight w:val="283"/>
        </w:trPr>
        <w:tc>
          <w:tcPr>
            <w:tcW w:w="3438" w:type="pct"/>
            <w:tcBorders>
              <w:top w:val="nil"/>
              <w:left w:val="nil"/>
              <w:bottom w:val="nil"/>
              <w:right w:val="nil"/>
            </w:tcBorders>
            <w:noWrap/>
            <w:vAlign w:val="center"/>
            <w:hideMark/>
          </w:tcPr>
          <w:p w14:paraId="495515F6"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Viacúčelové taktické vozidlo BOV 4x4</w:t>
            </w:r>
          </w:p>
        </w:tc>
        <w:tc>
          <w:tcPr>
            <w:tcW w:w="782" w:type="pct"/>
            <w:tcBorders>
              <w:top w:val="nil"/>
              <w:left w:val="nil"/>
              <w:bottom w:val="nil"/>
              <w:right w:val="nil"/>
            </w:tcBorders>
            <w:noWrap/>
            <w:vAlign w:val="center"/>
            <w:hideMark/>
          </w:tcPr>
          <w:p w14:paraId="60384C97"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c>
          <w:tcPr>
            <w:tcW w:w="780" w:type="pct"/>
            <w:tcBorders>
              <w:top w:val="nil"/>
              <w:left w:val="nil"/>
              <w:bottom w:val="nil"/>
              <w:right w:val="nil"/>
            </w:tcBorders>
            <w:noWrap/>
            <w:vAlign w:val="center"/>
            <w:hideMark/>
          </w:tcPr>
          <w:p w14:paraId="6ADF2EF8"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6 936 989</w:t>
            </w:r>
          </w:p>
        </w:tc>
      </w:tr>
      <w:tr w:rsidR="001932B9" w:rsidRPr="00765701" w14:paraId="6995BDB3" w14:textId="77777777" w:rsidTr="00BB314F">
        <w:trPr>
          <w:trHeight w:val="283"/>
        </w:trPr>
        <w:tc>
          <w:tcPr>
            <w:tcW w:w="3438" w:type="pct"/>
            <w:tcBorders>
              <w:top w:val="nil"/>
              <w:left w:val="nil"/>
              <w:bottom w:val="nil"/>
              <w:right w:val="nil"/>
            </w:tcBorders>
            <w:noWrap/>
            <w:vAlign w:val="center"/>
            <w:hideMark/>
          </w:tcPr>
          <w:p w14:paraId="6CAACD5B"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Celková modernizácia NKIS</w:t>
            </w:r>
          </w:p>
        </w:tc>
        <w:tc>
          <w:tcPr>
            <w:tcW w:w="782" w:type="pct"/>
            <w:tcBorders>
              <w:top w:val="nil"/>
              <w:left w:val="nil"/>
              <w:bottom w:val="nil"/>
              <w:right w:val="nil"/>
            </w:tcBorders>
            <w:noWrap/>
            <w:vAlign w:val="center"/>
            <w:hideMark/>
          </w:tcPr>
          <w:p w14:paraId="6F94FE83"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5 000 000</w:t>
            </w:r>
          </w:p>
        </w:tc>
        <w:tc>
          <w:tcPr>
            <w:tcW w:w="780" w:type="pct"/>
            <w:tcBorders>
              <w:top w:val="nil"/>
              <w:left w:val="nil"/>
              <w:bottom w:val="nil"/>
              <w:right w:val="nil"/>
            </w:tcBorders>
            <w:noWrap/>
            <w:vAlign w:val="center"/>
            <w:hideMark/>
          </w:tcPr>
          <w:p w14:paraId="41F4DB81"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6 407 083</w:t>
            </w:r>
          </w:p>
        </w:tc>
      </w:tr>
      <w:tr w:rsidR="001932B9" w:rsidRPr="00765701" w14:paraId="03679AA8" w14:textId="77777777" w:rsidTr="00BB314F">
        <w:trPr>
          <w:trHeight w:val="283"/>
        </w:trPr>
        <w:tc>
          <w:tcPr>
            <w:tcW w:w="3438" w:type="pct"/>
            <w:tcBorders>
              <w:top w:val="nil"/>
              <w:left w:val="nil"/>
              <w:bottom w:val="nil"/>
              <w:right w:val="nil"/>
            </w:tcBorders>
            <w:noWrap/>
            <w:vAlign w:val="center"/>
            <w:hideMark/>
          </w:tcPr>
          <w:p w14:paraId="309B7410"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UVN RK</w:t>
            </w:r>
          </w:p>
        </w:tc>
        <w:tc>
          <w:tcPr>
            <w:tcW w:w="782" w:type="pct"/>
            <w:tcBorders>
              <w:top w:val="nil"/>
              <w:left w:val="nil"/>
              <w:bottom w:val="nil"/>
              <w:right w:val="nil"/>
            </w:tcBorders>
            <w:noWrap/>
            <w:vAlign w:val="center"/>
            <w:hideMark/>
          </w:tcPr>
          <w:p w14:paraId="56C06333"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c>
          <w:tcPr>
            <w:tcW w:w="780" w:type="pct"/>
            <w:tcBorders>
              <w:top w:val="nil"/>
              <w:left w:val="nil"/>
              <w:bottom w:val="nil"/>
              <w:right w:val="nil"/>
            </w:tcBorders>
            <w:noWrap/>
            <w:vAlign w:val="center"/>
            <w:hideMark/>
          </w:tcPr>
          <w:p w14:paraId="2DAA901E"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6 000 000</w:t>
            </w:r>
          </w:p>
        </w:tc>
      </w:tr>
      <w:tr w:rsidR="001932B9" w:rsidRPr="00765701" w14:paraId="6CDAF2A0" w14:textId="77777777" w:rsidTr="00BB314F">
        <w:trPr>
          <w:trHeight w:val="283"/>
        </w:trPr>
        <w:tc>
          <w:tcPr>
            <w:tcW w:w="3438" w:type="pct"/>
            <w:tcBorders>
              <w:top w:val="nil"/>
              <w:left w:val="nil"/>
              <w:bottom w:val="single" w:sz="8" w:space="0" w:color="314364"/>
              <w:right w:val="nil"/>
            </w:tcBorders>
            <w:noWrap/>
            <w:vAlign w:val="center"/>
            <w:hideMark/>
          </w:tcPr>
          <w:p w14:paraId="38A4C4A5" w14:textId="77777777" w:rsidR="001932B9" w:rsidRPr="00765701" w:rsidRDefault="001932B9" w:rsidP="00BB314F">
            <w:pPr>
              <w:spacing w:after="0" w:line="240" w:lineRule="auto"/>
              <w:jc w:val="left"/>
              <w:rPr>
                <w:rFonts w:eastAsia="Times New Roman" w:cs="Segoe UI"/>
                <w:sz w:val="18"/>
                <w:szCs w:val="18"/>
                <w:lang w:eastAsia="sk-SK"/>
              </w:rPr>
            </w:pPr>
            <w:r w:rsidRPr="00765701">
              <w:rPr>
                <w:rFonts w:eastAsia="Times New Roman" w:cs="Segoe UI"/>
                <w:sz w:val="18"/>
                <w:szCs w:val="18"/>
                <w:lang w:eastAsia="sk-SK"/>
              </w:rPr>
              <w:t> UVN RK pre FNsP PO</w:t>
            </w:r>
          </w:p>
        </w:tc>
        <w:tc>
          <w:tcPr>
            <w:tcW w:w="782" w:type="pct"/>
            <w:tcBorders>
              <w:top w:val="nil"/>
              <w:left w:val="nil"/>
              <w:bottom w:val="single" w:sz="8" w:space="0" w:color="314364"/>
              <w:right w:val="nil"/>
            </w:tcBorders>
            <w:noWrap/>
            <w:vAlign w:val="center"/>
            <w:hideMark/>
          </w:tcPr>
          <w:p w14:paraId="2418CED3"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0</w:t>
            </w:r>
          </w:p>
        </w:tc>
        <w:tc>
          <w:tcPr>
            <w:tcW w:w="780" w:type="pct"/>
            <w:tcBorders>
              <w:top w:val="nil"/>
              <w:left w:val="nil"/>
              <w:bottom w:val="single" w:sz="8" w:space="0" w:color="314364"/>
              <w:right w:val="nil"/>
            </w:tcBorders>
            <w:noWrap/>
            <w:vAlign w:val="center"/>
            <w:hideMark/>
          </w:tcPr>
          <w:p w14:paraId="66C3492B" w14:textId="77777777" w:rsidR="001932B9" w:rsidRPr="00765701" w:rsidRDefault="001932B9" w:rsidP="00BB314F">
            <w:pPr>
              <w:spacing w:after="0" w:line="240" w:lineRule="auto"/>
              <w:jc w:val="right"/>
              <w:rPr>
                <w:rFonts w:eastAsia="Times New Roman" w:cs="Segoe UI"/>
                <w:sz w:val="18"/>
                <w:szCs w:val="18"/>
                <w:lang w:eastAsia="sk-SK"/>
              </w:rPr>
            </w:pPr>
            <w:r w:rsidRPr="00765701">
              <w:rPr>
                <w:rFonts w:eastAsia="Times New Roman" w:cs="Segoe UI"/>
                <w:sz w:val="18"/>
                <w:szCs w:val="18"/>
                <w:lang w:eastAsia="sk-SK"/>
              </w:rPr>
              <w:t>5 000 000</w:t>
            </w:r>
          </w:p>
        </w:tc>
      </w:tr>
      <w:tr w:rsidR="001932B9" w:rsidRPr="00765701" w14:paraId="0DA46D15" w14:textId="77777777" w:rsidTr="00BB314F">
        <w:trPr>
          <w:trHeight w:val="283"/>
        </w:trPr>
        <w:tc>
          <w:tcPr>
            <w:tcW w:w="3438" w:type="pct"/>
            <w:tcBorders>
              <w:top w:val="nil"/>
              <w:left w:val="nil"/>
              <w:bottom w:val="single" w:sz="8" w:space="0" w:color="314364"/>
              <w:right w:val="nil"/>
            </w:tcBorders>
            <w:noWrap/>
            <w:vAlign w:val="center"/>
            <w:hideMark/>
          </w:tcPr>
          <w:p w14:paraId="269AD591" w14:textId="77777777" w:rsidR="001932B9" w:rsidRPr="00765701" w:rsidRDefault="001932B9" w:rsidP="00BB314F">
            <w:pPr>
              <w:spacing w:after="0" w:line="240" w:lineRule="auto"/>
              <w:jc w:val="left"/>
              <w:rPr>
                <w:rFonts w:eastAsia="Times New Roman" w:cs="Segoe UI"/>
                <w:b/>
                <w:bCs/>
                <w:sz w:val="18"/>
                <w:szCs w:val="18"/>
                <w:lang w:eastAsia="sk-SK"/>
              </w:rPr>
            </w:pPr>
            <w:r w:rsidRPr="00765701">
              <w:rPr>
                <w:rFonts w:eastAsia="Times New Roman" w:cs="Segoe UI"/>
                <w:b/>
                <w:bCs/>
                <w:sz w:val="18"/>
                <w:szCs w:val="18"/>
                <w:lang w:eastAsia="sk-SK"/>
              </w:rPr>
              <w:t>SPOLU</w:t>
            </w:r>
          </w:p>
        </w:tc>
        <w:tc>
          <w:tcPr>
            <w:tcW w:w="782" w:type="pct"/>
            <w:tcBorders>
              <w:top w:val="nil"/>
              <w:left w:val="nil"/>
              <w:bottom w:val="single" w:sz="8" w:space="0" w:color="314364"/>
              <w:right w:val="nil"/>
            </w:tcBorders>
            <w:noWrap/>
            <w:vAlign w:val="center"/>
            <w:hideMark/>
          </w:tcPr>
          <w:p w14:paraId="1CFFF5D1" w14:textId="77777777" w:rsidR="001932B9" w:rsidRPr="00765701" w:rsidRDefault="001932B9" w:rsidP="00BB314F">
            <w:pPr>
              <w:spacing w:after="0" w:line="240" w:lineRule="auto"/>
              <w:jc w:val="right"/>
              <w:rPr>
                <w:rFonts w:eastAsia="Times New Roman" w:cs="Segoe UI"/>
                <w:b/>
                <w:bCs/>
                <w:sz w:val="18"/>
                <w:szCs w:val="18"/>
                <w:lang w:eastAsia="sk-SK"/>
              </w:rPr>
            </w:pPr>
            <w:r w:rsidRPr="00765701">
              <w:rPr>
                <w:rFonts w:eastAsia="Times New Roman" w:cs="Segoe UI"/>
                <w:b/>
                <w:bCs/>
                <w:sz w:val="18"/>
                <w:szCs w:val="18"/>
                <w:lang w:eastAsia="sk-SK"/>
              </w:rPr>
              <w:t>91 454 000</w:t>
            </w:r>
          </w:p>
        </w:tc>
        <w:tc>
          <w:tcPr>
            <w:tcW w:w="780" w:type="pct"/>
            <w:tcBorders>
              <w:top w:val="nil"/>
              <w:left w:val="nil"/>
              <w:bottom w:val="single" w:sz="8" w:space="0" w:color="314364"/>
              <w:right w:val="nil"/>
            </w:tcBorders>
            <w:noWrap/>
            <w:vAlign w:val="center"/>
            <w:hideMark/>
          </w:tcPr>
          <w:p w14:paraId="22861A1C" w14:textId="77777777" w:rsidR="001932B9" w:rsidRPr="00765701" w:rsidRDefault="001932B9" w:rsidP="00BB314F">
            <w:pPr>
              <w:spacing w:after="0" w:line="240" w:lineRule="auto"/>
              <w:jc w:val="right"/>
              <w:rPr>
                <w:rFonts w:eastAsia="Times New Roman" w:cs="Segoe UI"/>
                <w:b/>
                <w:bCs/>
                <w:sz w:val="18"/>
                <w:szCs w:val="18"/>
                <w:lang w:eastAsia="sk-SK"/>
              </w:rPr>
            </w:pPr>
            <w:r w:rsidRPr="00765701">
              <w:rPr>
                <w:rFonts w:eastAsia="Times New Roman" w:cs="Segoe UI"/>
                <w:b/>
                <w:bCs/>
                <w:sz w:val="18"/>
                <w:szCs w:val="18"/>
                <w:lang w:eastAsia="sk-SK"/>
              </w:rPr>
              <w:t>262 639 525</w:t>
            </w:r>
          </w:p>
        </w:tc>
      </w:tr>
    </w:tbl>
    <w:p w14:paraId="77F967FC" w14:textId="77777777" w:rsidR="001932B9" w:rsidRPr="000959C3" w:rsidRDefault="001932B9" w:rsidP="001932B9">
      <w:pPr>
        <w:pStyle w:val="Zdroj"/>
      </w:pPr>
      <w:r w:rsidRPr="000959C3">
        <w:t>Zdroj: RIS.</w:t>
      </w:r>
    </w:p>
    <w:p w14:paraId="777C99AE" w14:textId="4BF072F8" w:rsidR="002A7C02" w:rsidRDefault="002A7C02" w:rsidP="002A7C02">
      <w:r>
        <w:rPr>
          <w:b/>
        </w:rPr>
        <w:t xml:space="preserve">Pre rok 2025 bol </w:t>
      </w:r>
      <w:r w:rsidRPr="000959C3">
        <w:rPr>
          <w:b/>
        </w:rPr>
        <w:t>rozpočet kapitálov</w:t>
      </w:r>
      <w:r>
        <w:rPr>
          <w:b/>
        </w:rPr>
        <w:t>ých</w:t>
      </w:r>
      <w:r w:rsidRPr="000959C3">
        <w:rPr>
          <w:b/>
        </w:rPr>
        <w:t xml:space="preserve"> výdavk</w:t>
      </w:r>
      <w:r>
        <w:rPr>
          <w:b/>
        </w:rPr>
        <w:t>ov</w:t>
      </w:r>
      <w:r w:rsidRPr="000959C3">
        <w:rPr>
          <w:b/>
        </w:rPr>
        <w:t xml:space="preserve"> MO SR </w:t>
      </w:r>
      <w:r w:rsidR="00F93715">
        <w:rPr>
          <w:b/>
        </w:rPr>
        <w:t xml:space="preserve">upravený </w:t>
      </w:r>
      <w:r w:rsidRPr="000959C3">
        <w:rPr>
          <w:b/>
        </w:rPr>
        <w:t xml:space="preserve">na </w:t>
      </w:r>
      <w:r>
        <w:rPr>
          <w:b/>
        </w:rPr>
        <w:t>0,99</w:t>
      </w:r>
      <w:r w:rsidRPr="000959C3">
        <w:rPr>
          <w:b/>
        </w:rPr>
        <w:t xml:space="preserve"> mld. eur</w:t>
      </w:r>
      <w:r w:rsidR="00F93715">
        <w:rPr>
          <w:b/>
        </w:rPr>
        <w:t xml:space="preserve">, pričom sa z toho zatiaľ </w:t>
      </w:r>
      <w:r w:rsidRPr="000959C3">
        <w:rPr>
          <w:b/>
        </w:rPr>
        <w:t>vyčerpa</w:t>
      </w:r>
      <w:r w:rsidR="00F93715">
        <w:rPr>
          <w:b/>
        </w:rPr>
        <w:t>lo</w:t>
      </w:r>
      <w:r w:rsidRPr="000959C3">
        <w:rPr>
          <w:b/>
        </w:rPr>
        <w:t xml:space="preserve"> </w:t>
      </w:r>
      <w:r>
        <w:rPr>
          <w:b/>
        </w:rPr>
        <w:t>31</w:t>
      </w:r>
      <w:r w:rsidRPr="000959C3">
        <w:rPr>
          <w:b/>
        </w:rPr>
        <w:t xml:space="preserve">,2 % </w:t>
      </w:r>
      <w:r w:rsidRPr="000959C3">
        <w:rPr>
          <w:bCs/>
        </w:rPr>
        <w:t>(</w:t>
      </w:r>
      <w:r>
        <w:rPr>
          <w:bCs/>
        </w:rPr>
        <w:t>30,</w:t>
      </w:r>
      <w:r w:rsidRPr="000959C3">
        <w:rPr>
          <w:bCs/>
        </w:rPr>
        <w:t xml:space="preserve">4 </w:t>
      </w:r>
      <w:r w:rsidRPr="00753F58">
        <w:rPr>
          <w:bCs/>
        </w:rPr>
        <w:t>% schváleného rozpočtu)</w:t>
      </w:r>
      <w:r w:rsidRPr="00F93715">
        <w:rPr>
          <w:b/>
          <w:bCs/>
        </w:rPr>
        <w:t>.</w:t>
      </w:r>
      <w:r w:rsidRPr="000959C3">
        <w:t xml:space="preserve"> Najväčšie finančné prostriedky boli použité na špeciálnu bezpečnostnú podporu - infra 4 (</w:t>
      </w:r>
      <w:r>
        <w:t>88</w:t>
      </w:r>
      <w:r w:rsidRPr="000959C3">
        <w:t>,</w:t>
      </w:r>
      <w:r>
        <w:t>0</w:t>
      </w:r>
      <w:r w:rsidRPr="000959C3">
        <w:t xml:space="preserve"> mil. eur), </w:t>
      </w:r>
      <w:r>
        <w:t>v</w:t>
      </w:r>
      <w:r w:rsidRPr="000959C3">
        <w:t>iacúčelové vrtuľníky UH-60L (68,8 mil. eur) a viacúčelové taktické lietadlá (29,4 mil. eur).</w:t>
      </w:r>
    </w:p>
    <w:p w14:paraId="0220AEC9" w14:textId="024860E8" w:rsidR="002A7C02" w:rsidRPr="00CE2496" w:rsidRDefault="002A7C02" w:rsidP="002A7C02">
      <w:r w:rsidRPr="00CE2496">
        <w:t>Medzi najvýznamnejšie projekty financované z kapitálových výdavkov na rok 2026 patria rozvoj a modernizácia Fakultnej nemocnice s poliklinikou J. A. Reimana v</w:t>
      </w:r>
      <w:r>
        <w:t> </w:t>
      </w:r>
      <w:r w:rsidRPr="00CE2496">
        <w:t>Prešove</w:t>
      </w:r>
      <w:r>
        <w:t xml:space="preserve"> (250 mil. eur)</w:t>
      </w:r>
      <w:r w:rsidRPr="00CE2496">
        <w:t xml:space="preserve">, ako aj akvizície protilietadlových raketových kompletov stredného dosahu, bojových obrnených vozidiel 8x8, pásových bojových vozidiel a 3D rádiolokátorov stredného dosahu. </w:t>
      </w:r>
      <w:r w:rsidRPr="00BB314F">
        <w:rPr>
          <w:b/>
          <w:bCs/>
        </w:rPr>
        <w:t xml:space="preserve">NKÚ SR odporúča priebežne vyhodnocovať efektívnosť vynakladaných prostriedkov a zabezpečiť, aby investície do modernizácie ozbrojených síl </w:t>
      </w:r>
      <w:r>
        <w:rPr>
          <w:b/>
          <w:bCs/>
        </w:rPr>
        <w:t xml:space="preserve">merateľným spôsobom </w:t>
      </w:r>
      <w:r w:rsidRPr="00BB314F">
        <w:rPr>
          <w:b/>
          <w:bCs/>
        </w:rPr>
        <w:t>prispievali k dlhodobej obranyschopnosti</w:t>
      </w:r>
      <w:r>
        <w:rPr>
          <w:b/>
          <w:bCs/>
        </w:rPr>
        <w:t xml:space="preserve"> </w:t>
      </w:r>
      <w:r w:rsidRPr="00BB314F">
        <w:rPr>
          <w:b/>
          <w:bCs/>
        </w:rPr>
        <w:t>a plneniu medzinárodných záväzkov.</w:t>
      </w:r>
    </w:p>
    <w:p w14:paraId="5683588A" w14:textId="697CEB6E" w:rsidR="000B28D8" w:rsidRPr="005D02F8" w:rsidRDefault="000B28D8" w:rsidP="00C0783B">
      <w:pPr>
        <w:pStyle w:val="Nadpis3"/>
      </w:pPr>
      <w:r>
        <w:lastRenderedPageBreak/>
        <w:t xml:space="preserve"> </w:t>
      </w:r>
      <w:r w:rsidR="00A30F6A">
        <w:t xml:space="preserve"> </w:t>
      </w:r>
      <w:bookmarkStart w:id="56" w:name="_Toc211249100"/>
      <w:r w:rsidRPr="005D02F8">
        <w:t>Riziká neplnenia cieľov vlády</w:t>
      </w:r>
      <w:bookmarkEnd w:id="56"/>
    </w:p>
    <w:p w14:paraId="7F203281" w14:textId="1039E034" w:rsidR="000B28D8" w:rsidRDefault="00501658" w:rsidP="000B28D8">
      <w:bookmarkStart w:id="57" w:name="_Hlk210218192"/>
      <w:r>
        <w:rPr>
          <w:b/>
          <w:bCs/>
        </w:rPr>
        <w:t>Cielenie</w:t>
      </w:r>
      <w:r w:rsidR="000B28D8" w:rsidRPr="000B28D8">
        <w:rPr>
          <w:b/>
          <w:bCs/>
        </w:rPr>
        <w:t xml:space="preserve"> výdavkov na obranu na úrovni 2 % HDP síce deklaruje plnenie záväzkov voči NATO</w:t>
      </w:r>
      <w:r w:rsidR="000B28D8" w:rsidRPr="000F242E">
        <w:rPr>
          <w:rStyle w:val="Odkaznapoznmkupodiarou"/>
        </w:rPr>
        <w:footnoteReference w:id="79"/>
      </w:r>
      <w:r w:rsidR="000B28D8" w:rsidRPr="000F242E">
        <w:rPr>
          <w:b/>
          <w:bCs/>
        </w:rPr>
        <w:t xml:space="preserve">, </w:t>
      </w:r>
      <w:r w:rsidR="000B28D8" w:rsidRPr="000B28D8">
        <w:rPr>
          <w:b/>
          <w:bCs/>
        </w:rPr>
        <w:t xml:space="preserve">avšak bez </w:t>
      </w:r>
      <w:r w:rsidR="008C6BA0">
        <w:rPr>
          <w:b/>
          <w:bCs/>
        </w:rPr>
        <w:t xml:space="preserve">ich </w:t>
      </w:r>
      <w:r w:rsidR="000B28D8" w:rsidRPr="000B28D8">
        <w:rPr>
          <w:b/>
          <w:bCs/>
        </w:rPr>
        <w:t>ďalšieho rastu môže dôjsť k nedostatočnému financovaniu modernizačných a investičných potrieb OS SR.</w:t>
      </w:r>
      <w:r w:rsidR="000B28D8" w:rsidRPr="0084798E">
        <w:t xml:space="preserve"> V prípade spomalenia rastu HDP alebo zvýšenej inflácie hrozí reálny pokles objemu disponibilných prostriedkov, čo môže obmedziť schopnosť realizovať schválené strategické priority štátu a plniť záväzky voči medzinárodným partnerom.</w:t>
      </w:r>
      <w:r w:rsidR="000B28D8">
        <w:t xml:space="preserve"> N</w:t>
      </w:r>
      <w:r w:rsidR="000B28D8" w:rsidRPr="0084798E">
        <w:t xml:space="preserve">edostatočná implementácia opatrení proti hybridným hrozbám </w:t>
      </w:r>
      <w:r w:rsidR="008C6BA0">
        <w:t>(</w:t>
      </w:r>
      <w:r w:rsidR="000B28D8" w:rsidRPr="0084798E">
        <w:t>kybernetické útoky, šírenie dezinformácií či vplyvové operácie</w:t>
      </w:r>
      <w:r w:rsidR="008C6BA0">
        <w:t>)</w:t>
      </w:r>
      <w:r w:rsidR="000B28D8">
        <w:t xml:space="preserve"> či s</w:t>
      </w:r>
      <w:r w:rsidR="000B28D8" w:rsidRPr="0084798E">
        <w:t xml:space="preserve">labá kontrola </w:t>
      </w:r>
      <w:r w:rsidR="000B28D8">
        <w:t xml:space="preserve">masovej migrácie a </w:t>
      </w:r>
      <w:r w:rsidR="000B28D8" w:rsidRPr="0084798E">
        <w:t>polovojenských skupín môže viesť k ohrozeniu vnútorného poriadku. Neefektívny krízový manažment a civilná ochrana môžu mať za následok nepripravenosť na mimoriadne udalosti, čo by mohlo ohroziť bezpečnosť a dôveru občanov v štátne inštitúcie.</w:t>
      </w:r>
    </w:p>
    <w:p w14:paraId="22DA60BD" w14:textId="322A9092" w:rsidR="000B28D8" w:rsidRDefault="000B28D8" w:rsidP="000B28D8">
      <w:r w:rsidRPr="008C6BA0">
        <w:rPr>
          <w:b/>
          <w:bCs/>
        </w:rPr>
        <w:t>NKÚ SR odporúča vláde SR a M</w:t>
      </w:r>
      <w:r w:rsidR="000F242E" w:rsidRPr="008C6BA0">
        <w:rPr>
          <w:b/>
          <w:bCs/>
        </w:rPr>
        <w:t>F</w:t>
      </w:r>
      <w:r w:rsidRPr="008C6BA0">
        <w:rPr>
          <w:b/>
          <w:bCs/>
        </w:rPr>
        <w:t xml:space="preserve"> SR pri </w:t>
      </w:r>
      <w:r w:rsidR="008C6BA0" w:rsidRPr="008C6BA0">
        <w:rPr>
          <w:b/>
          <w:bCs/>
        </w:rPr>
        <w:t>posudzovaní návrhu RVS</w:t>
      </w:r>
      <w:r w:rsidRPr="008C6BA0">
        <w:rPr>
          <w:b/>
          <w:bCs/>
        </w:rPr>
        <w:t xml:space="preserve"> na rok 2026 dôsledne zohľadniť </w:t>
      </w:r>
      <w:r w:rsidR="008C6BA0" w:rsidRPr="008C6BA0">
        <w:rPr>
          <w:b/>
          <w:bCs/>
        </w:rPr>
        <w:t>tieto</w:t>
      </w:r>
      <w:r w:rsidRPr="008C6BA0">
        <w:rPr>
          <w:b/>
          <w:bCs/>
        </w:rPr>
        <w:t xml:space="preserve"> riziká.</w:t>
      </w:r>
      <w:r w:rsidRPr="0084798E">
        <w:t xml:space="preserve"> Je nevyhnutné zabezpečiť nielen formálne plnenie percentuálnych záväzkov, ale predovšetkým reálne zabezpečenie finančných zdrojov na modernizáciu, zvýšenie odolnosti, medzinárodnú spoluprácu a efektívny krízový manažment. Bez systematického riešenia týchto rizík môže dôjsť k vážnemu ohrozeniu obranyschopnosti a bezpečnosti </w:t>
      </w:r>
      <w:r>
        <w:t>SR</w:t>
      </w:r>
      <w:r w:rsidRPr="0084798E">
        <w:t>.</w:t>
      </w:r>
    </w:p>
    <w:p w14:paraId="33FC85FD" w14:textId="77777777" w:rsidR="00B829E1" w:rsidRDefault="00B829E1" w:rsidP="00081C95">
      <w:pPr>
        <w:pStyle w:val="Nadpis2"/>
      </w:pPr>
      <w:bookmarkStart w:id="58" w:name="_Toc211249101"/>
      <w:bookmarkEnd w:id="57"/>
      <w:r>
        <w:t>Životné prostredie</w:t>
      </w:r>
      <w:bookmarkEnd w:id="58"/>
    </w:p>
    <w:p w14:paraId="4F06FED8" w14:textId="440B3D4A" w:rsidR="00CF79E4" w:rsidRDefault="00FD1941" w:rsidP="00FD1941">
      <w:r w:rsidRPr="00D63FD2">
        <w:rPr>
          <w:rFonts w:cs="Segoe UI"/>
          <w:b/>
          <w:bCs/>
          <w:szCs w:val="20"/>
        </w:rPr>
        <w:t xml:space="preserve">Výdavky </w:t>
      </w:r>
      <w:r w:rsidR="008054BC">
        <w:rPr>
          <w:rFonts w:cs="Segoe UI"/>
          <w:b/>
          <w:bCs/>
          <w:szCs w:val="20"/>
        </w:rPr>
        <w:t>v</w:t>
      </w:r>
      <w:r w:rsidRPr="00D63FD2">
        <w:rPr>
          <w:rFonts w:cs="Segoe UI"/>
          <w:b/>
          <w:bCs/>
          <w:szCs w:val="20"/>
        </w:rPr>
        <w:t xml:space="preserve"> oblasti životného prostredia </w:t>
      </w:r>
      <w:r w:rsidR="008054BC">
        <w:rPr>
          <w:rFonts w:cs="Segoe UI"/>
          <w:b/>
          <w:bCs/>
          <w:szCs w:val="20"/>
        </w:rPr>
        <w:t xml:space="preserve">by mali </w:t>
      </w:r>
      <w:r w:rsidRPr="00D63FD2">
        <w:rPr>
          <w:rFonts w:cs="Segoe UI"/>
          <w:b/>
          <w:bCs/>
          <w:szCs w:val="20"/>
        </w:rPr>
        <w:t xml:space="preserve">v roku 2026 dosiahnuť 1,66 mld. eur, čo predstavuje </w:t>
      </w:r>
      <w:r w:rsidR="008054BC">
        <w:rPr>
          <w:rFonts w:cs="Segoe UI"/>
          <w:b/>
          <w:bCs/>
          <w:szCs w:val="20"/>
        </w:rPr>
        <w:t>nárast</w:t>
      </w:r>
      <w:r w:rsidRPr="00D63FD2">
        <w:rPr>
          <w:rFonts w:cs="Segoe UI"/>
          <w:b/>
          <w:bCs/>
          <w:szCs w:val="20"/>
        </w:rPr>
        <w:t xml:space="preserve"> oproti schválenému rozpočtu na rok 2025</w:t>
      </w:r>
      <w:r>
        <w:rPr>
          <w:rFonts w:cs="Segoe UI"/>
          <w:b/>
          <w:bCs/>
          <w:szCs w:val="20"/>
        </w:rPr>
        <w:t xml:space="preserve"> o 29,9 % </w:t>
      </w:r>
      <w:r w:rsidRPr="00081C95">
        <w:rPr>
          <w:rFonts w:cs="Segoe UI"/>
          <w:szCs w:val="20"/>
        </w:rPr>
        <w:t>(382 mil. eur)</w:t>
      </w:r>
      <w:r w:rsidRPr="0017654B">
        <w:rPr>
          <w:rFonts w:cs="Segoe UI"/>
          <w:bCs/>
          <w:szCs w:val="20"/>
        </w:rPr>
        <w:t>.</w:t>
      </w:r>
      <w:r>
        <w:rPr>
          <w:rFonts w:cs="Segoe UI"/>
          <w:bCs/>
          <w:szCs w:val="20"/>
        </w:rPr>
        <w:t xml:space="preserve"> Z toho 517 mil. eur </w:t>
      </w:r>
      <w:r w:rsidRPr="00E95DD0">
        <w:rPr>
          <w:rFonts w:cs="Segoe UI"/>
          <w:bCs/>
          <w:szCs w:val="20"/>
        </w:rPr>
        <w:t xml:space="preserve">je určených pre kapitolu MŽP SR, čo </w:t>
      </w:r>
      <w:r>
        <w:rPr>
          <w:rFonts w:cs="Segoe UI"/>
          <w:bCs/>
          <w:szCs w:val="20"/>
        </w:rPr>
        <w:t>je</w:t>
      </w:r>
      <w:r w:rsidRPr="00E95DD0">
        <w:rPr>
          <w:rFonts w:cs="Segoe UI"/>
          <w:bCs/>
          <w:szCs w:val="20"/>
        </w:rPr>
        <w:t xml:space="preserve"> medziročn</w:t>
      </w:r>
      <w:r>
        <w:rPr>
          <w:rFonts w:cs="Segoe UI"/>
          <w:bCs/>
          <w:szCs w:val="20"/>
        </w:rPr>
        <w:t>e</w:t>
      </w:r>
      <w:r w:rsidRPr="00E95DD0">
        <w:rPr>
          <w:rFonts w:cs="Segoe UI"/>
          <w:bCs/>
          <w:szCs w:val="20"/>
        </w:rPr>
        <w:t xml:space="preserve"> </w:t>
      </w:r>
      <w:r>
        <w:rPr>
          <w:rFonts w:cs="Segoe UI"/>
          <w:bCs/>
          <w:szCs w:val="20"/>
        </w:rPr>
        <w:t>viac o 3</w:t>
      </w:r>
      <w:r w:rsidRPr="00E95DD0">
        <w:rPr>
          <w:rFonts w:cs="Segoe UI"/>
          <w:bCs/>
          <w:szCs w:val="20"/>
        </w:rPr>
        <w:t>1 %</w:t>
      </w:r>
      <w:r>
        <w:rPr>
          <w:rFonts w:cs="Segoe UI"/>
          <w:bCs/>
          <w:szCs w:val="20"/>
        </w:rPr>
        <w:t xml:space="preserve"> (122 mi. eur)</w:t>
      </w:r>
      <w:r w:rsidRPr="00E95DD0">
        <w:rPr>
          <w:rFonts w:cs="Segoe UI"/>
          <w:bCs/>
          <w:szCs w:val="20"/>
        </w:rPr>
        <w:t>.</w:t>
      </w:r>
      <w:r>
        <w:rPr>
          <w:rFonts w:cs="Segoe UI"/>
          <w:bCs/>
          <w:szCs w:val="20"/>
        </w:rPr>
        <w:t xml:space="preserve"> Rezort životného prostredia </w:t>
      </w:r>
      <w:r>
        <w:t>pôvodne požadoval vyšší objem rozpočtových prostriedkov na rok 2026, avšak v rámci fiškálnej konsolidácie MF SR pristúpilo k ich zníženiu o 10,5 mil. eur.</w:t>
      </w:r>
    </w:p>
    <w:p w14:paraId="738FB277" w14:textId="36F4046F" w:rsidR="00CF79E4" w:rsidRDefault="00CF79E4" w:rsidP="00FD1941">
      <w:r w:rsidRPr="00BB314F">
        <w:rPr>
          <w:b/>
        </w:rPr>
        <w:t xml:space="preserve">Zvýšenie výdavkov </w:t>
      </w:r>
      <w:r w:rsidR="00361B96">
        <w:rPr>
          <w:b/>
        </w:rPr>
        <w:t xml:space="preserve">rezortu </w:t>
      </w:r>
      <w:r w:rsidRPr="00BB314F">
        <w:rPr>
          <w:b/>
        </w:rPr>
        <w:t>na rok 2026 je výrazne ovplyvnené rastom výdavkov z fondov EÚ.</w:t>
      </w:r>
      <w:r>
        <w:t xml:space="preserve"> V porovnaní so </w:t>
      </w:r>
      <w:r w:rsidRPr="00AF702D">
        <w:t xml:space="preserve">schváleným rozpočtom na rok 2025 sú prostriedky EÚ </w:t>
      </w:r>
      <w:r>
        <w:t>vyššie</w:t>
      </w:r>
      <w:r w:rsidRPr="00AF702D">
        <w:t xml:space="preserve"> o</w:t>
      </w:r>
      <w:r>
        <w:t xml:space="preserve"> 116 mil. eur </w:t>
      </w:r>
      <w:r w:rsidRPr="00295E05">
        <w:t>(67,2 %)</w:t>
      </w:r>
      <w:r>
        <w:t>, pričom</w:t>
      </w:r>
      <w:r w:rsidRPr="00295E05">
        <w:t xml:space="preserve"> spolufinancovanie projektov EÚ</w:t>
      </w:r>
      <w:r>
        <w:t xml:space="preserve"> rastie o 19 mil. eur</w:t>
      </w:r>
      <w:r w:rsidRPr="00295E05">
        <w:t xml:space="preserve"> (63</w:t>
      </w:r>
      <w:r>
        <w:t>,5 %). Naopak, zníženie</w:t>
      </w:r>
      <w:r w:rsidRPr="00295E05">
        <w:t xml:space="preserve"> výdavkov </w:t>
      </w:r>
      <w:r>
        <w:t>POO</w:t>
      </w:r>
      <w:r w:rsidRPr="00295E05">
        <w:t xml:space="preserve"> o 28,3</w:t>
      </w:r>
      <w:r>
        <w:t xml:space="preserve"> % súvisí s jeho postupným ukončovaním (10 mil. eur).</w:t>
      </w:r>
    </w:p>
    <w:p w14:paraId="35047C8B" w14:textId="77777777" w:rsidR="00CF79E4" w:rsidRDefault="00CF79E4" w:rsidP="00CF79E4">
      <w:r>
        <w:t xml:space="preserve">Významnú časť výdavkov (627 mil. eur) predstavujú prostriedky Modernizačného fondu určené </w:t>
      </w:r>
      <w:r w:rsidRPr="003A117F">
        <w:t xml:space="preserve">na financovanie investícií v rámci </w:t>
      </w:r>
      <w:r>
        <w:t xml:space="preserve">viacerých </w:t>
      </w:r>
      <w:r w:rsidRPr="003A117F">
        <w:t>schém štátnej pomoci</w:t>
      </w:r>
      <w:r>
        <w:t>. V</w:t>
      </w:r>
      <w:r w:rsidRPr="004E052F">
        <w:t xml:space="preserve"> pôsobnosti kapitoly </w:t>
      </w:r>
      <w:r>
        <w:t>MŽP</w:t>
      </w:r>
      <w:r w:rsidRPr="004E052F">
        <w:t xml:space="preserve"> SR </w:t>
      </w:r>
      <w:r>
        <w:t xml:space="preserve">je rozpočtovaných </w:t>
      </w:r>
      <w:r w:rsidRPr="004E052F">
        <w:t>105,7 mil. eu</w:t>
      </w:r>
      <w:r>
        <w:t xml:space="preserve">r, najmä na </w:t>
      </w:r>
      <w:r w:rsidRPr="004E052F">
        <w:t>zvyšovanie energetickej efektívnosti</w:t>
      </w:r>
      <w:r>
        <w:t>,</w:t>
      </w:r>
      <w:r w:rsidRPr="004E052F">
        <w:t xml:space="preserve"> znižovanie emisií v</w:t>
      </w:r>
      <w:r>
        <w:t> </w:t>
      </w:r>
      <w:r w:rsidRPr="004E052F">
        <w:t>priemysle</w:t>
      </w:r>
      <w:r>
        <w:t xml:space="preserve"> a obnovu domov </w:t>
      </w:r>
      <w:r w:rsidRPr="004E052F">
        <w:t>nízkopríjmových skupín v</w:t>
      </w:r>
      <w:r>
        <w:t> </w:t>
      </w:r>
      <w:r w:rsidRPr="004E052F">
        <w:t>SR</w:t>
      </w:r>
      <w:r>
        <w:t>.</w:t>
      </w:r>
    </w:p>
    <w:p w14:paraId="47A8C364" w14:textId="706B752C" w:rsidR="00CF79E4" w:rsidRPr="006F4F8F" w:rsidRDefault="00CF79E4" w:rsidP="00CF79E4">
      <w:pPr>
        <w:rPr>
          <w:rFonts w:cs="Segoe UI"/>
          <w:bCs/>
          <w:szCs w:val="20"/>
        </w:rPr>
      </w:pPr>
      <w:r w:rsidRPr="00494DF1">
        <w:rPr>
          <w:rFonts w:cs="Segoe UI"/>
          <w:b/>
          <w:bCs/>
          <w:szCs w:val="20"/>
        </w:rPr>
        <w:t>Celkové výdavky Environmentálneho fondu</w:t>
      </w:r>
      <w:r>
        <w:rPr>
          <w:rFonts w:cs="Segoe UI"/>
          <w:b/>
          <w:bCs/>
          <w:szCs w:val="20"/>
        </w:rPr>
        <w:t xml:space="preserve"> </w:t>
      </w:r>
      <w:r w:rsidRPr="00081C95">
        <w:rPr>
          <w:rFonts w:cs="Segoe UI"/>
          <w:szCs w:val="20"/>
        </w:rPr>
        <w:t>(EF)</w:t>
      </w:r>
      <w:r w:rsidRPr="00494DF1">
        <w:rPr>
          <w:rFonts w:cs="Segoe UI"/>
          <w:b/>
          <w:bCs/>
          <w:szCs w:val="20"/>
        </w:rPr>
        <w:t xml:space="preserve"> na rok 2026 sú rozpočtované vo výške 807 mil. eur</w:t>
      </w:r>
      <w:r>
        <w:rPr>
          <w:rFonts w:cs="Segoe UI"/>
          <w:b/>
          <w:bCs/>
          <w:szCs w:val="20"/>
        </w:rPr>
        <w:t>,</w:t>
      </w:r>
      <w:r w:rsidRPr="00494DF1">
        <w:rPr>
          <w:rFonts w:cs="Segoe UI"/>
          <w:b/>
          <w:bCs/>
          <w:szCs w:val="20"/>
        </w:rPr>
        <w:t xml:space="preserve"> čo predstavuje </w:t>
      </w:r>
      <w:r>
        <w:rPr>
          <w:rFonts w:cs="Segoe UI"/>
          <w:b/>
          <w:bCs/>
          <w:szCs w:val="20"/>
        </w:rPr>
        <w:t xml:space="preserve">medziročný nárast </w:t>
      </w:r>
      <w:r w:rsidRPr="00494DF1">
        <w:rPr>
          <w:rFonts w:cs="Segoe UI"/>
          <w:b/>
          <w:bCs/>
          <w:szCs w:val="20"/>
        </w:rPr>
        <w:t xml:space="preserve">o 267 mil. eur </w:t>
      </w:r>
      <w:r w:rsidRPr="00081C95">
        <w:rPr>
          <w:rFonts w:cs="Segoe UI"/>
          <w:szCs w:val="20"/>
        </w:rPr>
        <w:t>(49,4</w:t>
      </w:r>
      <w:r>
        <w:rPr>
          <w:rFonts w:cs="Segoe UI"/>
          <w:szCs w:val="20"/>
        </w:rPr>
        <w:t xml:space="preserve"> </w:t>
      </w:r>
      <w:r w:rsidRPr="00081C95">
        <w:rPr>
          <w:rFonts w:cs="Segoe UI"/>
          <w:szCs w:val="20"/>
        </w:rPr>
        <w:t>%)</w:t>
      </w:r>
      <w:r>
        <w:rPr>
          <w:rFonts w:cs="Segoe UI"/>
          <w:b/>
          <w:bCs/>
          <w:szCs w:val="20"/>
        </w:rPr>
        <w:t>.</w:t>
      </w:r>
      <w:r>
        <w:rPr>
          <w:rFonts w:cs="Segoe UI"/>
          <w:bCs/>
          <w:szCs w:val="20"/>
        </w:rPr>
        <w:t xml:space="preserve"> Z toho približne 510 mil. eur je určených na projekty </w:t>
      </w:r>
      <w:r w:rsidRPr="004C2C1E">
        <w:rPr>
          <w:rFonts w:cs="Segoe UI"/>
          <w:bCs/>
          <w:szCs w:val="20"/>
        </w:rPr>
        <w:t>modernizáci</w:t>
      </w:r>
      <w:r>
        <w:rPr>
          <w:rFonts w:cs="Segoe UI"/>
          <w:bCs/>
          <w:szCs w:val="20"/>
        </w:rPr>
        <w:t>e</w:t>
      </w:r>
      <w:r w:rsidRPr="004C2C1E">
        <w:rPr>
          <w:rFonts w:cs="Segoe UI"/>
          <w:bCs/>
          <w:szCs w:val="20"/>
        </w:rPr>
        <w:t xml:space="preserve"> energetických systémov, podporu výrob</w:t>
      </w:r>
      <w:r>
        <w:rPr>
          <w:rFonts w:cs="Segoe UI"/>
          <w:bCs/>
          <w:szCs w:val="20"/>
        </w:rPr>
        <w:t>y</w:t>
      </w:r>
      <w:r w:rsidRPr="004C2C1E">
        <w:rPr>
          <w:rFonts w:cs="Segoe UI"/>
          <w:bCs/>
          <w:szCs w:val="20"/>
        </w:rPr>
        <w:t xml:space="preserve"> energie z</w:t>
      </w:r>
      <w:r>
        <w:rPr>
          <w:rFonts w:cs="Segoe UI"/>
          <w:bCs/>
          <w:szCs w:val="20"/>
        </w:rPr>
        <w:t> obnoviteľných zdrojov a ďalšie environmentálne investície</w:t>
      </w:r>
      <w:r w:rsidRPr="004C2C1E">
        <w:rPr>
          <w:rFonts w:cs="Segoe UI"/>
          <w:bCs/>
          <w:szCs w:val="20"/>
        </w:rPr>
        <w:t>.</w:t>
      </w:r>
      <w:r>
        <w:rPr>
          <w:rFonts w:cs="Segoe UI"/>
          <w:bCs/>
          <w:szCs w:val="20"/>
        </w:rPr>
        <w:t xml:space="preserve"> P</w:t>
      </w:r>
      <w:r w:rsidRPr="004C2C1E">
        <w:rPr>
          <w:rFonts w:cs="Segoe UI"/>
          <w:bCs/>
          <w:szCs w:val="20"/>
        </w:rPr>
        <w:t>rerozdelenie prostriedkov z výnos</w:t>
      </w:r>
      <w:r>
        <w:rPr>
          <w:rFonts w:cs="Segoe UI"/>
          <w:bCs/>
          <w:szCs w:val="20"/>
        </w:rPr>
        <w:t>ov</w:t>
      </w:r>
      <w:r w:rsidRPr="004C2C1E">
        <w:rPr>
          <w:rFonts w:cs="Segoe UI"/>
          <w:bCs/>
          <w:szCs w:val="20"/>
        </w:rPr>
        <w:t xml:space="preserve"> z dražieb emisných kvót</w:t>
      </w:r>
      <w:r>
        <w:rPr>
          <w:rFonts w:cs="Segoe UI"/>
          <w:bCs/>
          <w:szCs w:val="20"/>
        </w:rPr>
        <w:t xml:space="preserve"> vo výške 162 mil. eur bude smerovať na projekty zamerané na </w:t>
      </w:r>
      <w:r w:rsidRPr="004C2C1E">
        <w:rPr>
          <w:rFonts w:cs="Segoe UI"/>
          <w:bCs/>
          <w:szCs w:val="20"/>
        </w:rPr>
        <w:t>úspor</w:t>
      </w:r>
      <w:r>
        <w:rPr>
          <w:rFonts w:cs="Segoe UI"/>
          <w:bCs/>
          <w:szCs w:val="20"/>
        </w:rPr>
        <w:t>y</w:t>
      </w:r>
      <w:r w:rsidRPr="004C2C1E">
        <w:rPr>
          <w:rFonts w:cs="Segoe UI"/>
          <w:bCs/>
          <w:szCs w:val="20"/>
        </w:rPr>
        <w:t xml:space="preserve"> emisií skleníkových plynov</w:t>
      </w:r>
      <w:r>
        <w:rPr>
          <w:rFonts w:cs="Segoe UI"/>
          <w:bCs/>
          <w:szCs w:val="20"/>
        </w:rPr>
        <w:t>,</w:t>
      </w:r>
      <w:r w:rsidRPr="004C2C1E">
        <w:rPr>
          <w:rFonts w:cs="Segoe UI"/>
          <w:bCs/>
          <w:szCs w:val="20"/>
        </w:rPr>
        <w:t xml:space="preserve"> zvyšovani</w:t>
      </w:r>
      <w:r>
        <w:rPr>
          <w:rFonts w:cs="Segoe UI"/>
          <w:bCs/>
          <w:szCs w:val="20"/>
        </w:rPr>
        <w:t>e</w:t>
      </w:r>
      <w:r w:rsidRPr="004C2C1E">
        <w:rPr>
          <w:rFonts w:cs="Segoe UI"/>
          <w:bCs/>
          <w:szCs w:val="20"/>
        </w:rPr>
        <w:t xml:space="preserve"> energetickej účinnosti</w:t>
      </w:r>
      <w:r>
        <w:rPr>
          <w:rFonts w:cs="Segoe UI"/>
          <w:bCs/>
          <w:szCs w:val="20"/>
        </w:rPr>
        <w:t xml:space="preserve"> a zachytávanie uhlíka. </w:t>
      </w:r>
      <w:r>
        <w:t>EF</w:t>
      </w:r>
      <w:r w:rsidRPr="006F4F8F">
        <w:t xml:space="preserve"> </w:t>
      </w:r>
      <w:r>
        <w:t xml:space="preserve">má byť kľúčovým </w:t>
      </w:r>
      <w:r w:rsidRPr="006F4F8F">
        <w:t>nástroj</w:t>
      </w:r>
      <w:r>
        <w:t xml:space="preserve">om </w:t>
      </w:r>
      <w:r w:rsidRPr="006F4F8F">
        <w:t xml:space="preserve">politiky </w:t>
      </w:r>
      <w:r>
        <w:t>štátu</w:t>
      </w:r>
      <w:r w:rsidRPr="006F4F8F">
        <w:t>, avšak doposiaľ sa finančné prostriedky z predaja emisných kvót čerpali pomaly.</w:t>
      </w:r>
      <w:r w:rsidRPr="007D3345">
        <w:t xml:space="preserve"> </w:t>
      </w:r>
      <w:r>
        <w:t xml:space="preserve">Fond </w:t>
      </w:r>
      <w:r w:rsidRPr="00EF503C">
        <w:t xml:space="preserve"> </w:t>
      </w:r>
      <w:r>
        <w:t xml:space="preserve">preto dlhodobo </w:t>
      </w:r>
      <w:r w:rsidRPr="00EF503C">
        <w:t>hospodári s prebytko</w:t>
      </w:r>
      <w:r>
        <w:t>m</w:t>
      </w:r>
      <w:r w:rsidRPr="00EF503C">
        <w:t xml:space="preserve">, </w:t>
      </w:r>
      <w:r>
        <w:t>ktorý</w:t>
      </w:r>
      <w:r w:rsidRPr="00EF503C">
        <w:t xml:space="preserve"> predstavuje zostatk</w:t>
      </w:r>
      <w:r>
        <w:t>y</w:t>
      </w:r>
      <w:r w:rsidRPr="00EF503C">
        <w:t xml:space="preserve"> z</w:t>
      </w:r>
      <w:r>
        <w:t> predchádzajúcich</w:t>
      </w:r>
      <w:r w:rsidRPr="00EF503C">
        <w:t xml:space="preserve"> rokov</w:t>
      </w:r>
      <w:r>
        <w:t>.</w:t>
      </w:r>
      <w:r w:rsidRPr="00EF503C">
        <w:t xml:space="preserve"> </w:t>
      </w:r>
      <w:r>
        <w:t xml:space="preserve">O ich </w:t>
      </w:r>
      <w:r w:rsidRPr="00EF503C">
        <w:t xml:space="preserve">ďalšom použití môže rozhodnúť iba </w:t>
      </w:r>
      <w:r>
        <w:t>v</w:t>
      </w:r>
      <w:r w:rsidRPr="00EF503C">
        <w:t>láda SR po súhlase MF SR</w:t>
      </w:r>
      <w:r>
        <w:t>, v súlade so zákonom o E</w:t>
      </w:r>
      <w:r w:rsidR="00233667">
        <w:t>F</w:t>
      </w:r>
      <w:r w:rsidRPr="00EF503C">
        <w:t>.</w:t>
      </w:r>
    </w:p>
    <w:p w14:paraId="305C9DE2" w14:textId="690A93A4" w:rsidR="00CF79E4" w:rsidRDefault="00CF79E4" w:rsidP="00CF79E4">
      <w:pPr>
        <w:pStyle w:val="Normlnywebov"/>
        <w:spacing w:before="0" w:beforeAutospacing="0" w:after="120" w:afterAutospacing="0" w:line="276" w:lineRule="auto"/>
        <w:jc w:val="both"/>
        <w:rPr>
          <w:rFonts w:ascii="Segoe UI" w:eastAsiaTheme="minorHAnsi" w:hAnsi="Segoe UI" w:cs="Segoe UI"/>
          <w:bCs/>
          <w:sz w:val="20"/>
          <w:szCs w:val="20"/>
          <w:lang w:eastAsia="en-US"/>
        </w:rPr>
      </w:pPr>
      <w:r>
        <w:rPr>
          <w:rFonts w:ascii="Segoe UI" w:eastAsiaTheme="minorHAnsi" w:hAnsi="Segoe UI" w:cs="Segoe UI"/>
          <w:b/>
          <w:bCs/>
          <w:sz w:val="20"/>
          <w:szCs w:val="20"/>
          <w:lang w:eastAsia="en-US"/>
        </w:rPr>
        <w:lastRenderedPageBreak/>
        <w:t>NKÚ SR upozorňuje, že financovanie v</w:t>
      </w:r>
      <w:r w:rsidRPr="00F7226D">
        <w:rPr>
          <w:rFonts w:ascii="Segoe UI" w:eastAsiaTheme="minorHAnsi" w:hAnsi="Segoe UI" w:cs="Segoe UI"/>
          <w:b/>
          <w:bCs/>
          <w:sz w:val="20"/>
          <w:szCs w:val="20"/>
          <w:lang w:eastAsia="en-US"/>
        </w:rPr>
        <w:t xml:space="preserve"> oblasti </w:t>
      </w:r>
      <w:r w:rsidRPr="00F7226D">
        <w:rPr>
          <w:rFonts w:ascii="Segoe UI" w:eastAsiaTheme="minorHAnsi" w:hAnsi="Segoe UI" w:cs="Segoe UI"/>
          <w:b/>
          <w:sz w:val="20"/>
          <w:szCs w:val="20"/>
          <w:lang w:eastAsia="en-US"/>
        </w:rPr>
        <w:t>vodného hospodárstva a protipovodňovej ochrany</w:t>
      </w:r>
      <w:r w:rsidRPr="00F7226D">
        <w:rPr>
          <w:rFonts w:ascii="Segoe UI" w:eastAsiaTheme="minorHAnsi" w:hAnsi="Segoe UI" w:cs="Segoe UI"/>
          <w:b/>
          <w:bCs/>
          <w:sz w:val="20"/>
          <w:szCs w:val="20"/>
          <w:lang w:eastAsia="en-US"/>
        </w:rPr>
        <w:t xml:space="preserve"> </w:t>
      </w:r>
      <w:r>
        <w:rPr>
          <w:rFonts w:ascii="Segoe UI" w:eastAsiaTheme="minorHAnsi" w:hAnsi="Segoe UI" w:cs="Segoe UI"/>
          <w:b/>
          <w:bCs/>
          <w:sz w:val="20"/>
          <w:szCs w:val="20"/>
          <w:lang w:eastAsia="en-US"/>
        </w:rPr>
        <w:t xml:space="preserve">zostáva </w:t>
      </w:r>
      <w:r w:rsidRPr="00F7226D">
        <w:rPr>
          <w:rFonts w:ascii="Segoe UI" w:eastAsiaTheme="minorHAnsi" w:hAnsi="Segoe UI" w:cs="Segoe UI"/>
          <w:b/>
          <w:bCs/>
          <w:sz w:val="20"/>
          <w:szCs w:val="20"/>
          <w:lang w:eastAsia="en-US"/>
        </w:rPr>
        <w:t>nedostatočné</w:t>
      </w:r>
      <w:r w:rsidRPr="00494DF1">
        <w:rPr>
          <w:rFonts w:ascii="Segoe UI" w:eastAsiaTheme="minorHAnsi" w:hAnsi="Segoe UI" w:cs="Segoe UI"/>
          <w:bCs/>
          <w:sz w:val="20"/>
          <w:szCs w:val="20"/>
          <w:lang w:eastAsia="en-US"/>
        </w:rPr>
        <w:t xml:space="preserve">. </w:t>
      </w:r>
      <w:r>
        <w:rPr>
          <w:rFonts w:ascii="Segoe UI" w:eastAsiaTheme="minorHAnsi" w:hAnsi="Segoe UI" w:cs="Segoe UI"/>
          <w:bCs/>
          <w:sz w:val="20"/>
          <w:szCs w:val="20"/>
          <w:lang w:eastAsia="en-US"/>
        </w:rPr>
        <w:t xml:space="preserve">Výdavky do tejto oblasti síce </w:t>
      </w:r>
      <w:r w:rsidR="00233667">
        <w:rPr>
          <w:rFonts w:ascii="Segoe UI" w:eastAsiaTheme="minorHAnsi" w:hAnsi="Segoe UI" w:cs="Segoe UI"/>
          <w:bCs/>
          <w:sz w:val="20"/>
          <w:szCs w:val="20"/>
          <w:lang w:eastAsia="en-US"/>
        </w:rPr>
        <w:t xml:space="preserve">medziročne </w:t>
      </w:r>
      <w:r>
        <w:rPr>
          <w:rFonts w:ascii="Segoe UI" w:eastAsiaTheme="minorHAnsi" w:hAnsi="Segoe UI" w:cs="Segoe UI"/>
          <w:bCs/>
          <w:sz w:val="20"/>
          <w:szCs w:val="20"/>
          <w:lang w:eastAsia="en-US"/>
        </w:rPr>
        <w:t>rastú o 23 % (80 mil. eur)</w:t>
      </w:r>
      <w:r w:rsidR="00233667">
        <w:rPr>
          <w:rFonts w:ascii="Segoe UI" w:eastAsiaTheme="minorHAnsi" w:hAnsi="Segoe UI" w:cs="Segoe UI"/>
          <w:bCs/>
          <w:sz w:val="20"/>
          <w:szCs w:val="20"/>
          <w:lang w:eastAsia="en-US"/>
        </w:rPr>
        <w:t xml:space="preserve"> </w:t>
      </w:r>
      <w:r>
        <w:rPr>
          <w:rFonts w:ascii="Segoe UI" w:eastAsiaTheme="minorHAnsi" w:hAnsi="Segoe UI" w:cs="Segoe UI"/>
          <w:bCs/>
          <w:sz w:val="20"/>
          <w:szCs w:val="20"/>
          <w:lang w:eastAsia="en-US"/>
        </w:rPr>
        <w:t>a</w:t>
      </w:r>
      <w:r w:rsidR="00233667">
        <w:rPr>
          <w:rFonts w:ascii="Segoe UI" w:eastAsiaTheme="minorHAnsi" w:hAnsi="Segoe UI" w:cs="Segoe UI"/>
          <w:bCs/>
          <w:sz w:val="20"/>
          <w:szCs w:val="20"/>
          <w:lang w:eastAsia="en-US"/>
        </w:rPr>
        <w:t xml:space="preserve"> majú </w:t>
      </w:r>
      <w:r>
        <w:rPr>
          <w:rFonts w:ascii="Segoe UI" w:eastAsiaTheme="minorHAnsi" w:hAnsi="Segoe UI" w:cs="Segoe UI"/>
          <w:bCs/>
          <w:sz w:val="20"/>
          <w:szCs w:val="20"/>
          <w:lang w:eastAsia="en-US"/>
        </w:rPr>
        <w:t>dos</w:t>
      </w:r>
      <w:r w:rsidR="00233667">
        <w:rPr>
          <w:rFonts w:ascii="Segoe UI" w:eastAsiaTheme="minorHAnsi" w:hAnsi="Segoe UI" w:cs="Segoe UI"/>
          <w:bCs/>
          <w:sz w:val="20"/>
          <w:szCs w:val="20"/>
          <w:lang w:eastAsia="en-US"/>
        </w:rPr>
        <w:t>iahnuť</w:t>
      </w:r>
      <w:r>
        <w:rPr>
          <w:rFonts w:ascii="Segoe UI" w:eastAsiaTheme="minorHAnsi" w:hAnsi="Segoe UI" w:cs="Segoe UI"/>
          <w:bCs/>
          <w:sz w:val="20"/>
          <w:szCs w:val="20"/>
          <w:lang w:eastAsia="en-US"/>
        </w:rPr>
        <w:t xml:space="preserve"> 431 mil. eur, no stále nepokrývajú potreby sektora. Slovenský vodohospodársky podnik (SVP</w:t>
      </w:r>
      <w:r w:rsidRPr="00494DF1">
        <w:rPr>
          <w:rFonts w:ascii="Segoe UI" w:eastAsiaTheme="minorHAnsi" w:hAnsi="Segoe UI" w:cs="Segoe UI"/>
          <w:bCs/>
          <w:sz w:val="20"/>
          <w:szCs w:val="20"/>
          <w:lang w:eastAsia="en-US"/>
        </w:rPr>
        <w:t>, š. p.</w:t>
      </w:r>
      <w:r>
        <w:rPr>
          <w:rFonts w:ascii="Segoe UI" w:eastAsiaTheme="minorHAnsi" w:hAnsi="Segoe UI" w:cs="Segoe UI"/>
          <w:bCs/>
          <w:sz w:val="20"/>
          <w:szCs w:val="20"/>
          <w:lang w:eastAsia="en-US"/>
        </w:rPr>
        <w:t>)</w:t>
      </w:r>
      <w:r w:rsidRPr="00494DF1">
        <w:rPr>
          <w:rFonts w:ascii="Segoe UI" w:eastAsiaTheme="minorHAnsi" w:hAnsi="Segoe UI" w:cs="Segoe UI"/>
          <w:bCs/>
          <w:sz w:val="20"/>
          <w:szCs w:val="20"/>
          <w:lang w:eastAsia="en-US"/>
        </w:rPr>
        <w:t xml:space="preserve"> požadoval</w:t>
      </w:r>
      <w:r>
        <w:rPr>
          <w:rFonts w:ascii="Segoe UI" w:eastAsiaTheme="minorHAnsi" w:hAnsi="Segoe UI" w:cs="Segoe UI"/>
          <w:bCs/>
          <w:sz w:val="20"/>
          <w:szCs w:val="20"/>
          <w:lang w:eastAsia="en-US"/>
        </w:rPr>
        <w:t xml:space="preserve"> na neregulované platby (správa a údržba vodných tokov, protipovodňová ochrana) </w:t>
      </w:r>
      <w:r w:rsidRPr="00494DF1">
        <w:rPr>
          <w:rFonts w:ascii="Segoe UI" w:eastAsiaTheme="minorHAnsi" w:hAnsi="Segoe UI" w:cs="Segoe UI"/>
          <w:bCs/>
          <w:sz w:val="20"/>
          <w:szCs w:val="20"/>
          <w:lang w:eastAsia="en-US"/>
        </w:rPr>
        <w:t xml:space="preserve"> viac než trojnásobok prid</w:t>
      </w:r>
      <w:r>
        <w:rPr>
          <w:rFonts w:ascii="Segoe UI" w:eastAsiaTheme="minorHAnsi" w:hAnsi="Segoe UI" w:cs="Segoe UI"/>
          <w:bCs/>
          <w:sz w:val="20"/>
          <w:szCs w:val="20"/>
          <w:lang w:eastAsia="en-US"/>
        </w:rPr>
        <w:t>elených prostriedkov (46 mil. eur oproti prideleným 16,5 mil. eur</w:t>
      </w:r>
      <w:r w:rsidRPr="00494DF1">
        <w:rPr>
          <w:rFonts w:ascii="Segoe UI" w:eastAsiaTheme="minorHAnsi" w:hAnsi="Segoe UI" w:cs="Segoe UI"/>
          <w:bCs/>
          <w:sz w:val="20"/>
          <w:szCs w:val="20"/>
          <w:lang w:eastAsia="en-US"/>
        </w:rPr>
        <w:t>). Takéto nastavenie neumožňuje riadne zabezpečenie údržb</w:t>
      </w:r>
      <w:r w:rsidR="00233667">
        <w:rPr>
          <w:rFonts w:ascii="Segoe UI" w:eastAsiaTheme="minorHAnsi" w:hAnsi="Segoe UI" w:cs="Segoe UI"/>
          <w:bCs/>
          <w:sz w:val="20"/>
          <w:szCs w:val="20"/>
          <w:lang w:eastAsia="en-US"/>
        </w:rPr>
        <w:t>y</w:t>
      </w:r>
      <w:r w:rsidRPr="00494DF1">
        <w:rPr>
          <w:rFonts w:ascii="Segoe UI" w:eastAsiaTheme="minorHAnsi" w:hAnsi="Segoe UI" w:cs="Segoe UI"/>
          <w:bCs/>
          <w:sz w:val="20"/>
          <w:szCs w:val="20"/>
          <w:lang w:eastAsia="en-US"/>
        </w:rPr>
        <w:t>, obnov</w:t>
      </w:r>
      <w:r w:rsidR="00233667">
        <w:rPr>
          <w:rFonts w:ascii="Segoe UI" w:eastAsiaTheme="minorHAnsi" w:hAnsi="Segoe UI" w:cs="Segoe UI"/>
          <w:bCs/>
          <w:sz w:val="20"/>
          <w:szCs w:val="20"/>
          <w:lang w:eastAsia="en-US"/>
        </w:rPr>
        <w:t>y</w:t>
      </w:r>
      <w:r w:rsidRPr="00494DF1">
        <w:rPr>
          <w:rFonts w:ascii="Segoe UI" w:eastAsiaTheme="minorHAnsi" w:hAnsi="Segoe UI" w:cs="Segoe UI"/>
          <w:bCs/>
          <w:sz w:val="20"/>
          <w:szCs w:val="20"/>
          <w:lang w:eastAsia="en-US"/>
        </w:rPr>
        <w:t xml:space="preserve"> a</w:t>
      </w:r>
      <w:r>
        <w:rPr>
          <w:rFonts w:ascii="Segoe UI" w:eastAsiaTheme="minorHAnsi" w:hAnsi="Segoe UI" w:cs="Segoe UI"/>
          <w:bCs/>
          <w:sz w:val="20"/>
          <w:szCs w:val="20"/>
          <w:lang w:eastAsia="en-US"/>
        </w:rPr>
        <w:t>ni</w:t>
      </w:r>
      <w:r w:rsidRPr="00494DF1">
        <w:rPr>
          <w:rFonts w:ascii="Segoe UI" w:eastAsiaTheme="minorHAnsi" w:hAnsi="Segoe UI" w:cs="Segoe UI"/>
          <w:bCs/>
          <w:sz w:val="20"/>
          <w:szCs w:val="20"/>
          <w:lang w:eastAsia="en-US"/>
        </w:rPr>
        <w:t xml:space="preserve"> havarijn</w:t>
      </w:r>
      <w:r>
        <w:rPr>
          <w:rFonts w:ascii="Segoe UI" w:eastAsiaTheme="minorHAnsi" w:hAnsi="Segoe UI" w:cs="Segoe UI"/>
          <w:bCs/>
          <w:sz w:val="20"/>
          <w:szCs w:val="20"/>
          <w:lang w:eastAsia="en-US"/>
        </w:rPr>
        <w:t>é</w:t>
      </w:r>
      <w:r w:rsidRPr="00494DF1">
        <w:rPr>
          <w:rFonts w:ascii="Segoe UI" w:eastAsiaTheme="minorHAnsi" w:hAnsi="Segoe UI" w:cs="Segoe UI"/>
          <w:bCs/>
          <w:sz w:val="20"/>
          <w:szCs w:val="20"/>
          <w:lang w:eastAsia="en-US"/>
        </w:rPr>
        <w:t xml:space="preserve"> zásah</w:t>
      </w:r>
      <w:r>
        <w:rPr>
          <w:rFonts w:ascii="Segoe UI" w:eastAsiaTheme="minorHAnsi" w:hAnsi="Segoe UI" w:cs="Segoe UI"/>
          <w:bCs/>
          <w:sz w:val="20"/>
          <w:szCs w:val="20"/>
          <w:lang w:eastAsia="en-US"/>
        </w:rPr>
        <w:t>y</w:t>
      </w:r>
      <w:r w:rsidRPr="00494DF1">
        <w:rPr>
          <w:rFonts w:ascii="Segoe UI" w:eastAsiaTheme="minorHAnsi" w:hAnsi="Segoe UI" w:cs="Segoe UI"/>
          <w:bCs/>
          <w:sz w:val="20"/>
          <w:szCs w:val="20"/>
          <w:lang w:eastAsia="en-US"/>
        </w:rPr>
        <w:t xml:space="preserve"> na vodných stavbách, čo môže ohroziť plnenie povinností štátu v oblasti protipovodňovej ochrany. </w:t>
      </w:r>
    </w:p>
    <w:p w14:paraId="6C21B6AC" w14:textId="55CEE5A7" w:rsidR="00CF79E4" w:rsidRDefault="00CF79E4" w:rsidP="00CF79E4">
      <w:pPr>
        <w:pStyle w:val="Normlnywebov"/>
        <w:spacing w:before="0" w:beforeAutospacing="0" w:after="120" w:afterAutospacing="0" w:line="276" w:lineRule="auto"/>
        <w:jc w:val="both"/>
        <w:rPr>
          <w:rFonts w:ascii="Segoe UI" w:eastAsiaTheme="minorHAnsi" w:hAnsi="Segoe UI" w:cs="Segoe UI"/>
          <w:bCs/>
          <w:sz w:val="20"/>
          <w:szCs w:val="20"/>
          <w:lang w:eastAsia="en-US"/>
        </w:rPr>
      </w:pPr>
      <w:r w:rsidRPr="00081C95">
        <w:rPr>
          <w:rFonts w:ascii="Segoe UI" w:eastAsiaTheme="minorHAnsi" w:hAnsi="Segoe UI" w:cs="Segoe UI"/>
          <w:b/>
          <w:sz w:val="20"/>
          <w:szCs w:val="20"/>
          <w:lang w:eastAsia="en-US"/>
        </w:rPr>
        <w:t xml:space="preserve">Slovensko </w:t>
      </w:r>
      <w:r>
        <w:rPr>
          <w:rFonts w:ascii="Segoe UI" w:eastAsiaTheme="minorHAnsi" w:hAnsi="Segoe UI" w:cs="Segoe UI"/>
          <w:b/>
          <w:sz w:val="20"/>
          <w:szCs w:val="20"/>
          <w:lang w:eastAsia="en-US"/>
        </w:rPr>
        <w:t xml:space="preserve">zároveň </w:t>
      </w:r>
      <w:r w:rsidRPr="00081C95">
        <w:rPr>
          <w:rFonts w:ascii="Segoe UI" w:eastAsiaTheme="minorHAnsi" w:hAnsi="Segoe UI" w:cs="Segoe UI"/>
          <w:b/>
          <w:sz w:val="20"/>
          <w:szCs w:val="20"/>
          <w:lang w:eastAsia="en-US"/>
        </w:rPr>
        <w:t xml:space="preserve">čelí </w:t>
      </w:r>
      <w:r>
        <w:rPr>
          <w:rFonts w:ascii="Segoe UI" w:eastAsiaTheme="minorHAnsi" w:hAnsi="Segoe UI" w:cs="Segoe UI"/>
          <w:b/>
          <w:sz w:val="20"/>
          <w:szCs w:val="20"/>
          <w:lang w:eastAsia="en-US"/>
        </w:rPr>
        <w:t xml:space="preserve">rastúcim </w:t>
      </w:r>
      <w:r w:rsidRPr="00081C95">
        <w:rPr>
          <w:rFonts w:ascii="Segoe UI" w:eastAsiaTheme="minorHAnsi" w:hAnsi="Segoe UI" w:cs="Segoe UI"/>
          <w:b/>
          <w:sz w:val="20"/>
          <w:szCs w:val="20"/>
          <w:lang w:eastAsia="en-US"/>
        </w:rPr>
        <w:t>rizikám spojeným s povodňami, zhoršovaním kvality vôd a nedostatočnými investíciami do vodohospodárskej infraštruktúry, čo má priamy vplyv na plnenie environmentálnych cieľov.</w:t>
      </w:r>
      <w:r w:rsidRPr="00494DF1">
        <w:rPr>
          <w:rFonts w:ascii="Segoe UI" w:eastAsiaTheme="minorHAnsi" w:hAnsi="Segoe UI" w:cs="Segoe UI"/>
          <w:bCs/>
          <w:sz w:val="20"/>
          <w:szCs w:val="20"/>
          <w:lang w:eastAsia="en-US"/>
        </w:rPr>
        <w:t xml:space="preserve"> Kvalita povrchových vôd sa zhoršuje – podiel útvarov povrchových vôd s </w:t>
      </w:r>
      <w:r w:rsidR="00233667">
        <w:rPr>
          <w:rFonts w:ascii="Segoe UI" w:eastAsiaTheme="minorHAnsi" w:hAnsi="Segoe UI" w:cs="Segoe UI"/>
          <w:bCs/>
          <w:sz w:val="20"/>
          <w:szCs w:val="20"/>
          <w:lang w:eastAsia="en-US"/>
        </w:rPr>
        <w:t> </w:t>
      </w:r>
      <w:r w:rsidRPr="00494DF1">
        <w:rPr>
          <w:rFonts w:ascii="Segoe UI" w:eastAsiaTheme="minorHAnsi" w:hAnsi="Segoe UI" w:cs="Segoe UI"/>
          <w:bCs/>
          <w:sz w:val="20"/>
          <w:szCs w:val="20"/>
          <w:lang w:eastAsia="en-US"/>
        </w:rPr>
        <w:t>dobrým chemickým stavom klesol z 98 % na 71 % a podiel vôd v dobrom ekologickom stave sa znížil z 56 % v roku 2015 na 41 % v roku 2021</w:t>
      </w:r>
      <w:r>
        <w:rPr>
          <w:rFonts w:ascii="Segoe UI" w:eastAsiaTheme="minorHAnsi" w:hAnsi="Segoe UI" w:cs="Segoe UI"/>
          <w:bCs/>
          <w:sz w:val="20"/>
          <w:szCs w:val="20"/>
          <w:lang w:eastAsia="en-US"/>
        </w:rPr>
        <w:t>.</w:t>
      </w:r>
      <w:r>
        <w:rPr>
          <w:rStyle w:val="Odkaznapoznmkupodiarou"/>
          <w:rFonts w:ascii="Segoe UI" w:eastAsiaTheme="minorHAnsi" w:hAnsi="Segoe UI" w:cs="Segoe UI"/>
          <w:bCs/>
          <w:sz w:val="20"/>
          <w:szCs w:val="20"/>
          <w:lang w:eastAsia="en-US"/>
        </w:rPr>
        <w:footnoteReference w:id="80"/>
      </w:r>
      <w:r w:rsidRPr="00494DF1">
        <w:rPr>
          <w:rFonts w:ascii="Segoe UI" w:eastAsiaTheme="minorHAnsi" w:hAnsi="Segoe UI" w:cs="Segoe UI"/>
          <w:bCs/>
          <w:sz w:val="20"/>
          <w:szCs w:val="20"/>
          <w:lang w:eastAsia="en-US"/>
        </w:rPr>
        <w:t xml:space="preserve"> Tieto </w:t>
      </w:r>
      <w:r>
        <w:rPr>
          <w:rFonts w:ascii="Segoe UI" w:eastAsiaTheme="minorHAnsi" w:hAnsi="Segoe UI" w:cs="Segoe UI"/>
          <w:bCs/>
          <w:sz w:val="20"/>
          <w:szCs w:val="20"/>
          <w:lang w:eastAsia="en-US"/>
        </w:rPr>
        <w:t xml:space="preserve">negatívne </w:t>
      </w:r>
      <w:r w:rsidRPr="00494DF1">
        <w:rPr>
          <w:rFonts w:ascii="Segoe UI" w:eastAsiaTheme="minorHAnsi" w:hAnsi="Segoe UI" w:cs="Segoe UI"/>
          <w:bCs/>
          <w:sz w:val="20"/>
          <w:szCs w:val="20"/>
          <w:lang w:eastAsia="en-US"/>
        </w:rPr>
        <w:t>trendy sú dôsledkom poľnohospodárskej eutrofizácie, hydromorfologických zásahov a nedostatočného čistenia odpadových vôd</w:t>
      </w:r>
      <w:r>
        <w:rPr>
          <w:rFonts w:ascii="Segoe UI" w:eastAsiaTheme="minorHAnsi" w:hAnsi="Segoe UI" w:cs="Segoe UI"/>
          <w:bCs/>
          <w:sz w:val="20"/>
          <w:szCs w:val="20"/>
          <w:lang w:eastAsia="en-US"/>
        </w:rPr>
        <w:t xml:space="preserve"> </w:t>
      </w:r>
      <w:r w:rsidRPr="00081C95">
        <w:rPr>
          <w:rFonts w:ascii="Segoe UI" w:eastAsiaTheme="minorHAnsi" w:hAnsi="Segoe UI" w:cs="Segoe UI"/>
          <w:bCs/>
          <w:sz w:val="20"/>
          <w:szCs w:val="20"/>
          <w:lang w:eastAsia="en-US"/>
        </w:rPr>
        <w:t>(graf 39</w:t>
      </w:r>
      <w:r>
        <w:rPr>
          <w:rFonts w:ascii="Segoe UI" w:eastAsiaTheme="minorHAnsi" w:hAnsi="Segoe UI" w:cs="Segoe UI"/>
          <w:bCs/>
          <w:sz w:val="20"/>
          <w:szCs w:val="20"/>
          <w:lang w:eastAsia="en-US"/>
        </w:rPr>
        <w:t>)</w:t>
      </w:r>
      <w:r w:rsidRPr="00494DF1">
        <w:rPr>
          <w:rFonts w:ascii="Segoe UI" w:eastAsiaTheme="minorHAnsi" w:hAnsi="Segoe UI" w:cs="Segoe UI"/>
          <w:bCs/>
          <w:sz w:val="20"/>
          <w:szCs w:val="20"/>
          <w:lang w:eastAsia="en-US"/>
        </w:rPr>
        <w:t xml:space="preserve">. Slovensko dlhodobo nedosahuje </w:t>
      </w:r>
      <w:r>
        <w:rPr>
          <w:rFonts w:ascii="Segoe UI" w:eastAsiaTheme="minorHAnsi" w:hAnsi="Segoe UI" w:cs="Segoe UI"/>
          <w:bCs/>
          <w:sz w:val="20"/>
          <w:szCs w:val="20"/>
          <w:lang w:eastAsia="en-US"/>
        </w:rPr>
        <w:t xml:space="preserve">plnenie požiadavky smernice o čistení </w:t>
      </w:r>
      <w:r w:rsidRPr="00494DF1">
        <w:rPr>
          <w:rFonts w:ascii="Segoe UI" w:eastAsiaTheme="minorHAnsi" w:hAnsi="Segoe UI" w:cs="Segoe UI"/>
          <w:bCs/>
          <w:sz w:val="20"/>
          <w:szCs w:val="20"/>
          <w:lang w:eastAsia="en-US"/>
        </w:rPr>
        <w:t>komunálnych odpadových vôd, čo viedlo k právnym konaniam zo strany E</w:t>
      </w:r>
      <w:r>
        <w:rPr>
          <w:rFonts w:ascii="Segoe UI" w:eastAsiaTheme="minorHAnsi" w:hAnsi="Segoe UI" w:cs="Segoe UI"/>
          <w:bCs/>
          <w:sz w:val="20"/>
          <w:szCs w:val="20"/>
          <w:lang w:eastAsia="en-US"/>
        </w:rPr>
        <w:t>K</w:t>
      </w:r>
      <w:r w:rsidRPr="00494DF1">
        <w:rPr>
          <w:rFonts w:ascii="Segoe UI" w:eastAsiaTheme="minorHAnsi" w:hAnsi="Segoe UI" w:cs="Segoe UI"/>
          <w:bCs/>
          <w:sz w:val="20"/>
          <w:szCs w:val="20"/>
          <w:lang w:eastAsia="en-US"/>
        </w:rPr>
        <w:t xml:space="preserve">. Revidovaná smernica z roku 2024 navyše prináša nové finančné záväzky v podobe dodatočného čistenia mikropolutantov, ktoré budú vyžadovať zvýšené rozpočtové výdavky do roku 2027. </w:t>
      </w:r>
    </w:p>
    <w:p w14:paraId="3CC2AFAD" w14:textId="77777777" w:rsidR="00AE716B" w:rsidRDefault="00AE716B" w:rsidP="00AE716B">
      <w:pPr>
        <w:pStyle w:val="Normlnywebov"/>
        <w:spacing w:before="0" w:beforeAutospacing="0" w:after="0" w:afterAutospacing="0" w:line="276" w:lineRule="auto"/>
        <w:jc w:val="both"/>
        <w:rPr>
          <w:rFonts w:ascii="Segoe UI" w:hAnsi="Segoe UI" w:cs="Segoe UI"/>
          <w:b/>
          <w:bCs/>
          <w:color w:val="304363"/>
          <w:sz w:val="20"/>
          <w:szCs w:val="20"/>
        </w:rPr>
      </w:pPr>
      <w:r>
        <w:rPr>
          <w:rFonts w:ascii="Segoe UI" w:hAnsi="Segoe UI" w:cs="Segoe UI"/>
          <w:b/>
          <w:bCs/>
          <w:color w:val="304363"/>
          <w:sz w:val="20"/>
          <w:szCs w:val="20"/>
        </w:rPr>
        <w:t>Graf 39</w:t>
      </w:r>
      <w:r w:rsidRPr="00321016">
        <w:rPr>
          <w:rFonts w:ascii="Segoe UI" w:hAnsi="Segoe UI" w:cs="Segoe UI"/>
          <w:b/>
          <w:bCs/>
          <w:color w:val="304363"/>
          <w:sz w:val="20"/>
          <w:szCs w:val="20"/>
        </w:rPr>
        <w:t>: Miera pripojenia obyvateľov na kanali</w:t>
      </w:r>
      <w:r>
        <w:rPr>
          <w:rFonts w:ascii="Segoe UI" w:hAnsi="Segoe UI" w:cs="Segoe UI"/>
          <w:b/>
          <w:bCs/>
          <w:color w:val="304363"/>
          <w:sz w:val="20"/>
          <w:szCs w:val="20"/>
        </w:rPr>
        <w:t>záciu v krajinách EÚ v roku 2023</w:t>
      </w:r>
      <w:r w:rsidRPr="00321016">
        <w:rPr>
          <w:rFonts w:ascii="Segoe UI" w:hAnsi="Segoe UI" w:cs="Segoe UI"/>
          <w:b/>
          <w:bCs/>
          <w:color w:val="304363"/>
          <w:sz w:val="20"/>
          <w:szCs w:val="20"/>
        </w:rPr>
        <w:t xml:space="preserve"> (v %)</w:t>
      </w:r>
    </w:p>
    <w:tbl>
      <w:tblPr>
        <w:tblStyle w:val="Mriekatabuky"/>
        <w:tblW w:w="0" w:type="auto"/>
        <w:tblBorders>
          <w:top w:val="single" w:sz="4" w:space="0" w:color="314364" w:themeColor="text2"/>
          <w:left w:val="none" w:sz="0" w:space="0" w:color="auto"/>
          <w:bottom w:val="single" w:sz="4" w:space="0" w:color="314364" w:themeColor="text2"/>
          <w:right w:val="none" w:sz="0" w:space="0" w:color="auto"/>
          <w:insideH w:val="none" w:sz="0" w:space="0" w:color="auto"/>
          <w:insideV w:val="none" w:sz="0" w:space="0" w:color="auto"/>
        </w:tblBorders>
        <w:tblLook w:val="04A0" w:firstRow="1" w:lastRow="0" w:firstColumn="1" w:lastColumn="0" w:noHBand="0" w:noVBand="1"/>
      </w:tblPr>
      <w:tblGrid>
        <w:gridCol w:w="9070"/>
      </w:tblGrid>
      <w:tr w:rsidR="00AE716B" w14:paraId="3B5BFEDA" w14:textId="77777777" w:rsidTr="00BB314F">
        <w:trPr>
          <w:trHeight w:val="3402"/>
        </w:trPr>
        <w:tc>
          <w:tcPr>
            <w:tcW w:w="9060" w:type="dxa"/>
          </w:tcPr>
          <w:p w14:paraId="13DA5E2F" w14:textId="77777777" w:rsidR="00AE716B" w:rsidRDefault="00AE716B" w:rsidP="00BB314F">
            <w:pPr>
              <w:pStyle w:val="Normlnywebov"/>
              <w:spacing w:before="0" w:beforeAutospacing="0" w:after="0" w:afterAutospacing="0" w:line="276" w:lineRule="auto"/>
              <w:jc w:val="both"/>
              <w:rPr>
                <w:rFonts w:ascii="Segoe UI" w:eastAsiaTheme="minorHAnsi" w:hAnsi="Segoe UI" w:cs="Segoe UI"/>
                <w:bCs/>
                <w:sz w:val="20"/>
                <w:szCs w:val="20"/>
                <w:lang w:eastAsia="en-US"/>
              </w:rPr>
            </w:pPr>
            <w:r>
              <w:rPr>
                <w:noProof/>
              </w:rPr>
              <w:drawing>
                <wp:inline distT="0" distB="0" distL="0" distR="0" wp14:anchorId="41754834" wp14:editId="4B5FD186">
                  <wp:extent cx="5667375" cy="2308860"/>
                  <wp:effectExtent l="0" t="0" r="0" b="0"/>
                  <wp:docPr id="4"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bl>
    <w:p w14:paraId="534CB980" w14:textId="77777777" w:rsidR="00AE716B" w:rsidRPr="002E5B13" w:rsidRDefault="00AE716B" w:rsidP="00AE716B">
      <w:pPr>
        <w:rPr>
          <w:i/>
          <w:color w:val="314364" w:themeColor="text2"/>
          <w:sz w:val="16"/>
        </w:rPr>
      </w:pPr>
      <w:r w:rsidRPr="00441AF4">
        <w:rPr>
          <w:i/>
          <w:color w:val="314364" w:themeColor="text2"/>
          <w:sz w:val="16"/>
        </w:rPr>
        <w:t>Zdroj:</w:t>
      </w:r>
      <w:r>
        <w:rPr>
          <w:i/>
          <w:color w:val="314364" w:themeColor="text2"/>
          <w:sz w:val="16"/>
        </w:rPr>
        <w:t xml:space="preserve"> Eurostat.  </w:t>
      </w:r>
      <w:r w:rsidRPr="002E5B13">
        <w:rPr>
          <w:i/>
          <w:color w:val="314364" w:themeColor="text2"/>
          <w:sz w:val="16"/>
        </w:rPr>
        <w:t>*</w:t>
      </w:r>
      <w:r>
        <w:rPr>
          <w:i/>
          <w:color w:val="314364" w:themeColor="text2"/>
          <w:sz w:val="16"/>
        </w:rPr>
        <w:t xml:space="preserve"> P</w:t>
      </w:r>
      <w:r w:rsidRPr="002E5B13">
        <w:rPr>
          <w:i/>
          <w:color w:val="314364" w:themeColor="text2"/>
          <w:sz w:val="16"/>
        </w:rPr>
        <w:t>osledné dostupné údaje</w:t>
      </w:r>
      <w:r>
        <w:rPr>
          <w:i/>
          <w:color w:val="314364" w:themeColor="text2"/>
          <w:sz w:val="16"/>
        </w:rPr>
        <w:t>.</w:t>
      </w:r>
    </w:p>
    <w:p w14:paraId="705D3257" w14:textId="77777777" w:rsidR="00CF79E4" w:rsidRDefault="00CF79E4" w:rsidP="00CF79E4">
      <w:pPr>
        <w:pStyle w:val="Normlnywebov"/>
        <w:spacing w:before="0" w:beforeAutospacing="0" w:after="120" w:afterAutospacing="0" w:line="276" w:lineRule="auto"/>
        <w:jc w:val="both"/>
        <w:rPr>
          <w:rFonts w:ascii="Segoe UI" w:eastAsiaTheme="minorHAnsi" w:hAnsi="Segoe UI" w:cs="Segoe UI"/>
          <w:bCs/>
          <w:sz w:val="20"/>
          <w:szCs w:val="20"/>
          <w:lang w:eastAsia="en-US"/>
        </w:rPr>
      </w:pPr>
      <w:r>
        <w:rPr>
          <w:rFonts w:ascii="Segoe UI" w:eastAsiaTheme="minorHAnsi" w:hAnsi="Segoe UI" w:cs="Segoe UI"/>
          <w:b/>
          <w:sz w:val="20"/>
          <w:szCs w:val="20"/>
          <w:lang w:eastAsia="en-US"/>
        </w:rPr>
        <w:t>R</w:t>
      </w:r>
      <w:r w:rsidRPr="00E26693">
        <w:rPr>
          <w:rFonts w:ascii="Segoe UI" w:eastAsiaTheme="minorHAnsi" w:hAnsi="Segoe UI" w:cs="Segoe UI"/>
          <w:b/>
          <w:sz w:val="20"/>
          <w:szCs w:val="20"/>
          <w:lang w:eastAsia="en-US"/>
        </w:rPr>
        <w:t xml:space="preserve">očné investície </w:t>
      </w:r>
      <w:r>
        <w:rPr>
          <w:rFonts w:ascii="Segoe UI" w:eastAsiaTheme="minorHAnsi" w:hAnsi="Segoe UI" w:cs="Segoe UI"/>
          <w:b/>
          <w:sz w:val="20"/>
          <w:szCs w:val="20"/>
          <w:lang w:eastAsia="en-US"/>
        </w:rPr>
        <w:t xml:space="preserve">do vodného hospodárstva </w:t>
      </w:r>
      <w:r w:rsidRPr="00E26693">
        <w:rPr>
          <w:rFonts w:ascii="Segoe UI" w:eastAsiaTheme="minorHAnsi" w:hAnsi="Segoe UI" w:cs="Segoe UI"/>
          <w:b/>
          <w:sz w:val="20"/>
          <w:szCs w:val="20"/>
          <w:lang w:eastAsia="en-US"/>
        </w:rPr>
        <w:t>dosahujú 282 mil. eur, čo poukazuje</w:t>
      </w:r>
      <w:r>
        <w:rPr>
          <w:rFonts w:ascii="Segoe UI" w:eastAsiaTheme="minorHAnsi" w:hAnsi="Segoe UI" w:cs="Segoe UI"/>
          <w:b/>
          <w:sz w:val="20"/>
          <w:szCs w:val="20"/>
          <w:lang w:eastAsia="en-US"/>
        </w:rPr>
        <w:t xml:space="preserve"> na</w:t>
      </w:r>
      <w:r w:rsidRPr="00E26693">
        <w:rPr>
          <w:rFonts w:ascii="Segoe UI" w:eastAsiaTheme="minorHAnsi" w:hAnsi="Segoe UI" w:cs="Segoe UI"/>
          <w:b/>
          <w:sz w:val="20"/>
          <w:szCs w:val="20"/>
          <w:lang w:eastAsia="en-US"/>
        </w:rPr>
        <w:t xml:space="preserve"> </w:t>
      </w:r>
      <w:r>
        <w:rPr>
          <w:rFonts w:ascii="Segoe UI" w:eastAsiaTheme="minorHAnsi" w:hAnsi="Segoe UI" w:cs="Segoe UI"/>
          <w:b/>
          <w:sz w:val="20"/>
          <w:szCs w:val="20"/>
          <w:lang w:eastAsia="en-US"/>
        </w:rPr>
        <w:t>pretrvávajúce nedostatočné financovanie</w:t>
      </w:r>
      <w:r w:rsidRPr="00E26693">
        <w:rPr>
          <w:rFonts w:ascii="Segoe UI" w:eastAsiaTheme="minorHAnsi" w:hAnsi="Segoe UI" w:cs="Segoe UI"/>
          <w:b/>
          <w:sz w:val="20"/>
          <w:szCs w:val="20"/>
          <w:lang w:eastAsia="en-US"/>
        </w:rPr>
        <w:t xml:space="preserve">. </w:t>
      </w:r>
      <w:r w:rsidRPr="00494DF1">
        <w:rPr>
          <w:rFonts w:ascii="Segoe UI" w:eastAsiaTheme="minorHAnsi" w:hAnsi="Segoe UI" w:cs="Segoe UI"/>
          <w:bCs/>
          <w:sz w:val="20"/>
          <w:szCs w:val="20"/>
          <w:lang w:eastAsia="en-US"/>
        </w:rPr>
        <w:t>Zdroje financovania</w:t>
      </w:r>
      <w:r>
        <w:rPr>
          <w:rStyle w:val="Odkaznapoznmkupodiarou"/>
          <w:rFonts w:ascii="Segoe UI" w:eastAsiaTheme="minorHAnsi" w:hAnsi="Segoe UI" w:cs="Segoe UI"/>
          <w:bCs/>
          <w:sz w:val="20"/>
          <w:szCs w:val="20"/>
          <w:lang w:eastAsia="en-US"/>
        </w:rPr>
        <w:footnoteReference w:id="81"/>
      </w:r>
      <w:r w:rsidRPr="00494DF1">
        <w:rPr>
          <w:rFonts w:ascii="Segoe UI" w:eastAsiaTheme="minorHAnsi" w:hAnsi="Segoe UI" w:cs="Segoe UI"/>
          <w:bCs/>
          <w:sz w:val="20"/>
          <w:szCs w:val="20"/>
          <w:lang w:eastAsia="en-US"/>
        </w:rPr>
        <w:t xml:space="preserve"> sú prevažne vnútroštátne (59 %), </w:t>
      </w:r>
      <w:r>
        <w:rPr>
          <w:rFonts w:ascii="Segoe UI" w:eastAsiaTheme="minorHAnsi" w:hAnsi="Segoe UI" w:cs="Segoe UI"/>
          <w:bCs/>
          <w:sz w:val="20"/>
          <w:szCs w:val="20"/>
          <w:lang w:eastAsia="en-US"/>
        </w:rPr>
        <w:t>pričom fondy</w:t>
      </w:r>
      <w:r w:rsidRPr="00494DF1">
        <w:rPr>
          <w:rFonts w:ascii="Segoe UI" w:eastAsiaTheme="minorHAnsi" w:hAnsi="Segoe UI" w:cs="Segoe UI"/>
          <w:bCs/>
          <w:sz w:val="20"/>
          <w:szCs w:val="20"/>
          <w:lang w:eastAsia="en-US"/>
        </w:rPr>
        <w:t xml:space="preserve"> EÚ pokrývajú 38,1 % a </w:t>
      </w:r>
      <w:r>
        <w:rPr>
          <w:rFonts w:ascii="Segoe UI" w:eastAsiaTheme="minorHAnsi" w:hAnsi="Segoe UI" w:cs="Segoe UI"/>
          <w:bCs/>
          <w:sz w:val="20"/>
          <w:szCs w:val="20"/>
          <w:lang w:eastAsia="en-US"/>
        </w:rPr>
        <w:t>POO</w:t>
      </w:r>
      <w:r w:rsidRPr="00494DF1">
        <w:rPr>
          <w:rFonts w:ascii="Segoe UI" w:eastAsiaTheme="minorHAnsi" w:hAnsi="Segoe UI" w:cs="Segoe UI"/>
          <w:bCs/>
          <w:sz w:val="20"/>
          <w:szCs w:val="20"/>
          <w:lang w:eastAsia="en-US"/>
        </w:rPr>
        <w:t xml:space="preserve"> 2,8 %. Nízke </w:t>
      </w:r>
      <w:r>
        <w:rPr>
          <w:rFonts w:ascii="Segoe UI" w:eastAsiaTheme="minorHAnsi" w:hAnsi="Segoe UI" w:cs="Segoe UI"/>
          <w:bCs/>
          <w:sz w:val="20"/>
          <w:szCs w:val="20"/>
          <w:lang w:eastAsia="en-US"/>
        </w:rPr>
        <w:t xml:space="preserve">využívanie </w:t>
      </w:r>
      <w:r w:rsidRPr="00494DF1">
        <w:rPr>
          <w:rFonts w:ascii="Segoe UI" w:eastAsiaTheme="minorHAnsi" w:hAnsi="Segoe UI" w:cs="Segoe UI"/>
          <w:bCs/>
          <w:sz w:val="20"/>
          <w:szCs w:val="20"/>
          <w:lang w:eastAsia="en-US"/>
        </w:rPr>
        <w:t xml:space="preserve">európskych </w:t>
      </w:r>
      <w:r>
        <w:rPr>
          <w:rFonts w:ascii="Segoe UI" w:eastAsiaTheme="minorHAnsi" w:hAnsi="Segoe UI" w:cs="Segoe UI"/>
          <w:bCs/>
          <w:sz w:val="20"/>
          <w:szCs w:val="20"/>
          <w:lang w:eastAsia="en-US"/>
        </w:rPr>
        <w:t xml:space="preserve">fondov spolu s </w:t>
      </w:r>
      <w:r w:rsidRPr="00494DF1">
        <w:rPr>
          <w:rFonts w:ascii="Segoe UI" w:eastAsiaTheme="minorHAnsi" w:hAnsi="Segoe UI" w:cs="Segoe UI"/>
          <w:bCs/>
          <w:sz w:val="20"/>
          <w:szCs w:val="20"/>
          <w:lang w:eastAsia="en-US"/>
        </w:rPr>
        <w:t>investičn</w:t>
      </w:r>
      <w:r>
        <w:rPr>
          <w:rFonts w:ascii="Segoe UI" w:eastAsiaTheme="minorHAnsi" w:hAnsi="Segoe UI" w:cs="Segoe UI"/>
          <w:bCs/>
          <w:sz w:val="20"/>
          <w:szCs w:val="20"/>
          <w:lang w:eastAsia="en-US"/>
        </w:rPr>
        <w:t>ou</w:t>
      </w:r>
      <w:r w:rsidRPr="00494DF1">
        <w:rPr>
          <w:rFonts w:ascii="Segoe UI" w:eastAsiaTheme="minorHAnsi" w:hAnsi="Segoe UI" w:cs="Segoe UI"/>
          <w:bCs/>
          <w:sz w:val="20"/>
          <w:szCs w:val="20"/>
          <w:lang w:eastAsia="en-US"/>
        </w:rPr>
        <w:t xml:space="preserve"> medzer</w:t>
      </w:r>
      <w:r>
        <w:rPr>
          <w:rFonts w:ascii="Segoe UI" w:eastAsiaTheme="minorHAnsi" w:hAnsi="Segoe UI" w:cs="Segoe UI"/>
          <w:bCs/>
          <w:sz w:val="20"/>
          <w:szCs w:val="20"/>
          <w:lang w:eastAsia="en-US"/>
        </w:rPr>
        <w:t>ou</w:t>
      </w:r>
      <w:r w:rsidRPr="00494DF1">
        <w:rPr>
          <w:rFonts w:ascii="Segoe UI" w:eastAsiaTheme="minorHAnsi" w:hAnsi="Segoe UI" w:cs="Segoe UI"/>
          <w:bCs/>
          <w:sz w:val="20"/>
          <w:szCs w:val="20"/>
          <w:lang w:eastAsia="en-US"/>
        </w:rPr>
        <w:t xml:space="preserve"> </w:t>
      </w:r>
      <w:r>
        <w:rPr>
          <w:rFonts w:ascii="Segoe UI" w:eastAsiaTheme="minorHAnsi" w:hAnsi="Segoe UI" w:cs="Segoe UI"/>
          <w:bCs/>
          <w:sz w:val="20"/>
          <w:szCs w:val="20"/>
          <w:lang w:eastAsia="en-US"/>
        </w:rPr>
        <w:t xml:space="preserve">zvyšuje </w:t>
      </w:r>
      <w:r w:rsidRPr="00494DF1">
        <w:rPr>
          <w:rFonts w:ascii="Segoe UI" w:eastAsiaTheme="minorHAnsi" w:hAnsi="Segoe UI" w:cs="Segoe UI"/>
          <w:bCs/>
          <w:sz w:val="20"/>
          <w:szCs w:val="20"/>
          <w:lang w:eastAsia="en-US"/>
        </w:rPr>
        <w:t>rozpočtové rizik</w:t>
      </w:r>
      <w:r>
        <w:rPr>
          <w:rFonts w:ascii="Segoe UI" w:eastAsiaTheme="minorHAnsi" w:hAnsi="Segoe UI" w:cs="Segoe UI"/>
          <w:bCs/>
          <w:sz w:val="20"/>
          <w:szCs w:val="20"/>
          <w:lang w:eastAsia="en-US"/>
        </w:rPr>
        <w:t>á</w:t>
      </w:r>
      <w:r w:rsidRPr="00494DF1">
        <w:rPr>
          <w:rFonts w:ascii="Segoe UI" w:eastAsiaTheme="minorHAnsi" w:hAnsi="Segoe UI" w:cs="Segoe UI"/>
          <w:bCs/>
          <w:sz w:val="20"/>
          <w:szCs w:val="20"/>
          <w:lang w:eastAsia="en-US"/>
        </w:rPr>
        <w:t xml:space="preserve"> a</w:t>
      </w:r>
      <w:r>
        <w:rPr>
          <w:rFonts w:ascii="Segoe UI" w:eastAsiaTheme="minorHAnsi" w:hAnsi="Segoe UI" w:cs="Segoe UI"/>
          <w:bCs/>
          <w:sz w:val="20"/>
          <w:szCs w:val="20"/>
          <w:lang w:eastAsia="en-US"/>
        </w:rPr>
        <w:t> brzdí dosiahnutie cieľov v oblasti vodného hospodárstva.</w:t>
      </w:r>
    </w:p>
    <w:p w14:paraId="42612113" w14:textId="77777777" w:rsidR="00CF79E4" w:rsidRDefault="00CF79E4" w:rsidP="00CF79E4">
      <w:pPr>
        <w:pStyle w:val="Normlnywebov"/>
        <w:spacing w:before="0" w:beforeAutospacing="0" w:after="120" w:afterAutospacing="0" w:line="276" w:lineRule="auto"/>
        <w:jc w:val="both"/>
        <w:rPr>
          <w:rFonts w:ascii="Segoe UI" w:eastAsiaTheme="minorHAnsi" w:hAnsi="Segoe UI" w:cs="Segoe UI"/>
          <w:bCs/>
          <w:sz w:val="20"/>
          <w:szCs w:val="20"/>
          <w:lang w:eastAsia="en-US"/>
        </w:rPr>
      </w:pPr>
      <w:r w:rsidRPr="00B40A5E">
        <w:rPr>
          <w:rFonts w:ascii="Segoe UI" w:eastAsiaTheme="minorHAnsi" w:hAnsi="Segoe UI" w:cs="Segoe UI"/>
          <w:b/>
          <w:bCs/>
          <w:sz w:val="20"/>
          <w:szCs w:val="20"/>
          <w:lang w:eastAsia="en-US"/>
        </w:rPr>
        <w:t>Výdavky n</w:t>
      </w:r>
      <w:r w:rsidRPr="00D014BD">
        <w:rPr>
          <w:rFonts w:ascii="Segoe UI" w:eastAsiaTheme="minorHAnsi" w:hAnsi="Segoe UI" w:cs="Segoe UI"/>
          <w:b/>
          <w:bCs/>
          <w:sz w:val="20"/>
          <w:szCs w:val="20"/>
          <w:lang w:eastAsia="en-US"/>
        </w:rPr>
        <w:t xml:space="preserve">a ochranu ovzdušia sú rozpočtované medziročne vyššie o 9 mil. eur, </w:t>
      </w:r>
      <w:r w:rsidRPr="00BB314F">
        <w:rPr>
          <w:rFonts w:ascii="Segoe UI" w:eastAsiaTheme="minorHAnsi" w:hAnsi="Segoe UI" w:cs="Segoe UI"/>
          <w:b/>
          <w:sz w:val="20"/>
          <w:szCs w:val="20"/>
          <w:lang w:eastAsia="en-US"/>
        </w:rPr>
        <w:t>na celkovú sumu 21 mil. eur.</w:t>
      </w:r>
      <w:r w:rsidRPr="00E4561F">
        <w:rPr>
          <w:rFonts w:ascii="Segoe UI" w:eastAsiaTheme="minorHAnsi" w:hAnsi="Segoe UI" w:cs="Segoe UI"/>
          <w:b/>
          <w:bCs/>
          <w:sz w:val="20"/>
          <w:szCs w:val="20"/>
          <w:lang w:eastAsia="en-US"/>
        </w:rPr>
        <w:t xml:space="preserve"> </w:t>
      </w:r>
      <w:r w:rsidRPr="00BB314F">
        <w:rPr>
          <w:rFonts w:ascii="Segoe UI" w:eastAsiaTheme="minorHAnsi" w:hAnsi="Segoe UI" w:cs="Segoe UI"/>
          <w:bCs/>
          <w:sz w:val="20"/>
          <w:szCs w:val="20"/>
          <w:lang w:eastAsia="en-US"/>
        </w:rPr>
        <w:t xml:space="preserve">SR dosiahla pokrok v znižovaní znečistenia ovzdušia, avšak v niektorých regiónoch </w:t>
      </w:r>
      <w:r w:rsidRPr="005952CA">
        <w:rPr>
          <w:rFonts w:ascii="Segoe UI" w:eastAsiaTheme="minorHAnsi" w:hAnsi="Segoe UI" w:cs="Segoe UI"/>
          <w:bCs/>
          <w:sz w:val="20"/>
          <w:szCs w:val="20"/>
          <w:lang w:eastAsia="en-US"/>
        </w:rPr>
        <w:t xml:space="preserve">kvalita vzduchu </w:t>
      </w:r>
      <w:r>
        <w:rPr>
          <w:rFonts w:ascii="Segoe UI" w:eastAsiaTheme="minorHAnsi" w:hAnsi="Segoe UI" w:cs="Segoe UI"/>
          <w:bCs/>
          <w:sz w:val="20"/>
          <w:szCs w:val="20"/>
          <w:lang w:eastAsia="en-US"/>
        </w:rPr>
        <w:t>naďalej predstavuje</w:t>
      </w:r>
      <w:r w:rsidRPr="00BB314F">
        <w:rPr>
          <w:rFonts w:ascii="Segoe UI" w:eastAsiaTheme="minorHAnsi" w:hAnsi="Segoe UI" w:cs="Segoe UI"/>
          <w:bCs/>
          <w:sz w:val="20"/>
          <w:szCs w:val="20"/>
          <w:lang w:eastAsia="en-US"/>
        </w:rPr>
        <w:t xml:space="preserve"> problém.</w:t>
      </w:r>
      <w:r w:rsidRPr="00B40A5E">
        <w:rPr>
          <w:rFonts w:ascii="Segoe UI" w:eastAsiaTheme="minorHAnsi" w:hAnsi="Segoe UI" w:cs="Segoe UI"/>
          <w:bCs/>
          <w:sz w:val="20"/>
          <w:szCs w:val="20"/>
          <w:lang w:eastAsia="en-US"/>
        </w:rPr>
        <w:t xml:space="preserve"> </w:t>
      </w:r>
      <w:r w:rsidRPr="00E4561F">
        <w:rPr>
          <w:rFonts w:ascii="Segoe UI" w:eastAsiaTheme="minorHAnsi" w:hAnsi="Segoe UI" w:cs="Segoe UI"/>
          <w:bCs/>
          <w:sz w:val="20"/>
          <w:szCs w:val="20"/>
          <w:lang w:eastAsia="en-US"/>
        </w:rPr>
        <w:t>V roku 2023 bol</w:t>
      </w:r>
      <w:r>
        <w:rPr>
          <w:rFonts w:ascii="Segoe UI" w:eastAsiaTheme="minorHAnsi" w:hAnsi="Segoe UI" w:cs="Segoe UI"/>
          <w:bCs/>
          <w:sz w:val="20"/>
          <w:szCs w:val="20"/>
          <w:lang w:eastAsia="en-US"/>
        </w:rPr>
        <w:t>a</w:t>
      </w:r>
      <w:r w:rsidRPr="00E4561F">
        <w:rPr>
          <w:rFonts w:ascii="Segoe UI" w:eastAsiaTheme="minorHAnsi" w:hAnsi="Segoe UI" w:cs="Segoe UI"/>
          <w:bCs/>
          <w:sz w:val="20"/>
          <w:szCs w:val="20"/>
          <w:lang w:eastAsia="en-US"/>
        </w:rPr>
        <w:t xml:space="preserve"> v</w:t>
      </w:r>
      <w:r>
        <w:rPr>
          <w:rFonts w:ascii="Segoe UI" w:eastAsiaTheme="minorHAnsi" w:hAnsi="Segoe UI" w:cs="Segoe UI"/>
          <w:bCs/>
          <w:sz w:val="20"/>
          <w:szCs w:val="20"/>
          <w:lang w:eastAsia="en-US"/>
        </w:rPr>
        <w:t> </w:t>
      </w:r>
      <w:r w:rsidRPr="00E4561F">
        <w:rPr>
          <w:rFonts w:ascii="Segoe UI" w:eastAsiaTheme="minorHAnsi" w:hAnsi="Segoe UI" w:cs="Segoe UI"/>
          <w:bCs/>
          <w:sz w:val="20"/>
          <w:szCs w:val="20"/>
          <w:lang w:eastAsia="en-US"/>
        </w:rPr>
        <w:t>jednej</w:t>
      </w:r>
      <w:r>
        <w:rPr>
          <w:rFonts w:ascii="Segoe UI" w:eastAsiaTheme="minorHAnsi" w:hAnsi="Segoe UI" w:cs="Segoe UI"/>
          <w:bCs/>
          <w:sz w:val="20"/>
          <w:szCs w:val="20"/>
          <w:lang w:eastAsia="en-US"/>
        </w:rPr>
        <w:t xml:space="preserve"> zo</w:t>
      </w:r>
      <w:r w:rsidRPr="00E4561F">
        <w:rPr>
          <w:rFonts w:ascii="Segoe UI" w:eastAsiaTheme="minorHAnsi" w:hAnsi="Segoe UI" w:cs="Segoe UI"/>
          <w:bCs/>
          <w:sz w:val="20"/>
          <w:szCs w:val="20"/>
          <w:lang w:eastAsia="en-US"/>
        </w:rPr>
        <w:t xml:space="preserve"> zón kvality ovzdušia zaznamenan</w:t>
      </w:r>
      <w:r>
        <w:rPr>
          <w:rFonts w:ascii="Segoe UI" w:eastAsiaTheme="minorHAnsi" w:hAnsi="Segoe UI" w:cs="Segoe UI"/>
          <w:bCs/>
          <w:sz w:val="20"/>
          <w:szCs w:val="20"/>
          <w:lang w:eastAsia="en-US"/>
        </w:rPr>
        <w:t>á</w:t>
      </w:r>
      <w:r w:rsidRPr="00E4561F">
        <w:rPr>
          <w:rFonts w:ascii="Segoe UI" w:eastAsiaTheme="minorHAnsi" w:hAnsi="Segoe UI" w:cs="Segoe UI"/>
          <w:bCs/>
          <w:sz w:val="20"/>
          <w:szCs w:val="20"/>
          <w:lang w:eastAsia="en-US"/>
        </w:rPr>
        <w:t xml:space="preserve"> prekročen</w:t>
      </w:r>
      <w:r>
        <w:rPr>
          <w:rFonts w:ascii="Segoe UI" w:eastAsiaTheme="minorHAnsi" w:hAnsi="Segoe UI" w:cs="Segoe UI"/>
          <w:bCs/>
          <w:sz w:val="20"/>
          <w:szCs w:val="20"/>
          <w:lang w:eastAsia="en-US"/>
        </w:rPr>
        <w:t>á</w:t>
      </w:r>
      <w:r w:rsidRPr="00E4561F">
        <w:rPr>
          <w:rFonts w:ascii="Segoe UI" w:eastAsiaTheme="minorHAnsi" w:hAnsi="Segoe UI" w:cs="Segoe UI"/>
          <w:bCs/>
          <w:sz w:val="20"/>
          <w:szCs w:val="20"/>
          <w:lang w:eastAsia="en-US"/>
        </w:rPr>
        <w:t xml:space="preserve"> limitn</w:t>
      </w:r>
      <w:r>
        <w:rPr>
          <w:rFonts w:ascii="Segoe UI" w:eastAsiaTheme="minorHAnsi" w:hAnsi="Segoe UI" w:cs="Segoe UI"/>
          <w:bCs/>
          <w:sz w:val="20"/>
          <w:szCs w:val="20"/>
          <w:lang w:eastAsia="en-US"/>
        </w:rPr>
        <w:t>á</w:t>
      </w:r>
      <w:r w:rsidRPr="00E4561F">
        <w:rPr>
          <w:rFonts w:ascii="Segoe UI" w:eastAsiaTheme="minorHAnsi" w:hAnsi="Segoe UI" w:cs="Segoe UI"/>
          <w:bCs/>
          <w:sz w:val="20"/>
          <w:szCs w:val="20"/>
          <w:lang w:eastAsia="en-US"/>
        </w:rPr>
        <w:t xml:space="preserve"> hodn</w:t>
      </w:r>
      <w:r>
        <w:rPr>
          <w:rFonts w:ascii="Segoe UI" w:eastAsiaTheme="minorHAnsi" w:hAnsi="Segoe UI" w:cs="Segoe UI"/>
          <w:bCs/>
          <w:sz w:val="20"/>
          <w:szCs w:val="20"/>
          <w:lang w:eastAsia="en-US"/>
        </w:rPr>
        <w:t>o</w:t>
      </w:r>
      <w:r w:rsidRPr="00E4561F">
        <w:rPr>
          <w:rFonts w:ascii="Segoe UI" w:eastAsiaTheme="minorHAnsi" w:hAnsi="Segoe UI" w:cs="Segoe UI"/>
          <w:bCs/>
          <w:sz w:val="20"/>
          <w:szCs w:val="20"/>
          <w:lang w:eastAsia="en-US"/>
        </w:rPr>
        <w:t>t</w:t>
      </w:r>
      <w:r>
        <w:rPr>
          <w:rFonts w:ascii="Segoe UI" w:eastAsiaTheme="minorHAnsi" w:hAnsi="Segoe UI" w:cs="Segoe UI"/>
          <w:bCs/>
          <w:sz w:val="20"/>
          <w:szCs w:val="20"/>
          <w:lang w:eastAsia="en-US"/>
        </w:rPr>
        <w:t>a</w:t>
      </w:r>
      <w:r w:rsidRPr="00E4561F">
        <w:rPr>
          <w:rFonts w:ascii="Segoe UI" w:eastAsiaTheme="minorHAnsi" w:hAnsi="Segoe UI" w:cs="Segoe UI"/>
          <w:bCs/>
          <w:sz w:val="20"/>
          <w:szCs w:val="20"/>
          <w:lang w:eastAsia="en-US"/>
        </w:rPr>
        <w:t xml:space="preserve"> pre častice PM</w:t>
      </w:r>
      <w:r w:rsidRPr="006F4F8F">
        <w:rPr>
          <w:rFonts w:ascii="Segoe UI" w:eastAsiaTheme="minorHAnsi" w:hAnsi="Segoe UI" w:cs="Segoe UI"/>
          <w:bCs/>
          <w:sz w:val="20"/>
          <w:szCs w:val="20"/>
          <w:vertAlign w:val="subscript"/>
          <w:lang w:eastAsia="en-US"/>
        </w:rPr>
        <w:t>10</w:t>
      </w:r>
      <w:r w:rsidRPr="00E4561F">
        <w:rPr>
          <w:rFonts w:ascii="Segoe UI" w:eastAsiaTheme="minorHAnsi" w:hAnsi="Segoe UI" w:cs="Segoe UI"/>
          <w:bCs/>
          <w:sz w:val="20"/>
          <w:szCs w:val="20"/>
          <w:lang w:eastAsia="en-US"/>
        </w:rPr>
        <w:t>, koncentrá</w:t>
      </w:r>
      <w:r>
        <w:rPr>
          <w:rFonts w:ascii="Segoe UI" w:eastAsiaTheme="minorHAnsi" w:hAnsi="Segoe UI" w:cs="Segoe UI"/>
          <w:bCs/>
          <w:sz w:val="20"/>
          <w:szCs w:val="20"/>
          <w:lang w:eastAsia="en-US"/>
        </w:rPr>
        <w:t>cie</w:t>
      </w:r>
      <w:r w:rsidRPr="00E4561F">
        <w:rPr>
          <w:rFonts w:ascii="Segoe UI" w:eastAsiaTheme="minorHAnsi" w:hAnsi="Segoe UI" w:cs="Segoe UI"/>
          <w:bCs/>
          <w:sz w:val="20"/>
          <w:szCs w:val="20"/>
          <w:lang w:eastAsia="en-US"/>
        </w:rPr>
        <w:t xml:space="preserve"> ozónu neboli splnené v dvoch zónach a benzo(a)pyrénu v šiestich zónach</w:t>
      </w:r>
      <w:r>
        <w:rPr>
          <w:rFonts w:ascii="Segoe UI" w:eastAsiaTheme="minorHAnsi" w:hAnsi="Segoe UI" w:cs="Segoe UI"/>
          <w:bCs/>
          <w:sz w:val="20"/>
          <w:szCs w:val="20"/>
          <w:lang w:eastAsia="en-US"/>
        </w:rPr>
        <w:t>.</w:t>
      </w:r>
      <w:r>
        <w:rPr>
          <w:rStyle w:val="Odkaznapoznmkupodiarou"/>
          <w:rFonts w:ascii="Segoe UI" w:eastAsiaTheme="minorHAnsi" w:hAnsi="Segoe UI" w:cs="Segoe UI"/>
          <w:bCs/>
          <w:sz w:val="20"/>
          <w:szCs w:val="20"/>
          <w:lang w:eastAsia="en-US"/>
        </w:rPr>
        <w:footnoteReference w:id="82"/>
      </w:r>
      <w:r w:rsidRPr="00E4561F">
        <w:rPr>
          <w:rFonts w:ascii="Segoe UI" w:eastAsiaTheme="minorHAnsi" w:hAnsi="Segoe UI" w:cs="Segoe UI"/>
          <w:bCs/>
          <w:sz w:val="20"/>
          <w:szCs w:val="20"/>
          <w:lang w:eastAsia="en-US"/>
        </w:rPr>
        <w:t xml:space="preserve"> Priemysel zostáva významným zdrojom emisií do ovzdušia aj vody. </w:t>
      </w:r>
      <w:r w:rsidRPr="00E4561F">
        <w:rPr>
          <w:rFonts w:ascii="Segoe UI" w:eastAsiaTheme="minorHAnsi" w:hAnsi="Segoe UI" w:cs="Segoe UI"/>
          <w:bCs/>
          <w:sz w:val="20"/>
          <w:szCs w:val="20"/>
          <w:lang w:eastAsia="en-US"/>
        </w:rPr>
        <w:lastRenderedPageBreak/>
        <w:t xml:space="preserve">Slovensko patrí medzi krajiny EÚ s najvyššou intenzitou priemyselných emisií – je </w:t>
      </w:r>
      <w:r>
        <w:rPr>
          <w:rFonts w:ascii="Segoe UI" w:eastAsiaTheme="minorHAnsi" w:hAnsi="Segoe UI" w:cs="Segoe UI"/>
          <w:bCs/>
          <w:sz w:val="20"/>
          <w:szCs w:val="20"/>
          <w:lang w:eastAsia="en-US"/>
        </w:rPr>
        <w:t>siedme</w:t>
      </w:r>
      <w:r w:rsidRPr="00E4561F">
        <w:rPr>
          <w:rFonts w:ascii="Segoe UI" w:eastAsiaTheme="minorHAnsi" w:hAnsi="Segoe UI" w:cs="Segoe UI"/>
          <w:bCs/>
          <w:sz w:val="20"/>
          <w:szCs w:val="20"/>
          <w:lang w:eastAsia="en-US"/>
        </w:rPr>
        <w:t xml:space="preserve"> pri emisiách do ovzdušia a </w:t>
      </w:r>
      <w:r>
        <w:rPr>
          <w:rFonts w:ascii="Segoe UI" w:eastAsiaTheme="minorHAnsi" w:hAnsi="Segoe UI" w:cs="Segoe UI"/>
          <w:bCs/>
          <w:sz w:val="20"/>
          <w:szCs w:val="20"/>
          <w:lang w:eastAsia="en-US"/>
        </w:rPr>
        <w:t>štvrté</w:t>
      </w:r>
      <w:r w:rsidRPr="00E4561F">
        <w:rPr>
          <w:rFonts w:ascii="Segoe UI" w:eastAsiaTheme="minorHAnsi" w:hAnsi="Segoe UI" w:cs="Segoe UI"/>
          <w:bCs/>
          <w:sz w:val="20"/>
          <w:szCs w:val="20"/>
          <w:lang w:eastAsia="en-US"/>
        </w:rPr>
        <w:t xml:space="preserve"> pri emisiách ťažkých kovov do vody. Náklady spôsobené znečistením ovzdušia výrazne prevyšujú investície do jeho znižovania. Znečistenie jemnými prachovými časticami, oxidom dusičitým a ozónom spôsobuje na Slovensku ročne približne 4 600 predčasných úmrtí. Celkové hospodárske škody z priemyse</w:t>
      </w:r>
      <w:r>
        <w:rPr>
          <w:rFonts w:ascii="Segoe UI" w:eastAsiaTheme="minorHAnsi" w:hAnsi="Segoe UI" w:cs="Segoe UI"/>
          <w:bCs/>
          <w:sz w:val="20"/>
          <w:szCs w:val="20"/>
          <w:lang w:eastAsia="en-US"/>
        </w:rPr>
        <w:t xml:space="preserve">lných emisií sa odhadujú na 9,3 mld. </w:t>
      </w:r>
      <w:r w:rsidRPr="00E4561F">
        <w:rPr>
          <w:rFonts w:ascii="Segoe UI" w:eastAsiaTheme="minorHAnsi" w:hAnsi="Segoe UI" w:cs="Segoe UI"/>
          <w:bCs/>
          <w:sz w:val="20"/>
          <w:szCs w:val="20"/>
          <w:lang w:eastAsia="en-US"/>
        </w:rPr>
        <w:t>eur</w:t>
      </w:r>
      <w:r>
        <w:rPr>
          <w:rStyle w:val="Odkaznapoznmkupodiarou"/>
          <w:rFonts w:ascii="Segoe UI" w:eastAsiaTheme="minorHAnsi" w:hAnsi="Segoe UI" w:cs="Segoe UI"/>
          <w:bCs/>
          <w:sz w:val="20"/>
          <w:szCs w:val="20"/>
          <w:lang w:eastAsia="en-US"/>
        </w:rPr>
        <w:footnoteReference w:id="83"/>
      </w:r>
      <w:r w:rsidRPr="00E4561F">
        <w:rPr>
          <w:rFonts w:ascii="Segoe UI" w:eastAsiaTheme="minorHAnsi" w:hAnsi="Segoe UI" w:cs="Segoe UI"/>
          <w:bCs/>
          <w:sz w:val="20"/>
          <w:szCs w:val="20"/>
          <w:lang w:eastAsia="en-US"/>
        </w:rPr>
        <w:t xml:space="preserve">, zatiaľ čo na účinné riadenie a prevenciu znečisťovania by bolo potrebných približne 289 </w:t>
      </w:r>
      <w:r>
        <w:rPr>
          <w:rFonts w:ascii="Segoe UI" w:eastAsiaTheme="minorHAnsi" w:hAnsi="Segoe UI" w:cs="Segoe UI"/>
          <w:bCs/>
          <w:sz w:val="20"/>
          <w:szCs w:val="20"/>
          <w:lang w:eastAsia="en-US"/>
        </w:rPr>
        <w:t>mil.</w:t>
      </w:r>
      <w:r w:rsidRPr="00E4561F">
        <w:rPr>
          <w:rFonts w:ascii="Segoe UI" w:eastAsiaTheme="minorHAnsi" w:hAnsi="Segoe UI" w:cs="Segoe UI"/>
          <w:bCs/>
          <w:sz w:val="20"/>
          <w:szCs w:val="20"/>
          <w:lang w:eastAsia="en-US"/>
        </w:rPr>
        <w:t xml:space="preserve"> eur ročne (0,26 % HDP</w:t>
      </w:r>
      <w:r>
        <w:rPr>
          <w:rStyle w:val="Odkaznapoznmkupodiarou"/>
          <w:rFonts w:ascii="Segoe UI" w:eastAsiaTheme="minorHAnsi" w:hAnsi="Segoe UI" w:cs="Segoe UI"/>
          <w:bCs/>
          <w:sz w:val="20"/>
          <w:szCs w:val="20"/>
          <w:lang w:eastAsia="en-US"/>
        </w:rPr>
        <w:footnoteReference w:id="84"/>
      </w:r>
      <w:r w:rsidRPr="00E4561F">
        <w:rPr>
          <w:rFonts w:ascii="Segoe UI" w:eastAsiaTheme="minorHAnsi" w:hAnsi="Segoe UI" w:cs="Segoe UI"/>
          <w:bCs/>
          <w:sz w:val="20"/>
          <w:szCs w:val="20"/>
          <w:lang w:eastAsia="en-US"/>
        </w:rPr>
        <w:t>).</w:t>
      </w:r>
    </w:p>
    <w:p w14:paraId="233EBE48" w14:textId="77777777" w:rsidR="00CF79E4" w:rsidRDefault="00CF79E4" w:rsidP="00CF79E4">
      <w:pPr>
        <w:pStyle w:val="Normlnywebov"/>
        <w:spacing w:before="0" w:beforeAutospacing="0" w:after="120" w:afterAutospacing="0" w:line="276" w:lineRule="auto"/>
        <w:jc w:val="both"/>
        <w:rPr>
          <w:rFonts w:ascii="Segoe UI" w:eastAsiaTheme="minorHAnsi" w:hAnsi="Segoe UI" w:cs="Segoe UI"/>
          <w:bCs/>
          <w:sz w:val="20"/>
          <w:szCs w:val="20"/>
          <w:lang w:eastAsia="en-US"/>
        </w:rPr>
      </w:pPr>
      <w:r>
        <w:rPr>
          <w:rFonts w:ascii="Segoe UI" w:eastAsiaTheme="minorHAnsi" w:hAnsi="Segoe UI" w:cs="Segoe UI"/>
          <w:b/>
          <w:bCs/>
          <w:sz w:val="20"/>
          <w:szCs w:val="20"/>
          <w:lang w:eastAsia="en-US"/>
        </w:rPr>
        <w:t>V</w:t>
      </w:r>
      <w:r w:rsidRPr="000C5ADD">
        <w:rPr>
          <w:rFonts w:ascii="Segoe UI" w:eastAsiaTheme="minorHAnsi" w:hAnsi="Segoe UI" w:cs="Segoe UI"/>
          <w:b/>
          <w:bCs/>
          <w:sz w:val="20"/>
          <w:szCs w:val="20"/>
          <w:lang w:eastAsia="en-US"/>
        </w:rPr>
        <w:t xml:space="preserve"> oblas</w:t>
      </w:r>
      <w:r>
        <w:rPr>
          <w:rFonts w:ascii="Segoe UI" w:eastAsiaTheme="minorHAnsi" w:hAnsi="Segoe UI" w:cs="Segoe UI"/>
          <w:b/>
          <w:bCs/>
          <w:sz w:val="20"/>
          <w:szCs w:val="20"/>
          <w:lang w:eastAsia="en-US"/>
        </w:rPr>
        <w:t>ti</w:t>
      </w:r>
      <w:r w:rsidRPr="000C5ADD">
        <w:rPr>
          <w:rFonts w:ascii="Segoe UI" w:eastAsiaTheme="minorHAnsi" w:hAnsi="Segoe UI" w:cs="Segoe UI"/>
          <w:b/>
          <w:bCs/>
          <w:sz w:val="20"/>
          <w:szCs w:val="20"/>
          <w:lang w:eastAsia="en-US"/>
        </w:rPr>
        <w:t xml:space="preserve"> odpadového hospodárstva sa v roku 2026 rozpočtujú výdavky z prostriedkov EÚ a spolufinancovania v objeme 52,8 mil. eur, čo predstavuje oproti schválenému rozpočtu na rok 2025 nárast o 88 % </w:t>
      </w:r>
      <w:r w:rsidRPr="00ED6472">
        <w:rPr>
          <w:rFonts w:ascii="Segoe UI" w:eastAsiaTheme="minorHAnsi" w:hAnsi="Segoe UI" w:cs="Segoe UI"/>
          <w:sz w:val="20"/>
          <w:szCs w:val="20"/>
          <w:lang w:eastAsia="en-US"/>
        </w:rPr>
        <w:t>(25 mil. eur)</w:t>
      </w:r>
      <w:r w:rsidRPr="000C5ADD">
        <w:rPr>
          <w:rFonts w:ascii="Segoe UI" w:eastAsiaTheme="minorHAnsi" w:hAnsi="Segoe UI" w:cs="Segoe UI"/>
          <w:b/>
          <w:bCs/>
          <w:sz w:val="20"/>
          <w:szCs w:val="20"/>
          <w:lang w:eastAsia="en-US"/>
        </w:rPr>
        <w:t>.</w:t>
      </w:r>
      <w:r>
        <w:rPr>
          <w:rFonts w:ascii="Segoe UI" w:eastAsiaTheme="minorHAnsi" w:hAnsi="Segoe UI" w:cs="Segoe UI"/>
          <w:bCs/>
          <w:sz w:val="20"/>
          <w:szCs w:val="20"/>
          <w:lang w:eastAsia="en-US"/>
        </w:rPr>
        <w:t xml:space="preserve"> Slovensko</w:t>
      </w:r>
      <w:r w:rsidRPr="00EB3254">
        <w:rPr>
          <w:rFonts w:ascii="Segoe UI" w:eastAsiaTheme="minorHAnsi" w:hAnsi="Segoe UI" w:cs="Segoe UI"/>
          <w:bCs/>
          <w:sz w:val="20"/>
          <w:szCs w:val="20"/>
          <w:lang w:eastAsia="en-US"/>
        </w:rPr>
        <w:t xml:space="preserve"> </w:t>
      </w:r>
      <w:r>
        <w:rPr>
          <w:rFonts w:ascii="Segoe UI" w:eastAsiaTheme="minorHAnsi" w:hAnsi="Segoe UI" w:cs="Segoe UI"/>
          <w:bCs/>
          <w:sz w:val="20"/>
          <w:szCs w:val="20"/>
          <w:lang w:eastAsia="en-US"/>
        </w:rPr>
        <w:t>dosiahlo</w:t>
      </w:r>
      <w:r w:rsidRPr="00EB3254">
        <w:rPr>
          <w:rFonts w:ascii="Segoe UI" w:eastAsiaTheme="minorHAnsi" w:hAnsi="Segoe UI" w:cs="Segoe UI"/>
          <w:bCs/>
          <w:sz w:val="20"/>
          <w:szCs w:val="20"/>
          <w:lang w:eastAsia="en-US"/>
        </w:rPr>
        <w:t xml:space="preserve"> </w:t>
      </w:r>
      <w:r>
        <w:rPr>
          <w:rFonts w:ascii="Segoe UI" w:eastAsiaTheme="minorHAnsi" w:hAnsi="Segoe UI" w:cs="Segoe UI"/>
          <w:bCs/>
          <w:sz w:val="20"/>
          <w:szCs w:val="20"/>
          <w:lang w:eastAsia="en-US"/>
        </w:rPr>
        <w:t>výrazne zlepšenie,</w:t>
      </w:r>
      <w:r w:rsidRPr="00EB3254">
        <w:rPr>
          <w:rFonts w:ascii="Segoe UI" w:eastAsiaTheme="minorHAnsi" w:hAnsi="Segoe UI" w:cs="Segoe UI"/>
          <w:bCs/>
          <w:sz w:val="20"/>
          <w:szCs w:val="20"/>
          <w:lang w:eastAsia="en-US"/>
        </w:rPr>
        <w:t xml:space="preserve"> najmä v recyklácii komunálneho a priemyselného odpadu. Dosahuje</w:t>
      </w:r>
      <w:r>
        <w:rPr>
          <w:rFonts w:ascii="Segoe UI" w:eastAsiaTheme="minorHAnsi" w:hAnsi="Segoe UI" w:cs="Segoe UI"/>
          <w:bCs/>
          <w:sz w:val="20"/>
          <w:szCs w:val="20"/>
          <w:lang w:eastAsia="en-US"/>
        </w:rPr>
        <w:t xml:space="preserve"> aj</w:t>
      </w:r>
      <w:r w:rsidRPr="00EB3254">
        <w:rPr>
          <w:rFonts w:ascii="Segoe UI" w:eastAsiaTheme="minorHAnsi" w:hAnsi="Segoe UI" w:cs="Segoe UI"/>
          <w:bCs/>
          <w:sz w:val="20"/>
          <w:szCs w:val="20"/>
          <w:lang w:eastAsia="en-US"/>
        </w:rPr>
        <w:t xml:space="preserve"> nadpriemerné výsledky v niektorých segmentoch</w:t>
      </w:r>
      <w:r>
        <w:rPr>
          <w:rFonts w:ascii="Segoe UI" w:eastAsiaTheme="minorHAnsi" w:hAnsi="Segoe UI" w:cs="Segoe UI"/>
          <w:bCs/>
          <w:sz w:val="20"/>
          <w:szCs w:val="20"/>
          <w:lang w:eastAsia="en-US"/>
        </w:rPr>
        <w:t>, ako sú</w:t>
      </w:r>
      <w:r w:rsidRPr="00EB3254">
        <w:rPr>
          <w:rFonts w:ascii="Segoe UI" w:eastAsiaTheme="minorHAnsi" w:hAnsi="Segoe UI" w:cs="Segoe UI"/>
          <w:bCs/>
          <w:sz w:val="20"/>
          <w:szCs w:val="20"/>
          <w:lang w:eastAsia="en-US"/>
        </w:rPr>
        <w:t xml:space="preserve"> plasty, elektroodpad, stavebný odpad, čo potvrdzuje rastúcu efektívnosť zberu a triedenia.</w:t>
      </w:r>
      <w:r>
        <w:rPr>
          <w:rFonts w:ascii="Segoe UI" w:eastAsiaTheme="minorHAnsi" w:hAnsi="Segoe UI" w:cs="Segoe UI"/>
          <w:bCs/>
          <w:sz w:val="20"/>
          <w:szCs w:val="20"/>
          <w:lang w:eastAsia="en-US"/>
        </w:rPr>
        <w:t xml:space="preserve"> </w:t>
      </w:r>
      <w:r w:rsidRPr="00EB3254">
        <w:rPr>
          <w:rFonts w:ascii="Segoe UI" w:eastAsiaTheme="minorHAnsi" w:hAnsi="Segoe UI" w:cs="Segoe UI"/>
          <w:bCs/>
          <w:sz w:val="20"/>
          <w:szCs w:val="20"/>
          <w:lang w:eastAsia="en-US"/>
        </w:rPr>
        <w:t xml:space="preserve">Napriek tomu zostáva kritická medzera medzi </w:t>
      </w:r>
      <w:r>
        <w:rPr>
          <w:rFonts w:ascii="Segoe UI" w:eastAsiaTheme="minorHAnsi" w:hAnsi="Segoe UI" w:cs="Segoe UI"/>
          <w:bCs/>
          <w:sz w:val="20"/>
          <w:szCs w:val="20"/>
          <w:lang w:eastAsia="en-US"/>
        </w:rPr>
        <w:t xml:space="preserve">legislatívnymi cieľmi a praxou, pričom riziko nesplnenia cieľov EÚ je </w:t>
      </w:r>
      <w:r w:rsidRPr="00EB3254">
        <w:rPr>
          <w:rFonts w:ascii="Segoe UI" w:eastAsiaTheme="minorHAnsi" w:hAnsi="Segoe UI" w:cs="Segoe UI"/>
          <w:bCs/>
          <w:sz w:val="20"/>
          <w:szCs w:val="20"/>
          <w:lang w:eastAsia="en-US"/>
        </w:rPr>
        <w:t>reálne</w:t>
      </w:r>
      <w:r>
        <w:rPr>
          <w:rFonts w:ascii="Segoe UI" w:eastAsiaTheme="minorHAnsi" w:hAnsi="Segoe UI" w:cs="Segoe UI"/>
          <w:bCs/>
          <w:sz w:val="20"/>
          <w:szCs w:val="20"/>
          <w:lang w:eastAsia="en-US"/>
        </w:rPr>
        <w:t xml:space="preserve">. </w:t>
      </w:r>
      <w:r w:rsidRPr="00EB3254">
        <w:rPr>
          <w:rFonts w:ascii="Segoe UI" w:eastAsiaTheme="minorHAnsi" w:hAnsi="Segoe UI" w:cs="Segoe UI"/>
          <w:bCs/>
          <w:sz w:val="20"/>
          <w:szCs w:val="20"/>
          <w:lang w:eastAsia="en-US"/>
        </w:rPr>
        <w:t>Najväčší problém predstavuje pokračujúce skládkovanie bez predúpravy a nízka investičná úroveň do obehovej tran</w:t>
      </w:r>
      <w:r>
        <w:rPr>
          <w:rFonts w:ascii="Segoe UI" w:eastAsiaTheme="minorHAnsi" w:hAnsi="Segoe UI" w:cs="Segoe UI"/>
          <w:bCs/>
          <w:sz w:val="20"/>
          <w:szCs w:val="20"/>
          <w:lang w:eastAsia="en-US"/>
        </w:rPr>
        <w:t xml:space="preserve">sformácie. Odhaduje sa, že minimálne 189 mil. eur </w:t>
      </w:r>
      <w:r w:rsidRPr="00734AEC">
        <w:rPr>
          <w:rFonts w:ascii="Segoe UI" w:eastAsiaTheme="minorHAnsi" w:hAnsi="Segoe UI" w:cs="Segoe UI"/>
          <w:bCs/>
          <w:sz w:val="20"/>
          <w:szCs w:val="20"/>
          <w:lang w:eastAsia="en-US"/>
        </w:rPr>
        <w:t>ročne</w:t>
      </w:r>
      <w:r>
        <w:rPr>
          <w:rStyle w:val="Odkaznapoznmkupodiarou"/>
          <w:rFonts w:ascii="Segoe UI" w:eastAsiaTheme="minorHAnsi" w:hAnsi="Segoe UI" w:cs="Segoe UI"/>
          <w:bCs/>
          <w:sz w:val="20"/>
          <w:szCs w:val="20"/>
          <w:lang w:eastAsia="en-US"/>
        </w:rPr>
        <w:footnoteReference w:id="85"/>
      </w:r>
      <w:r w:rsidRPr="00734AEC">
        <w:rPr>
          <w:rFonts w:ascii="Segoe UI" w:eastAsiaTheme="minorHAnsi" w:hAnsi="Segoe UI" w:cs="Segoe UI"/>
          <w:bCs/>
          <w:sz w:val="20"/>
          <w:szCs w:val="20"/>
          <w:lang w:eastAsia="en-US"/>
        </w:rPr>
        <w:t xml:space="preserve"> chýba na úplnú trans</w:t>
      </w:r>
      <w:r>
        <w:rPr>
          <w:rFonts w:ascii="Segoe UI" w:eastAsiaTheme="minorHAnsi" w:hAnsi="Segoe UI" w:cs="Segoe UI"/>
          <w:bCs/>
          <w:sz w:val="20"/>
          <w:szCs w:val="20"/>
          <w:lang w:eastAsia="en-US"/>
        </w:rPr>
        <w:t xml:space="preserve">formáciu na obehové hospodárstvo. </w:t>
      </w:r>
      <w:r w:rsidRPr="00EB3254">
        <w:rPr>
          <w:rFonts w:ascii="Segoe UI" w:eastAsiaTheme="minorHAnsi" w:hAnsi="Segoe UI" w:cs="Segoe UI"/>
          <w:bCs/>
          <w:sz w:val="20"/>
          <w:szCs w:val="20"/>
          <w:lang w:eastAsia="en-US"/>
        </w:rPr>
        <w:t>Bez výrazného posilnenia financovania, regulačných opatrení a implementácie nových technológií Slovensko nesplní ciele do roku 2035 a</w:t>
      </w:r>
      <w:r>
        <w:rPr>
          <w:rFonts w:ascii="Segoe UI" w:eastAsiaTheme="minorHAnsi" w:hAnsi="Segoe UI" w:cs="Segoe UI"/>
          <w:bCs/>
          <w:sz w:val="20"/>
          <w:szCs w:val="20"/>
          <w:lang w:eastAsia="en-US"/>
        </w:rPr>
        <w:t xml:space="preserve"> stratí </w:t>
      </w:r>
      <w:r w:rsidRPr="00EB3254">
        <w:rPr>
          <w:rFonts w:ascii="Segoe UI" w:eastAsiaTheme="minorHAnsi" w:hAnsi="Segoe UI" w:cs="Segoe UI"/>
          <w:bCs/>
          <w:sz w:val="20"/>
          <w:szCs w:val="20"/>
          <w:lang w:eastAsia="en-US"/>
        </w:rPr>
        <w:t>príležitosť ekonomicky zhodnotiť odpad ako zdroj surovín.</w:t>
      </w:r>
      <w:r>
        <w:rPr>
          <w:rFonts w:ascii="Segoe UI" w:eastAsiaTheme="minorHAnsi" w:hAnsi="Segoe UI" w:cs="Segoe UI"/>
          <w:bCs/>
          <w:sz w:val="20"/>
          <w:szCs w:val="20"/>
          <w:lang w:eastAsia="en-US"/>
        </w:rPr>
        <w:t xml:space="preserve"> </w:t>
      </w:r>
    </w:p>
    <w:p w14:paraId="3916849B" w14:textId="77777777" w:rsidR="00CF79E4" w:rsidRDefault="00CF79E4" w:rsidP="00CF79E4">
      <w:pPr>
        <w:pStyle w:val="Normlnywebov"/>
        <w:spacing w:before="0" w:beforeAutospacing="0" w:after="120" w:afterAutospacing="0" w:line="276" w:lineRule="auto"/>
        <w:jc w:val="both"/>
        <w:rPr>
          <w:rFonts w:ascii="Segoe UI" w:hAnsi="Segoe UI" w:cs="Segoe UI"/>
          <w:sz w:val="20"/>
          <w:szCs w:val="20"/>
        </w:rPr>
      </w:pPr>
      <w:r w:rsidRPr="00142B83">
        <w:rPr>
          <w:rFonts w:ascii="Segoe UI" w:eastAsiaTheme="minorHAnsi" w:hAnsi="Segoe UI" w:cs="Segoe UI"/>
          <w:b/>
          <w:bCs/>
          <w:sz w:val="20"/>
          <w:szCs w:val="20"/>
          <w:lang w:eastAsia="en-US"/>
        </w:rPr>
        <w:t>V </w:t>
      </w:r>
      <w:r>
        <w:rPr>
          <w:rFonts w:ascii="Segoe UI" w:eastAsiaTheme="minorHAnsi" w:hAnsi="Segoe UI" w:cs="Segoe UI"/>
          <w:b/>
          <w:bCs/>
          <w:sz w:val="20"/>
          <w:szCs w:val="20"/>
          <w:lang w:eastAsia="en-US"/>
        </w:rPr>
        <w:t>oblasti</w:t>
      </w:r>
      <w:r w:rsidRPr="00142B83">
        <w:rPr>
          <w:rFonts w:ascii="Segoe UI" w:eastAsiaTheme="minorHAnsi" w:hAnsi="Segoe UI" w:cs="Segoe UI"/>
          <w:b/>
          <w:bCs/>
          <w:sz w:val="20"/>
          <w:szCs w:val="20"/>
          <w:lang w:eastAsia="en-US"/>
        </w:rPr>
        <w:t xml:space="preserve"> </w:t>
      </w:r>
      <w:r w:rsidRPr="00142B83">
        <w:rPr>
          <w:rStyle w:val="Vrazn"/>
          <w:rFonts w:ascii="Segoe UI" w:hAnsi="Segoe UI" w:cs="Segoe UI"/>
          <w:sz w:val="20"/>
          <w:szCs w:val="20"/>
        </w:rPr>
        <w:t>ochrany prírody a biodiverzity</w:t>
      </w:r>
      <w:r w:rsidRPr="00142B83">
        <w:rPr>
          <w:rFonts w:ascii="Segoe UI" w:hAnsi="Segoe UI" w:cs="Segoe UI"/>
          <w:b/>
          <w:sz w:val="20"/>
          <w:szCs w:val="20"/>
        </w:rPr>
        <w:t xml:space="preserve"> sú výdavky na rok 2026 rozpočtované na úrovni 139 mil. eur, čo predstavuje nárast o 77 mil. eur</w:t>
      </w:r>
      <w:r>
        <w:rPr>
          <w:rFonts w:ascii="Segoe UI" w:hAnsi="Segoe UI" w:cs="Segoe UI"/>
          <w:b/>
          <w:sz w:val="20"/>
          <w:szCs w:val="20"/>
        </w:rPr>
        <w:t xml:space="preserve"> oproti schválenému rozpočtu na rok 2025</w:t>
      </w:r>
      <w:r w:rsidRPr="00142B83">
        <w:rPr>
          <w:rFonts w:ascii="Segoe UI" w:hAnsi="Segoe UI" w:cs="Segoe UI"/>
          <w:b/>
          <w:sz w:val="20"/>
          <w:szCs w:val="20"/>
        </w:rPr>
        <w:t xml:space="preserve">. </w:t>
      </w:r>
      <w:r w:rsidRPr="00BB314F">
        <w:rPr>
          <w:rFonts w:ascii="Segoe UI" w:hAnsi="Segoe UI" w:cs="Segoe UI"/>
          <w:sz w:val="20"/>
          <w:szCs w:val="20"/>
        </w:rPr>
        <w:t>Zdvojnásobenie výdavkov naznačuje snahu riešiť kritické podfinancovanie z minulého roku.</w:t>
      </w:r>
      <w:r>
        <w:rPr>
          <w:rFonts w:ascii="Segoe UI" w:hAnsi="Segoe UI" w:cs="Segoe UI"/>
          <w:b/>
          <w:sz w:val="20"/>
          <w:szCs w:val="20"/>
        </w:rPr>
        <w:t xml:space="preserve"> </w:t>
      </w:r>
      <w:r w:rsidRPr="0091704D">
        <w:rPr>
          <w:rFonts w:ascii="Segoe UI" w:hAnsi="Segoe UI" w:cs="Segoe UI"/>
          <w:sz w:val="20"/>
          <w:szCs w:val="20"/>
        </w:rPr>
        <w:t>Rozpočet posilňuje kapitálové výdavky na sanácie a</w:t>
      </w:r>
      <w:r>
        <w:rPr>
          <w:rFonts w:ascii="Segoe UI" w:hAnsi="Segoe UI" w:cs="Segoe UI"/>
          <w:sz w:val="20"/>
          <w:szCs w:val="20"/>
        </w:rPr>
        <w:t> </w:t>
      </w:r>
      <w:r w:rsidRPr="0091704D">
        <w:rPr>
          <w:rFonts w:ascii="Segoe UI" w:hAnsi="Segoe UI" w:cs="Segoe UI"/>
          <w:sz w:val="20"/>
          <w:szCs w:val="20"/>
        </w:rPr>
        <w:t>rekultivácie</w:t>
      </w:r>
      <w:r>
        <w:rPr>
          <w:rFonts w:ascii="Segoe UI" w:hAnsi="Segoe UI" w:cs="Segoe UI"/>
          <w:sz w:val="20"/>
          <w:szCs w:val="20"/>
        </w:rPr>
        <w:t xml:space="preserve"> starých skládok odpadov (52 mil. eur)</w:t>
      </w:r>
      <w:r w:rsidRPr="0091704D">
        <w:rPr>
          <w:rFonts w:ascii="Segoe UI" w:hAnsi="Segoe UI" w:cs="Segoe UI"/>
          <w:sz w:val="20"/>
          <w:szCs w:val="20"/>
        </w:rPr>
        <w:t xml:space="preserve">, najmä </w:t>
      </w:r>
      <w:r>
        <w:rPr>
          <w:rFonts w:ascii="Segoe UI" w:hAnsi="Segoe UI" w:cs="Segoe UI"/>
          <w:sz w:val="20"/>
          <w:szCs w:val="20"/>
        </w:rPr>
        <w:t xml:space="preserve">na </w:t>
      </w:r>
      <w:r w:rsidRPr="0091704D">
        <w:rPr>
          <w:rFonts w:ascii="Segoe UI" w:hAnsi="Segoe UI" w:cs="Segoe UI"/>
          <w:sz w:val="20"/>
          <w:szCs w:val="20"/>
        </w:rPr>
        <w:t xml:space="preserve">uzatvorenie </w:t>
      </w:r>
      <w:r>
        <w:rPr>
          <w:rFonts w:ascii="Segoe UI" w:hAnsi="Segoe UI" w:cs="Segoe UI"/>
          <w:sz w:val="20"/>
          <w:szCs w:val="20"/>
        </w:rPr>
        <w:t xml:space="preserve">skládky Vlčie Hory (25 mil. eur), ako aj na </w:t>
      </w:r>
      <w:r w:rsidRPr="00817C68">
        <w:rPr>
          <w:rFonts w:ascii="Segoe UI" w:hAnsi="Segoe UI" w:cs="Segoe UI"/>
          <w:sz w:val="20"/>
          <w:szCs w:val="20"/>
        </w:rPr>
        <w:t>lokalite Chemko, a. s., Strážske</w:t>
      </w:r>
      <w:r>
        <w:rPr>
          <w:rFonts w:ascii="Segoe UI" w:hAnsi="Segoe UI" w:cs="Segoe UI"/>
          <w:sz w:val="20"/>
          <w:szCs w:val="20"/>
        </w:rPr>
        <w:t xml:space="preserve"> a ďalších. </w:t>
      </w:r>
    </w:p>
    <w:p w14:paraId="2FEA0DD8" w14:textId="540E6C07" w:rsidR="00CF79E4" w:rsidRDefault="00CF79E4" w:rsidP="00CF79E4">
      <w:pPr>
        <w:pStyle w:val="Normlnywebov"/>
        <w:spacing w:before="0" w:beforeAutospacing="0" w:after="120" w:afterAutospacing="0" w:line="276" w:lineRule="auto"/>
        <w:jc w:val="both"/>
        <w:rPr>
          <w:rFonts w:ascii="Segoe UI" w:hAnsi="Segoe UI" w:cs="Segoe UI"/>
          <w:sz w:val="20"/>
          <w:szCs w:val="20"/>
        </w:rPr>
      </w:pPr>
      <w:r>
        <w:rPr>
          <w:rFonts w:ascii="Segoe UI" w:hAnsi="Segoe UI" w:cs="Segoe UI"/>
          <w:b/>
          <w:bCs/>
          <w:sz w:val="20"/>
          <w:szCs w:val="20"/>
        </w:rPr>
        <w:t>Slovensko</w:t>
      </w:r>
      <w:r w:rsidRPr="00060BF3">
        <w:rPr>
          <w:rFonts w:ascii="Segoe UI" w:hAnsi="Segoe UI" w:cs="Segoe UI"/>
          <w:b/>
          <w:bCs/>
          <w:sz w:val="20"/>
          <w:szCs w:val="20"/>
        </w:rPr>
        <w:t xml:space="preserve"> má pomerne rozs</w:t>
      </w:r>
      <w:r>
        <w:rPr>
          <w:rFonts w:ascii="Segoe UI" w:hAnsi="Segoe UI" w:cs="Segoe UI"/>
          <w:b/>
          <w:bCs/>
          <w:sz w:val="20"/>
          <w:szCs w:val="20"/>
        </w:rPr>
        <w:t>i</w:t>
      </w:r>
      <w:r w:rsidRPr="00060BF3">
        <w:rPr>
          <w:rFonts w:ascii="Segoe UI" w:hAnsi="Segoe UI" w:cs="Segoe UI"/>
          <w:b/>
          <w:bCs/>
          <w:sz w:val="20"/>
          <w:szCs w:val="20"/>
        </w:rPr>
        <w:t>ah</w:t>
      </w:r>
      <w:r>
        <w:rPr>
          <w:rFonts w:ascii="Segoe UI" w:hAnsi="Segoe UI" w:cs="Segoe UI"/>
          <w:b/>
          <w:bCs/>
          <w:sz w:val="20"/>
          <w:szCs w:val="20"/>
        </w:rPr>
        <w:t>ly</w:t>
      </w:r>
      <w:r w:rsidRPr="00060BF3">
        <w:rPr>
          <w:rFonts w:ascii="Segoe UI" w:hAnsi="Segoe UI" w:cs="Segoe UI"/>
          <w:b/>
          <w:bCs/>
          <w:sz w:val="20"/>
          <w:szCs w:val="20"/>
        </w:rPr>
        <w:t xml:space="preserve"> </w:t>
      </w:r>
      <w:r>
        <w:rPr>
          <w:rFonts w:ascii="Segoe UI" w:hAnsi="Segoe UI" w:cs="Segoe UI"/>
          <w:b/>
          <w:bCs/>
          <w:sz w:val="20"/>
          <w:szCs w:val="20"/>
        </w:rPr>
        <w:t xml:space="preserve">systém </w:t>
      </w:r>
      <w:r w:rsidRPr="00060BF3">
        <w:rPr>
          <w:rFonts w:ascii="Segoe UI" w:hAnsi="Segoe UI" w:cs="Segoe UI"/>
          <w:b/>
          <w:bCs/>
          <w:sz w:val="20"/>
          <w:szCs w:val="20"/>
        </w:rPr>
        <w:t xml:space="preserve">chránených území, </w:t>
      </w:r>
      <w:r>
        <w:rPr>
          <w:rFonts w:ascii="Segoe UI" w:hAnsi="Segoe UI" w:cs="Segoe UI"/>
          <w:b/>
          <w:bCs/>
          <w:sz w:val="20"/>
          <w:szCs w:val="20"/>
        </w:rPr>
        <w:t>avšak</w:t>
      </w:r>
      <w:r w:rsidRPr="00060BF3">
        <w:rPr>
          <w:rFonts w:ascii="Segoe UI" w:hAnsi="Segoe UI" w:cs="Segoe UI"/>
          <w:b/>
          <w:bCs/>
          <w:sz w:val="20"/>
          <w:szCs w:val="20"/>
        </w:rPr>
        <w:t xml:space="preserve"> kvalita ich ochrany nie je </w:t>
      </w:r>
      <w:r>
        <w:rPr>
          <w:rFonts w:ascii="Segoe UI" w:hAnsi="Segoe UI" w:cs="Segoe UI"/>
          <w:b/>
          <w:bCs/>
          <w:sz w:val="20"/>
          <w:szCs w:val="20"/>
        </w:rPr>
        <w:t>dostatočne</w:t>
      </w:r>
      <w:r w:rsidRPr="00060BF3">
        <w:rPr>
          <w:rFonts w:ascii="Segoe UI" w:hAnsi="Segoe UI" w:cs="Segoe UI"/>
          <w:b/>
          <w:bCs/>
          <w:sz w:val="20"/>
          <w:szCs w:val="20"/>
        </w:rPr>
        <w:t xml:space="preserve"> efektívna </w:t>
      </w:r>
      <w:r w:rsidR="00A03BA1">
        <w:rPr>
          <w:rFonts w:ascii="Segoe UI" w:hAnsi="Segoe UI" w:cs="Segoe UI"/>
          <w:b/>
          <w:bCs/>
          <w:sz w:val="20"/>
          <w:szCs w:val="20"/>
        </w:rPr>
        <w:t xml:space="preserve">– </w:t>
      </w:r>
      <w:r w:rsidRPr="00060BF3">
        <w:rPr>
          <w:rFonts w:ascii="Segoe UI" w:hAnsi="Segoe UI" w:cs="Segoe UI"/>
          <w:b/>
          <w:bCs/>
          <w:sz w:val="20"/>
          <w:szCs w:val="20"/>
        </w:rPr>
        <w:t>chýbajú konkrétne opatrenia a aktívny manažment.</w:t>
      </w:r>
      <w:r>
        <w:rPr>
          <w:rFonts w:ascii="Segoe UI" w:hAnsi="Segoe UI" w:cs="Segoe UI"/>
          <w:sz w:val="20"/>
          <w:szCs w:val="20"/>
        </w:rPr>
        <w:t xml:space="preserve"> Doposiaľ absentujú významné </w:t>
      </w:r>
      <w:r w:rsidRPr="00EF5496">
        <w:rPr>
          <w:rFonts w:ascii="Segoe UI" w:hAnsi="Segoe UI" w:cs="Segoe UI"/>
          <w:sz w:val="20"/>
          <w:szCs w:val="20"/>
        </w:rPr>
        <w:t>strategické dokumenty</w:t>
      </w:r>
      <w:r>
        <w:rPr>
          <w:rFonts w:ascii="Segoe UI" w:hAnsi="Segoe UI" w:cs="Segoe UI"/>
          <w:sz w:val="20"/>
          <w:szCs w:val="20"/>
        </w:rPr>
        <w:t xml:space="preserve"> (napr. schválená národná stratégia</w:t>
      </w:r>
      <w:r w:rsidRPr="00EF5496">
        <w:rPr>
          <w:rFonts w:ascii="Segoe UI" w:hAnsi="Segoe UI" w:cs="Segoe UI"/>
          <w:sz w:val="20"/>
          <w:szCs w:val="20"/>
        </w:rPr>
        <w:t xml:space="preserve"> a akčný plán pre biodiverzitu do roku 2030</w:t>
      </w:r>
      <w:r>
        <w:rPr>
          <w:rFonts w:ascii="Segoe UI" w:hAnsi="Segoe UI" w:cs="Segoe UI"/>
          <w:sz w:val="20"/>
          <w:szCs w:val="20"/>
        </w:rPr>
        <w:t>)</w:t>
      </w:r>
      <w:r w:rsidRPr="00EF5496">
        <w:rPr>
          <w:rFonts w:ascii="Segoe UI" w:hAnsi="Segoe UI" w:cs="Segoe UI"/>
          <w:sz w:val="20"/>
          <w:szCs w:val="20"/>
        </w:rPr>
        <w:t xml:space="preserve"> a</w:t>
      </w:r>
      <w:r>
        <w:rPr>
          <w:rFonts w:ascii="Segoe UI" w:hAnsi="Segoe UI" w:cs="Segoe UI"/>
          <w:sz w:val="20"/>
          <w:szCs w:val="20"/>
        </w:rPr>
        <w:t xml:space="preserve"> adekvátne </w:t>
      </w:r>
      <w:r w:rsidRPr="00EF5496">
        <w:rPr>
          <w:rFonts w:ascii="Segoe UI" w:hAnsi="Segoe UI" w:cs="Segoe UI"/>
          <w:sz w:val="20"/>
          <w:szCs w:val="20"/>
        </w:rPr>
        <w:t>financovanie, čo brzdí implementáciu cieľov EÚ a OSN.</w:t>
      </w:r>
      <w:r>
        <w:rPr>
          <w:rFonts w:ascii="Segoe UI" w:hAnsi="Segoe UI" w:cs="Segoe UI"/>
          <w:sz w:val="20"/>
          <w:szCs w:val="20"/>
        </w:rPr>
        <w:t xml:space="preserve"> </w:t>
      </w:r>
      <w:r w:rsidRPr="00EF5496">
        <w:rPr>
          <w:rFonts w:ascii="Segoe UI" w:hAnsi="Segoe UI" w:cs="Segoe UI"/>
          <w:sz w:val="20"/>
          <w:szCs w:val="20"/>
        </w:rPr>
        <w:t xml:space="preserve">Zníženie finančnej podpory pre ochranu prírody </w:t>
      </w:r>
      <w:r>
        <w:rPr>
          <w:rFonts w:ascii="Segoe UI" w:hAnsi="Segoe UI" w:cs="Segoe UI"/>
          <w:sz w:val="20"/>
          <w:szCs w:val="20"/>
        </w:rPr>
        <w:t xml:space="preserve">je </w:t>
      </w:r>
      <w:r w:rsidRPr="00EF5496">
        <w:rPr>
          <w:rFonts w:ascii="Segoe UI" w:hAnsi="Segoe UI" w:cs="Segoe UI"/>
          <w:sz w:val="20"/>
          <w:szCs w:val="20"/>
        </w:rPr>
        <w:t>v priamom rozpore s cieľmi obnovy ekosystémov a môže negatívn</w:t>
      </w:r>
      <w:r>
        <w:rPr>
          <w:rFonts w:ascii="Segoe UI" w:hAnsi="Segoe UI" w:cs="Segoe UI"/>
          <w:sz w:val="20"/>
          <w:szCs w:val="20"/>
        </w:rPr>
        <w:t>e</w:t>
      </w:r>
      <w:r w:rsidRPr="00EF5496">
        <w:rPr>
          <w:rFonts w:ascii="Segoe UI" w:hAnsi="Segoe UI" w:cs="Segoe UI"/>
          <w:sz w:val="20"/>
          <w:szCs w:val="20"/>
        </w:rPr>
        <w:t xml:space="preserve"> </w:t>
      </w:r>
      <w:r>
        <w:rPr>
          <w:rFonts w:ascii="Segoe UI" w:hAnsi="Segoe UI" w:cs="Segoe UI"/>
          <w:sz w:val="20"/>
          <w:szCs w:val="20"/>
        </w:rPr>
        <w:t>ov</w:t>
      </w:r>
      <w:r w:rsidRPr="00EF5496">
        <w:rPr>
          <w:rFonts w:ascii="Segoe UI" w:hAnsi="Segoe UI" w:cs="Segoe UI"/>
          <w:sz w:val="20"/>
          <w:szCs w:val="20"/>
        </w:rPr>
        <w:t>plyvn</w:t>
      </w:r>
      <w:r>
        <w:rPr>
          <w:rFonts w:ascii="Segoe UI" w:hAnsi="Segoe UI" w:cs="Segoe UI"/>
          <w:sz w:val="20"/>
          <w:szCs w:val="20"/>
        </w:rPr>
        <w:t>iť</w:t>
      </w:r>
      <w:r w:rsidRPr="00EF5496">
        <w:rPr>
          <w:rFonts w:ascii="Segoe UI" w:hAnsi="Segoe UI" w:cs="Segoe UI"/>
          <w:sz w:val="20"/>
          <w:szCs w:val="20"/>
        </w:rPr>
        <w:t xml:space="preserve"> biodiverzitu aj dlhodobý ekonomický rozvoj</w:t>
      </w:r>
      <w:r>
        <w:rPr>
          <w:rFonts w:ascii="Segoe UI" w:hAnsi="Segoe UI" w:cs="Segoe UI"/>
          <w:sz w:val="20"/>
          <w:szCs w:val="20"/>
        </w:rPr>
        <w:t>,</w:t>
      </w:r>
      <w:r w:rsidRPr="00EF5496">
        <w:rPr>
          <w:rFonts w:ascii="Segoe UI" w:hAnsi="Segoe UI" w:cs="Segoe UI"/>
          <w:sz w:val="20"/>
          <w:szCs w:val="20"/>
        </w:rPr>
        <w:t xml:space="preserve"> napr</w:t>
      </w:r>
      <w:r>
        <w:rPr>
          <w:rFonts w:ascii="Segoe UI" w:hAnsi="Segoe UI" w:cs="Segoe UI"/>
          <w:sz w:val="20"/>
          <w:szCs w:val="20"/>
        </w:rPr>
        <w:t>íklad</w:t>
      </w:r>
      <w:r w:rsidRPr="00EF5496">
        <w:rPr>
          <w:rFonts w:ascii="Segoe UI" w:hAnsi="Segoe UI" w:cs="Segoe UI"/>
          <w:sz w:val="20"/>
          <w:szCs w:val="20"/>
        </w:rPr>
        <w:t xml:space="preserve"> </w:t>
      </w:r>
      <w:r>
        <w:rPr>
          <w:rFonts w:ascii="Segoe UI" w:hAnsi="Segoe UI" w:cs="Segoe UI"/>
          <w:sz w:val="20"/>
          <w:szCs w:val="20"/>
        </w:rPr>
        <w:t xml:space="preserve">v oblasti </w:t>
      </w:r>
      <w:r w:rsidRPr="00EF5496">
        <w:rPr>
          <w:rFonts w:ascii="Segoe UI" w:hAnsi="Segoe UI" w:cs="Segoe UI"/>
          <w:sz w:val="20"/>
          <w:szCs w:val="20"/>
        </w:rPr>
        <w:t>turizmu</w:t>
      </w:r>
      <w:r>
        <w:rPr>
          <w:rFonts w:ascii="Segoe UI" w:hAnsi="Segoe UI" w:cs="Segoe UI"/>
          <w:sz w:val="20"/>
          <w:szCs w:val="20"/>
        </w:rPr>
        <w:t xml:space="preserve"> či</w:t>
      </w:r>
      <w:r w:rsidRPr="00EF5496">
        <w:rPr>
          <w:rFonts w:ascii="Segoe UI" w:hAnsi="Segoe UI" w:cs="Segoe UI"/>
          <w:sz w:val="20"/>
          <w:szCs w:val="20"/>
        </w:rPr>
        <w:t xml:space="preserve"> ekosystémov</w:t>
      </w:r>
      <w:r>
        <w:rPr>
          <w:rFonts w:ascii="Segoe UI" w:hAnsi="Segoe UI" w:cs="Segoe UI"/>
          <w:sz w:val="20"/>
          <w:szCs w:val="20"/>
        </w:rPr>
        <w:t>ých</w:t>
      </w:r>
      <w:r w:rsidRPr="00EF5496">
        <w:rPr>
          <w:rFonts w:ascii="Segoe UI" w:hAnsi="Segoe UI" w:cs="Segoe UI"/>
          <w:sz w:val="20"/>
          <w:szCs w:val="20"/>
        </w:rPr>
        <w:t xml:space="preserve"> služ</w:t>
      </w:r>
      <w:r>
        <w:rPr>
          <w:rFonts w:ascii="Segoe UI" w:hAnsi="Segoe UI" w:cs="Segoe UI"/>
          <w:sz w:val="20"/>
          <w:szCs w:val="20"/>
        </w:rPr>
        <w:t>ieb.</w:t>
      </w:r>
    </w:p>
    <w:p w14:paraId="529AA1FA" w14:textId="543B1652" w:rsidR="00B829E1" w:rsidRPr="00060BF3" w:rsidRDefault="00CF79E4" w:rsidP="00081C95">
      <w:pPr>
        <w:rPr>
          <w:rFonts w:eastAsia="Times New Roman" w:cs="Segoe UI"/>
          <w:b/>
          <w:bCs/>
          <w:szCs w:val="20"/>
          <w:lang w:eastAsia="sk-SK"/>
        </w:rPr>
      </w:pPr>
      <w:r w:rsidRPr="009242CD">
        <w:rPr>
          <w:rFonts w:cs="Segoe UI"/>
          <w:b/>
          <w:szCs w:val="20"/>
        </w:rPr>
        <w:t xml:space="preserve">Celkovo možno návrh rozpočtu pre oblasť </w:t>
      </w:r>
      <w:r>
        <w:rPr>
          <w:rFonts w:cs="Segoe UI"/>
          <w:b/>
          <w:szCs w:val="20"/>
        </w:rPr>
        <w:t>životného prostredia na rok 2026</w:t>
      </w:r>
      <w:r w:rsidRPr="009242CD">
        <w:rPr>
          <w:rFonts w:cs="Segoe UI"/>
          <w:b/>
          <w:szCs w:val="20"/>
        </w:rPr>
        <w:t xml:space="preserve"> hodnotiť ako rozpočtovo poddimenzovaný</w:t>
      </w:r>
      <w:r>
        <w:rPr>
          <w:rFonts w:cs="Segoe UI"/>
          <w:b/>
          <w:szCs w:val="20"/>
        </w:rPr>
        <w:t>.</w:t>
      </w:r>
      <w:r w:rsidRPr="009242CD">
        <w:rPr>
          <w:rFonts w:cs="Segoe UI"/>
          <w:b/>
          <w:szCs w:val="20"/>
        </w:rPr>
        <w:t xml:space="preserve"> </w:t>
      </w:r>
      <w:r w:rsidRPr="00501658">
        <w:rPr>
          <w:rFonts w:cs="Segoe UI"/>
          <w:bCs/>
          <w:szCs w:val="20"/>
        </w:rPr>
        <w:t xml:space="preserve">Rozdelenie finančných prostriedkov medzi jednotlivé strategické oblasti nie je vyvážené, pričom existujú výrazné disproporcie medzi oblasťami, ktoré sú predmetom legislatívnych povinností SR (voda, príroda, klíma) a oblasťami, ktoré sú v centre pozornosti vďaka fondovým zdrojom (energia, odpady). Návrh </w:t>
      </w:r>
      <w:r w:rsidRPr="00501658">
        <w:rPr>
          <w:rFonts w:eastAsia="Times New Roman" w:cs="Segoe UI"/>
          <w:bCs/>
          <w:szCs w:val="20"/>
          <w:lang w:eastAsia="sk-SK"/>
        </w:rPr>
        <w:t>reflektuje environmentálne priority EÚ, avšak opätovne preukazuje vysokú závislosť od európskych fondov (takmer 60 % výdavkov</w:t>
      </w:r>
      <w:r w:rsidR="00361B96">
        <w:rPr>
          <w:rFonts w:eastAsia="Times New Roman" w:cs="Segoe UI"/>
          <w:bCs/>
          <w:szCs w:val="20"/>
          <w:lang w:eastAsia="sk-SK"/>
        </w:rPr>
        <w:t xml:space="preserve"> rezortu</w:t>
      </w:r>
      <w:r w:rsidRPr="00501658">
        <w:rPr>
          <w:rFonts w:eastAsia="Times New Roman" w:cs="Segoe UI"/>
          <w:bCs/>
          <w:szCs w:val="20"/>
          <w:lang w:eastAsia="sk-SK"/>
        </w:rPr>
        <w:t>).</w:t>
      </w:r>
      <w:r w:rsidRPr="009242CD">
        <w:rPr>
          <w:rFonts w:eastAsia="Times New Roman" w:cs="Segoe UI"/>
          <w:szCs w:val="20"/>
          <w:lang w:eastAsia="sk-SK"/>
        </w:rPr>
        <w:t xml:space="preserve"> </w:t>
      </w:r>
      <w:r w:rsidRPr="00060BF3">
        <w:rPr>
          <w:rFonts w:eastAsia="Times New Roman" w:cs="Segoe UI"/>
          <w:b/>
          <w:bCs/>
          <w:szCs w:val="20"/>
          <w:lang w:eastAsia="sk-SK"/>
        </w:rPr>
        <w:t xml:space="preserve">NKÚ SR preto odporúča </w:t>
      </w:r>
      <w:r w:rsidRPr="00060BF3">
        <w:rPr>
          <w:rFonts w:cs="Segoe UI"/>
          <w:b/>
          <w:bCs/>
          <w:szCs w:val="20"/>
        </w:rPr>
        <w:t>prehodnotiť rozpočtové priority a posilniť stabilné domáce financovanie environmentálnych politík, ktoré nie sú plne kryté z európskych zdrojov.</w:t>
      </w:r>
      <w:r w:rsidR="00B829E1" w:rsidRPr="00B829E1">
        <w:rPr>
          <w:rFonts w:cs="Segoe UI"/>
          <w:bCs/>
          <w:szCs w:val="20"/>
        </w:rPr>
        <w:br w:type="page"/>
      </w:r>
    </w:p>
    <w:p w14:paraId="42FDA198" w14:textId="4EB62234" w:rsidR="00AA3773" w:rsidRDefault="00B46458" w:rsidP="00B46458">
      <w:pPr>
        <w:pStyle w:val="Nadpis1"/>
      </w:pPr>
      <w:bookmarkStart w:id="59" w:name="_Toc211249102"/>
      <w:r>
        <w:lastRenderedPageBreak/>
        <w:t>Príloha</w:t>
      </w:r>
      <w:bookmarkEnd w:id="59"/>
    </w:p>
    <w:p w14:paraId="099F8CD8" w14:textId="3D927787" w:rsidR="001932B9" w:rsidRPr="00704A6C" w:rsidRDefault="001932B9" w:rsidP="001932B9">
      <w:pPr>
        <w:keepNext/>
        <w:spacing w:after="0"/>
        <w:rPr>
          <w:b/>
          <w:bCs/>
        </w:rPr>
      </w:pPr>
      <w:r w:rsidRPr="00666FA8">
        <w:rPr>
          <w:rFonts w:eastAsia="Calibri" w:cs="Times New Roman"/>
          <w:b/>
          <w:iCs/>
          <w:color w:val="314364"/>
          <w:szCs w:val="18"/>
        </w:rPr>
        <w:t xml:space="preserve">Tabuľka </w:t>
      </w:r>
      <w:r>
        <w:rPr>
          <w:rFonts w:eastAsia="Calibri" w:cs="Times New Roman"/>
          <w:b/>
          <w:iCs/>
          <w:color w:val="314364"/>
          <w:szCs w:val="18"/>
        </w:rPr>
        <w:t>1</w:t>
      </w:r>
      <w:r w:rsidR="0032471C">
        <w:rPr>
          <w:rFonts w:eastAsia="Calibri" w:cs="Times New Roman"/>
          <w:b/>
          <w:iCs/>
          <w:color w:val="314364"/>
          <w:szCs w:val="18"/>
        </w:rPr>
        <w:t>5</w:t>
      </w:r>
      <w:r w:rsidRPr="00666FA8">
        <w:rPr>
          <w:rFonts w:eastAsia="Calibri" w:cs="Times New Roman"/>
          <w:b/>
          <w:iCs/>
          <w:color w:val="314364"/>
          <w:szCs w:val="18"/>
        </w:rPr>
        <w:t>: Vývoj zamestnanosti v kapitolách štátneho rozpočtu za aparáty ústredných orgánov</w:t>
      </w:r>
    </w:p>
    <w:tbl>
      <w:tblPr>
        <w:tblStyle w:val="Mriekatabuky"/>
        <w:tblW w:w="9378" w:type="dxa"/>
        <w:tblBorders>
          <w:top w:val="none" w:sz="0" w:space="0" w:color="auto"/>
          <w:left w:val="none" w:sz="0" w:space="0" w:color="auto"/>
          <w:bottom w:val="single" w:sz="4" w:space="0" w:color="314364" w:themeColor="text2"/>
          <w:right w:val="none" w:sz="0" w:space="0" w:color="auto"/>
          <w:insideH w:val="none" w:sz="0" w:space="0" w:color="auto"/>
          <w:insideV w:val="none" w:sz="0" w:space="0" w:color="auto"/>
        </w:tblBorders>
        <w:tblLook w:val="04A0" w:firstRow="1" w:lastRow="0" w:firstColumn="1" w:lastColumn="0" w:noHBand="0" w:noVBand="1"/>
      </w:tblPr>
      <w:tblGrid>
        <w:gridCol w:w="3544"/>
        <w:gridCol w:w="1134"/>
        <w:gridCol w:w="1105"/>
        <w:gridCol w:w="1184"/>
        <w:gridCol w:w="1145"/>
        <w:gridCol w:w="1266"/>
      </w:tblGrid>
      <w:tr w:rsidR="001932B9" w:rsidRPr="007964BB" w14:paraId="5862A014" w14:textId="77777777" w:rsidTr="00BB314F">
        <w:trPr>
          <w:trHeight w:val="283"/>
          <w:tblHeader/>
        </w:trPr>
        <w:tc>
          <w:tcPr>
            <w:tcW w:w="3544" w:type="dxa"/>
            <w:shd w:val="clear" w:color="auto" w:fill="314364" w:themeFill="text2"/>
            <w:vAlign w:val="center"/>
            <w:hideMark/>
          </w:tcPr>
          <w:p w14:paraId="48EADFA2" w14:textId="77777777" w:rsidR="001932B9" w:rsidRPr="00BB314F" w:rsidRDefault="001932B9" w:rsidP="00BB314F">
            <w:pPr>
              <w:spacing w:after="0"/>
              <w:jc w:val="left"/>
              <w:rPr>
                <w:rFonts w:cs="Segoe UI"/>
                <w:b/>
                <w:bCs/>
                <w:sz w:val="18"/>
                <w:szCs w:val="18"/>
              </w:rPr>
            </w:pPr>
            <w:r w:rsidRPr="00BB314F">
              <w:rPr>
                <w:rFonts w:cs="Segoe UI"/>
                <w:b/>
                <w:bCs/>
                <w:sz w:val="18"/>
                <w:szCs w:val="18"/>
              </w:rPr>
              <w:t> </w:t>
            </w:r>
            <w:r w:rsidRPr="007E0E91">
              <w:rPr>
                <w:rFonts w:cs="Segoe UI"/>
                <w:b/>
                <w:bCs/>
                <w:color w:val="FFFFFF" w:themeColor="background1"/>
                <w:sz w:val="18"/>
                <w:szCs w:val="18"/>
              </w:rPr>
              <w:t>Kapitola</w:t>
            </w:r>
          </w:p>
        </w:tc>
        <w:tc>
          <w:tcPr>
            <w:tcW w:w="1134" w:type="dxa"/>
            <w:shd w:val="clear" w:color="auto" w:fill="314364" w:themeFill="text2"/>
            <w:vAlign w:val="center"/>
            <w:hideMark/>
          </w:tcPr>
          <w:p w14:paraId="75922749" w14:textId="77777777" w:rsidR="001932B9" w:rsidRPr="007E0E91" w:rsidRDefault="001932B9" w:rsidP="00BB314F">
            <w:pPr>
              <w:spacing w:after="0"/>
              <w:jc w:val="right"/>
              <w:rPr>
                <w:rFonts w:cs="Segoe UI"/>
                <w:b/>
                <w:bCs/>
                <w:color w:val="FFFFFF" w:themeColor="background1"/>
                <w:sz w:val="18"/>
                <w:szCs w:val="18"/>
              </w:rPr>
            </w:pPr>
            <w:r w:rsidRPr="007E0E91">
              <w:rPr>
                <w:rFonts w:cs="Segoe UI"/>
                <w:b/>
                <w:bCs/>
                <w:color w:val="FFFFFF" w:themeColor="background1"/>
                <w:sz w:val="18"/>
                <w:szCs w:val="18"/>
              </w:rPr>
              <w:t xml:space="preserve">Limit 2025 </w:t>
            </w:r>
          </w:p>
        </w:tc>
        <w:tc>
          <w:tcPr>
            <w:tcW w:w="1105" w:type="dxa"/>
            <w:shd w:val="clear" w:color="auto" w:fill="314364" w:themeFill="text2"/>
            <w:vAlign w:val="center"/>
            <w:hideMark/>
          </w:tcPr>
          <w:p w14:paraId="02FA08C5" w14:textId="77777777" w:rsidR="001932B9" w:rsidRPr="007E0E91" w:rsidRDefault="001932B9" w:rsidP="00BB314F">
            <w:pPr>
              <w:spacing w:after="0"/>
              <w:jc w:val="right"/>
              <w:rPr>
                <w:rFonts w:cs="Segoe UI"/>
                <w:b/>
                <w:bCs/>
                <w:color w:val="FFFFFF" w:themeColor="background1"/>
                <w:sz w:val="18"/>
                <w:szCs w:val="18"/>
              </w:rPr>
            </w:pPr>
            <w:r w:rsidRPr="007E0E91">
              <w:rPr>
                <w:rFonts w:cs="Segoe UI"/>
                <w:b/>
                <w:bCs/>
                <w:color w:val="FFFFFF" w:themeColor="background1"/>
                <w:sz w:val="18"/>
                <w:szCs w:val="18"/>
              </w:rPr>
              <w:t>Upravený limit 2025</w:t>
            </w:r>
          </w:p>
        </w:tc>
        <w:tc>
          <w:tcPr>
            <w:tcW w:w="1184" w:type="dxa"/>
            <w:shd w:val="clear" w:color="auto" w:fill="314364" w:themeFill="text2"/>
            <w:vAlign w:val="center"/>
            <w:hideMark/>
          </w:tcPr>
          <w:p w14:paraId="4D2F1ABF" w14:textId="77777777" w:rsidR="001932B9" w:rsidRPr="007E0E91" w:rsidRDefault="001932B9" w:rsidP="00BB314F">
            <w:pPr>
              <w:spacing w:after="0"/>
              <w:jc w:val="right"/>
              <w:rPr>
                <w:rFonts w:cs="Segoe UI"/>
                <w:b/>
                <w:bCs/>
                <w:color w:val="FFFFFF" w:themeColor="background1"/>
                <w:sz w:val="18"/>
                <w:szCs w:val="18"/>
              </w:rPr>
            </w:pPr>
            <w:r w:rsidRPr="007E0E91">
              <w:rPr>
                <w:rFonts w:cs="Segoe UI"/>
                <w:b/>
                <w:bCs/>
                <w:color w:val="FFFFFF" w:themeColor="background1"/>
                <w:sz w:val="18"/>
                <w:szCs w:val="18"/>
              </w:rPr>
              <w:t>Skutočnosť 30.6.2025</w:t>
            </w:r>
          </w:p>
        </w:tc>
        <w:tc>
          <w:tcPr>
            <w:tcW w:w="1145" w:type="dxa"/>
            <w:shd w:val="clear" w:color="auto" w:fill="314364" w:themeFill="text2"/>
            <w:vAlign w:val="center"/>
            <w:hideMark/>
          </w:tcPr>
          <w:p w14:paraId="2321FF89" w14:textId="77777777" w:rsidR="001932B9" w:rsidRPr="007E0E91" w:rsidRDefault="001932B9" w:rsidP="00BB314F">
            <w:pPr>
              <w:spacing w:after="0"/>
              <w:jc w:val="right"/>
              <w:rPr>
                <w:rFonts w:cs="Segoe UI"/>
                <w:b/>
                <w:bCs/>
                <w:color w:val="FFFFFF" w:themeColor="background1"/>
                <w:sz w:val="18"/>
                <w:szCs w:val="18"/>
              </w:rPr>
            </w:pPr>
            <w:r w:rsidRPr="007E0E91">
              <w:rPr>
                <w:rFonts w:cs="Segoe UI"/>
                <w:b/>
                <w:bCs/>
                <w:color w:val="FFFFFF" w:themeColor="background1"/>
                <w:sz w:val="18"/>
                <w:szCs w:val="18"/>
              </w:rPr>
              <w:t>Limit 2026</w:t>
            </w:r>
          </w:p>
        </w:tc>
        <w:tc>
          <w:tcPr>
            <w:tcW w:w="1266" w:type="dxa"/>
            <w:shd w:val="clear" w:color="auto" w:fill="314364" w:themeFill="text2"/>
            <w:vAlign w:val="center"/>
            <w:hideMark/>
          </w:tcPr>
          <w:p w14:paraId="6A54F5B2" w14:textId="77777777" w:rsidR="001932B9" w:rsidRPr="007E0E91" w:rsidRDefault="001932B9" w:rsidP="00BB314F">
            <w:pPr>
              <w:spacing w:after="0"/>
              <w:jc w:val="right"/>
              <w:rPr>
                <w:rFonts w:cs="Segoe UI"/>
                <w:b/>
                <w:bCs/>
                <w:color w:val="FFFFFF" w:themeColor="background1"/>
                <w:sz w:val="18"/>
                <w:szCs w:val="18"/>
              </w:rPr>
            </w:pPr>
            <w:r w:rsidRPr="007E0E91">
              <w:rPr>
                <w:rFonts w:cs="Segoe UI"/>
                <w:b/>
                <w:bCs/>
                <w:color w:val="FFFFFF" w:themeColor="background1"/>
                <w:sz w:val="18"/>
                <w:szCs w:val="18"/>
              </w:rPr>
              <w:t xml:space="preserve">2026 - 2025 </w:t>
            </w:r>
          </w:p>
        </w:tc>
      </w:tr>
      <w:tr w:rsidR="001932B9" w:rsidRPr="007964BB" w14:paraId="05B212A9" w14:textId="77777777" w:rsidTr="00BB314F">
        <w:trPr>
          <w:trHeight w:val="283"/>
          <w:tblHeader/>
        </w:trPr>
        <w:tc>
          <w:tcPr>
            <w:tcW w:w="3544" w:type="dxa"/>
            <w:noWrap/>
            <w:vAlign w:val="center"/>
            <w:hideMark/>
          </w:tcPr>
          <w:p w14:paraId="5AA4071D" w14:textId="77777777" w:rsidR="001932B9" w:rsidRPr="00BB314F" w:rsidRDefault="001932B9" w:rsidP="00BB314F">
            <w:pPr>
              <w:spacing w:after="0"/>
              <w:jc w:val="left"/>
              <w:rPr>
                <w:rFonts w:cs="Segoe UI"/>
                <w:sz w:val="18"/>
                <w:szCs w:val="18"/>
              </w:rPr>
            </w:pPr>
            <w:r w:rsidRPr="00BB314F">
              <w:rPr>
                <w:rFonts w:cs="Segoe UI"/>
                <w:sz w:val="18"/>
                <w:szCs w:val="18"/>
              </w:rPr>
              <w:t>KNR SR</w:t>
            </w:r>
          </w:p>
        </w:tc>
        <w:tc>
          <w:tcPr>
            <w:tcW w:w="1134" w:type="dxa"/>
            <w:noWrap/>
            <w:vAlign w:val="center"/>
            <w:hideMark/>
          </w:tcPr>
          <w:p w14:paraId="61B1DA4B" w14:textId="77777777" w:rsidR="001932B9" w:rsidRPr="00BB314F" w:rsidRDefault="001932B9" w:rsidP="00BB314F">
            <w:pPr>
              <w:spacing w:after="0"/>
              <w:jc w:val="right"/>
              <w:rPr>
                <w:rFonts w:cs="Segoe UI"/>
                <w:sz w:val="18"/>
                <w:szCs w:val="18"/>
              </w:rPr>
            </w:pPr>
            <w:r w:rsidRPr="00BB314F">
              <w:rPr>
                <w:rFonts w:cs="Segoe UI"/>
                <w:color w:val="000000"/>
                <w:sz w:val="18"/>
                <w:szCs w:val="18"/>
              </w:rPr>
              <w:t>545</w:t>
            </w:r>
          </w:p>
        </w:tc>
        <w:tc>
          <w:tcPr>
            <w:tcW w:w="1105" w:type="dxa"/>
            <w:noWrap/>
            <w:vAlign w:val="center"/>
            <w:hideMark/>
          </w:tcPr>
          <w:p w14:paraId="7F106BA0" w14:textId="77777777" w:rsidR="001932B9" w:rsidRPr="00BB314F" w:rsidRDefault="001932B9" w:rsidP="00BB314F">
            <w:pPr>
              <w:spacing w:after="0"/>
              <w:jc w:val="right"/>
              <w:rPr>
                <w:rFonts w:cs="Segoe UI"/>
                <w:sz w:val="18"/>
                <w:szCs w:val="18"/>
              </w:rPr>
            </w:pPr>
            <w:r w:rsidRPr="00BB314F">
              <w:rPr>
                <w:rFonts w:cs="Segoe UI"/>
                <w:color w:val="000000"/>
                <w:sz w:val="18"/>
                <w:szCs w:val="18"/>
              </w:rPr>
              <w:t>545</w:t>
            </w:r>
          </w:p>
        </w:tc>
        <w:tc>
          <w:tcPr>
            <w:tcW w:w="1184" w:type="dxa"/>
            <w:noWrap/>
            <w:vAlign w:val="center"/>
            <w:hideMark/>
          </w:tcPr>
          <w:p w14:paraId="33FDC70C" w14:textId="77777777" w:rsidR="001932B9" w:rsidRPr="00BB314F" w:rsidRDefault="001932B9" w:rsidP="00BB314F">
            <w:pPr>
              <w:spacing w:after="0"/>
              <w:jc w:val="right"/>
              <w:rPr>
                <w:rFonts w:cs="Segoe UI"/>
                <w:sz w:val="18"/>
                <w:szCs w:val="18"/>
              </w:rPr>
            </w:pPr>
            <w:r w:rsidRPr="00BB314F">
              <w:rPr>
                <w:rFonts w:cs="Segoe UI"/>
                <w:color w:val="000000"/>
                <w:sz w:val="18"/>
                <w:szCs w:val="18"/>
              </w:rPr>
              <w:t>540</w:t>
            </w:r>
          </w:p>
        </w:tc>
        <w:tc>
          <w:tcPr>
            <w:tcW w:w="1145" w:type="dxa"/>
            <w:noWrap/>
            <w:vAlign w:val="center"/>
            <w:hideMark/>
          </w:tcPr>
          <w:p w14:paraId="29C9DCD2"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545</w:t>
            </w:r>
          </w:p>
        </w:tc>
        <w:tc>
          <w:tcPr>
            <w:tcW w:w="1266" w:type="dxa"/>
            <w:noWrap/>
            <w:vAlign w:val="center"/>
            <w:hideMark/>
          </w:tcPr>
          <w:p w14:paraId="40292660"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086FD8AE" w14:textId="77777777" w:rsidTr="00BB314F">
        <w:trPr>
          <w:trHeight w:val="283"/>
          <w:tblHeader/>
        </w:trPr>
        <w:tc>
          <w:tcPr>
            <w:tcW w:w="3544" w:type="dxa"/>
            <w:noWrap/>
            <w:vAlign w:val="center"/>
            <w:hideMark/>
          </w:tcPr>
          <w:p w14:paraId="1B829272" w14:textId="77777777" w:rsidR="001932B9" w:rsidRPr="00BB314F" w:rsidRDefault="001932B9" w:rsidP="00BB314F">
            <w:pPr>
              <w:spacing w:after="0"/>
              <w:jc w:val="left"/>
              <w:rPr>
                <w:rFonts w:cs="Segoe UI"/>
                <w:sz w:val="18"/>
                <w:szCs w:val="18"/>
              </w:rPr>
            </w:pPr>
            <w:r w:rsidRPr="00BB314F">
              <w:rPr>
                <w:rFonts w:cs="Segoe UI"/>
                <w:sz w:val="18"/>
                <w:szCs w:val="18"/>
              </w:rPr>
              <w:t>Kancelária prezidenta SR</w:t>
            </w:r>
          </w:p>
        </w:tc>
        <w:tc>
          <w:tcPr>
            <w:tcW w:w="1134" w:type="dxa"/>
            <w:noWrap/>
            <w:vAlign w:val="center"/>
            <w:hideMark/>
          </w:tcPr>
          <w:p w14:paraId="7B38E9F7" w14:textId="77777777" w:rsidR="001932B9" w:rsidRPr="00BB314F" w:rsidRDefault="001932B9" w:rsidP="00BB314F">
            <w:pPr>
              <w:spacing w:after="0"/>
              <w:jc w:val="right"/>
              <w:rPr>
                <w:rFonts w:cs="Segoe UI"/>
                <w:sz w:val="18"/>
                <w:szCs w:val="18"/>
              </w:rPr>
            </w:pPr>
            <w:r w:rsidRPr="00BB314F">
              <w:rPr>
                <w:rFonts w:cs="Segoe UI"/>
                <w:color w:val="000000"/>
                <w:sz w:val="18"/>
                <w:szCs w:val="18"/>
              </w:rPr>
              <w:t>101</w:t>
            </w:r>
          </w:p>
        </w:tc>
        <w:tc>
          <w:tcPr>
            <w:tcW w:w="1105" w:type="dxa"/>
            <w:noWrap/>
            <w:vAlign w:val="center"/>
            <w:hideMark/>
          </w:tcPr>
          <w:p w14:paraId="51749EAB" w14:textId="77777777" w:rsidR="001932B9" w:rsidRPr="00BB314F" w:rsidRDefault="001932B9" w:rsidP="00BB314F">
            <w:pPr>
              <w:spacing w:after="0"/>
              <w:jc w:val="right"/>
              <w:rPr>
                <w:rFonts w:cs="Segoe UI"/>
                <w:sz w:val="18"/>
                <w:szCs w:val="18"/>
              </w:rPr>
            </w:pPr>
            <w:r w:rsidRPr="00BB314F">
              <w:rPr>
                <w:rFonts w:cs="Segoe UI"/>
                <w:color w:val="000000"/>
                <w:sz w:val="18"/>
                <w:szCs w:val="18"/>
              </w:rPr>
              <w:t>101</w:t>
            </w:r>
          </w:p>
        </w:tc>
        <w:tc>
          <w:tcPr>
            <w:tcW w:w="1184" w:type="dxa"/>
            <w:noWrap/>
            <w:vAlign w:val="center"/>
            <w:hideMark/>
          </w:tcPr>
          <w:p w14:paraId="01F7DC5E" w14:textId="77777777" w:rsidR="001932B9" w:rsidRPr="00BB314F" w:rsidRDefault="001932B9" w:rsidP="00BB314F">
            <w:pPr>
              <w:spacing w:after="0"/>
              <w:jc w:val="right"/>
              <w:rPr>
                <w:rFonts w:cs="Segoe UI"/>
                <w:sz w:val="18"/>
                <w:szCs w:val="18"/>
              </w:rPr>
            </w:pPr>
            <w:r w:rsidRPr="00BB314F">
              <w:rPr>
                <w:rFonts w:cs="Segoe UI"/>
                <w:color w:val="000000"/>
                <w:sz w:val="18"/>
                <w:szCs w:val="18"/>
              </w:rPr>
              <w:t>92</w:t>
            </w:r>
          </w:p>
        </w:tc>
        <w:tc>
          <w:tcPr>
            <w:tcW w:w="1145" w:type="dxa"/>
            <w:noWrap/>
            <w:vAlign w:val="center"/>
            <w:hideMark/>
          </w:tcPr>
          <w:p w14:paraId="1CCDB840"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101</w:t>
            </w:r>
          </w:p>
        </w:tc>
        <w:tc>
          <w:tcPr>
            <w:tcW w:w="1266" w:type="dxa"/>
            <w:noWrap/>
            <w:vAlign w:val="center"/>
            <w:hideMark/>
          </w:tcPr>
          <w:p w14:paraId="1B222846"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732057D5" w14:textId="77777777" w:rsidTr="00BB314F">
        <w:trPr>
          <w:trHeight w:val="283"/>
          <w:tblHeader/>
        </w:trPr>
        <w:tc>
          <w:tcPr>
            <w:tcW w:w="3544" w:type="dxa"/>
            <w:noWrap/>
            <w:vAlign w:val="center"/>
            <w:hideMark/>
          </w:tcPr>
          <w:p w14:paraId="45D8371E" w14:textId="77777777" w:rsidR="001932B9" w:rsidRPr="00BB314F" w:rsidRDefault="001932B9" w:rsidP="00BB314F">
            <w:pPr>
              <w:spacing w:after="0"/>
              <w:jc w:val="left"/>
              <w:rPr>
                <w:rFonts w:cs="Segoe UI"/>
                <w:sz w:val="18"/>
                <w:szCs w:val="18"/>
              </w:rPr>
            </w:pPr>
            <w:r w:rsidRPr="00BB314F">
              <w:rPr>
                <w:rFonts w:cs="Segoe UI"/>
                <w:sz w:val="18"/>
                <w:szCs w:val="18"/>
              </w:rPr>
              <w:t>ÚV SR</w:t>
            </w:r>
          </w:p>
        </w:tc>
        <w:tc>
          <w:tcPr>
            <w:tcW w:w="1134" w:type="dxa"/>
            <w:noWrap/>
            <w:vAlign w:val="center"/>
            <w:hideMark/>
          </w:tcPr>
          <w:p w14:paraId="12C764AD" w14:textId="77777777" w:rsidR="001932B9" w:rsidRPr="00BB314F" w:rsidRDefault="001932B9" w:rsidP="00BB314F">
            <w:pPr>
              <w:spacing w:after="0"/>
              <w:jc w:val="right"/>
              <w:rPr>
                <w:rFonts w:cs="Segoe UI"/>
                <w:sz w:val="18"/>
                <w:szCs w:val="18"/>
              </w:rPr>
            </w:pPr>
            <w:r w:rsidRPr="00BB314F">
              <w:rPr>
                <w:rFonts w:cs="Segoe UI"/>
                <w:color w:val="000000"/>
                <w:sz w:val="18"/>
                <w:szCs w:val="18"/>
              </w:rPr>
              <w:t>763</w:t>
            </w:r>
          </w:p>
        </w:tc>
        <w:tc>
          <w:tcPr>
            <w:tcW w:w="1105" w:type="dxa"/>
            <w:noWrap/>
            <w:vAlign w:val="center"/>
            <w:hideMark/>
          </w:tcPr>
          <w:p w14:paraId="066DEE1C" w14:textId="77777777" w:rsidR="001932B9" w:rsidRPr="00BB314F" w:rsidRDefault="001932B9" w:rsidP="00BB314F">
            <w:pPr>
              <w:spacing w:after="0"/>
              <w:jc w:val="right"/>
              <w:rPr>
                <w:rFonts w:cs="Segoe UI"/>
                <w:sz w:val="18"/>
                <w:szCs w:val="18"/>
              </w:rPr>
            </w:pPr>
            <w:r w:rsidRPr="00BB314F">
              <w:rPr>
                <w:rFonts w:cs="Segoe UI"/>
                <w:color w:val="000000"/>
                <w:sz w:val="18"/>
                <w:szCs w:val="18"/>
              </w:rPr>
              <w:t>830</w:t>
            </w:r>
          </w:p>
        </w:tc>
        <w:tc>
          <w:tcPr>
            <w:tcW w:w="1184" w:type="dxa"/>
            <w:noWrap/>
            <w:vAlign w:val="center"/>
            <w:hideMark/>
          </w:tcPr>
          <w:p w14:paraId="4254508F" w14:textId="77777777" w:rsidR="001932B9" w:rsidRPr="00BB314F" w:rsidRDefault="001932B9" w:rsidP="00BB314F">
            <w:pPr>
              <w:spacing w:after="0"/>
              <w:jc w:val="right"/>
              <w:rPr>
                <w:rFonts w:cs="Segoe UI"/>
                <w:sz w:val="18"/>
                <w:szCs w:val="18"/>
              </w:rPr>
            </w:pPr>
            <w:r w:rsidRPr="00BB314F">
              <w:rPr>
                <w:rFonts w:cs="Segoe UI"/>
                <w:color w:val="000000"/>
                <w:sz w:val="18"/>
                <w:szCs w:val="18"/>
              </w:rPr>
              <w:t>639</w:t>
            </w:r>
          </w:p>
        </w:tc>
        <w:tc>
          <w:tcPr>
            <w:tcW w:w="1145" w:type="dxa"/>
            <w:noWrap/>
            <w:vAlign w:val="center"/>
            <w:hideMark/>
          </w:tcPr>
          <w:p w14:paraId="37A3541E"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792</w:t>
            </w:r>
          </w:p>
        </w:tc>
        <w:tc>
          <w:tcPr>
            <w:tcW w:w="1266" w:type="dxa"/>
            <w:noWrap/>
            <w:vAlign w:val="center"/>
            <w:hideMark/>
          </w:tcPr>
          <w:p w14:paraId="0FDED865"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-38</w:t>
            </w:r>
          </w:p>
        </w:tc>
      </w:tr>
      <w:tr w:rsidR="001932B9" w:rsidRPr="007964BB" w14:paraId="45C8ABD0" w14:textId="77777777" w:rsidTr="00BB314F">
        <w:trPr>
          <w:trHeight w:val="283"/>
          <w:tblHeader/>
        </w:trPr>
        <w:tc>
          <w:tcPr>
            <w:tcW w:w="3544" w:type="dxa"/>
            <w:noWrap/>
            <w:vAlign w:val="center"/>
            <w:hideMark/>
          </w:tcPr>
          <w:p w14:paraId="3AD6689C" w14:textId="77777777" w:rsidR="001932B9" w:rsidRPr="00BB314F" w:rsidRDefault="001932B9" w:rsidP="00BB314F">
            <w:pPr>
              <w:spacing w:after="0"/>
              <w:jc w:val="left"/>
              <w:rPr>
                <w:rFonts w:cs="Segoe UI"/>
                <w:sz w:val="18"/>
                <w:szCs w:val="18"/>
              </w:rPr>
            </w:pPr>
            <w:r w:rsidRPr="00BB314F">
              <w:rPr>
                <w:rFonts w:cs="Segoe UI"/>
                <w:sz w:val="18"/>
                <w:szCs w:val="18"/>
              </w:rPr>
              <w:t>MIRRI SR</w:t>
            </w:r>
          </w:p>
        </w:tc>
        <w:tc>
          <w:tcPr>
            <w:tcW w:w="1134" w:type="dxa"/>
            <w:noWrap/>
            <w:vAlign w:val="center"/>
            <w:hideMark/>
          </w:tcPr>
          <w:p w14:paraId="4E78079B" w14:textId="77777777" w:rsidR="001932B9" w:rsidRPr="00BB314F" w:rsidRDefault="001932B9" w:rsidP="00BB314F">
            <w:pPr>
              <w:spacing w:after="0"/>
              <w:jc w:val="right"/>
              <w:rPr>
                <w:rFonts w:cs="Segoe UI"/>
                <w:sz w:val="18"/>
                <w:szCs w:val="18"/>
              </w:rPr>
            </w:pPr>
            <w:r w:rsidRPr="00BB314F">
              <w:rPr>
                <w:rFonts w:cs="Segoe UI"/>
                <w:color w:val="000000"/>
                <w:sz w:val="18"/>
                <w:szCs w:val="18"/>
              </w:rPr>
              <w:t>1 168</w:t>
            </w:r>
          </w:p>
        </w:tc>
        <w:tc>
          <w:tcPr>
            <w:tcW w:w="1105" w:type="dxa"/>
            <w:noWrap/>
            <w:vAlign w:val="center"/>
            <w:hideMark/>
          </w:tcPr>
          <w:p w14:paraId="6DC8A477" w14:textId="77777777" w:rsidR="001932B9" w:rsidRPr="00BB314F" w:rsidRDefault="001932B9" w:rsidP="00BB314F">
            <w:pPr>
              <w:spacing w:after="0"/>
              <w:jc w:val="right"/>
              <w:rPr>
                <w:rFonts w:cs="Segoe UI"/>
                <w:sz w:val="18"/>
                <w:szCs w:val="18"/>
              </w:rPr>
            </w:pPr>
            <w:r w:rsidRPr="00BB314F">
              <w:rPr>
                <w:rFonts w:cs="Segoe UI"/>
                <w:color w:val="000000"/>
                <w:sz w:val="18"/>
                <w:szCs w:val="18"/>
              </w:rPr>
              <w:t>1 200</w:t>
            </w:r>
          </w:p>
        </w:tc>
        <w:tc>
          <w:tcPr>
            <w:tcW w:w="1184" w:type="dxa"/>
            <w:noWrap/>
            <w:vAlign w:val="center"/>
            <w:hideMark/>
          </w:tcPr>
          <w:p w14:paraId="455A5D4B" w14:textId="77777777" w:rsidR="001932B9" w:rsidRPr="00BB314F" w:rsidRDefault="001932B9" w:rsidP="00BB314F">
            <w:pPr>
              <w:spacing w:after="0"/>
              <w:jc w:val="right"/>
              <w:rPr>
                <w:rFonts w:cs="Segoe UI"/>
                <w:sz w:val="18"/>
                <w:szCs w:val="18"/>
              </w:rPr>
            </w:pPr>
            <w:r w:rsidRPr="00BB314F">
              <w:rPr>
                <w:rFonts w:cs="Segoe UI"/>
                <w:color w:val="000000"/>
                <w:sz w:val="18"/>
                <w:szCs w:val="18"/>
              </w:rPr>
              <w:t>991</w:t>
            </w:r>
          </w:p>
        </w:tc>
        <w:tc>
          <w:tcPr>
            <w:tcW w:w="1145" w:type="dxa"/>
            <w:noWrap/>
            <w:vAlign w:val="center"/>
            <w:hideMark/>
          </w:tcPr>
          <w:p w14:paraId="36B9EE06"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1 219</w:t>
            </w:r>
          </w:p>
        </w:tc>
        <w:tc>
          <w:tcPr>
            <w:tcW w:w="1266" w:type="dxa"/>
            <w:noWrap/>
            <w:vAlign w:val="center"/>
            <w:hideMark/>
          </w:tcPr>
          <w:p w14:paraId="15ED259D" w14:textId="77777777" w:rsidR="001932B9" w:rsidRPr="007E0E91" w:rsidRDefault="001932B9" w:rsidP="00BB314F">
            <w:pPr>
              <w:spacing w:after="0"/>
              <w:jc w:val="right"/>
              <w:rPr>
                <w:rFonts w:cs="Segoe UI"/>
                <w:b/>
                <w:bCs/>
                <w:sz w:val="18"/>
                <w:szCs w:val="18"/>
              </w:rPr>
            </w:pPr>
            <w:r w:rsidRPr="007964BB">
              <w:rPr>
                <w:rFonts w:cs="Segoe UI"/>
                <w:b/>
                <w:bCs/>
                <w:sz w:val="18"/>
                <w:szCs w:val="18"/>
              </w:rPr>
              <w:t>19</w:t>
            </w:r>
          </w:p>
        </w:tc>
      </w:tr>
      <w:tr w:rsidR="001932B9" w:rsidRPr="007964BB" w14:paraId="69125FD8" w14:textId="77777777" w:rsidTr="00BB314F">
        <w:trPr>
          <w:trHeight w:val="283"/>
          <w:tblHeader/>
        </w:trPr>
        <w:tc>
          <w:tcPr>
            <w:tcW w:w="3544" w:type="dxa"/>
            <w:noWrap/>
            <w:vAlign w:val="center"/>
            <w:hideMark/>
          </w:tcPr>
          <w:p w14:paraId="3E7411BF" w14:textId="77777777" w:rsidR="001932B9" w:rsidRPr="00BB314F" w:rsidRDefault="001932B9" w:rsidP="00BB314F">
            <w:pPr>
              <w:spacing w:after="0"/>
              <w:jc w:val="left"/>
              <w:rPr>
                <w:rFonts w:cs="Segoe UI"/>
                <w:sz w:val="18"/>
                <w:szCs w:val="18"/>
              </w:rPr>
            </w:pPr>
            <w:r w:rsidRPr="00BB314F">
              <w:rPr>
                <w:rFonts w:cs="Segoe UI"/>
                <w:sz w:val="18"/>
                <w:szCs w:val="18"/>
              </w:rPr>
              <w:t>Kanc. Ústavného súdu SR</w:t>
            </w:r>
          </w:p>
        </w:tc>
        <w:tc>
          <w:tcPr>
            <w:tcW w:w="1134" w:type="dxa"/>
            <w:noWrap/>
            <w:vAlign w:val="center"/>
            <w:hideMark/>
          </w:tcPr>
          <w:p w14:paraId="05D9954C" w14:textId="77777777" w:rsidR="001932B9" w:rsidRPr="00BB314F" w:rsidRDefault="001932B9" w:rsidP="00BB314F">
            <w:pPr>
              <w:spacing w:after="0"/>
              <w:jc w:val="right"/>
              <w:rPr>
                <w:rFonts w:cs="Segoe UI"/>
                <w:sz w:val="18"/>
                <w:szCs w:val="18"/>
              </w:rPr>
            </w:pPr>
            <w:r w:rsidRPr="00BB314F">
              <w:rPr>
                <w:rFonts w:cs="Segoe UI"/>
                <w:color w:val="000000"/>
                <w:sz w:val="18"/>
                <w:szCs w:val="18"/>
              </w:rPr>
              <w:t>122</w:t>
            </w:r>
          </w:p>
        </w:tc>
        <w:tc>
          <w:tcPr>
            <w:tcW w:w="1105" w:type="dxa"/>
            <w:noWrap/>
            <w:vAlign w:val="center"/>
            <w:hideMark/>
          </w:tcPr>
          <w:p w14:paraId="07412DF9" w14:textId="77777777" w:rsidR="001932B9" w:rsidRPr="00BB314F" w:rsidRDefault="001932B9" w:rsidP="00BB314F">
            <w:pPr>
              <w:spacing w:after="0"/>
              <w:jc w:val="right"/>
              <w:rPr>
                <w:rFonts w:cs="Segoe UI"/>
                <w:sz w:val="18"/>
                <w:szCs w:val="18"/>
              </w:rPr>
            </w:pPr>
            <w:r w:rsidRPr="00BB314F">
              <w:rPr>
                <w:rFonts w:cs="Segoe UI"/>
                <w:color w:val="000000"/>
                <w:sz w:val="18"/>
                <w:szCs w:val="18"/>
              </w:rPr>
              <w:t>122</w:t>
            </w:r>
          </w:p>
        </w:tc>
        <w:tc>
          <w:tcPr>
            <w:tcW w:w="1184" w:type="dxa"/>
            <w:noWrap/>
            <w:vAlign w:val="center"/>
            <w:hideMark/>
          </w:tcPr>
          <w:p w14:paraId="6A8D671F" w14:textId="77777777" w:rsidR="001932B9" w:rsidRPr="00BB314F" w:rsidRDefault="001932B9" w:rsidP="00BB314F">
            <w:pPr>
              <w:spacing w:after="0"/>
              <w:jc w:val="right"/>
              <w:rPr>
                <w:rFonts w:cs="Segoe UI"/>
                <w:sz w:val="18"/>
                <w:szCs w:val="18"/>
              </w:rPr>
            </w:pPr>
            <w:r w:rsidRPr="00BB314F">
              <w:rPr>
                <w:rFonts w:cs="Segoe UI"/>
                <w:color w:val="000000"/>
                <w:sz w:val="18"/>
                <w:szCs w:val="18"/>
              </w:rPr>
              <w:t>119</w:t>
            </w:r>
          </w:p>
        </w:tc>
        <w:tc>
          <w:tcPr>
            <w:tcW w:w="1145" w:type="dxa"/>
            <w:noWrap/>
            <w:vAlign w:val="center"/>
            <w:hideMark/>
          </w:tcPr>
          <w:p w14:paraId="4DB9FCE8"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122</w:t>
            </w:r>
          </w:p>
        </w:tc>
        <w:tc>
          <w:tcPr>
            <w:tcW w:w="1266" w:type="dxa"/>
            <w:noWrap/>
            <w:vAlign w:val="center"/>
            <w:hideMark/>
          </w:tcPr>
          <w:p w14:paraId="732838A7"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544815C2" w14:textId="77777777" w:rsidTr="00BB314F">
        <w:trPr>
          <w:trHeight w:val="283"/>
          <w:tblHeader/>
        </w:trPr>
        <w:tc>
          <w:tcPr>
            <w:tcW w:w="3544" w:type="dxa"/>
            <w:noWrap/>
            <w:vAlign w:val="center"/>
            <w:hideMark/>
          </w:tcPr>
          <w:p w14:paraId="00F3C102" w14:textId="77777777" w:rsidR="001932B9" w:rsidRPr="00BB314F" w:rsidRDefault="001932B9" w:rsidP="00BB314F">
            <w:pPr>
              <w:spacing w:after="0"/>
              <w:jc w:val="left"/>
              <w:rPr>
                <w:rFonts w:cs="Segoe UI"/>
                <w:sz w:val="18"/>
                <w:szCs w:val="18"/>
              </w:rPr>
            </w:pPr>
            <w:r w:rsidRPr="00BB314F">
              <w:rPr>
                <w:rFonts w:cs="Segoe UI"/>
                <w:sz w:val="18"/>
                <w:szCs w:val="18"/>
              </w:rPr>
              <w:t>Kanc. Najvyššieho súdu SR</w:t>
            </w:r>
          </w:p>
        </w:tc>
        <w:tc>
          <w:tcPr>
            <w:tcW w:w="1134" w:type="dxa"/>
            <w:noWrap/>
            <w:vAlign w:val="center"/>
            <w:hideMark/>
          </w:tcPr>
          <w:p w14:paraId="22400D8B" w14:textId="77777777" w:rsidR="001932B9" w:rsidRPr="00BB314F" w:rsidRDefault="001932B9" w:rsidP="00BB314F">
            <w:pPr>
              <w:spacing w:after="0"/>
              <w:jc w:val="right"/>
              <w:rPr>
                <w:rFonts w:cs="Segoe UI"/>
                <w:sz w:val="18"/>
                <w:szCs w:val="18"/>
              </w:rPr>
            </w:pPr>
            <w:r w:rsidRPr="00BB314F">
              <w:rPr>
                <w:rFonts w:cs="Segoe UI"/>
                <w:color w:val="000000"/>
                <w:sz w:val="18"/>
                <w:szCs w:val="18"/>
              </w:rPr>
              <w:t>218</w:t>
            </w:r>
          </w:p>
        </w:tc>
        <w:tc>
          <w:tcPr>
            <w:tcW w:w="1105" w:type="dxa"/>
            <w:noWrap/>
            <w:vAlign w:val="center"/>
            <w:hideMark/>
          </w:tcPr>
          <w:p w14:paraId="0E546099" w14:textId="77777777" w:rsidR="001932B9" w:rsidRPr="00BB314F" w:rsidRDefault="001932B9" w:rsidP="00BB314F">
            <w:pPr>
              <w:spacing w:after="0"/>
              <w:jc w:val="right"/>
              <w:rPr>
                <w:rFonts w:cs="Segoe UI"/>
                <w:sz w:val="18"/>
                <w:szCs w:val="18"/>
              </w:rPr>
            </w:pPr>
            <w:r w:rsidRPr="00BB314F">
              <w:rPr>
                <w:rFonts w:cs="Segoe UI"/>
                <w:color w:val="000000"/>
                <w:sz w:val="18"/>
                <w:szCs w:val="18"/>
              </w:rPr>
              <w:t>221</w:t>
            </w:r>
          </w:p>
        </w:tc>
        <w:tc>
          <w:tcPr>
            <w:tcW w:w="1184" w:type="dxa"/>
            <w:noWrap/>
            <w:vAlign w:val="center"/>
            <w:hideMark/>
          </w:tcPr>
          <w:p w14:paraId="560A770E" w14:textId="77777777" w:rsidR="001932B9" w:rsidRPr="00BB314F" w:rsidRDefault="001932B9" w:rsidP="00BB314F">
            <w:pPr>
              <w:spacing w:after="0"/>
              <w:jc w:val="right"/>
              <w:rPr>
                <w:rFonts w:cs="Segoe UI"/>
                <w:sz w:val="18"/>
                <w:szCs w:val="18"/>
              </w:rPr>
            </w:pPr>
            <w:r w:rsidRPr="00BB314F">
              <w:rPr>
                <w:rFonts w:cs="Segoe UI"/>
                <w:color w:val="000000"/>
                <w:sz w:val="18"/>
                <w:szCs w:val="18"/>
              </w:rPr>
              <w:t>202</w:t>
            </w:r>
          </w:p>
        </w:tc>
        <w:tc>
          <w:tcPr>
            <w:tcW w:w="1145" w:type="dxa"/>
            <w:noWrap/>
            <w:vAlign w:val="center"/>
            <w:hideMark/>
          </w:tcPr>
          <w:p w14:paraId="6A862F62"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223</w:t>
            </w:r>
          </w:p>
        </w:tc>
        <w:tc>
          <w:tcPr>
            <w:tcW w:w="1266" w:type="dxa"/>
            <w:noWrap/>
            <w:vAlign w:val="center"/>
            <w:hideMark/>
          </w:tcPr>
          <w:p w14:paraId="38D4BC49"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2</w:t>
            </w:r>
          </w:p>
        </w:tc>
      </w:tr>
      <w:tr w:rsidR="001932B9" w:rsidRPr="007964BB" w14:paraId="1AE3D6F1" w14:textId="77777777" w:rsidTr="00BB314F">
        <w:trPr>
          <w:trHeight w:val="283"/>
          <w:tblHeader/>
        </w:trPr>
        <w:tc>
          <w:tcPr>
            <w:tcW w:w="3544" w:type="dxa"/>
            <w:noWrap/>
            <w:vAlign w:val="center"/>
            <w:hideMark/>
          </w:tcPr>
          <w:p w14:paraId="6C779A20" w14:textId="77777777" w:rsidR="001932B9" w:rsidRPr="00BB314F" w:rsidRDefault="001932B9" w:rsidP="00BB314F">
            <w:pPr>
              <w:spacing w:after="0"/>
              <w:jc w:val="left"/>
              <w:rPr>
                <w:rFonts w:cs="Segoe UI"/>
                <w:sz w:val="18"/>
                <w:szCs w:val="18"/>
              </w:rPr>
            </w:pPr>
            <w:r w:rsidRPr="00BB314F">
              <w:rPr>
                <w:rFonts w:cs="Segoe UI"/>
                <w:sz w:val="18"/>
                <w:szCs w:val="18"/>
              </w:rPr>
              <w:t>GP</w:t>
            </w:r>
          </w:p>
        </w:tc>
        <w:tc>
          <w:tcPr>
            <w:tcW w:w="1134" w:type="dxa"/>
            <w:noWrap/>
            <w:vAlign w:val="center"/>
            <w:hideMark/>
          </w:tcPr>
          <w:p w14:paraId="4360B7FC" w14:textId="77777777" w:rsidR="001932B9" w:rsidRPr="00BB314F" w:rsidRDefault="001932B9" w:rsidP="00BB314F">
            <w:pPr>
              <w:spacing w:after="0"/>
              <w:jc w:val="right"/>
              <w:rPr>
                <w:rFonts w:cs="Segoe UI"/>
                <w:sz w:val="18"/>
                <w:szCs w:val="18"/>
              </w:rPr>
            </w:pPr>
            <w:r w:rsidRPr="00BB314F">
              <w:rPr>
                <w:rFonts w:cs="Segoe UI"/>
                <w:color w:val="000000"/>
                <w:sz w:val="18"/>
                <w:szCs w:val="18"/>
              </w:rPr>
              <w:t>314</w:t>
            </w:r>
          </w:p>
        </w:tc>
        <w:tc>
          <w:tcPr>
            <w:tcW w:w="1105" w:type="dxa"/>
            <w:noWrap/>
            <w:vAlign w:val="center"/>
            <w:hideMark/>
          </w:tcPr>
          <w:p w14:paraId="707F09D9" w14:textId="77777777" w:rsidR="001932B9" w:rsidRPr="00BB314F" w:rsidRDefault="001932B9" w:rsidP="00BB314F">
            <w:pPr>
              <w:spacing w:after="0"/>
              <w:jc w:val="right"/>
              <w:rPr>
                <w:rFonts w:cs="Segoe UI"/>
                <w:sz w:val="18"/>
                <w:szCs w:val="18"/>
              </w:rPr>
            </w:pPr>
            <w:r w:rsidRPr="00BB314F">
              <w:rPr>
                <w:rFonts w:cs="Segoe UI"/>
                <w:color w:val="000000"/>
                <w:sz w:val="18"/>
                <w:szCs w:val="18"/>
              </w:rPr>
              <w:t>306</w:t>
            </w:r>
          </w:p>
        </w:tc>
        <w:tc>
          <w:tcPr>
            <w:tcW w:w="1184" w:type="dxa"/>
            <w:noWrap/>
            <w:vAlign w:val="center"/>
            <w:hideMark/>
          </w:tcPr>
          <w:p w14:paraId="54A9B8BA" w14:textId="77777777" w:rsidR="001932B9" w:rsidRPr="00BB314F" w:rsidRDefault="001932B9" w:rsidP="00BB314F">
            <w:pPr>
              <w:spacing w:after="0"/>
              <w:jc w:val="right"/>
              <w:rPr>
                <w:rFonts w:cs="Segoe UI"/>
                <w:sz w:val="18"/>
                <w:szCs w:val="18"/>
              </w:rPr>
            </w:pPr>
            <w:r w:rsidRPr="00BB314F">
              <w:rPr>
                <w:rFonts w:cs="Segoe UI"/>
                <w:color w:val="000000"/>
                <w:sz w:val="18"/>
                <w:szCs w:val="18"/>
              </w:rPr>
              <w:t>273</w:t>
            </w:r>
          </w:p>
        </w:tc>
        <w:tc>
          <w:tcPr>
            <w:tcW w:w="1145" w:type="dxa"/>
            <w:noWrap/>
            <w:vAlign w:val="center"/>
            <w:hideMark/>
          </w:tcPr>
          <w:p w14:paraId="0E208AD2"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298</w:t>
            </w:r>
          </w:p>
        </w:tc>
        <w:tc>
          <w:tcPr>
            <w:tcW w:w="1266" w:type="dxa"/>
            <w:noWrap/>
            <w:vAlign w:val="center"/>
            <w:hideMark/>
          </w:tcPr>
          <w:p w14:paraId="117A4633"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-8</w:t>
            </w:r>
          </w:p>
        </w:tc>
      </w:tr>
      <w:tr w:rsidR="001932B9" w:rsidRPr="007964BB" w14:paraId="3459ACDF" w14:textId="77777777" w:rsidTr="00BB314F">
        <w:trPr>
          <w:trHeight w:val="283"/>
          <w:tblHeader/>
        </w:trPr>
        <w:tc>
          <w:tcPr>
            <w:tcW w:w="3544" w:type="dxa"/>
            <w:noWrap/>
            <w:vAlign w:val="center"/>
            <w:hideMark/>
          </w:tcPr>
          <w:p w14:paraId="31B988CF" w14:textId="77777777" w:rsidR="001932B9" w:rsidRPr="00BB314F" w:rsidRDefault="001932B9" w:rsidP="00BB314F">
            <w:pPr>
              <w:spacing w:after="0"/>
              <w:jc w:val="left"/>
              <w:rPr>
                <w:rFonts w:cs="Segoe UI"/>
                <w:sz w:val="18"/>
                <w:szCs w:val="18"/>
              </w:rPr>
            </w:pPr>
            <w:r w:rsidRPr="00BB314F">
              <w:rPr>
                <w:rFonts w:cs="Segoe UI"/>
                <w:sz w:val="18"/>
                <w:szCs w:val="18"/>
              </w:rPr>
              <w:t>NKÚ SR</w:t>
            </w:r>
          </w:p>
        </w:tc>
        <w:tc>
          <w:tcPr>
            <w:tcW w:w="1134" w:type="dxa"/>
            <w:noWrap/>
            <w:vAlign w:val="center"/>
            <w:hideMark/>
          </w:tcPr>
          <w:p w14:paraId="35C23BF3" w14:textId="77777777" w:rsidR="001932B9" w:rsidRPr="00BB314F" w:rsidRDefault="001932B9" w:rsidP="00BB314F">
            <w:pPr>
              <w:spacing w:after="0"/>
              <w:jc w:val="right"/>
              <w:rPr>
                <w:rFonts w:cs="Segoe UI"/>
                <w:sz w:val="18"/>
                <w:szCs w:val="18"/>
              </w:rPr>
            </w:pPr>
            <w:r w:rsidRPr="00BB314F">
              <w:rPr>
                <w:rFonts w:cs="Segoe UI"/>
                <w:color w:val="000000"/>
                <w:sz w:val="18"/>
                <w:szCs w:val="18"/>
              </w:rPr>
              <w:t>288</w:t>
            </w:r>
          </w:p>
        </w:tc>
        <w:tc>
          <w:tcPr>
            <w:tcW w:w="1105" w:type="dxa"/>
            <w:noWrap/>
            <w:vAlign w:val="center"/>
            <w:hideMark/>
          </w:tcPr>
          <w:p w14:paraId="7782AF71" w14:textId="77777777" w:rsidR="001932B9" w:rsidRPr="00BB314F" w:rsidRDefault="001932B9" w:rsidP="00BB314F">
            <w:pPr>
              <w:spacing w:after="0"/>
              <w:jc w:val="right"/>
              <w:rPr>
                <w:rFonts w:cs="Segoe UI"/>
                <w:sz w:val="18"/>
                <w:szCs w:val="18"/>
              </w:rPr>
            </w:pPr>
            <w:r w:rsidRPr="00BB314F">
              <w:rPr>
                <w:rFonts w:cs="Segoe UI"/>
                <w:color w:val="000000"/>
                <w:sz w:val="18"/>
                <w:szCs w:val="18"/>
              </w:rPr>
              <w:t>319</w:t>
            </w:r>
          </w:p>
        </w:tc>
        <w:tc>
          <w:tcPr>
            <w:tcW w:w="1184" w:type="dxa"/>
            <w:noWrap/>
            <w:vAlign w:val="center"/>
            <w:hideMark/>
          </w:tcPr>
          <w:p w14:paraId="6B917DE8" w14:textId="77777777" w:rsidR="001932B9" w:rsidRPr="00BB314F" w:rsidRDefault="001932B9" w:rsidP="00BB314F">
            <w:pPr>
              <w:spacing w:after="0"/>
              <w:jc w:val="right"/>
              <w:rPr>
                <w:rFonts w:cs="Segoe UI"/>
                <w:sz w:val="18"/>
                <w:szCs w:val="18"/>
              </w:rPr>
            </w:pPr>
            <w:r w:rsidRPr="00BB314F">
              <w:rPr>
                <w:rFonts w:cs="Segoe UI"/>
                <w:color w:val="000000"/>
                <w:sz w:val="18"/>
                <w:szCs w:val="18"/>
              </w:rPr>
              <w:t>297</w:t>
            </w:r>
          </w:p>
        </w:tc>
        <w:tc>
          <w:tcPr>
            <w:tcW w:w="1145" w:type="dxa"/>
            <w:noWrap/>
            <w:vAlign w:val="center"/>
            <w:hideMark/>
          </w:tcPr>
          <w:p w14:paraId="479810DC"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319</w:t>
            </w:r>
          </w:p>
        </w:tc>
        <w:tc>
          <w:tcPr>
            <w:tcW w:w="1266" w:type="dxa"/>
            <w:noWrap/>
            <w:vAlign w:val="center"/>
            <w:hideMark/>
          </w:tcPr>
          <w:p w14:paraId="2FCBB133"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52B1F15B" w14:textId="77777777" w:rsidTr="00BB314F">
        <w:trPr>
          <w:trHeight w:val="283"/>
          <w:tblHeader/>
        </w:trPr>
        <w:tc>
          <w:tcPr>
            <w:tcW w:w="3544" w:type="dxa"/>
            <w:noWrap/>
            <w:vAlign w:val="center"/>
            <w:hideMark/>
          </w:tcPr>
          <w:p w14:paraId="6F49BB74" w14:textId="77777777" w:rsidR="001932B9" w:rsidRPr="00BB314F" w:rsidRDefault="001932B9" w:rsidP="00BB314F">
            <w:pPr>
              <w:spacing w:after="0"/>
              <w:jc w:val="left"/>
              <w:rPr>
                <w:rFonts w:cs="Segoe UI"/>
                <w:sz w:val="18"/>
                <w:szCs w:val="18"/>
              </w:rPr>
            </w:pPr>
            <w:r w:rsidRPr="00BB314F">
              <w:rPr>
                <w:rFonts w:cs="Segoe UI"/>
                <w:sz w:val="18"/>
                <w:szCs w:val="18"/>
              </w:rPr>
              <w:t>MZVaEZ SR</w:t>
            </w:r>
          </w:p>
        </w:tc>
        <w:tc>
          <w:tcPr>
            <w:tcW w:w="1134" w:type="dxa"/>
            <w:noWrap/>
            <w:vAlign w:val="center"/>
            <w:hideMark/>
          </w:tcPr>
          <w:p w14:paraId="7AA9462D" w14:textId="77777777" w:rsidR="001932B9" w:rsidRPr="00BB314F" w:rsidRDefault="001932B9" w:rsidP="00BB314F">
            <w:pPr>
              <w:spacing w:after="0"/>
              <w:jc w:val="right"/>
              <w:rPr>
                <w:rFonts w:cs="Segoe UI"/>
                <w:sz w:val="18"/>
                <w:szCs w:val="18"/>
              </w:rPr>
            </w:pPr>
            <w:r w:rsidRPr="00BB314F">
              <w:rPr>
                <w:rFonts w:cs="Segoe UI"/>
                <w:color w:val="000000"/>
                <w:sz w:val="18"/>
                <w:szCs w:val="18"/>
              </w:rPr>
              <w:t>1 127</w:t>
            </w:r>
          </w:p>
        </w:tc>
        <w:tc>
          <w:tcPr>
            <w:tcW w:w="1105" w:type="dxa"/>
            <w:noWrap/>
            <w:vAlign w:val="center"/>
            <w:hideMark/>
          </w:tcPr>
          <w:p w14:paraId="4AF6220F" w14:textId="77777777" w:rsidR="001932B9" w:rsidRPr="00BB314F" w:rsidRDefault="001932B9" w:rsidP="00BB314F">
            <w:pPr>
              <w:spacing w:after="0"/>
              <w:jc w:val="right"/>
              <w:rPr>
                <w:rFonts w:cs="Segoe UI"/>
                <w:sz w:val="18"/>
                <w:szCs w:val="18"/>
              </w:rPr>
            </w:pPr>
            <w:r w:rsidRPr="00BB314F">
              <w:rPr>
                <w:rFonts w:cs="Segoe UI"/>
                <w:color w:val="000000"/>
                <w:sz w:val="18"/>
                <w:szCs w:val="18"/>
              </w:rPr>
              <w:t>1 123</w:t>
            </w:r>
          </w:p>
        </w:tc>
        <w:tc>
          <w:tcPr>
            <w:tcW w:w="1184" w:type="dxa"/>
            <w:noWrap/>
            <w:vAlign w:val="center"/>
            <w:hideMark/>
          </w:tcPr>
          <w:p w14:paraId="5F858113" w14:textId="77777777" w:rsidR="001932B9" w:rsidRPr="00BB314F" w:rsidRDefault="001932B9" w:rsidP="00BB314F">
            <w:pPr>
              <w:spacing w:after="0"/>
              <w:jc w:val="right"/>
              <w:rPr>
                <w:rFonts w:cs="Segoe UI"/>
                <w:sz w:val="18"/>
                <w:szCs w:val="18"/>
              </w:rPr>
            </w:pPr>
            <w:r w:rsidRPr="00BB314F">
              <w:rPr>
                <w:rFonts w:cs="Segoe UI"/>
                <w:color w:val="000000"/>
                <w:sz w:val="18"/>
                <w:szCs w:val="18"/>
              </w:rPr>
              <w:t>1 104</w:t>
            </w:r>
          </w:p>
        </w:tc>
        <w:tc>
          <w:tcPr>
            <w:tcW w:w="1145" w:type="dxa"/>
            <w:noWrap/>
            <w:vAlign w:val="center"/>
            <w:hideMark/>
          </w:tcPr>
          <w:p w14:paraId="1FB597C3"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1 124</w:t>
            </w:r>
          </w:p>
        </w:tc>
        <w:tc>
          <w:tcPr>
            <w:tcW w:w="1266" w:type="dxa"/>
            <w:noWrap/>
            <w:vAlign w:val="center"/>
            <w:hideMark/>
          </w:tcPr>
          <w:p w14:paraId="148BCFDC"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1</w:t>
            </w:r>
          </w:p>
        </w:tc>
      </w:tr>
      <w:tr w:rsidR="001932B9" w:rsidRPr="007964BB" w14:paraId="40F31B85" w14:textId="77777777" w:rsidTr="00BB314F">
        <w:trPr>
          <w:trHeight w:val="283"/>
          <w:tblHeader/>
        </w:trPr>
        <w:tc>
          <w:tcPr>
            <w:tcW w:w="3544" w:type="dxa"/>
            <w:noWrap/>
            <w:vAlign w:val="center"/>
            <w:hideMark/>
          </w:tcPr>
          <w:p w14:paraId="0F850003" w14:textId="77777777" w:rsidR="001932B9" w:rsidRPr="00BB314F" w:rsidRDefault="001932B9" w:rsidP="00BB314F">
            <w:pPr>
              <w:spacing w:after="0"/>
              <w:jc w:val="left"/>
              <w:rPr>
                <w:rFonts w:cs="Segoe UI"/>
                <w:sz w:val="18"/>
                <w:szCs w:val="18"/>
              </w:rPr>
            </w:pPr>
            <w:r w:rsidRPr="00BB314F">
              <w:rPr>
                <w:rFonts w:cs="Segoe UI"/>
                <w:sz w:val="18"/>
                <w:szCs w:val="18"/>
              </w:rPr>
              <w:t>MO SR</w:t>
            </w:r>
          </w:p>
        </w:tc>
        <w:tc>
          <w:tcPr>
            <w:tcW w:w="1134" w:type="dxa"/>
            <w:noWrap/>
            <w:vAlign w:val="center"/>
            <w:hideMark/>
          </w:tcPr>
          <w:p w14:paraId="7C5E1F4B" w14:textId="77777777" w:rsidR="001932B9" w:rsidRPr="00BB314F" w:rsidRDefault="001932B9" w:rsidP="00BB314F">
            <w:pPr>
              <w:spacing w:after="0"/>
              <w:jc w:val="right"/>
              <w:rPr>
                <w:rFonts w:cs="Segoe UI"/>
                <w:sz w:val="18"/>
                <w:szCs w:val="18"/>
              </w:rPr>
            </w:pPr>
            <w:r w:rsidRPr="00BB314F">
              <w:rPr>
                <w:rFonts w:cs="Segoe UI"/>
                <w:color w:val="000000"/>
                <w:sz w:val="18"/>
                <w:szCs w:val="18"/>
              </w:rPr>
              <w:t>549</w:t>
            </w:r>
          </w:p>
        </w:tc>
        <w:tc>
          <w:tcPr>
            <w:tcW w:w="1105" w:type="dxa"/>
            <w:noWrap/>
            <w:vAlign w:val="center"/>
            <w:hideMark/>
          </w:tcPr>
          <w:p w14:paraId="41E386E4" w14:textId="77777777" w:rsidR="001932B9" w:rsidRPr="00BB314F" w:rsidRDefault="001932B9" w:rsidP="00BB314F">
            <w:pPr>
              <w:spacing w:after="0"/>
              <w:jc w:val="right"/>
              <w:rPr>
                <w:rFonts w:cs="Segoe UI"/>
                <w:sz w:val="18"/>
                <w:szCs w:val="18"/>
              </w:rPr>
            </w:pPr>
            <w:r w:rsidRPr="00BB314F">
              <w:rPr>
                <w:rFonts w:cs="Segoe UI"/>
                <w:color w:val="000000"/>
                <w:sz w:val="18"/>
                <w:szCs w:val="18"/>
              </w:rPr>
              <w:t>556</w:t>
            </w:r>
          </w:p>
        </w:tc>
        <w:tc>
          <w:tcPr>
            <w:tcW w:w="1184" w:type="dxa"/>
            <w:noWrap/>
            <w:vAlign w:val="center"/>
            <w:hideMark/>
          </w:tcPr>
          <w:p w14:paraId="50BAC267" w14:textId="77777777" w:rsidR="001932B9" w:rsidRPr="00BB314F" w:rsidRDefault="001932B9" w:rsidP="00BB314F">
            <w:pPr>
              <w:spacing w:after="0"/>
              <w:jc w:val="right"/>
              <w:rPr>
                <w:rFonts w:cs="Segoe UI"/>
                <w:sz w:val="18"/>
                <w:szCs w:val="18"/>
              </w:rPr>
            </w:pPr>
            <w:r w:rsidRPr="00BB314F">
              <w:rPr>
                <w:rFonts w:cs="Segoe UI"/>
                <w:color w:val="000000"/>
                <w:sz w:val="18"/>
                <w:szCs w:val="18"/>
              </w:rPr>
              <w:t>485</w:t>
            </w:r>
          </w:p>
        </w:tc>
        <w:tc>
          <w:tcPr>
            <w:tcW w:w="1145" w:type="dxa"/>
            <w:noWrap/>
            <w:vAlign w:val="center"/>
            <w:hideMark/>
          </w:tcPr>
          <w:p w14:paraId="27C0C0A3"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556</w:t>
            </w:r>
          </w:p>
        </w:tc>
        <w:tc>
          <w:tcPr>
            <w:tcW w:w="1266" w:type="dxa"/>
            <w:noWrap/>
            <w:vAlign w:val="center"/>
            <w:hideMark/>
          </w:tcPr>
          <w:p w14:paraId="28AAF12D"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2EC23778" w14:textId="77777777" w:rsidTr="00BB314F">
        <w:trPr>
          <w:trHeight w:val="283"/>
          <w:tblHeader/>
        </w:trPr>
        <w:tc>
          <w:tcPr>
            <w:tcW w:w="3544" w:type="dxa"/>
            <w:noWrap/>
            <w:vAlign w:val="center"/>
            <w:hideMark/>
          </w:tcPr>
          <w:p w14:paraId="4973A4CB" w14:textId="77777777" w:rsidR="001932B9" w:rsidRPr="00BB314F" w:rsidRDefault="001932B9" w:rsidP="00BB314F">
            <w:pPr>
              <w:spacing w:after="0"/>
              <w:jc w:val="left"/>
              <w:rPr>
                <w:rFonts w:cs="Segoe UI"/>
                <w:sz w:val="18"/>
                <w:szCs w:val="18"/>
              </w:rPr>
            </w:pPr>
            <w:r w:rsidRPr="00BB314F">
              <w:rPr>
                <w:rFonts w:cs="Segoe UI"/>
                <w:sz w:val="18"/>
                <w:szCs w:val="18"/>
              </w:rPr>
              <w:t>MV SR</w:t>
            </w:r>
          </w:p>
        </w:tc>
        <w:tc>
          <w:tcPr>
            <w:tcW w:w="1134" w:type="dxa"/>
            <w:noWrap/>
            <w:vAlign w:val="center"/>
            <w:hideMark/>
          </w:tcPr>
          <w:p w14:paraId="7485D3AA" w14:textId="77777777" w:rsidR="001932B9" w:rsidRPr="00BB314F" w:rsidRDefault="001932B9" w:rsidP="00BB314F">
            <w:pPr>
              <w:spacing w:after="0"/>
              <w:jc w:val="right"/>
              <w:rPr>
                <w:rFonts w:cs="Segoe UI"/>
                <w:sz w:val="18"/>
                <w:szCs w:val="18"/>
              </w:rPr>
            </w:pPr>
            <w:r w:rsidRPr="00BB314F">
              <w:rPr>
                <w:rFonts w:cs="Segoe UI"/>
                <w:color w:val="000000"/>
                <w:sz w:val="18"/>
                <w:szCs w:val="18"/>
              </w:rPr>
              <w:t>1 301</w:t>
            </w:r>
          </w:p>
        </w:tc>
        <w:tc>
          <w:tcPr>
            <w:tcW w:w="1105" w:type="dxa"/>
            <w:noWrap/>
            <w:vAlign w:val="center"/>
            <w:hideMark/>
          </w:tcPr>
          <w:p w14:paraId="4D160B61" w14:textId="77777777" w:rsidR="001932B9" w:rsidRPr="00BB314F" w:rsidRDefault="001932B9" w:rsidP="00BB314F">
            <w:pPr>
              <w:spacing w:after="0"/>
              <w:jc w:val="right"/>
              <w:rPr>
                <w:rFonts w:cs="Segoe UI"/>
                <w:sz w:val="18"/>
                <w:szCs w:val="18"/>
              </w:rPr>
            </w:pPr>
            <w:r w:rsidRPr="00BB314F">
              <w:rPr>
                <w:rFonts w:cs="Segoe UI"/>
                <w:color w:val="000000"/>
                <w:sz w:val="18"/>
                <w:szCs w:val="18"/>
              </w:rPr>
              <w:t>1 434</w:t>
            </w:r>
          </w:p>
        </w:tc>
        <w:tc>
          <w:tcPr>
            <w:tcW w:w="1184" w:type="dxa"/>
            <w:noWrap/>
            <w:vAlign w:val="center"/>
            <w:hideMark/>
          </w:tcPr>
          <w:p w14:paraId="61BF745C" w14:textId="77777777" w:rsidR="001932B9" w:rsidRPr="00BB314F" w:rsidRDefault="001932B9" w:rsidP="00BB314F">
            <w:pPr>
              <w:spacing w:after="0"/>
              <w:jc w:val="right"/>
              <w:rPr>
                <w:rFonts w:cs="Segoe UI"/>
                <w:sz w:val="18"/>
                <w:szCs w:val="18"/>
              </w:rPr>
            </w:pPr>
            <w:r w:rsidRPr="00BB314F">
              <w:rPr>
                <w:rFonts w:cs="Segoe UI"/>
                <w:color w:val="000000"/>
                <w:sz w:val="18"/>
                <w:szCs w:val="18"/>
              </w:rPr>
              <w:t>1 272</w:t>
            </w:r>
          </w:p>
        </w:tc>
        <w:tc>
          <w:tcPr>
            <w:tcW w:w="1145" w:type="dxa"/>
            <w:noWrap/>
            <w:vAlign w:val="center"/>
            <w:hideMark/>
          </w:tcPr>
          <w:p w14:paraId="08DFCB63"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1 334</w:t>
            </w:r>
          </w:p>
        </w:tc>
        <w:tc>
          <w:tcPr>
            <w:tcW w:w="1266" w:type="dxa"/>
            <w:noWrap/>
            <w:vAlign w:val="center"/>
            <w:hideMark/>
          </w:tcPr>
          <w:p w14:paraId="0C8A3FE7"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-100</w:t>
            </w:r>
          </w:p>
        </w:tc>
      </w:tr>
      <w:tr w:rsidR="001932B9" w:rsidRPr="007964BB" w14:paraId="6CDAD934" w14:textId="77777777" w:rsidTr="00BB314F">
        <w:trPr>
          <w:trHeight w:val="283"/>
          <w:tblHeader/>
        </w:trPr>
        <w:tc>
          <w:tcPr>
            <w:tcW w:w="3544" w:type="dxa"/>
            <w:noWrap/>
            <w:vAlign w:val="center"/>
            <w:hideMark/>
          </w:tcPr>
          <w:p w14:paraId="6BD6B30F" w14:textId="77777777" w:rsidR="001932B9" w:rsidRPr="00BB314F" w:rsidRDefault="001932B9" w:rsidP="00BB314F">
            <w:pPr>
              <w:spacing w:after="0"/>
              <w:jc w:val="left"/>
              <w:rPr>
                <w:rFonts w:cs="Segoe UI"/>
                <w:sz w:val="18"/>
                <w:szCs w:val="18"/>
              </w:rPr>
            </w:pPr>
            <w:r w:rsidRPr="00BB314F">
              <w:rPr>
                <w:rFonts w:cs="Segoe UI"/>
                <w:sz w:val="18"/>
                <w:szCs w:val="18"/>
              </w:rPr>
              <w:t>MS SR</w:t>
            </w:r>
          </w:p>
        </w:tc>
        <w:tc>
          <w:tcPr>
            <w:tcW w:w="1134" w:type="dxa"/>
            <w:noWrap/>
            <w:vAlign w:val="center"/>
            <w:hideMark/>
          </w:tcPr>
          <w:p w14:paraId="26A036B2" w14:textId="77777777" w:rsidR="001932B9" w:rsidRPr="00BB314F" w:rsidRDefault="001932B9" w:rsidP="00BB314F">
            <w:pPr>
              <w:spacing w:after="0"/>
              <w:jc w:val="right"/>
              <w:rPr>
                <w:rFonts w:cs="Segoe UI"/>
                <w:sz w:val="18"/>
                <w:szCs w:val="18"/>
              </w:rPr>
            </w:pPr>
            <w:r w:rsidRPr="00BB314F">
              <w:rPr>
                <w:rFonts w:cs="Segoe UI"/>
                <w:color w:val="000000"/>
                <w:sz w:val="18"/>
                <w:szCs w:val="18"/>
              </w:rPr>
              <w:t>364</w:t>
            </w:r>
          </w:p>
        </w:tc>
        <w:tc>
          <w:tcPr>
            <w:tcW w:w="1105" w:type="dxa"/>
            <w:noWrap/>
            <w:vAlign w:val="center"/>
            <w:hideMark/>
          </w:tcPr>
          <w:p w14:paraId="6B5F0209" w14:textId="77777777" w:rsidR="001932B9" w:rsidRPr="00BB314F" w:rsidRDefault="001932B9" w:rsidP="00BB314F">
            <w:pPr>
              <w:spacing w:after="0"/>
              <w:jc w:val="right"/>
              <w:rPr>
                <w:rFonts w:cs="Segoe UI"/>
                <w:sz w:val="18"/>
                <w:szCs w:val="18"/>
              </w:rPr>
            </w:pPr>
            <w:r w:rsidRPr="00BB314F">
              <w:rPr>
                <w:rFonts w:cs="Segoe UI"/>
                <w:color w:val="000000"/>
                <w:sz w:val="18"/>
                <w:szCs w:val="18"/>
              </w:rPr>
              <w:t>364</w:t>
            </w:r>
          </w:p>
        </w:tc>
        <w:tc>
          <w:tcPr>
            <w:tcW w:w="1184" w:type="dxa"/>
            <w:noWrap/>
            <w:vAlign w:val="center"/>
            <w:hideMark/>
          </w:tcPr>
          <w:p w14:paraId="36DDF607" w14:textId="77777777" w:rsidR="001932B9" w:rsidRPr="00BB314F" w:rsidRDefault="001932B9" w:rsidP="00BB314F">
            <w:pPr>
              <w:spacing w:after="0"/>
              <w:jc w:val="right"/>
              <w:rPr>
                <w:rFonts w:cs="Segoe UI"/>
                <w:sz w:val="18"/>
                <w:szCs w:val="18"/>
              </w:rPr>
            </w:pPr>
            <w:r w:rsidRPr="00BB314F">
              <w:rPr>
                <w:rFonts w:cs="Segoe UI"/>
                <w:color w:val="000000"/>
                <w:sz w:val="18"/>
                <w:szCs w:val="18"/>
              </w:rPr>
              <w:t>384</w:t>
            </w:r>
          </w:p>
        </w:tc>
        <w:tc>
          <w:tcPr>
            <w:tcW w:w="1145" w:type="dxa"/>
            <w:noWrap/>
            <w:vAlign w:val="center"/>
            <w:hideMark/>
          </w:tcPr>
          <w:p w14:paraId="7C342D9A"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364</w:t>
            </w:r>
          </w:p>
        </w:tc>
        <w:tc>
          <w:tcPr>
            <w:tcW w:w="1266" w:type="dxa"/>
            <w:noWrap/>
            <w:vAlign w:val="center"/>
            <w:hideMark/>
          </w:tcPr>
          <w:p w14:paraId="78C65C96"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33241551" w14:textId="77777777" w:rsidTr="00BB314F">
        <w:trPr>
          <w:trHeight w:val="283"/>
          <w:tblHeader/>
        </w:trPr>
        <w:tc>
          <w:tcPr>
            <w:tcW w:w="3544" w:type="dxa"/>
            <w:noWrap/>
            <w:vAlign w:val="center"/>
            <w:hideMark/>
          </w:tcPr>
          <w:p w14:paraId="22CBA3B1" w14:textId="77777777" w:rsidR="001932B9" w:rsidRPr="00BB314F" w:rsidRDefault="001932B9" w:rsidP="00BB314F">
            <w:pPr>
              <w:spacing w:after="0"/>
              <w:jc w:val="left"/>
              <w:rPr>
                <w:rFonts w:cs="Segoe UI"/>
                <w:sz w:val="18"/>
                <w:szCs w:val="18"/>
              </w:rPr>
            </w:pPr>
            <w:r w:rsidRPr="00BB314F">
              <w:rPr>
                <w:rFonts w:cs="Segoe UI"/>
                <w:sz w:val="18"/>
                <w:szCs w:val="18"/>
              </w:rPr>
              <w:t>MF SR</w:t>
            </w:r>
          </w:p>
        </w:tc>
        <w:tc>
          <w:tcPr>
            <w:tcW w:w="1134" w:type="dxa"/>
            <w:noWrap/>
            <w:vAlign w:val="center"/>
            <w:hideMark/>
          </w:tcPr>
          <w:p w14:paraId="79538441" w14:textId="77777777" w:rsidR="001932B9" w:rsidRPr="00BB314F" w:rsidRDefault="001932B9" w:rsidP="00BB314F">
            <w:pPr>
              <w:spacing w:after="0"/>
              <w:jc w:val="right"/>
              <w:rPr>
                <w:rFonts w:cs="Segoe UI"/>
                <w:sz w:val="18"/>
                <w:szCs w:val="18"/>
              </w:rPr>
            </w:pPr>
            <w:r w:rsidRPr="00BB314F">
              <w:rPr>
                <w:rFonts w:cs="Segoe UI"/>
                <w:color w:val="000000"/>
                <w:sz w:val="18"/>
                <w:szCs w:val="18"/>
              </w:rPr>
              <w:t>861</w:t>
            </w:r>
          </w:p>
        </w:tc>
        <w:tc>
          <w:tcPr>
            <w:tcW w:w="1105" w:type="dxa"/>
            <w:noWrap/>
            <w:vAlign w:val="center"/>
            <w:hideMark/>
          </w:tcPr>
          <w:p w14:paraId="1405B258" w14:textId="77777777" w:rsidR="001932B9" w:rsidRPr="00BB314F" w:rsidRDefault="001932B9" w:rsidP="00BB314F">
            <w:pPr>
              <w:spacing w:after="0"/>
              <w:jc w:val="right"/>
              <w:rPr>
                <w:rFonts w:cs="Segoe UI"/>
                <w:sz w:val="18"/>
                <w:szCs w:val="18"/>
              </w:rPr>
            </w:pPr>
            <w:r w:rsidRPr="00BB314F">
              <w:rPr>
                <w:rFonts w:cs="Segoe UI"/>
                <w:color w:val="000000"/>
                <w:sz w:val="18"/>
                <w:szCs w:val="18"/>
              </w:rPr>
              <w:t>861</w:t>
            </w:r>
          </w:p>
        </w:tc>
        <w:tc>
          <w:tcPr>
            <w:tcW w:w="1184" w:type="dxa"/>
            <w:noWrap/>
            <w:vAlign w:val="center"/>
            <w:hideMark/>
          </w:tcPr>
          <w:p w14:paraId="39978FD8" w14:textId="77777777" w:rsidR="001932B9" w:rsidRPr="00BB314F" w:rsidRDefault="001932B9" w:rsidP="00BB314F">
            <w:pPr>
              <w:spacing w:after="0"/>
              <w:jc w:val="right"/>
              <w:rPr>
                <w:rFonts w:cs="Segoe UI"/>
                <w:sz w:val="18"/>
                <w:szCs w:val="18"/>
              </w:rPr>
            </w:pPr>
            <w:r w:rsidRPr="00BB314F">
              <w:rPr>
                <w:rFonts w:cs="Segoe UI"/>
                <w:color w:val="000000"/>
                <w:sz w:val="18"/>
                <w:szCs w:val="18"/>
              </w:rPr>
              <w:t>776</w:t>
            </w:r>
          </w:p>
        </w:tc>
        <w:tc>
          <w:tcPr>
            <w:tcW w:w="1145" w:type="dxa"/>
            <w:noWrap/>
            <w:vAlign w:val="center"/>
            <w:hideMark/>
          </w:tcPr>
          <w:p w14:paraId="06761BF4"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903</w:t>
            </w:r>
          </w:p>
        </w:tc>
        <w:tc>
          <w:tcPr>
            <w:tcW w:w="1266" w:type="dxa"/>
            <w:noWrap/>
            <w:vAlign w:val="center"/>
            <w:hideMark/>
          </w:tcPr>
          <w:p w14:paraId="7C1B01E1" w14:textId="77777777" w:rsidR="001932B9" w:rsidRPr="007E0E91" w:rsidRDefault="001932B9" w:rsidP="00BB314F">
            <w:pPr>
              <w:spacing w:after="0"/>
              <w:jc w:val="right"/>
              <w:rPr>
                <w:rFonts w:cs="Segoe UI"/>
                <w:b/>
                <w:bCs/>
                <w:color w:val="EE0000"/>
                <w:sz w:val="18"/>
                <w:szCs w:val="18"/>
              </w:rPr>
            </w:pPr>
            <w:r w:rsidRPr="007964BB">
              <w:rPr>
                <w:rFonts w:cs="Segoe UI"/>
                <w:b/>
                <w:bCs/>
                <w:sz w:val="18"/>
                <w:szCs w:val="18"/>
              </w:rPr>
              <w:t>42</w:t>
            </w:r>
          </w:p>
        </w:tc>
      </w:tr>
      <w:tr w:rsidR="001932B9" w:rsidRPr="007964BB" w14:paraId="372AA4CB" w14:textId="77777777" w:rsidTr="00BB314F">
        <w:trPr>
          <w:trHeight w:val="283"/>
          <w:tblHeader/>
        </w:trPr>
        <w:tc>
          <w:tcPr>
            <w:tcW w:w="3544" w:type="dxa"/>
            <w:noWrap/>
            <w:vAlign w:val="center"/>
            <w:hideMark/>
          </w:tcPr>
          <w:p w14:paraId="0A529294" w14:textId="77777777" w:rsidR="001932B9" w:rsidRPr="00BB314F" w:rsidRDefault="001932B9" w:rsidP="00BB314F">
            <w:pPr>
              <w:spacing w:after="0"/>
              <w:jc w:val="left"/>
              <w:rPr>
                <w:rFonts w:cs="Segoe UI"/>
                <w:sz w:val="18"/>
                <w:szCs w:val="18"/>
              </w:rPr>
            </w:pPr>
            <w:r w:rsidRPr="00BB314F">
              <w:rPr>
                <w:rFonts w:cs="Segoe UI"/>
                <w:sz w:val="18"/>
                <w:szCs w:val="18"/>
              </w:rPr>
              <w:t>MŽP SR</w:t>
            </w:r>
          </w:p>
        </w:tc>
        <w:tc>
          <w:tcPr>
            <w:tcW w:w="1134" w:type="dxa"/>
            <w:noWrap/>
            <w:vAlign w:val="center"/>
            <w:hideMark/>
          </w:tcPr>
          <w:p w14:paraId="1CCDFC8D" w14:textId="77777777" w:rsidR="001932B9" w:rsidRPr="00BB314F" w:rsidRDefault="001932B9" w:rsidP="00BB314F">
            <w:pPr>
              <w:spacing w:after="0"/>
              <w:jc w:val="right"/>
              <w:rPr>
                <w:rFonts w:cs="Segoe UI"/>
                <w:sz w:val="18"/>
                <w:szCs w:val="18"/>
              </w:rPr>
            </w:pPr>
            <w:r w:rsidRPr="00BB314F">
              <w:rPr>
                <w:rFonts w:cs="Segoe UI"/>
                <w:color w:val="000000"/>
                <w:sz w:val="18"/>
                <w:szCs w:val="18"/>
              </w:rPr>
              <w:t>661</w:t>
            </w:r>
          </w:p>
        </w:tc>
        <w:tc>
          <w:tcPr>
            <w:tcW w:w="1105" w:type="dxa"/>
            <w:noWrap/>
            <w:vAlign w:val="center"/>
            <w:hideMark/>
          </w:tcPr>
          <w:p w14:paraId="255E7D53" w14:textId="77777777" w:rsidR="001932B9" w:rsidRPr="00BB314F" w:rsidRDefault="001932B9" w:rsidP="00BB314F">
            <w:pPr>
              <w:spacing w:after="0"/>
              <w:jc w:val="right"/>
              <w:rPr>
                <w:rFonts w:cs="Segoe UI"/>
                <w:sz w:val="18"/>
                <w:szCs w:val="18"/>
              </w:rPr>
            </w:pPr>
            <w:r w:rsidRPr="00BB314F">
              <w:rPr>
                <w:rFonts w:cs="Segoe UI"/>
                <w:color w:val="000000"/>
                <w:sz w:val="18"/>
                <w:szCs w:val="18"/>
              </w:rPr>
              <w:t>661</w:t>
            </w:r>
          </w:p>
        </w:tc>
        <w:tc>
          <w:tcPr>
            <w:tcW w:w="1184" w:type="dxa"/>
            <w:noWrap/>
            <w:vAlign w:val="center"/>
            <w:hideMark/>
          </w:tcPr>
          <w:p w14:paraId="34FA934C" w14:textId="77777777" w:rsidR="001932B9" w:rsidRPr="00BB314F" w:rsidRDefault="001932B9" w:rsidP="00BB314F">
            <w:pPr>
              <w:spacing w:after="0"/>
              <w:jc w:val="right"/>
              <w:rPr>
                <w:rFonts w:cs="Segoe UI"/>
                <w:sz w:val="18"/>
                <w:szCs w:val="18"/>
              </w:rPr>
            </w:pPr>
            <w:r w:rsidRPr="00BB314F">
              <w:rPr>
                <w:rFonts w:cs="Segoe UI"/>
                <w:color w:val="000000"/>
                <w:sz w:val="18"/>
                <w:szCs w:val="18"/>
              </w:rPr>
              <w:t>505</w:t>
            </w:r>
          </w:p>
        </w:tc>
        <w:tc>
          <w:tcPr>
            <w:tcW w:w="1145" w:type="dxa"/>
            <w:noWrap/>
            <w:vAlign w:val="center"/>
            <w:hideMark/>
          </w:tcPr>
          <w:p w14:paraId="0BF1A2A7"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628</w:t>
            </w:r>
          </w:p>
        </w:tc>
        <w:tc>
          <w:tcPr>
            <w:tcW w:w="1266" w:type="dxa"/>
            <w:noWrap/>
            <w:vAlign w:val="center"/>
            <w:hideMark/>
          </w:tcPr>
          <w:p w14:paraId="4FF9A48D"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-33</w:t>
            </w:r>
          </w:p>
        </w:tc>
      </w:tr>
      <w:tr w:rsidR="001932B9" w:rsidRPr="007964BB" w14:paraId="28F694CA" w14:textId="77777777" w:rsidTr="00BB314F">
        <w:trPr>
          <w:trHeight w:val="283"/>
          <w:tblHeader/>
        </w:trPr>
        <w:tc>
          <w:tcPr>
            <w:tcW w:w="3544" w:type="dxa"/>
            <w:noWrap/>
            <w:vAlign w:val="center"/>
            <w:hideMark/>
          </w:tcPr>
          <w:p w14:paraId="7A00C4FA" w14:textId="77777777" w:rsidR="001932B9" w:rsidRPr="00BB314F" w:rsidRDefault="001932B9" w:rsidP="00BB314F">
            <w:pPr>
              <w:spacing w:after="0"/>
              <w:jc w:val="left"/>
              <w:rPr>
                <w:rFonts w:cs="Segoe UI"/>
                <w:sz w:val="18"/>
                <w:szCs w:val="18"/>
              </w:rPr>
            </w:pPr>
            <w:r w:rsidRPr="00BB314F">
              <w:rPr>
                <w:rFonts w:cs="Segoe UI"/>
                <w:sz w:val="18"/>
                <w:szCs w:val="18"/>
              </w:rPr>
              <w:t>MŠVVM SR</w:t>
            </w:r>
          </w:p>
        </w:tc>
        <w:tc>
          <w:tcPr>
            <w:tcW w:w="1134" w:type="dxa"/>
            <w:noWrap/>
            <w:vAlign w:val="center"/>
            <w:hideMark/>
          </w:tcPr>
          <w:p w14:paraId="0A91A4BB" w14:textId="77777777" w:rsidR="001932B9" w:rsidRPr="00BB314F" w:rsidRDefault="001932B9" w:rsidP="00BB314F">
            <w:pPr>
              <w:spacing w:after="0"/>
              <w:jc w:val="right"/>
              <w:rPr>
                <w:rFonts w:cs="Segoe UI"/>
                <w:sz w:val="18"/>
                <w:szCs w:val="18"/>
              </w:rPr>
            </w:pPr>
            <w:r w:rsidRPr="00BB314F">
              <w:rPr>
                <w:rFonts w:cs="Segoe UI"/>
                <w:color w:val="000000"/>
                <w:sz w:val="18"/>
                <w:szCs w:val="18"/>
              </w:rPr>
              <w:t>739</w:t>
            </w:r>
          </w:p>
        </w:tc>
        <w:tc>
          <w:tcPr>
            <w:tcW w:w="1105" w:type="dxa"/>
            <w:noWrap/>
            <w:vAlign w:val="center"/>
            <w:hideMark/>
          </w:tcPr>
          <w:p w14:paraId="106961CB" w14:textId="77777777" w:rsidR="001932B9" w:rsidRPr="00BB314F" w:rsidRDefault="001932B9" w:rsidP="00BB314F">
            <w:pPr>
              <w:spacing w:after="0"/>
              <w:jc w:val="right"/>
              <w:rPr>
                <w:rFonts w:cs="Segoe UI"/>
                <w:sz w:val="18"/>
                <w:szCs w:val="18"/>
              </w:rPr>
            </w:pPr>
            <w:r w:rsidRPr="00BB314F">
              <w:rPr>
                <w:rFonts w:cs="Segoe UI"/>
                <w:color w:val="000000"/>
                <w:sz w:val="18"/>
                <w:szCs w:val="18"/>
              </w:rPr>
              <w:t>788</w:t>
            </w:r>
          </w:p>
        </w:tc>
        <w:tc>
          <w:tcPr>
            <w:tcW w:w="1184" w:type="dxa"/>
            <w:noWrap/>
            <w:vAlign w:val="center"/>
            <w:hideMark/>
          </w:tcPr>
          <w:p w14:paraId="35D963A4" w14:textId="77777777" w:rsidR="001932B9" w:rsidRPr="00BB314F" w:rsidRDefault="001932B9" w:rsidP="00BB314F">
            <w:pPr>
              <w:spacing w:after="0"/>
              <w:jc w:val="right"/>
              <w:rPr>
                <w:rFonts w:cs="Segoe UI"/>
                <w:sz w:val="18"/>
                <w:szCs w:val="18"/>
              </w:rPr>
            </w:pPr>
            <w:r w:rsidRPr="00BB314F">
              <w:rPr>
                <w:rFonts w:cs="Segoe UI"/>
                <w:color w:val="000000"/>
                <w:sz w:val="18"/>
                <w:szCs w:val="18"/>
              </w:rPr>
              <w:t>713</w:t>
            </w:r>
          </w:p>
        </w:tc>
        <w:tc>
          <w:tcPr>
            <w:tcW w:w="1145" w:type="dxa"/>
            <w:noWrap/>
            <w:vAlign w:val="center"/>
            <w:hideMark/>
          </w:tcPr>
          <w:p w14:paraId="6FD05B93"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792</w:t>
            </w:r>
          </w:p>
        </w:tc>
        <w:tc>
          <w:tcPr>
            <w:tcW w:w="1266" w:type="dxa"/>
            <w:noWrap/>
            <w:vAlign w:val="center"/>
            <w:hideMark/>
          </w:tcPr>
          <w:p w14:paraId="2755FDCE"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4</w:t>
            </w:r>
          </w:p>
        </w:tc>
      </w:tr>
      <w:tr w:rsidR="001932B9" w:rsidRPr="007964BB" w14:paraId="5D4E0EB6" w14:textId="77777777" w:rsidTr="00BB314F">
        <w:trPr>
          <w:trHeight w:val="283"/>
          <w:tblHeader/>
        </w:trPr>
        <w:tc>
          <w:tcPr>
            <w:tcW w:w="3544" w:type="dxa"/>
            <w:noWrap/>
            <w:vAlign w:val="center"/>
            <w:hideMark/>
          </w:tcPr>
          <w:p w14:paraId="16B6D1C4" w14:textId="77777777" w:rsidR="001932B9" w:rsidRPr="00BB314F" w:rsidRDefault="001932B9" w:rsidP="00BB314F">
            <w:pPr>
              <w:spacing w:after="0"/>
              <w:jc w:val="left"/>
              <w:rPr>
                <w:rFonts w:cs="Segoe UI"/>
                <w:sz w:val="18"/>
                <w:szCs w:val="18"/>
              </w:rPr>
            </w:pPr>
            <w:r w:rsidRPr="00BB314F">
              <w:rPr>
                <w:rFonts w:cs="Segoe UI"/>
                <w:sz w:val="18"/>
                <w:szCs w:val="18"/>
              </w:rPr>
              <w:t>MZ SR</w:t>
            </w:r>
          </w:p>
        </w:tc>
        <w:tc>
          <w:tcPr>
            <w:tcW w:w="1134" w:type="dxa"/>
            <w:noWrap/>
            <w:vAlign w:val="center"/>
            <w:hideMark/>
          </w:tcPr>
          <w:p w14:paraId="7E9A1182" w14:textId="77777777" w:rsidR="001932B9" w:rsidRPr="00BB314F" w:rsidRDefault="001932B9" w:rsidP="00BB314F">
            <w:pPr>
              <w:spacing w:after="0"/>
              <w:jc w:val="right"/>
              <w:rPr>
                <w:rFonts w:cs="Segoe UI"/>
                <w:sz w:val="18"/>
                <w:szCs w:val="18"/>
              </w:rPr>
            </w:pPr>
            <w:r w:rsidRPr="00BB314F">
              <w:rPr>
                <w:rFonts w:cs="Segoe UI"/>
                <w:color w:val="000000"/>
                <w:sz w:val="18"/>
                <w:szCs w:val="18"/>
              </w:rPr>
              <w:t>479</w:t>
            </w:r>
          </w:p>
        </w:tc>
        <w:tc>
          <w:tcPr>
            <w:tcW w:w="1105" w:type="dxa"/>
            <w:noWrap/>
            <w:vAlign w:val="center"/>
            <w:hideMark/>
          </w:tcPr>
          <w:p w14:paraId="779EA91A" w14:textId="77777777" w:rsidR="001932B9" w:rsidRPr="00BB314F" w:rsidRDefault="001932B9" w:rsidP="00BB314F">
            <w:pPr>
              <w:spacing w:after="0"/>
              <w:jc w:val="right"/>
              <w:rPr>
                <w:rFonts w:cs="Segoe UI"/>
                <w:sz w:val="18"/>
                <w:szCs w:val="18"/>
              </w:rPr>
            </w:pPr>
            <w:r w:rsidRPr="00BB314F">
              <w:rPr>
                <w:rFonts w:cs="Segoe UI"/>
                <w:color w:val="000000"/>
                <w:sz w:val="18"/>
                <w:szCs w:val="18"/>
              </w:rPr>
              <w:t>500</w:t>
            </w:r>
          </w:p>
        </w:tc>
        <w:tc>
          <w:tcPr>
            <w:tcW w:w="1184" w:type="dxa"/>
            <w:noWrap/>
            <w:vAlign w:val="center"/>
            <w:hideMark/>
          </w:tcPr>
          <w:p w14:paraId="1CCA3479" w14:textId="77777777" w:rsidR="001932B9" w:rsidRPr="00BB314F" w:rsidRDefault="001932B9" w:rsidP="00BB314F">
            <w:pPr>
              <w:spacing w:after="0"/>
              <w:jc w:val="right"/>
              <w:rPr>
                <w:rFonts w:cs="Segoe UI"/>
                <w:sz w:val="18"/>
                <w:szCs w:val="18"/>
              </w:rPr>
            </w:pPr>
            <w:r w:rsidRPr="00BB314F">
              <w:rPr>
                <w:rFonts w:cs="Segoe UI"/>
                <w:color w:val="000000"/>
                <w:sz w:val="18"/>
                <w:szCs w:val="18"/>
              </w:rPr>
              <w:t>465</w:t>
            </w:r>
          </w:p>
        </w:tc>
        <w:tc>
          <w:tcPr>
            <w:tcW w:w="1145" w:type="dxa"/>
            <w:noWrap/>
            <w:vAlign w:val="center"/>
            <w:hideMark/>
          </w:tcPr>
          <w:p w14:paraId="144BBA56"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493</w:t>
            </w:r>
          </w:p>
        </w:tc>
        <w:tc>
          <w:tcPr>
            <w:tcW w:w="1266" w:type="dxa"/>
            <w:noWrap/>
            <w:vAlign w:val="center"/>
            <w:hideMark/>
          </w:tcPr>
          <w:p w14:paraId="38382772"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-7</w:t>
            </w:r>
          </w:p>
        </w:tc>
      </w:tr>
      <w:tr w:rsidR="001932B9" w:rsidRPr="007964BB" w14:paraId="7D845D94" w14:textId="77777777" w:rsidTr="00BB314F">
        <w:trPr>
          <w:trHeight w:val="283"/>
          <w:tblHeader/>
        </w:trPr>
        <w:tc>
          <w:tcPr>
            <w:tcW w:w="3544" w:type="dxa"/>
            <w:noWrap/>
            <w:vAlign w:val="center"/>
            <w:hideMark/>
          </w:tcPr>
          <w:p w14:paraId="16975534" w14:textId="77777777" w:rsidR="001932B9" w:rsidRPr="00BB314F" w:rsidRDefault="001932B9" w:rsidP="00BB314F">
            <w:pPr>
              <w:spacing w:after="0"/>
              <w:jc w:val="left"/>
              <w:rPr>
                <w:rFonts w:cs="Segoe UI"/>
                <w:sz w:val="18"/>
                <w:szCs w:val="18"/>
              </w:rPr>
            </w:pPr>
            <w:r w:rsidRPr="00BB314F">
              <w:rPr>
                <w:rFonts w:cs="Segoe UI"/>
                <w:sz w:val="18"/>
                <w:szCs w:val="18"/>
              </w:rPr>
              <w:t>MPSVR SR</w:t>
            </w:r>
          </w:p>
        </w:tc>
        <w:tc>
          <w:tcPr>
            <w:tcW w:w="1134" w:type="dxa"/>
            <w:noWrap/>
            <w:vAlign w:val="center"/>
            <w:hideMark/>
          </w:tcPr>
          <w:p w14:paraId="46AC73BF" w14:textId="77777777" w:rsidR="001932B9" w:rsidRPr="00BB314F" w:rsidRDefault="001932B9" w:rsidP="00BB314F">
            <w:pPr>
              <w:spacing w:after="0"/>
              <w:jc w:val="right"/>
              <w:rPr>
                <w:rFonts w:cs="Segoe UI"/>
                <w:sz w:val="18"/>
                <w:szCs w:val="18"/>
              </w:rPr>
            </w:pPr>
            <w:r w:rsidRPr="00BB314F">
              <w:rPr>
                <w:rFonts w:cs="Segoe UI"/>
                <w:color w:val="000000"/>
                <w:sz w:val="18"/>
                <w:szCs w:val="18"/>
              </w:rPr>
              <w:t>919</w:t>
            </w:r>
          </w:p>
        </w:tc>
        <w:tc>
          <w:tcPr>
            <w:tcW w:w="1105" w:type="dxa"/>
            <w:noWrap/>
            <w:vAlign w:val="center"/>
            <w:hideMark/>
          </w:tcPr>
          <w:p w14:paraId="60E147A4" w14:textId="77777777" w:rsidR="001932B9" w:rsidRPr="00BB314F" w:rsidRDefault="001932B9" w:rsidP="00BB314F">
            <w:pPr>
              <w:spacing w:after="0"/>
              <w:jc w:val="right"/>
              <w:rPr>
                <w:rFonts w:cs="Segoe UI"/>
                <w:sz w:val="18"/>
                <w:szCs w:val="18"/>
              </w:rPr>
            </w:pPr>
            <w:r w:rsidRPr="00BB314F">
              <w:rPr>
                <w:rFonts w:cs="Segoe UI"/>
                <w:color w:val="000000"/>
                <w:sz w:val="18"/>
                <w:szCs w:val="18"/>
              </w:rPr>
              <w:t>931</w:t>
            </w:r>
          </w:p>
        </w:tc>
        <w:tc>
          <w:tcPr>
            <w:tcW w:w="1184" w:type="dxa"/>
            <w:noWrap/>
            <w:vAlign w:val="center"/>
            <w:hideMark/>
          </w:tcPr>
          <w:p w14:paraId="3D8655F0" w14:textId="77777777" w:rsidR="001932B9" w:rsidRPr="00BB314F" w:rsidRDefault="001932B9" w:rsidP="00BB314F">
            <w:pPr>
              <w:spacing w:after="0"/>
              <w:jc w:val="right"/>
              <w:rPr>
                <w:rFonts w:cs="Segoe UI"/>
                <w:sz w:val="18"/>
                <w:szCs w:val="18"/>
              </w:rPr>
            </w:pPr>
            <w:r w:rsidRPr="00BB314F">
              <w:rPr>
                <w:rFonts w:cs="Segoe UI"/>
                <w:color w:val="000000"/>
                <w:sz w:val="18"/>
                <w:szCs w:val="18"/>
              </w:rPr>
              <w:t>1 093</w:t>
            </w:r>
          </w:p>
        </w:tc>
        <w:tc>
          <w:tcPr>
            <w:tcW w:w="1145" w:type="dxa"/>
            <w:noWrap/>
            <w:vAlign w:val="center"/>
            <w:hideMark/>
          </w:tcPr>
          <w:p w14:paraId="659BBF96"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936</w:t>
            </w:r>
          </w:p>
        </w:tc>
        <w:tc>
          <w:tcPr>
            <w:tcW w:w="1266" w:type="dxa"/>
            <w:noWrap/>
            <w:vAlign w:val="center"/>
            <w:hideMark/>
          </w:tcPr>
          <w:p w14:paraId="2311D0CF"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5</w:t>
            </w:r>
          </w:p>
        </w:tc>
      </w:tr>
      <w:tr w:rsidR="001932B9" w:rsidRPr="007964BB" w14:paraId="1A333F21" w14:textId="77777777" w:rsidTr="00BB314F">
        <w:trPr>
          <w:trHeight w:val="283"/>
          <w:tblHeader/>
        </w:trPr>
        <w:tc>
          <w:tcPr>
            <w:tcW w:w="3544" w:type="dxa"/>
            <w:noWrap/>
            <w:vAlign w:val="center"/>
            <w:hideMark/>
          </w:tcPr>
          <w:p w14:paraId="5A06E270" w14:textId="77777777" w:rsidR="001932B9" w:rsidRPr="00BB314F" w:rsidRDefault="001932B9" w:rsidP="00BB314F">
            <w:pPr>
              <w:spacing w:after="0"/>
              <w:jc w:val="left"/>
              <w:rPr>
                <w:rFonts w:cs="Segoe UI"/>
                <w:sz w:val="18"/>
                <w:szCs w:val="18"/>
              </w:rPr>
            </w:pPr>
            <w:r w:rsidRPr="00BB314F">
              <w:rPr>
                <w:rFonts w:cs="Segoe UI"/>
                <w:sz w:val="18"/>
                <w:szCs w:val="18"/>
              </w:rPr>
              <w:t>MK SR</w:t>
            </w:r>
          </w:p>
        </w:tc>
        <w:tc>
          <w:tcPr>
            <w:tcW w:w="1134" w:type="dxa"/>
            <w:noWrap/>
            <w:vAlign w:val="center"/>
            <w:hideMark/>
          </w:tcPr>
          <w:p w14:paraId="5529BD46" w14:textId="77777777" w:rsidR="001932B9" w:rsidRPr="00BB314F" w:rsidRDefault="001932B9" w:rsidP="00BB314F">
            <w:pPr>
              <w:spacing w:after="0"/>
              <w:jc w:val="right"/>
              <w:rPr>
                <w:rFonts w:cs="Segoe UI"/>
                <w:sz w:val="18"/>
                <w:szCs w:val="18"/>
              </w:rPr>
            </w:pPr>
            <w:r w:rsidRPr="00BB314F">
              <w:rPr>
                <w:rFonts w:cs="Segoe UI"/>
                <w:color w:val="000000"/>
                <w:sz w:val="18"/>
                <w:szCs w:val="18"/>
              </w:rPr>
              <w:t>211</w:t>
            </w:r>
          </w:p>
        </w:tc>
        <w:tc>
          <w:tcPr>
            <w:tcW w:w="1105" w:type="dxa"/>
            <w:noWrap/>
            <w:vAlign w:val="center"/>
            <w:hideMark/>
          </w:tcPr>
          <w:p w14:paraId="3D4F176C" w14:textId="77777777" w:rsidR="001932B9" w:rsidRPr="00BB314F" w:rsidRDefault="001932B9" w:rsidP="00BB314F">
            <w:pPr>
              <w:spacing w:after="0"/>
              <w:jc w:val="right"/>
              <w:rPr>
                <w:rFonts w:cs="Segoe UI"/>
                <w:sz w:val="18"/>
                <w:szCs w:val="18"/>
              </w:rPr>
            </w:pPr>
            <w:r w:rsidRPr="00BB314F">
              <w:rPr>
                <w:rFonts w:cs="Segoe UI"/>
                <w:color w:val="000000"/>
                <w:sz w:val="18"/>
                <w:szCs w:val="18"/>
              </w:rPr>
              <w:t>207</w:t>
            </w:r>
          </w:p>
        </w:tc>
        <w:tc>
          <w:tcPr>
            <w:tcW w:w="1184" w:type="dxa"/>
            <w:noWrap/>
            <w:vAlign w:val="center"/>
            <w:hideMark/>
          </w:tcPr>
          <w:p w14:paraId="1E4260C7" w14:textId="77777777" w:rsidR="001932B9" w:rsidRPr="00BB314F" w:rsidRDefault="001932B9" w:rsidP="00BB314F">
            <w:pPr>
              <w:spacing w:after="0"/>
              <w:jc w:val="right"/>
              <w:rPr>
                <w:rFonts w:cs="Segoe UI"/>
                <w:sz w:val="18"/>
                <w:szCs w:val="18"/>
              </w:rPr>
            </w:pPr>
            <w:r w:rsidRPr="00BB314F">
              <w:rPr>
                <w:rFonts w:cs="Segoe UI"/>
                <w:color w:val="000000"/>
                <w:sz w:val="18"/>
                <w:szCs w:val="18"/>
              </w:rPr>
              <w:t>192</w:t>
            </w:r>
          </w:p>
        </w:tc>
        <w:tc>
          <w:tcPr>
            <w:tcW w:w="1145" w:type="dxa"/>
            <w:noWrap/>
            <w:vAlign w:val="center"/>
            <w:hideMark/>
          </w:tcPr>
          <w:p w14:paraId="73878443"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207</w:t>
            </w:r>
          </w:p>
        </w:tc>
        <w:tc>
          <w:tcPr>
            <w:tcW w:w="1266" w:type="dxa"/>
            <w:noWrap/>
            <w:vAlign w:val="center"/>
            <w:hideMark/>
          </w:tcPr>
          <w:p w14:paraId="30E9F39B"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5FF960B0" w14:textId="77777777" w:rsidTr="00BB314F">
        <w:trPr>
          <w:trHeight w:val="283"/>
          <w:tblHeader/>
        </w:trPr>
        <w:tc>
          <w:tcPr>
            <w:tcW w:w="3544" w:type="dxa"/>
            <w:noWrap/>
            <w:vAlign w:val="center"/>
            <w:hideMark/>
          </w:tcPr>
          <w:p w14:paraId="3B0982D8" w14:textId="77777777" w:rsidR="001932B9" w:rsidRPr="00BB314F" w:rsidRDefault="001932B9" w:rsidP="00BB314F">
            <w:pPr>
              <w:spacing w:after="0"/>
              <w:jc w:val="left"/>
              <w:rPr>
                <w:rFonts w:cs="Segoe UI"/>
                <w:sz w:val="18"/>
                <w:szCs w:val="18"/>
              </w:rPr>
            </w:pPr>
            <w:r w:rsidRPr="00BB314F">
              <w:rPr>
                <w:rFonts w:cs="Segoe UI"/>
                <w:sz w:val="18"/>
                <w:szCs w:val="18"/>
              </w:rPr>
              <w:t>MH SR</w:t>
            </w:r>
          </w:p>
        </w:tc>
        <w:tc>
          <w:tcPr>
            <w:tcW w:w="1134" w:type="dxa"/>
            <w:noWrap/>
            <w:vAlign w:val="center"/>
            <w:hideMark/>
          </w:tcPr>
          <w:p w14:paraId="76ED7899" w14:textId="77777777" w:rsidR="001932B9" w:rsidRPr="00BB314F" w:rsidRDefault="001932B9" w:rsidP="00BB314F">
            <w:pPr>
              <w:spacing w:after="0"/>
              <w:jc w:val="right"/>
              <w:rPr>
                <w:rFonts w:cs="Segoe UI"/>
                <w:sz w:val="18"/>
                <w:szCs w:val="18"/>
              </w:rPr>
            </w:pPr>
            <w:r w:rsidRPr="00BB314F">
              <w:rPr>
                <w:rFonts w:cs="Segoe UI"/>
                <w:color w:val="000000"/>
                <w:sz w:val="18"/>
                <w:szCs w:val="18"/>
              </w:rPr>
              <w:t>515</w:t>
            </w:r>
          </w:p>
        </w:tc>
        <w:tc>
          <w:tcPr>
            <w:tcW w:w="1105" w:type="dxa"/>
            <w:noWrap/>
            <w:vAlign w:val="center"/>
            <w:hideMark/>
          </w:tcPr>
          <w:p w14:paraId="0F388783" w14:textId="77777777" w:rsidR="001932B9" w:rsidRPr="00BB314F" w:rsidRDefault="001932B9" w:rsidP="00BB314F">
            <w:pPr>
              <w:spacing w:after="0"/>
              <w:jc w:val="right"/>
              <w:rPr>
                <w:rFonts w:cs="Segoe UI"/>
                <w:sz w:val="18"/>
                <w:szCs w:val="18"/>
              </w:rPr>
            </w:pPr>
            <w:r w:rsidRPr="00BB314F">
              <w:rPr>
                <w:rFonts w:cs="Segoe UI"/>
                <w:color w:val="000000"/>
                <w:sz w:val="18"/>
                <w:szCs w:val="18"/>
              </w:rPr>
              <w:t>548</w:t>
            </w:r>
          </w:p>
        </w:tc>
        <w:tc>
          <w:tcPr>
            <w:tcW w:w="1184" w:type="dxa"/>
            <w:noWrap/>
            <w:vAlign w:val="center"/>
            <w:hideMark/>
          </w:tcPr>
          <w:p w14:paraId="06B35EDF" w14:textId="77777777" w:rsidR="001932B9" w:rsidRPr="00BB314F" w:rsidRDefault="001932B9" w:rsidP="00BB314F">
            <w:pPr>
              <w:spacing w:after="0"/>
              <w:jc w:val="right"/>
              <w:rPr>
                <w:rFonts w:cs="Segoe UI"/>
                <w:sz w:val="18"/>
                <w:szCs w:val="18"/>
              </w:rPr>
            </w:pPr>
            <w:r w:rsidRPr="00BB314F">
              <w:rPr>
                <w:rFonts w:cs="Segoe UI"/>
                <w:color w:val="000000"/>
                <w:sz w:val="18"/>
                <w:szCs w:val="18"/>
              </w:rPr>
              <w:t>488</w:t>
            </w:r>
          </w:p>
        </w:tc>
        <w:tc>
          <w:tcPr>
            <w:tcW w:w="1145" w:type="dxa"/>
            <w:noWrap/>
            <w:vAlign w:val="center"/>
            <w:hideMark/>
          </w:tcPr>
          <w:p w14:paraId="2A4B3FEB"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503</w:t>
            </w:r>
          </w:p>
        </w:tc>
        <w:tc>
          <w:tcPr>
            <w:tcW w:w="1266" w:type="dxa"/>
            <w:noWrap/>
            <w:vAlign w:val="center"/>
            <w:hideMark/>
          </w:tcPr>
          <w:p w14:paraId="23DFE8F9"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-45</w:t>
            </w:r>
          </w:p>
        </w:tc>
      </w:tr>
      <w:tr w:rsidR="001932B9" w:rsidRPr="007964BB" w14:paraId="2B89F373" w14:textId="77777777" w:rsidTr="00BB314F">
        <w:trPr>
          <w:trHeight w:val="283"/>
          <w:tblHeader/>
        </w:trPr>
        <w:tc>
          <w:tcPr>
            <w:tcW w:w="3544" w:type="dxa"/>
            <w:noWrap/>
            <w:vAlign w:val="center"/>
            <w:hideMark/>
          </w:tcPr>
          <w:p w14:paraId="7CFF1DAB" w14:textId="77777777" w:rsidR="001932B9" w:rsidRPr="00BB314F" w:rsidRDefault="001932B9" w:rsidP="00BB314F">
            <w:pPr>
              <w:spacing w:after="0"/>
              <w:jc w:val="left"/>
              <w:rPr>
                <w:rFonts w:cs="Segoe UI"/>
                <w:sz w:val="18"/>
                <w:szCs w:val="18"/>
              </w:rPr>
            </w:pPr>
            <w:r w:rsidRPr="00BB314F">
              <w:rPr>
                <w:rFonts w:cs="Segoe UI"/>
                <w:sz w:val="18"/>
                <w:szCs w:val="18"/>
              </w:rPr>
              <w:t>MPRV SR</w:t>
            </w:r>
          </w:p>
        </w:tc>
        <w:tc>
          <w:tcPr>
            <w:tcW w:w="1134" w:type="dxa"/>
            <w:noWrap/>
            <w:vAlign w:val="center"/>
            <w:hideMark/>
          </w:tcPr>
          <w:p w14:paraId="6222323D" w14:textId="77777777" w:rsidR="001932B9" w:rsidRPr="00BB314F" w:rsidRDefault="001932B9" w:rsidP="00BB314F">
            <w:pPr>
              <w:spacing w:after="0"/>
              <w:jc w:val="right"/>
              <w:rPr>
                <w:rFonts w:cs="Segoe UI"/>
                <w:sz w:val="18"/>
                <w:szCs w:val="18"/>
              </w:rPr>
            </w:pPr>
            <w:r w:rsidRPr="00BB314F">
              <w:rPr>
                <w:rFonts w:cs="Segoe UI"/>
                <w:color w:val="000000"/>
                <w:sz w:val="18"/>
                <w:szCs w:val="18"/>
              </w:rPr>
              <w:t>449</w:t>
            </w:r>
          </w:p>
        </w:tc>
        <w:tc>
          <w:tcPr>
            <w:tcW w:w="1105" w:type="dxa"/>
            <w:noWrap/>
            <w:vAlign w:val="center"/>
            <w:hideMark/>
          </w:tcPr>
          <w:p w14:paraId="54EE3795" w14:textId="77777777" w:rsidR="001932B9" w:rsidRPr="00BB314F" w:rsidRDefault="001932B9" w:rsidP="00BB314F">
            <w:pPr>
              <w:spacing w:after="0"/>
              <w:jc w:val="right"/>
              <w:rPr>
                <w:rFonts w:cs="Segoe UI"/>
                <w:sz w:val="18"/>
                <w:szCs w:val="18"/>
              </w:rPr>
            </w:pPr>
            <w:r w:rsidRPr="00BB314F">
              <w:rPr>
                <w:rFonts w:cs="Segoe UI"/>
                <w:color w:val="000000"/>
                <w:sz w:val="18"/>
                <w:szCs w:val="18"/>
              </w:rPr>
              <w:t>454</w:t>
            </w:r>
          </w:p>
        </w:tc>
        <w:tc>
          <w:tcPr>
            <w:tcW w:w="1184" w:type="dxa"/>
            <w:noWrap/>
            <w:vAlign w:val="center"/>
            <w:hideMark/>
          </w:tcPr>
          <w:p w14:paraId="51D73EC5" w14:textId="77777777" w:rsidR="001932B9" w:rsidRPr="00BB314F" w:rsidRDefault="001932B9" w:rsidP="00BB314F">
            <w:pPr>
              <w:spacing w:after="0"/>
              <w:jc w:val="right"/>
              <w:rPr>
                <w:rFonts w:cs="Segoe UI"/>
                <w:sz w:val="18"/>
                <w:szCs w:val="18"/>
              </w:rPr>
            </w:pPr>
            <w:r w:rsidRPr="00BB314F">
              <w:rPr>
                <w:rFonts w:cs="Segoe UI"/>
                <w:color w:val="000000"/>
                <w:sz w:val="18"/>
                <w:szCs w:val="18"/>
              </w:rPr>
              <w:t>396</w:t>
            </w:r>
          </w:p>
        </w:tc>
        <w:tc>
          <w:tcPr>
            <w:tcW w:w="1145" w:type="dxa"/>
            <w:noWrap/>
            <w:vAlign w:val="center"/>
            <w:hideMark/>
          </w:tcPr>
          <w:p w14:paraId="498FFE22"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446</w:t>
            </w:r>
          </w:p>
        </w:tc>
        <w:tc>
          <w:tcPr>
            <w:tcW w:w="1266" w:type="dxa"/>
            <w:noWrap/>
            <w:vAlign w:val="center"/>
            <w:hideMark/>
          </w:tcPr>
          <w:p w14:paraId="34152DC7"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-8</w:t>
            </w:r>
          </w:p>
        </w:tc>
      </w:tr>
      <w:tr w:rsidR="001932B9" w:rsidRPr="007964BB" w14:paraId="546A6D15" w14:textId="77777777" w:rsidTr="00BB314F">
        <w:trPr>
          <w:trHeight w:val="283"/>
          <w:tblHeader/>
        </w:trPr>
        <w:tc>
          <w:tcPr>
            <w:tcW w:w="3544" w:type="dxa"/>
            <w:noWrap/>
            <w:vAlign w:val="center"/>
            <w:hideMark/>
          </w:tcPr>
          <w:p w14:paraId="664D598B" w14:textId="77777777" w:rsidR="001932B9" w:rsidRPr="00BB314F" w:rsidRDefault="001932B9" w:rsidP="00BB314F">
            <w:pPr>
              <w:spacing w:after="0"/>
              <w:jc w:val="left"/>
              <w:rPr>
                <w:rFonts w:cs="Segoe UI"/>
                <w:sz w:val="18"/>
                <w:szCs w:val="18"/>
              </w:rPr>
            </w:pPr>
            <w:r w:rsidRPr="00BB314F">
              <w:rPr>
                <w:rFonts w:cs="Segoe UI"/>
                <w:sz w:val="18"/>
                <w:szCs w:val="18"/>
              </w:rPr>
              <w:t>MD SR</w:t>
            </w:r>
          </w:p>
        </w:tc>
        <w:tc>
          <w:tcPr>
            <w:tcW w:w="1134" w:type="dxa"/>
            <w:noWrap/>
            <w:vAlign w:val="center"/>
            <w:hideMark/>
          </w:tcPr>
          <w:p w14:paraId="4071105F" w14:textId="77777777" w:rsidR="001932B9" w:rsidRPr="00BB314F" w:rsidRDefault="001932B9" w:rsidP="00BB314F">
            <w:pPr>
              <w:spacing w:after="0"/>
              <w:jc w:val="right"/>
              <w:rPr>
                <w:rFonts w:cs="Segoe UI"/>
                <w:sz w:val="18"/>
                <w:szCs w:val="18"/>
              </w:rPr>
            </w:pPr>
            <w:r w:rsidRPr="00BB314F">
              <w:rPr>
                <w:rFonts w:cs="Segoe UI"/>
                <w:color w:val="000000"/>
                <w:sz w:val="18"/>
                <w:szCs w:val="18"/>
              </w:rPr>
              <w:t>648</w:t>
            </w:r>
          </w:p>
        </w:tc>
        <w:tc>
          <w:tcPr>
            <w:tcW w:w="1105" w:type="dxa"/>
            <w:noWrap/>
            <w:vAlign w:val="center"/>
            <w:hideMark/>
          </w:tcPr>
          <w:p w14:paraId="4C8DF569" w14:textId="77777777" w:rsidR="001932B9" w:rsidRPr="00BB314F" w:rsidRDefault="001932B9" w:rsidP="00BB314F">
            <w:pPr>
              <w:spacing w:after="0"/>
              <w:jc w:val="right"/>
              <w:rPr>
                <w:rFonts w:cs="Segoe UI"/>
                <w:sz w:val="18"/>
                <w:szCs w:val="18"/>
              </w:rPr>
            </w:pPr>
            <w:r w:rsidRPr="00BB314F">
              <w:rPr>
                <w:rFonts w:cs="Segoe UI"/>
                <w:color w:val="000000"/>
                <w:sz w:val="18"/>
                <w:szCs w:val="18"/>
              </w:rPr>
              <w:t>646</w:t>
            </w:r>
          </w:p>
        </w:tc>
        <w:tc>
          <w:tcPr>
            <w:tcW w:w="1184" w:type="dxa"/>
            <w:noWrap/>
            <w:vAlign w:val="center"/>
            <w:hideMark/>
          </w:tcPr>
          <w:p w14:paraId="7D0CA25F" w14:textId="77777777" w:rsidR="001932B9" w:rsidRPr="00BB314F" w:rsidRDefault="001932B9" w:rsidP="00BB314F">
            <w:pPr>
              <w:spacing w:after="0"/>
              <w:jc w:val="right"/>
              <w:rPr>
                <w:rFonts w:cs="Segoe UI"/>
                <w:sz w:val="18"/>
                <w:szCs w:val="18"/>
              </w:rPr>
            </w:pPr>
            <w:r w:rsidRPr="00BB314F">
              <w:rPr>
                <w:rFonts w:cs="Segoe UI"/>
                <w:color w:val="000000"/>
                <w:sz w:val="18"/>
                <w:szCs w:val="18"/>
              </w:rPr>
              <w:t>557</w:t>
            </w:r>
          </w:p>
        </w:tc>
        <w:tc>
          <w:tcPr>
            <w:tcW w:w="1145" w:type="dxa"/>
            <w:noWrap/>
            <w:vAlign w:val="center"/>
            <w:hideMark/>
          </w:tcPr>
          <w:p w14:paraId="68BDFF8F"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647</w:t>
            </w:r>
          </w:p>
        </w:tc>
        <w:tc>
          <w:tcPr>
            <w:tcW w:w="1266" w:type="dxa"/>
            <w:noWrap/>
            <w:vAlign w:val="center"/>
            <w:hideMark/>
          </w:tcPr>
          <w:p w14:paraId="5C020443"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1</w:t>
            </w:r>
          </w:p>
        </w:tc>
      </w:tr>
      <w:tr w:rsidR="001932B9" w:rsidRPr="007964BB" w14:paraId="4C8AAAB0" w14:textId="77777777" w:rsidTr="00BB314F">
        <w:trPr>
          <w:trHeight w:val="283"/>
          <w:tblHeader/>
        </w:trPr>
        <w:tc>
          <w:tcPr>
            <w:tcW w:w="3544" w:type="dxa"/>
            <w:noWrap/>
            <w:vAlign w:val="center"/>
            <w:hideMark/>
          </w:tcPr>
          <w:p w14:paraId="11E7AA4E" w14:textId="77777777" w:rsidR="001932B9" w:rsidRPr="00BB314F" w:rsidRDefault="001932B9" w:rsidP="00BB314F">
            <w:pPr>
              <w:spacing w:after="0"/>
              <w:jc w:val="left"/>
              <w:rPr>
                <w:rFonts w:cs="Segoe UI"/>
                <w:sz w:val="18"/>
                <w:szCs w:val="18"/>
              </w:rPr>
            </w:pPr>
            <w:r w:rsidRPr="00BB314F">
              <w:rPr>
                <w:rFonts w:cs="Segoe UI"/>
                <w:sz w:val="18"/>
                <w:szCs w:val="18"/>
              </w:rPr>
              <w:t>ÚGKaK SR</w:t>
            </w:r>
          </w:p>
        </w:tc>
        <w:tc>
          <w:tcPr>
            <w:tcW w:w="1134" w:type="dxa"/>
            <w:noWrap/>
            <w:vAlign w:val="center"/>
            <w:hideMark/>
          </w:tcPr>
          <w:p w14:paraId="7F7D267C" w14:textId="77777777" w:rsidR="001932B9" w:rsidRPr="00BB314F" w:rsidRDefault="001932B9" w:rsidP="00BB314F">
            <w:pPr>
              <w:spacing w:after="0"/>
              <w:jc w:val="right"/>
              <w:rPr>
                <w:rFonts w:cs="Segoe UI"/>
                <w:sz w:val="18"/>
                <w:szCs w:val="18"/>
              </w:rPr>
            </w:pPr>
            <w:r w:rsidRPr="00BB314F">
              <w:rPr>
                <w:rFonts w:cs="Segoe UI"/>
                <w:color w:val="000000"/>
                <w:sz w:val="18"/>
                <w:szCs w:val="18"/>
              </w:rPr>
              <w:t>73</w:t>
            </w:r>
          </w:p>
        </w:tc>
        <w:tc>
          <w:tcPr>
            <w:tcW w:w="1105" w:type="dxa"/>
            <w:noWrap/>
            <w:vAlign w:val="center"/>
            <w:hideMark/>
          </w:tcPr>
          <w:p w14:paraId="7F3A4D11" w14:textId="77777777" w:rsidR="001932B9" w:rsidRPr="00BB314F" w:rsidRDefault="001932B9" w:rsidP="00BB314F">
            <w:pPr>
              <w:spacing w:after="0"/>
              <w:jc w:val="right"/>
              <w:rPr>
                <w:rFonts w:cs="Segoe UI"/>
                <w:sz w:val="18"/>
                <w:szCs w:val="18"/>
              </w:rPr>
            </w:pPr>
            <w:r w:rsidRPr="00BB314F">
              <w:rPr>
                <w:rFonts w:cs="Segoe UI"/>
                <w:color w:val="000000"/>
                <w:sz w:val="18"/>
                <w:szCs w:val="18"/>
              </w:rPr>
              <w:t>73</w:t>
            </w:r>
          </w:p>
        </w:tc>
        <w:tc>
          <w:tcPr>
            <w:tcW w:w="1184" w:type="dxa"/>
            <w:noWrap/>
            <w:vAlign w:val="center"/>
            <w:hideMark/>
          </w:tcPr>
          <w:p w14:paraId="7AAB8646" w14:textId="77777777" w:rsidR="001932B9" w:rsidRPr="00BB314F" w:rsidRDefault="001932B9" w:rsidP="00BB314F">
            <w:pPr>
              <w:spacing w:after="0"/>
              <w:jc w:val="right"/>
              <w:rPr>
                <w:rFonts w:cs="Segoe UI"/>
                <w:sz w:val="18"/>
                <w:szCs w:val="18"/>
              </w:rPr>
            </w:pPr>
            <w:r w:rsidRPr="00BB314F">
              <w:rPr>
                <w:rFonts w:cs="Segoe UI"/>
                <w:color w:val="000000"/>
                <w:sz w:val="18"/>
                <w:szCs w:val="18"/>
              </w:rPr>
              <w:t>69</w:t>
            </w:r>
          </w:p>
        </w:tc>
        <w:tc>
          <w:tcPr>
            <w:tcW w:w="1145" w:type="dxa"/>
            <w:noWrap/>
            <w:vAlign w:val="center"/>
            <w:hideMark/>
          </w:tcPr>
          <w:p w14:paraId="214B2A6F"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73</w:t>
            </w:r>
          </w:p>
        </w:tc>
        <w:tc>
          <w:tcPr>
            <w:tcW w:w="1266" w:type="dxa"/>
            <w:noWrap/>
            <w:vAlign w:val="center"/>
            <w:hideMark/>
          </w:tcPr>
          <w:p w14:paraId="5BA7B9AB"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17D0F0F9" w14:textId="77777777" w:rsidTr="00BB314F">
        <w:trPr>
          <w:trHeight w:val="283"/>
          <w:tblHeader/>
        </w:trPr>
        <w:tc>
          <w:tcPr>
            <w:tcW w:w="3544" w:type="dxa"/>
            <w:noWrap/>
            <w:vAlign w:val="center"/>
            <w:hideMark/>
          </w:tcPr>
          <w:p w14:paraId="7EC30C68" w14:textId="77777777" w:rsidR="001932B9" w:rsidRPr="00BB314F" w:rsidRDefault="001932B9" w:rsidP="00BB314F">
            <w:pPr>
              <w:spacing w:after="0"/>
              <w:jc w:val="left"/>
              <w:rPr>
                <w:rFonts w:cs="Segoe UI"/>
                <w:sz w:val="18"/>
                <w:szCs w:val="18"/>
              </w:rPr>
            </w:pPr>
            <w:r w:rsidRPr="00BB314F">
              <w:rPr>
                <w:rFonts w:cs="Segoe UI"/>
                <w:sz w:val="18"/>
                <w:szCs w:val="18"/>
              </w:rPr>
              <w:t>ŠÚ SR</w:t>
            </w:r>
          </w:p>
        </w:tc>
        <w:tc>
          <w:tcPr>
            <w:tcW w:w="1134" w:type="dxa"/>
            <w:noWrap/>
            <w:vAlign w:val="center"/>
            <w:hideMark/>
          </w:tcPr>
          <w:p w14:paraId="1BBFF642" w14:textId="77777777" w:rsidR="001932B9" w:rsidRPr="00BB314F" w:rsidRDefault="001932B9" w:rsidP="00BB314F">
            <w:pPr>
              <w:spacing w:after="0"/>
              <w:jc w:val="right"/>
              <w:rPr>
                <w:rFonts w:cs="Segoe UI"/>
                <w:sz w:val="18"/>
                <w:szCs w:val="18"/>
              </w:rPr>
            </w:pPr>
            <w:r w:rsidRPr="00BB314F">
              <w:rPr>
                <w:rFonts w:cs="Segoe UI"/>
                <w:color w:val="000000"/>
                <w:sz w:val="18"/>
                <w:szCs w:val="18"/>
              </w:rPr>
              <w:t>702</w:t>
            </w:r>
          </w:p>
        </w:tc>
        <w:tc>
          <w:tcPr>
            <w:tcW w:w="1105" w:type="dxa"/>
            <w:noWrap/>
            <w:vAlign w:val="center"/>
            <w:hideMark/>
          </w:tcPr>
          <w:p w14:paraId="2E56FAD9" w14:textId="77777777" w:rsidR="001932B9" w:rsidRPr="00BB314F" w:rsidRDefault="001932B9" w:rsidP="00BB314F">
            <w:pPr>
              <w:spacing w:after="0"/>
              <w:jc w:val="right"/>
              <w:rPr>
                <w:rFonts w:cs="Segoe UI"/>
                <w:sz w:val="18"/>
                <w:szCs w:val="18"/>
              </w:rPr>
            </w:pPr>
            <w:r w:rsidRPr="00BB314F">
              <w:rPr>
                <w:rFonts w:cs="Segoe UI"/>
                <w:color w:val="000000"/>
                <w:sz w:val="18"/>
                <w:szCs w:val="18"/>
              </w:rPr>
              <w:t>702</w:t>
            </w:r>
          </w:p>
        </w:tc>
        <w:tc>
          <w:tcPr>
            <w:tcW w:w="1184" w:type="dxa"/>
            <w:noWrap/>
            <w:vAlign w:val="center"/>
            <w:hideMark/>
          </w:tcPr>
          <w:p w14:paraId="59E22B80" w14:textId="77777777" w:rsidR="001932B9" w:rsidRPr="00BB314F" w:rsidRDefault="001932B9" w:rsidP="00BB314F">
            <w:pPr>
              <w:spacing w:after="0"/>
              <w:jc w:val="right"/>
              <w:rPr>
                <w:rFonts w:cs="Segoe UI"/>
                <w:sz w:val="18"/>
                <w:szCs w:val="18"/>
              </w:rPr>
            </w:pPr>
            <w:r w:rsidRPr="00BB314F">
              <w:rPr>
                <w:rFonts w:cs="Segoe UI"/>
                <w:color w:val="000000"/>
                <w:sz w:val="18"/>
                <w:szCs w:val="18"/>
              </w:rPr>
              <w:t>664</w:t>
            </w:r>
          </w:p>
        </w:tc>
        <w:tc>
          <w:tcPr>
            <w:tcW w:w="1145" w:type="dxa"/>
            <w:noWrap/>
            <w:vAlign w:val="center"/>
            <w:hideMark/>
          </w:tcPr>
          <w:p w14:paraId="54ABB114"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702</w:t>
            </w:r>
          </w:p>
        </w:tc>
        <w:tc>
          <w:tcPr>
            <w:tcW w:w="1266" w:type="dxa"/>
            <w:noWrap/>
            <w:vAlign w:val="center"/>
            <w:hideMark/>
          </w:tcPr>
          <w:p w14:paraId="59B53577"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37E58809" w14:textId="77777777" w:rsidTr="00BB314F">
        <w:trPr>
          <w:trHeight w:val="283"/>
          <w:tblHeader/>
        </w:trPr>
        <w:tc>
          <w:tcPr>
            <w:tcW w:w="3544" w:type="dxa"/>
            <w:noWrap/>
            <w:vAlign w:val="center"/>
            <w:hideMark/>
          </w:tcPr>
          <w:p w14:paraId="45B932A9" w14:textId="77777777" w:rsidR="001932B9" w:rsidRPr="00BB314F" w:rsidRDefault="001932B9" w:rsidP="00BB314F">
            <w:pPr>
              <w:spacing w:after="0"/>
              <w:jc w:val="left"/>
              <w:rPr>
                <w:rFonts w:cs="Segoe UI"/>
                <w:sz w:val="18"/>
                <w:szCs w:val="18"/>
              </w:rPr>
            </w:pPr>
            <w:r w:rsidRPr="00BB314F">
              <w:rPr>
                <w:rFonts w:cs="Segoe UI"/>
                <w:sz w:val="18"/>
                <w:szCs w:val="18"/>
              </w:rPr>
              <w:t>ÚVO</w:t>
            </w:r>
          </w:p>
        </w:tc>
        <w:tc>
          <w:tcPr>
            <w:tcW w:w="1134" w:type="dxa"/>
            <w:noWrap/>
            <w:vAlign w:val="center"/>
            <w:hideMark/>
          </w:tcPr>
          <w:p w14:paraId="6CD94BB1" w14:textId="77777777" w:rsidR="001932B9" w:rsidRPr="00BB314F" w:rsidRDefault="001932B9" w:rsidP="00BB314F">
            <w:pPr>
              <w:spacing w:after="0"/>
              <w:jc w:val="right"/>
              <w:rPr>
                <w:rFonts w:cs="Segoe UI"/>
                <w:sz w:val="18"/>
                <w:szCs w:val="18"/>
              </w:rPr>
            </w:pPr>
            <w:r w:rsidRPr="00BB314F">
              <w:rPr>
                <w:rFonts w:cs="Segoe UI"/>
                <w:color w:val="000000"/>
                <w:sz w:val="18"/>
                <w:szCs w:val="18"/>
              </w:rPr>
              <w:t>378</w:t>
            </w:r>
          </w:p>
        </w:tc>
        <w:tc>
          <w:tcPr>
            <w:tcW w:w="1105" w:type="dxa"/>
            <w:noWrap/>
            <w:vAlign w:val="center"/>
            <w:hideMark/>
          </w:tcPr>
          <w:p w14:paraId="6739BE62" w14:textId="77777777" w:rsidR="001932B9" w:rsidRPr="00BB314F" w:rsidRDefault="001932B9" w:rsidP="00BB314F">
            <w:pPr>
              <w:spacing w:after="0"/>
              <w:jc w:val="right"/>
              <w:rPr>
                <w:rFonts w:cs="Segoe UI"/>
                <w:sz w:val="18"/>
                <w:szCs w:val="18"/>
              </w:rPr>
            </w:pPr>
            <w:r w:rsidRPr="00BB314F">
              <w:rPr>
                <w:rFonts w:cs="Segoe UI"/>
                <w:color w:val="000000"/>
                <w:sz w:val="18"/>
                <w:szCs w:val="18"/>
              </w:rPr>
              <w:t>387</w:t>
            </w:r>
          </w:p>
        </w:tc>
        <w:tc>
          <w:tcPr>
            <w:tcW w:w="1184" w:type="dxa"/>
            <w:noWrap/>
            <w:vAlign w:val="center"/>
            <w:hideMark/>
          </w:tcPr>
          <w:p w14:paraId="2D49A3D3" w14:textId="77777777" w:rsidR="001932B9" w:rsidRPr="00BB314F" w:rsidRDefault="001932B9" w:rsidP="00BB314F">
            <w:pPr>
              <w:spacing w:after="0"/>
              <w:jc w:val="right"/>
              <w:rPr>
                <w:rFonts w:cs="Segoe UI"/>
                <w:sz w:val="18"/>
                <w:szCs w:val="18"/>
              </w:rPr>
            </w:pPr>
            <w:r w:rsidRPr="00BB314F">
              <w:rPr>
                <w:rFonts w:cs="Segoe UI"/>
                <w:color w:val="000000"/>
                <w:sz w:val="18"/>
                <w:szCs w:val="18"/>
              </w:rPr>
              <w:t>260</w:t>
            </w:r>
          </w:p>
        </w:tc>
        <w:tc>
          <w:tcPr>
            <w:tcW w:w="1145" w:type="dxa"/>
            <w:noWrap/>
            <w:vAlign w:val="center"/>
            <w:hideMark/>
          </w:tcPr>
          <w:p w14:paraId="7D1E908B"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376</w:t>
            </w:r>
          </w:p>
        </w:tc>
        <w:tc>
          <w:tcPr>
            <w:tcW w:w="1266" w:type="dxa"/>
            <w:noWrap/>
            <w:vAlign w:val="center"/>
            <w:hideMark/>
          </w:tcPr>
          <w:p w14:paraId="189C1BDC"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-11</w:t>
            </w:r>
          </w:p>
        </w:tc>
      </w:tr>
      <w:tr w:rsidR="001932B9" w:rsidRPr="007964BB" w14:paraId="2D4E7926" w14:textId="77777777" w:rsidTr="00BB314F">
        <w:trPr>
          <w:trHeight w:val="283"/>
          <w:tblHeader/>
        </w:trPr>
        <w:tc>
          <w:tcPr>
            <w:tcW w:w="3544" w:type="dxa"/>
            <w:noWrap/>
            <w:vAlign w:val="center"/>
            <w:hideMark/>
          </w:tcPr>
          <w:p w14:paraId="7BA09530" w14:textId="77777777" w:rsidR="001932B9" w:rsidRPr="00BB314F" w:rsidRDefault="001932B9" w:rsidP="00BB314F">
            <w:pPr>
              <w:spacing w:after="0"/>
              <w:jc w:val="left"/>
              <w:rPr>
                <w:rFonts w:cs="Segoe UI"/>
                <w:sz w:val="18"/>
                <w:szCs w:val="18"/>
              </w:rPr>
            </w:pPr>
            <w:r w:rsidRPr="00BB314F">
              <w:rPr>
                <w:rFonts w:cs="Segoe UI"/>
                <w:sz w:val="18"/>
                <w:szCs w:val="18"/>
              </w:rPr>
              <w:t>ÚPRSO</w:t>
            </w:r>
          </w:p>
        </w:tc>
        <w:tc>
          <w:tcPr>
            <w:tcW w:w="1134" w:type="dxa"/>
            <w:noWrap/>
            <w:vAlign w:val="center"/>
            <w:hideMark/>
          </w:tcPr>
          <w:p w14:paraId="5A883D0F" w14:textId="77777777" w:rsidR="001932B9" w:rsidRPr="00BB314F" w:rsidRDefault="001932B9" w:rsidP="00BB314F">
            <w:pPr>
              <w:spacing w:after="0"/>
              <w:jc w:val="right"/>
              <w:rPr>
                <w:rFonts w:cs="Segoe UI"/>
                <w:sz w:val="18"/>
                <w:szCs w:val="18"/>
              </w:rPr>
            </w:pPr>
            <w:r w:rsidRPr="00BB314F">
              <w:rPr>
                <w:rFonts w:cs="Segoe UI"/>
                <w:color w:val="000000"/>
                <w:sz w:val="18"/>
                <w:szCs w:val="18"/>
              </w:rPr>
              <w:t>119</w:t>
            </w:r>
          </w:p>
        </w:tc>
        <w:tc>
          <w:tcPr>
            <w:tcW w:w="1105" w:type="dxa"/>
            <w:noWrap/>
            <w:vAlign w:val="center"/>
            <w:hideMark/>
          </w:tcPr>
          <w:p w14:paraId="379B5492" w14:textId="77777777" w:rsidR="001932B9" w:rsidRPr="00BB314F" w:rsidRDefault="001932B9" w:rsidP="00BB314F">
            <w:pPr>
              <w:spacing w:after="0"/>
              <w:jc w:val="right"/>
              <w:rPr>
                <w:rFonts w:cs="Segoe UI"/>
                <w:sz w:val="18"/>
                <w:szCs w:val="18"/>
              </w:rPr>
            </w:pPr>
            <w:r w:rsidRPr="00BB314F">
              <w:rPr>
                <w:rFonts w:cs="Segoe UI"/>
                <w:color w:val="000000"/>
                <w:sz w:val="18"/>
                <w:szCs w:val="18"/>
              </w:rPr>
              <w:t>121</w:t>
            </w:r>
          </w:p>
        </w:tc>
        <w:tc>
          <w:tcPr>
            <w:tcW w:w="1184" w:type="dxa"/>
            <w:noWrap/>
            <w:vAlign w:val="center"/>
            <w:hideMark/>
          </w:tcPr>
          <w:p w14:paraId="5D0842FF" w14:textId="77777777" w:rsidR="001932B9" w:rsidRPr="00BB314F" w:rsidRDefault="001932B9" w:rsidP="00BB314F">
            <w:pPr>
              <w:spacing w:after="0"/>
              <w:jc w:val="right"/>
              <w:rPr>
                <w:rFonts w:cs="Segoe UI"/>
                <w:sz w:val="18"/>
                <w:szCs w:val="18"/>
              </w:rPr>
            </w:pPr>
            <w:r w:rsidRPr="00BB314F">
              <w:rPr>
                <w:rFonts w:cs="Segoe UI"/>
                <w:color w:val="000000"/>
                <w:sz w:val="18"/>
                <w:szCs w:val="18"/>
              </w:rPr>
              <w:t>105</w:t>
            </w:r>
          </w:p>
        </w:tc>
        <w:tc>
          <w:tcPr>
            <w:tcW w:w="1145" w:type="dxa"/>
            <w:noWrap/>
            <w:vAlign w:val="center"/>
            <w:hideMark/>
          </w:tcPr>
          <w:p w14:paraId="20FF284D"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121</w:t>
            </w:r>
          </w:p>
        </w:tc>
        <w:tc>
          <w:tcPr>
            <w:tcW w:w="1266" w:type="dxa"/>
            <w:noWrap/>
            <w:vAlign w:val="center"/>
            <w:hideMark/>
          </w:tcPr>
          <w:p w14:paraId="77B9C884"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6FB5D7D0" w14:textId="77777777" w:rsidTr="00BB314F">
        <w:trPr>
          <w:trHeight w:val="283"/>
          <w:tblHeader/>
        </w:trPr>
        <w:tc>
          <w:tcPr>
            <w:tcW w:w="3544" w:type="dxa"/>
            <w:noWrap/>
            <w:vAlign w:val="center"/>
            <w:hideMark/>
          </w:tcPr>
          <w:p w14:paraId="368A70C3" w14:textId="77777777" w:rsidR="001932B9" w:rsidRPr="00BB314F" w:rsidRDefault="001932B9" w:rsidP="00BB314F">
            <w:pPr>
              <w:spacing w:after="0"/>
              <w:jc w:val="left"/>
              <w:rPr>
                <w:rFonts w:cs="Segoe UI"/>
                <w:sz w:val="18"/>
                <w:szCs w:val="18"/>
              </w:rPr>
            </w:pPr>
            <w:r w:rsidRPr="00BB314F">
              <w:rPr>
                <w:rFonts w:cs="Segoe UI"/>
                <w:sz w:val="18"/>
                <w:szCs w:val="18"/>
              </w:rPr>
              <w:t>ÚJD SR</w:t>
            </w:r>
          </w:p>
        </w:tc>
        <w:tc>
          <w:tcPr>
            <w:tcW w:w="1134" w:type="dxa"/>
            <w:noWrap/>
            <w:vAlign w:val="center"/>
            <w:hideMark/>
          </w:tcPr>
          <w:p w14:paraId="7814A707" w14:textId="77777777" w:rsidR="001932B9" w:rsidRPr="00BB314F" w:rsidRDefault="001932B9" w:rsidP="00BB314F">
            <w:pPr>
              <w:spacing w:after="0"/>
              <w:jc w:val="right"/>
              <w:rPr>
                <w:rFonts w:cs="Segoe UI"/>
                <w:sz w:val="18"/>
                <w:szCs w:val="18"/>
              </w:rPr>
            </w:pPr>
            <w:r w:rsidRPr="00BB314F">
              <w:rPr>
                <w:rFonts w:cs="Segoe UI"/>
                <w:color w:val="000000"/>
                <w:sz w:val="18"/>
                <w:szCs w:val="18"/>
              </w:rPr>
              <w:t>121</w:t>
            </w:r>
          </w:p>
        </w:tc>
        <w:tc>
          <w:tcPr>
            <w:tcW w:w="1105" w:type="dxa"/>
            <w:noWrap/>
            <w:vAlign w:val="center"/>
            <w:hideMark/>
          </w:tcPr>
          <w:p w14:paraId="4B58AE9B" w14:textId="77777777" w:rsidR="001932B9" w:rsidRPr="00BB314F" w:rsidRDefault="001932B9" w:rsidP="00BB314F">
            <w:pPr>
              <w:spacing w:after="0"/>
              <w:jc w:val="right"/>
              <w:rPr>
                <w:rFonts w:cs="Segoe UI"/>
                <w:sz w:val="18"/>
                <w:szCs w:val="18"/>
              </w:rPr>
            </w:pPr>
            <w:r w:rsidRPr="00BB314F">
              <w:rPr>
                <w:rFonts w:cs="Segoe UI"/>
                <w:color w:val="000000"/>
                <w:sz w:val="18"/>
                <w:szCs w:val="18"/>
              </w:rPr>
              <w:t>134</w:t>
            </w:r>
          </w:p>
        </w:tc>
        <w:tc>
          <w:tcPr>
            <w:tcW w:w="1184" w:type="dxa"/>
            <w:noWrap/>
            <w:vAlign w:val="center"/>
            <w:hideMark/>
          </w:tcPr>
          <w:p w14:paraId="242F3BEA" w14:textId="77777777" w:rsidR="001932B9" w:rsidRPr="00BB314F" w:rsidRDefault="001932B9" w:rsidP="00BB314F">
            <w:pPr>
              <w:spacing w:after="0"/>
              <w:jc w:val="right"/>
              <w:rPr>
                <w:rFonts w:cs="Segoe UI"/>
                <w:sz w:val="18"/>
                <w:szCs w:val="18"/>
              </w:rPr>
            </w:pPr>
            <w:r w:rsidRPr="00BB314F">
              <w:rPr>
                <w:rFonts w:cs="Segoe UI"/>
                <w:color w:val="000000"/>
                <w:sz w:val="18"/>
                <w:szCs w:val="18"/>
              </w:rPr>
              <w:t>125</w:t>
            </w:r>
          </w:p>
        </w:tc>
        <w:tc>
          <w:tcPr>
            <w:tcW w:w="1145" w:type="dxa"/>
            <w:noWrap/>
            <w:vAlign w:val="center"/>
            <w:hideMark/>
          </w:tcPr>
          <w:p w14:paraId="431A3E0C"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134</w:t>
            </w:r>
          </w:p>
        </w:tc>
        <w:tc>
          <w:tcPr>
            <w:tcW w:w="1266" w:type="dxa"/>
            <w:noWrap/>
            <w:vAlign w:val="center"/>
            <w:hideMark/>
          </w:tcPr>
          <w:p w14:paraId="60CB3B7B"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7844FA29" w14:textId="77777777" w:rsidTr="00BB314F">
        <w:trPr>
          <w:trHeight w:val="283"/>
          <w:tblHeader/>
        </w:trPr>
        <w:tc>
          <w:tcPr>
            <w:tcW w:w="3544" w:type="dxa"/>
            <w:noWrap/>
            <w:vAlign w:val="center"/>
            <w:hideMark/>
          </w:tcPr>
          <w:p w14:paraId="2E25499D" w14:textId="77777777" w:rsidR="001932B9" w:rsidRPr="00BB314F" w:rsidRDefault="001932B9" w:rsidP="00BB314F">
            <w:pPr>
              <w:spacing w:after="0"/>
              <w:jc w:val="left"/>
              <w:rPr>
                <w:rFonts w:cs="Segoe UI"/>
                <w:sz w:val="18"/>
                <w:szCs w:val="18"/>
              </w:rPr>
            </w:pPr>
            <w:r w:rsidRPr="00BB314F">
              <w:rPr>
                <w:rFonts w:cs="Segoe UI"/>
                <w:sz w:val="18"/>
                <w:szCs w:val="18"/>
              </w:rPr>
              <w:t>ÚPV SR</w:t>
            </w:r>
          </w:p>
        </w:tc>
        <w:tc>
          <w:tcPr>
            <w:tcW w:w="1134" w:type="dxa"/>
            <w:noWrap/>
            <w:vAlign w:val="center"/>
            <w:hideMark/>
          </w:tcPr>
          <w:p w14:paraId="6785DA09" w14:textId="77777777" w:rsidR="001932B9" w:rsidRPr="00BB314F" w:rsidRDefault="001932B9" w:rsidP="00BB314F">
            <w:pPr>
              <w:spacing w:after="0"/>
              <w:jc w:val="right"/>
              <w:rPr>
                <w:rFonts w:cs="Segoe UI"/>
                <w:sz w:val="18"/>
                <w:szCs w:val="18"/>
              </w:rPr>
            </w:pPr>
            <w:r w:rsidRPr="00BB314F">
              <w:rPr>
                <w:rFonts w:cs="Segoe UI"/>
                <w:color w:val="000000"/>
                <w:sz w:val="18"/>
                <w:szCs w:val="18"/>
              </w:rPr>
              <w:t>115</w:t>
            </w:r>
          </w:p>
        </w:tc>
        <w:tc>
          <w:tcPr>
            <w:tcW w:w="1105" w:type="dxa"/>
            <w:noWrap/>
            <w:vAlign w:val="center"/>
            <w:hideMark/>
          </w:tcPr>
          <w:p w14:paraId="150A687C" w14:textId="77777777" w:rsidR="001932B9" w:rsidRPr="00BB314F" w:rsidRDefault="001932B9" w:rsidP="00BB314F">
            <w:pPr>
              <w:spacing w:after="0"/>
              <w:jc w:val="right"/>
              <w:rPr>
                <w:rFonts w:cs="Segoe UI"/>
                <w:sz w:val="18"/>
                <w:szCs w:val="18"/>
              </w:rPr>
            </w:pPr>
            <w:r w:rsidRPr="00BB314F">
              <w:rPr>
                <w:rFonts w:cs="Segoe UI"/>
                <w:color w:val="000000"/>
                <w:sz w:val="18"/>
                <w:szCs w:val="18"/>
              </w:rPr>
              <w:t>115</w:t>
            </w:r>
          </w:p>
        </w:tc>
        <w:tc>
          <w:tcPr>
            <w:tcW w:w="1184" w:type="dxa"/>
            <w:noWrap/>
            <w:vAlign w:val="center"/>
            <w:hideMark/>
          </w:tcPr>
          <w:p w14:paraId="4B570F06" w14:textId="77777777" w:rsidR="001932B9" w:rsidRPr="00BB314F" w:rsidRDefault="001932B9" w:rsidP="00BB314F">
            <w:pPr>
              <w:spacing w:after="0"/>
              <w:jc w:val="right"/>
              <w:rPr>
                <w:rFonts w:cs="Segoe UI"/>
                <w:sz w:val="18"/>
                <w:szCs w:val="18"/>
              </w:rPr>
            </w:pPr>
            <w:r w:rsidRPr="00BB314F">
              <w:rPr>
                <w:rFonts w:cs="Segoe UI"/>
                <w:color w:val="000000"/>
                <w:sz w:val="18"/>
                <w:szCs w:val="18"/>
              </w:rPr>
              <w:t>111</w:t>
            </w:r>
          </w:p>
        </w:tc>
        <w:tc>
          <w:tcPr>
            <w:tcW w:w="1145" w:type="dxa"/>
            <w:noWrap/>
            <w:vAlign w:val="center"/>
            <w:hideMark/>
          </w:tcPr>
          <w:p w14:paraId="65E838F0"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115</w:t>
            </w:r>
          </w:p>
        </w:tc>
        <w:tc>
          <w:tcPr>
            <w:tcW w:w="1266" w:type="dxa"/>
            <w:noWrap/>
            <w:vAlign w:val="center"/>
            <w:hideMark/>
          </w:tcPr>
          <w:p w14:paraId="18DD2E46"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39FB9295" w14:textId="77777777" w:rsidTr="00BB314F">
        <w:trPr>
          <w:trHeight w:val="283"/>
          <w:tblHeader/>
        </w:trPr>
        <w:tc>
          <w:tcPr>
            <w:tcW w:w="3544" w:type="dxa"/>
            <w:noWrap/>
            <w:vAlign w:val="center"/>
            <w:hideMark/>
          </w:tcPr>
          <w:p w14:paraId="093DE2B8" w14:textId="77777777" w:rsidR="001932B9" w:rsidRPr="00BB314F" w:rsidRDefault="001932B9" w:rsidP="00BB314F">
            <w:pPr>
              <w:spacing w:after="0"/>
              <w:jc w:val="left"/>
              <w:rPr>
                <w:rFonts w:cs="Segoe UI"/>
                <w:sz w:val="18"/>
                <w:szCs w:val="18"/>
              </w:rPr>
            </w:pPr>
            <w:r w:rsidRPr="00BB314F">
              <w:rPr>
                <w:rFonts w:cs="Segoe UI"/>
                <w:sz w:val="18"/>
                <w:szCs w:val="18"/>
              </w:rPr>
              <w:t>ÚNMaS SR</w:t>
            </w:r>
          </w:p>
        </w:tc>
        <w:tc>
          <w:tcPr>
            <w:tcW w:w="1134" w:type="dxa"/>
            <w:noWrap/>
            <w:vAlign w:val="center"/>
            <w:hideMark/>
          </w:tcPr>
          <w:p w14:paraId="262F6F02" w14:textId="77777777" w:rsidR="001932B9" w:rsidRPr="00BB314F" w:rsidRDefault="001932B9" w:rsidP="00BB314F">
            <w:pPr>
              <w:spacing w:after="0"/>
              <w:jc w:val="right"/>
              <w:rPr>
                <w:rFonts w:cs="Segoe UI"/>
                <w:sz w:val="18"/>
                <w:szCs w:val="18"/>
              </w:rPr>
            </w:pPr>
            <w:r w:rsidRPr="00BB314F">
              <w:rPr>
                <w:rFonts w:cs="Segoe UI"/>
                <w:color w:val="000000"/>
                <w:sz w:val="18"/>
                <w:szCs w:val="18"/>
              </w:rPr>
              <w:t>86</w:t>
            </w:r>
          </w:p>
        </w:tc>
        <w:tc>
          <w:tcPr>
            <w:tcW w:w="1105" w:type="dxa"/>
            <w:noWrap/>
            <w:vAlign w:val="center"/>
            <w:hideMark/>
          </w:tcPr>
          <w:p w14:paraId="04C2621E" w14:textId="77777777" w:rsidR="001932B9" w:rsidRPr="00BB314F" w:rsidRDefault="001932B9" w:rsidP="00BB314F">
            <w:pPr>
              <w:spacing w:after="0"/>
              <w:jc w:val="right"/>
              <w:rPr>
                <w:rFonts w:cs="Segoe UI"/>
                <w:sz w:val="18"/>
                <w:szCs w:val="18"/>
              </w:rPr>
            </w:pPr>
            <w:r w:rsidRPr="00BB314F">
              <w:rPr>
                <w:rFonts w:cs="Segoe UI"/>
                <w:color w:val="000000"/>
                <w:sz w:val="18"/>
                <w:szCs w:val="18"/>
              </w:rPr>
              <w:t>86</w:t>
            </w:r>
          </w:p>
        </w:tc>
        <w:tc>
          <w:tcPr>
            <w:tcW w:w="1184" w:type="dxa"/>
            <w:noWrap/>
            <w:vAlign w:val="center"/>
            <w:hideMark/>
          </w:tcPr>
          <w:p w14:paraId="303AC9D4" w14:textId="77777777" w:rsidR="001932B9" w:rsidRPr="00BB314F" w:rsidRDefault="001932B9" w:rsidP="00BB314F">
            <w:pPr>
              <w:spacing w:after="0"/>
              <w:jc w:val="right"/>
              <w:rPr>
                <w:rFonts w:cs="Segoe UI"/>
                <w:sz w:val="18"/>
                <w:szCs w:val="18"/>
              </w:rPr>
            </w:pPr>
            <w:r w:rsidRPr="00BB314F">
              <w:rPr>
                <w:rFonts w:cs="Segoe UI"/>
                <w:color w:val="000000"/>
                <w:sz w:val="18"/>
                <w:szCs w:val="18"/>
              </w:rPr>
              <w:t>85</w:t>
            </w:r>
          </w:p>
        </w:tc>
        <w:tc>
          <w:tcPr>
            <w:tcW w:w="1145" w:type="dxa"/>
            <w:noWrap/>
            <w:vAlign w:val="center"/>
            <w:hideMark/>
          </w:tcPr>
          <w:p w14:paraId="5A5D94F1"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86</w:t>
            </w:r>
          </w:p>
        </w:tc>
        <w:tc>
          <w:tcPr>
            <w:tcW w:w="1266" w:type="dxa"/>
            <w:noWrap/>
            <w:vAlign w:val="center"/>
            <w:hideMark/>
          </w:tcPr>
          <w:p w14:paraId="5327D3F7"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1BB90425" w14:textId="77777777" w:rsidTr="00BB314F">
        <w:trPr>
          <w:trHeight w:val="283"/>
          <w:tblHeader/>
        </w:trPr>
        <w:tc>
          <w:tcPr>
            <w:tcW w:w="3544" w:type="dxa"/>
            <w:noWrap/>
            <w:vAlign w:val="center"/>
            <w:hideMark/>
          </w:tcPr>
          <w:p w14:paraId="03332E88" w14:textId="77777777" w:rsidR="001932B9" w:rsidRPr="00BB314F" w:rsidRDefault="001932B9" w:rsidP="00BB314F">
            <w:pPr>
              <w:spacing w:after="0"/>
              <w:jc w:val="left"/>
              <w:rPr>
                <w:rFonts w:cs="Segoe UI"/>
                <w:sz w:val="18"/>
                <w:szCs w:val="18"/>
              </w:rPr>
            </w:pPr>
            <w:r w:rsidRPr="00BB314F">
              <w:rPr>
                <w:rFonts w:cs="Segoe UI"/>
                <w:sz w:val="18"/>
                <w:szCs w:val="18"/>
              </w:rPr>
              <w:t>PMÚ SR</w:t>
            </w:r>
          </w:p>
        </w:tc>
        <w:tc>
          <w:tcPr>
            <w:tcW w:w="1134" w:type="dxa"/>
            <w:noWrap/>
            <w:vAlign w:val="center"/>
            <w:hideMark/>
          </w:tcPr>
          <w:p w14:paraId="5D8CC70F" w14:textId="77777777" w:rsidR="001932B9" w:rsidRPr="00BB314F" w:rsidRDefault="001932B9" w:rsidP="00BB314F">
            <w:pPr>
              <w:spacing w:after="0"/>
              <w:jc w:val="right"/>
              <w:rPr>
                <w:rFonts w:cs="Segoe UI"/>
                <w:sz w:val="18"/>
                <w:szCs w:val="18"/>
              </w:rPr>
            </w:pPr>
            <w:r w:rsidRPr="00BB314F">
              <w:rPr>
                <w:rFonts w:cs="Segoe UI"/>
                <w:color w:val="000000"/>
                <w:sz w:val="18"/>
                <w:szCs w:val="18"/>
              </w:rPr>
              <w:t>80</w:t>
            </w:r>
          </w:p>
        </w:tc>
        <w:tc>
          <w:tcPr>
            <w:tcW w:w="1105" w:type="dxa"/>
            <w:noWrap/>
            <w:vAlign w:val="center"/>
            <w:hideMark/>
          </w:tcPr>
          <w:p w14:paraId="7CBD785E" w14:textId="77777777" w:rsidR="001932B9" w:rsidRPr="00BB314F" w:rsidRDefault="001932B9" w:rsidP="00BB314F">
            <w:pPr>
              <w:spacing w:after="0"/>
              <w:jc w:val="right"/>
              <w:rPr>
                <w:rFonts w:cs="Segoe UI"/>
                <w:sz w:val="18"/>
                <w:szCs w:val="18"/>
              </w:rPr>
            </w:pPr>
            <w:r w:rsidRPr="00BB314F">
              <w:rPr>
                <w:rFonts w:cs="Segoe UI"/>
                <w:color w:val="000000"/>
                <w:sz w:val="18"/>
                <w:szCs w:val="18"/>
              </w:rPr>
              <w:t>80</w:t>
            </w:r>
          </w:p>
        </w:tc>
        <w:tc>
          <w:tcPr>
            <w:tcW w:w="1184" w:type="dxa"/>
            <w:noWrap/>
            <w:vAlign w:val="center"/>
            <w:hideMark/>
          </w:tcPr>
          <w:p w14:paraId="0BBFB0E7" w14:textId="77777777" w:rsidR="001932B9" w:rsidRPr="00BB314F" w:rsidRDefault="001932B9" w:rsidP="00BB314F">
            <w:pPr>
              <w:spacing w:after="0"/>
              <w:jc w:val="right"/>
              <w:rPr>
                <w:rFonts w:cs="Segoe UI"/>
                <w:sz w:val="18"/>
                <w:szCs w:val="18"/>
              </w:rPr>
            </w:pPr>
            <w:r w:rsidRPr="00BB314F">
              <w:rPr>
                <w:rFonts w:cs="Segoe UI"/>
                <w:color w:val="000000"/>
                <w:sz w:val="18"/>
                <w:szCs w:val="18"/>
              </w:rPr>
              <w:t>74</w:t>
            </w:r>
          </w:p>
        </w:tc>
        <w:tc>
          <w:tcPr>
            <w:tcW w:w="1145" w:type="dxa"/>
            <w:noWrap/>
            <w:vAlign w:val="center"/>
            <w:hideMark/>
          </w:tcPr>
          <w:p w14:paraId="53F2400B"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80</w:t>
            </w:r>
          </w:p>
        </w:tc>
        <w:tc>
          <w:tcPr>
            <w:tcW w:w="1266" w:type="dxa"/>
            <w:noWrap/>
            <w:vAlign w:val="center"/>
            <w:hideMark/>
          </w:tcPr>
          <w:p w14:paraId="0F8FD3B2"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198102FE" w14:textId="77777777" w:rsidTr="00BB314F">
        <w:trPr>
          <w:trHeight w:val="283"/>
          <w:tblHeader/>
        </w:trPr>
        <w:tc>
          <w:tcPr>
            <w:tcW w:w="3544" w:type="dxa"/>
            <w:noWrap/>
            <w:vAlign w:val="center"/>
            <w:hideMark/>
          </w:tcPr>
          <w:p w14:paraId="23E0C6ED" w14:textId="77777777" w:rsidR="001932B9" w:rsidRPr="00BB314F" w:rsidRDefault="001932B9" w:rsidP="00BB314F">
            <w:pPr>
              <w:spacing w:after="0"/>
              <w:jc w:val="left"/>
              <w:rPr>
                <w:rFonts w:cs="Segoe UI"/>
                <w:sz w:val="18"/>
                <w:szCs w:val="18"/>
              </w:rPr>
            </w:pPr>
            <w:r w:rsidRPr="00BB314F">
              <w:rPr>
                <w:rFonts w:cs="Segoe UI"/>
                <w:sz w:val="18"/>
                <w:szCs w:val="18"/>
              </w:rPr>
              <w:t>NBÚ</w:t>
            </w:r>
          </w:p>
        </w:tc>
        <w:tc>
          <w:tcPr>
            <w:tcW w:w="1134" w:type="dxa"/>
            <w:noWrap/>
            <w:vAlign w:val="center"/>
            <w:hideMark/>
          </w:tcPr>
          <w:p w14:paraId="013C3084" w14:textId="77777777" w:rsidR="001932B9" w:rsidRPr="00BB314F" w:rsidRDefault="001932B9" w:rsidP="00BB314F">
            <w:pPr>
              <w:spacing w:after="0"/>
              <w:jc w:val="right"/>
              <w:rPr>
                <w:rFonts w:cs="Segoe UI"/>
                <w:sz w:val="18"/>
                <w:szCs w:val="18"/>
              </w:rPr>
            </w:pPr>
            <w:r w:rsidRPr="00BB314F">
              <w:rPr>
                <w:rFonts w:cs="Segoe UI"/>
                <w:color w:val="000000"/>
                <w:sz w:val="18"/>
                <w:szCs w:val="18"/>
              </w:rPr>
              <w:t>259</w:t>
            </w:r>
          </w:p>
        </w:tc>
        <w:tc>
          <w:tcPr>
            <w:tcW w:w="1105" w:type="dxa"/>
            <w:noWrap/>
            <w:vAlign w:val="center"/>
            <w:hideMark/>
          </w:tcPr>
          <w:p w14:paraId="7D1DF730" w14:textId="77777777" w:rsidR="001932B9" w:rsidRPr="00BB314F" w:rsidRDefault="001932B9" w:rsidP="00BB314F">
            <w:pPr>
              <w:spacing w:after="0"/>
              <w:jc w:val="right"/>
              <w:rPr>
                <w:rFonts w:cs="Segoe UI"/>
                <w:sz w:val="18"/>
                <w:szCs w:val="18"/>
              </w:rPr>
            </w:pPr>
            <w:r w:rsidRPr="00BB314F">
              <w:rPr>
                <w:rFonts w:cs="Segoe UI"/>
                <w:color w:val="000000"/>
                <w:sz w:val="18"/>
                <w:szCs w:val="18"/>
              </w:rPr>
              <w:t>259</w:t>
            </w:r>
          </w:p>
        </w:tc>
        <w:tc>
          <w:tcPr>
            <w:tcW w:w="1184" w:type="dxa"/>
            <w:noWrap/>
            <w:vAlign w:val="center"/>
            <w:hideMark/>
          </w:tcPr>
          <w:p w14:paraId="01A0F855" w14:textId="77777777" w:rsidR="001932B9" w:rsidRPr="00BB314F" w:rsidRDefault="001932B9" w:rsidP="00BB314F">
            <w:pPr>
              <w:spacing w:after="0"/>
              <w:jc w:val="right"/>
              <w:rPr>
                <w:rFonts w:cs="Segoe UI"/>
                <w:sz w:val="18"/>
                <w:szCs w:val="18"/>
              </w:rPr>
            </w:pPr>
            <w:r w:rsidRPr="00BB314F">
              <w:rPr>
                <w:rFonts w:cs="Segoe UI"/>
                <w:color w:val="000000"/>
                <w:sz w:val="18"/>
                <w:szCs w:val="18"/>
              </w:rPr>
              <w:t>221</w:t>
            </w:r>
          </w:p>
        </w:tc>
        <w:tc>
          <w:tcPr>
            <w:tcW w:w="1145" w:type="dxa"/>
            <w:noWrap/>
            <w:vAlign w:val="center"/>
            <w:hideMark/>
          </w:tcPr>
          <w:p w14:paraId="176398B1"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259</w:t>
            </w:r>
          </w:p>
        </w:tc>
        <w:tc>
          <w:tcPr>
            <w:tcW w:w="1266" w:type="dxa"/>
            <w:noWrap/>
            <w:vAlign w:val="center"/>
            <w:hideMark/>
          </w:tcPr>
          <w:p w14:paraId="62E58089"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0CBA0A6B" w14:textId="77777777" w:rsidTr="00BB314F">
        <w:trPr>
          <w:trHeight w:val="283"/>
          <w:tblHeader/>
        </w:trPr>
        <w:tc>
          <w:tcPr>
            <w:tcW w:w="3544" w:type="dxa"/>
            <w:noWrap/>
            <w:vAlign w:val="center"/>
            <w:hideMark/>
          </w:tcPr>
          <w:p w14:paraId="055C85C5" w14:textId="77777777" w:rsidR="001932B9" w:rsidRPr="00BB314F" w:rsidRDefault="001932B9" w:rsidP="00BB314F">
            <w:pPr>
              <w:spacing w:after="0"/>
              <w:jc w:val="left"/>
              <w:rPr>
                <w:rFonts w:cs="Segoe UI"/>
                <w:sz w:val="18"/>
                <w:szCs w:val="18"/>
              </w:rPr>
            </w:pPr>
            <w:r w:rsidRPr="00BB314F">
              <w:rPr>
                <w:rFonts w:cs="Segoe UI"/>
                <w:sz w:val="18"/>
                <w:szCs w:val="18"/>
              </w:rPr>
              <w:t>SŠHR SR</w:t>
            </w:r>
          </w:p>
        </w:tc>
        <w:tc>
          <w:tcPr>
            <w:tcW w:w="1134" w:type="dxa"/>
            <w:noWrap/>
            <w:vAlign w:val="center"/>
            <w:hideMark/>
          </w:tcPr>
          <w:p w14:paraId="49849295" w14:textId="77777777" w:rsidR="001932B9" w:rsidRPr="00BB314F" w:rsidRDefault="001932B9" w:rsidP="00BB314F">
            <w:pPr>
              <w:spacing w:after="0"/>
              <w:jc w:val="right"/>
              <w:rPr>
                <w:rFonts w:cs="Segoe UI"/>
                <w:sz w:val="18"/>
                <w:szCs w:val="18"/>
              </w:rPr>
            </w:pPr>
            <w:r w:rsidRPr="00BB314F">
              <w:rPr>
                <w:rFonts w:cs="Segoe UI"/>
                <w:color w:val="000000"/>
                <w:sz w:val="18"/>
                <w:szCs w:val="18"/>
              </w:rPr>
              <w:t>91</w:t>
            </w:r>
          </w:p>
        </w:tc>
        <w:tc>
          <w:tcPr>
            <w:tcW w:w="1105" w:type="dxa"/>
            <w:noWrap/>
            <w:vAlign w:val="center"/>
            <w:hideMark/>
          </w:tcPr>
          <w:p w14:paraId="7DF84AEC" w14:textId="77777777" w:rsidR="001932B9" w:rsidRPr="00BB314F" w:rsidRDefault="001932B9" w:rsidP="00BB314F">
            <w:pPr>
              <w:spacing w:after="0"/>
              <w:jc w:val="right"/>
              <w:rPr>
                <w:rFonts w:cs="Segoe UI"/>
                <w:sz w:val="18"/>
                <w:szCs w:val="18"/>
              </w:rPr>
            </w:pPr>
            <w:r w:rsidRPr="00BB314F">
              <w:rPr>
                <w:rFonts w:cs="Segoe UI"/>
                <w:color w:val="000000"/>
                <w:sz w:val="18"/>
                <w:szCs w:val="18"/>
              </w:rPr>
              <w:t>91</w:t>
            </w:r>
          </w:p>
        </w:tc>
        <w:tc>
          <w:tcPr>
            <w:tcW w:w="1184" w:type="dxa"/>
            <w:noWrap/>
            <w:vAlign w:val="center"/>
            <w:hideMark/>
          </w:tcPr>
          <w:p w14:paraId="395F360C" w14:textId="77777777" w:rsidR="001932B9" w:rsidRPr="00BB314F" w:rsidRDefault="001932B9" w:rsidP="00BB314F">
            <w:pPr>
              <w:spacing w:after="0"/>
              <w:jc w:val="right"/>
              <w:rPr>
                <w:rFonts w:cs="Segoe UI"/>
                <w:sz w:val="18"/>
                <w:szCs w:val="18"/>
              </w:rPr>
            </w:pPr>
            <w:r w:rsidRPr="00BB314F">
              <w:rPr>
                <w:rFonts w:cs="Segoe UI"/>
                <w:color w:val="000000"/>
                <w:sz w:val="18"/>
                <w:szCs w:val="18"/>
              </w:rPr>
              <w:t>83</w:t>
            </w:r>
          </w:p>
        </w:tc>
        <w:tc>
          <w:tcPr>
            <w:tcW w:w="1145" w:type="dxa"/>
            <w:noWrap/>
            <w:vAlign w:val="center"/>
            <w:hideMark/>
          </w:tcPr>
          <w:p w14:paraId="14A93D02"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91</w:t>
            </w:r>
          </w:p>
        </w:tc>
        <w:tc>
          <w:tcPr>
            <w:tcW w:w="1266" w:type="dxa"/>
            <w:noWrap/>
            <w:vAlign w:val="center"/>
            <w:hideMark/>
          </w:tcPr>
          <w:p w14:paraId="3B96369D"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308DA5D5" w14:textId="77777777" w:rsidTr="00BB314F">
        <w:trPr>
          <w:trHeight w:val="283"/>
          <w:tblHeader/>
        </w:trPr>
        <w:tc>
          <w:tcPr>
            <w:tcW w:w="3544" w:type="dxa"/>
            <w:noWrap/>
            <w:vAlign w:val="center"/>
            <w:hideMark/>
          </w:tcPr>
          <w:p w14:paraId="582E5521" w14:textId="77777777" w:rsidR="001932B9" w:rsidRPr="00BB314F" w:rsidRDefault="001932B9" w:rsidP="00BB314F">
            <w:pPr>
              <w:spacing w:after="0"/>
              <w:ind w:right="-109"/>
              <w:jc w:val="left"/>
              <w:rPr>
                <w:rFonts w:cs="Segoe UI"/>
                <w:sz w:val="18"/>
                <w:szCs w:val="18"/>
              </w:rPr>
            </w:pPr>
            <w:r w:rsidRPr="00BB314F">
              <w:rPr>
                <w:rFonts w:cs="Segoe UI"/>
                <w:sz w:val="18"/>
                <w:szCs w:val="18"/>
              </w:rPr>
              <w:t>Kancelária Najvyššieho správneho súdu SR</w:t>
            </w:r>
          </w:p>
        </w:tc>
        <w:tc>
          <w:tcPr>
            <w:tcW w:w="1134" w:type="dxa"/>
            <w:noWrap/>
            <w:vAlign w:val="center"/>
            <w:hideMark/>
          </w:tcPr>
          <w:p w14:paraId="0484BDEA" w14:textId="77777777" w:rsidR="001932B9" w:rsidRPr="00BB314F" w:rsidRDefault="001932B9" w:rsidP="00BB314F">
            <w:pPr>
              <w:spacing w:after="0"/>
              <w:jc w:val="right"/>
              <w:rPr>
                <w:rFonts w:cs="Segoe UI"/>
                <w:sz w:val="18"/>
                <w:szCs w:val="18"/>
              </w:rPr>
            </w:pPr>
            <w:r w:rsidRPr="00BB314F">
              <w:rPr>
                <w:rFonts w:cs="Segoe UI"/>
                <w:color w:val="000000"/>
                <w:sz w:val="18"/>
                <w:szCs w:val="18"/>
              </w:rPr>
              <w:t>99</w:t>
            </w:r>
          </w:p>
        </w:tc>
        <w:tc>
          <w:tcPr>
            <w:tcW w:w="1105" w:type="dxa"/>
            <w:noWrap/>
            <w:vAlign w:val="center"/>
            <w:hideMark/>
          </w:tcPr>
          <w:p w14:paraId="73767533" w14:textId="77777777" w:rsidR="001932B9" w:rsidRPr="00BB314F" w:rsidRDefault="001932B9" w:rsidP="00BB314F">
            <w:pPr>
              <w:spacing w:after="0"/>
              <w:jc w:val="right"/>
              <w:rPr>
                <w:rFonts w:cs="Segoe UI"/>
                <w:sz w:val="18"/>
                <w:szCs w:val="18"/>
              </w:rPr>
            </w:pPr>
            <w:r w:rsidRPr="00BB314F">
              <w:rPr>
                <w:rFonts w:cs="Segoe UI"/>
                <w:color w:val="000000"/>
                <w:sz w:val="18"/>
                <w:szCs w:val="18"/>
              </w:rPr>
              <w:t>103</w:t>
            </w:r>
          </w:p>
        </w:tc>
        <w:tc>
          <w:tcPr>
            <w:tcW w:w="1184" w:type="dxa"/>
            <w:noWrap/>
            <w:vAlign w:val="center"/>
            <w:hideMark/>
          </w:tcPr>
          <w:p w14:paraId="227B1266" w14:textId="77777777" w:rsidR="001932B9" w:rsidRPr="00BB314F" w:rsidRDefault="001932B9" w:rsidP="00BB314F">
            <w:pPr>
              <w:spacing w:after="0"/>
              <w:jc w:val="right"/>
              <w:rPr>
                <w:rFonts w:cs="Segoe UI"/>
                <w:sz w:val="18"/>
                <w:szCs w:val="18"/>
              </w:rPr>
            </w:pPr>
            <w:r w:rsidRPr="00BB314F">
              <w:rPr>
                <w:rFonts w:cs="Segoe UI"/>
                <w:color w:val="000000"/>
                <w:sz w:val="18"/>
                <w:szCs w:val="18"/>
              </w:rPr>
              <w:t>91</w:t>
            </w:r>
          </w:p>
        </w:tc>
        <w:tc>
          <w:tcPr>
            <w:tcW w:w="1145" w:type="dxa"/>
            <w:noWrap/>
            <w:vAlign w:val="center"/>
            <w:hideMark/>
          </w:tcPr>
          <w:p w14:paraId="667DAA0B"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109</w:t>
            </w:r>
          </w:p>
        </w:tc>
        <w:tc>
          <w:tcPr>
            <w:tcW w:w="1266" w:type="dxa"/>
            <w:noWrap/>
            <w:vAlign w:val="center"/>
            <w:hideMark/>
          </w:tcPr>
          <w:p w14:paraId="7DF163C6"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6</w:t>
            </w:r>
          </w:p>
        </w:tc>
      </w:tr>
      <w:tr w:rsidR="001932B9" w:rsidRPr="007964BB" w14:paraId="172F1E95" w14:textId="77777777" w:rsidTr="00BB314F">
        <w:trPr>
          <w:trHeight w:val="283"/>
          <w:tblHeader/>
        </w:trPr>
        <w:tc>
          <w:tcPr>
            <w:tcW w:w="3544" w:type="dxa"/>
            <w:noWrap/>
            <w:vAlign w:val="center"/>
            <w:hideMark/>
          </w:tcPr>
          <w:p w14:paraId="451F9C71" w14:textId="77777777" w:rsidR="001932B9" w:rsidRPr="00BB314F" w:rsidRDefault="001932B9" w:rsidP="00BB314F">
            <w:pPr>
              <w:spacing w:after="0"/>
              <w:ind w:right="-109"/>
              <w:jc w:val="left"/>
              <w:rPr>
                <w:rFonts w:cs="Segoe UI"/>
                <w:sz w:val="18"/>
                <w:szCs w:val="18"/>
              </w:rPr>
            </w:pPr>
            <w:r w:rsidRPr="00BB314F">
              <w:rPr>
                <w:rFonts w:cs="Segoe UI"/>
                <w:sz w:val="18"/>
                <w:szCs w:val="18"/>
              </w:rPr>
              <w:t>Úrad pre územné plánovanie a výstavbu SR</w:t>
            </w:r>
          </w:p>
        </w:tc>
        <w:tc>
          <w:tcPr>
            <w:tcW w:w="1134" w:type="dxa"/>
            <w:noWrap/>
            <w:vAlign w:val="center"/>
            <w:hideMark/>
          </w:tcPr>
          <w:p w14:paraId="68C18080" w14:textId="77777777" w:rsidR="001932B9" w:rsidRPr="00BB314F" w:rsidRDefault="001932B9" w:rsidP="00BB314F">
            <w:pPr>
              <w:spacing w:after="0"/>
              <w:jc w:val="right"/>
              <w:rPr>
                <w:rFonts w:cs="Segoe UI"/>
                <w:sz w:val="18"/>
                <w:szCs w:val="18"/>
              </w:rPr>
            </w:pPr>
            <w:r w:rsidRPr="00BB314F">
              <w:rPr>
                <w:rFonts w:cs="Segoe UI"/>
                <w:color w:val="000000"/>
                <w:sz w:val="18"/>
                <w:szCs w:val="18"/>
              </w:rPr>
              <w:t>631</w:t>
            </w:r>
          </w:p>
        </w:tc>
        <w:tc>
          <w:tcPr>
            <w:tcW w:w="1105" w:type="dxa"/>
            <w:noWrap/>
            <w:vAlign w:val="center"/>
            <w:hideMark/>
          </w:tcPr>
          <w:p w14:paraId="626BAC74" w14:textId="77777777" w:rsidR="001932B9" w:rsidRPr="00BB314F" w:rsidRDefault="001932B9" w:rsidP="00BB314F">
            <w:pPr>
              <w:spacing w:after="0"/>
              <w:jc w:val="right"/>
              <w:rPr>
                <w:rFonts w:cs="Segoe UI"/>
                <w:sz w:val="18"/>
                <w:szCs w:val="18"/>
              </w:rPr>
            </w:pPr>
            <w:r w:rsidRPr="00BB314F">
              <w:rPr>
                <w:rFonts w:cs="Segoe UI"/>
                <w:color w:val="000000"/>
                <w:sz w:val="18"/>
                <w:szCs w:val="18"/>
              </w:rPr>
              <w:t>602</w:t>
            </w:r>
          </w:p>
        </w:tc>
        <w:tc>
          <w:tcPr>
            <w:tcW w:w="1184" w:type="dxa"/>
            <w:noWrap/>
            <w:vAlign w:val="center"/>
            <w:hideMark/>
          </w:tcPr>
          <w:p w14:paraId="57C3C4F1" w14:textId="77777777" w:rsidR="001932B9" w:rsidRPr="00BB314F" w:rsidRDefault="001932B9" w:rsidP="00BB314F">
            <w:pPr>
              <w:spacing w:after="0"/>
              <w:jc w:val="right"/>
              <w:rPr>
                <w:rFonts w:cs="Segoe UI"/>
                <w:sz w:val="18"/>
                <w:szCs w:val="18"/>
              </w:rPr>
            </w:pPr>
            <w:r w:rsidRPr="00BB314F">
              <w:rPr>
                <w:rFonts w:cs="Segoe UI"/>
                <w:color w:val="000000"/>
                <w:sz w:val="18"/>
                <w:szCs w:val="18"/>
              </w:rPr>
              <w:t>364</w:t>
            </w:r>
          </w:p>
        </w:tc>
        <w:tc>
          <w:tcPr>
            <w:tcW w:w="1145" w:type="dxa"/>
            <w:noWrap/>
            <w:vAlign w:val="center"/>
            <w:hideMark/>
          </w:tcPr>
          <w:p w14:paraId="0C67337C"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640</w:t>
            </w:r>
          </w:p>
        </w:tc>
        <w:tc>
          <w:tcPr>
            <w:tcW w:w="1266" w:type="dxa"/>
            <w:noWrap/>
            <w:vAlign w:val="center"/>
            <w:hideMark/>
          </w:tcPr>
          <w:p w14:paraId="6E2EDF08" w14:textId="77777777" w:rsidR="001932B9" w:rsidRPr="007E0E91" w:rsidRDefault="001932B9" w:rsidP="00BB314F">
            <w:pPr>
              <w:spacing w:after="0"/>
              <w:jc w:val="right"/>
              <w:rPr>
                <w:rFonts w:cs="Segoe UI"/>
                <w:b/>
                <w:bCs/>
                <w:sz w:val="18"/>
                <w:szCs w:val="18"/>
              </w:rPr>
            </w:pPr>
            <w:r w:rsidRPr="007964BB">
              <w:rPr>
                <w:rFonts w:cs="Segoe UI"/>
                <w:b/>
                <w:bCs/>
                <w:sz w:val="18"/>
                <w:szCs w:val="18"/>
              </w:rPr>
              <w:t>38</w:t>
            </w:r>
          </w:p>
        </w:tc>
      </w:tr>
      <w:tr w:rsidR="001932B9" w:rsidRPr="007964BB" w14:paraId="22E9BBC9" w14:textId="77777777" w:rsidTr="00BB314F">
        <w:trPr>
          <w:trHeight w:val="283"/>
          <w:tblHeader/>
        </w:trPr>
        <w:tc>
          <w:tcPr>
            <w:tcW w:w="3544" w:type="dxa"/>
            <w:noWrap/>
            <w:vAlign w:val="center"/>
            <w:hideMark/>
          </w:tcPr>
          <w:p w14:paraId="05B50A88" w14:textId="77777777" w:rsidR="001932B9" w:rsidRPr="00BB314F" w:rsidRDefault="001932B9" w:rsidP="00BB314F">
            <w:pPr>
              <w:spacing w:after="0"/>
              <w:ind w:right="-109"/>
              <w:jc w:val="left"/>
              <w:rPr>
                <w:rFonts w:cs="Segoe UI"/>
                <w:sz w:val="18"/>
                <w:szCs w:val="18"/>
              </w:rPr>
            </w:pPr>
            <w:r w:rsidRPr="00BB314F">
              <w:rPr>
                <w:rFonts w:cs="Segoe UI"/>
                <w:sz w:val="18"/>
                <w:szCs w:val="18"/>
              </w:rPr>
              <w:t>Ministerstvo cestovného ruchu a športu SR</w:t>
            </w:r>
          </w:p>
        </w:tc>
        <w:tc>
          <w:tcPr>
            <w:tcW w:w="1134" w:type="dxa"/>
            <w:noWrap/>
            <w:vAlign w:val="center"/>
            <w:hideMark/>
          </w:tcPr>
          <w:p w14:paraId="0D61B310" w14:textId="77777777" w:rsidR="001932B9" w:rsidRPr="00BB314F" w:rsidRDefault="001932B9" w:rsidP="00BB314F">
            <w:pPr>
              <w:spacing w:after="0"/>
              <w:jc w:val="right"/>
              <w:rPr>
                <w:rFonts w:cs="Segoe UI"/>
                <w:sz w:val="18"/>
                <w:szCs w:val="18"/>
              </w:rPr>
            </w:pPr>
            <w:r w:rsidRPr="00BB314F">
              <w:rPr>
                <w:rFonts w:cs="Segoe UI"/>
                <w:color w:val="000000"/>
                <w:sz w:val="18"/>
                <w:szCs w:val="18"/>
              </w:rPr>
              <w:t>207</w:t>
            </w:r>
          </w:p>
        </w:tc>
        <w:tc>
          <w:tcPr>
            <w:tcW w:w="1105" w:type="dxa"/>
            <w:noWrap/>
            <w:vAlign w:val="center"/>
            <w:hideMark/>
          </w:tcPr>
          <w:p w14:paraId="781F345E" w14:textId="77777777" w:rsidR="001932B9" w:rsidRPr="00BB314F" w:rsidRDefault="001932B9" w:rsidP="00BB314F">
            <w:pPr>
              <w:spacing w:after="0"/>
              <w:jc w:val="right"/>
              <w:rPr>
                <w:rFonts w:cs="Segoe UI"/>
                <w:sz w:val="18"/>
                <w:szCs w:val="18"/>
              </w:rPr>
            </w:pPr>
            <w:r w:rsidRPr="00BB314F">
              <w:rPr>
                <w:rFonts w:cs="Segoe UI"/>
                <w:color w:val="000000"/>
                <w:sz w:val="18"/>
                <w:szCs w:val="18"/>
              </w:rPr>
              <w:t>207</w:t>
            </w:r>
          </w:p>
        </w:tc>
        <w:tc>
          <w:tcPr>
            <w:tcW w:w="1184" w:type="dxa"/>
            <w:noWrap/>
            <w:vAlign w:val="center"/>
            <w:hideMark/>
          </w:tcPr>
          <w:p w14:paraId="6028E5E5" w14:textId="77777777" w:rsidR="001932B9" w:rsidRPr="00BB314F" w:rsidRDefault="001932B9" w:rsidP="00BB314F">
            <w:pPr>
              <w:spacing w:after="0"/>
              <w:jc w:val="right"/>
              <w:rPr>
                <w:rFonts w:cs="Segoe UI"/>
                <w:sz w:val="18"/>
                <w:szCs w:val="18"/>
              </w:rPr>
            </w:pPr>
            <w:r w:rsidRPr="00BB314F">
              <w:rPr>
                <w:rFonts w:cs="Segoe UI"/>
                <w:color w:val="000000"/>
                <w:sz w:val="18"/>
                <w:szCs w:val="18"/>
              </w:rPr>
              <w:t>161</w:t>
            </w:r>
          </w:p>
        </w:tc>
        <w:tc>
          <w:tcPr>
            <w:tcW w:w="1145" w:type="dxa"/>
            <w:noWrap/>
            <w:vAlign w:val="center"/>
            <w:hideMark/>
          </w:tcPr>
          <w:p w14:paraId="1C0863D3"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207</w:t>
            </w:r>
          </w:p>
        </w:tc>
        <w:tc>
          <w:tcPr>
            <w:tcW w:w="1266" w:type="dxa"/>
            <w:noWrap/>
            <w:vAlign w:val="center"/>
            <w:hideMark/>
          </w:tcPr>
          <w:p w14:paraId="08EA6322"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0</w:t>
            </w:r>
          </w:p>
        </w:tc>
      </w:tr>
      <w:tr w:rsidR="001932B9" w:rsidRPr="007964BB" w14:paraId="0BA8C154" w14:textId="77777777" w:rsidTr="00BB314F">
        <w:trPr>
          <w:trHeight w:val="283"/>
          <w:tblHeader/>
        </w:trPr>
        <w:tc>
          <w:tcPr>
            <w:tcW w:w="3544" w:type="dxa"/>
            <w:vAlign w:val="center"/>
            <w:hideMark/>
          </w:tcPr>
          <w:p w14:paraId="7BD5DCD7" w14:textId="77777777" w:rsidR="001932B9" w:rsidRPr="00BB314F" w:rsidRDefault="001932B9" w:rsidP="00BB314F">
            <w:pPr>
              <w:spacing w:after="0"/>
              <w:ind w:right="-109"/>
              <w:jc w:val="left"/>
              <w:rPr>
                <w:rFonts w:cs="Segoe UI"/>
                <w:sz w:val="18"/>
                <w:szCs w:val="18"/>
              </w:rPr>
            </w:pPr>
            <w:r w:rsidRPr="00BB314F">
              <w:rPr>
                <w:rFonts w:cs="Segoe UI"/>
                <w:sz w:val="18"/>
                <w:szCs w:val="18"/>
              </w:rPr>
              <w:t>Úrad podpredsedu vlády SR pre Plán obnovy a znalostnú ekonomiku</w:t>
            </w:r>
          </w:p>
        </w:tc>
        <w:tc>
          <w:tcPr>
            <w:tcW w:w="1134" w:type="dxa"/>
            <w:noWrap/>
            <w:vAlign w:val="center"/>
            <w:hideMark/>
          </w:tcPr>
          <w:p w14:paraId="5686279B" w14:textId="77777777" w:rsidR="001932B9" w:rsidRPr="00BB314F" w:rsidRDefault="001932B9" w:rsidP="00BB314F">
            <w:pPr>
              <w:spacing w:after="0"/>
              <w:jc w:val="right"/>
              <w:rPr>
                <w:rFonts w:cs="Segoe UI"/>
                <w:sz w:val="18"/>
                <w:szCs w:val="18"/>
              </w:rPr>
            </w:pPr>
            <w:r w:rsidRPr="00BB314F">
              <w:rPr>
                <w:rFonts w:cs="Segoe UI"/>
                <w:color w:val="000000"/>
                <w:sz w:val="18"/>
                <w:szCs w:val="18"/>
              </w:rPr>
              <w:t>311</w:t>
            </w:r>
          </w:p>
        </w:tc>
        <w:tc>
          <w:tcPr>
            <w:tcW w:w="1105" w:type="dxa"/>
            <w:noWrap/>
            <w:vAlign w:val="center"/>
            <w:hideMark/>
          </w:tcPr>
          <w:p w14:paraId="73AA36C1" w14:textId="77777777" w:rsidR="001932B9" w:rsidRPr="00BB314F" w:rsidRDefault="001932B9" w:rsidP="00BB314F">
            <w:pPr>
              <w:spacing w:after="0"/>
              <w:jc w:val="right"/>
              <w:rPr>
                <w:rFonts w:cs="Segoe UI"/>
                <w:sz w:val="18"/>
                <w:szCs w:val="18"/>
              </w:rPr>
            </w:pPr>
            <w:r w:rsidRPr="00BB314F">
              <w:rPr>
                <w:rFonts w:cs="Segoe UI"/>
                <w:color w:val="000000"/>
                <w:sz w:val="18"/>
                <w:szCs w:val="18"/>
              </w:rPr>
              <w:t>307</w:t>
            </w:r>
          </w:p>
        </w:tc>
        <w:tc>
          <w:tcPr>
            <w:tcW w:w="1184" w:type="dxa"/>
            <w:noWrap/>
            <w:vAlign w:val="center"/>
            <w:hideMark/>
          </w:tcPr>
          <w:p w14:paraId="640374F6" w14:textId="77777777" w:rsidR="001932B9" w:rsidRPr="00BB314F" w:rsidRDefault="001932B9" w:rsidP="00BB314F">
            <w:pPr>
              <w:spacing w:after="0"/>
              <w:jc w:val="right"/>
              <w:rPr>
                <w:rFonts w:cs="Segoe UI"/>
                <w:sz w:val="18"/>
                <w:szCs w:val="18"/>
              </w:rPr>
            </w:pPr>
            <w:r w:rsidRPr="00BB314F">
              <w:rPr>
                <w:rFonts w:cs="Segoe UI"/>
                <w:color w:val="000000"/>
                <w:sz w:val="18"/>
                <w:szCs w:val="18"/>
              </w:rPr>
              <w:t>237</w:t>
            </w:r>
          </w:p>
        </w:tc>
        <w:tc>
          <w:tcPr>
            <w:tcW w:w="1145" w:type="dxa"/>
            <w:noWrap/>
            <w:vAlign w:val="center"/>
            <w:hideMark/>
          </w:tcPr>
          <w:p w14:paraId="73AADC1A" w14:textId="77777777" w:rsidR="001932B9" w:rsidRPr="00BB314F" w:rsidRDefault="001932B9" w:rsidP="00BB314F">
            <w:pPr>
              <w:spacing w:after="0"/>
              <w:jc w:val="right"/>
              <w:rPr>
                <w:rFonts w:cs="Segoe UI"/>
                <w:i/>
                <w:iCs/>
                <w:sz w:val="18"/>
                <w:szCs w:val="18"/>
              </w:rPr>
            </w:pPr>
            <w:r w:rsidRPr="00BB314F">
              <w:rPr>
                <w:rFonts w:cs="Segoe UI"/>
                <w:color w:val="000000"/>
                <w:sz w:val="18"/>
                <w:szCs w:val="18"/>
              </w:rPr>
              <w:t>308</w:t>
            </w:r>
          </w:p>
        </w:tc>
        <w:tc>
          <w:tcPr>
            <w:tcW w:w="1266" w:type="dxa"/>
            <w:noWrap/>
            <w:vAlign w:val="center"/>
            <w:hideMark/>
          </w:tcPr>
          <w:p w14:paraId="7CCAD05F" w14:textId="77777777" w:rsidR="001932B9" w:rsidRPr="007E0E91" w:rsidRDefault="001932B9" w:rsidP="00BB314F">
            <w:pPr>
              <w:spacing w:after="0"/>
              <w:jc w:val="right"/>
              <w:rPr>
                <w:rFonts w:cs="Segoe UI"/>
                <w:b/>
                <w:bCs/>
                <w:color w:val="000000" w:themeColor="text1"/>
                <w:sz w:val="18"/>
                <w:szCs w:val="18"/>
              </w:rPr>
            </w:pPr>
            <w:r w:rsidRPr="007964BB">
              <w:rPr>
                <w:rFonts w:cs="Segoe UI"/>
                <w:b/>
                <w:bCs/>
                <w:color w:val="000000"/>
                <w:sz w:val="18"/>
                <w:szCs w:val="18"/>
              </w:rPr>
              <w:t>1</w:t>
            </w:r>
          </w:p>
        </w:tc>
      </w:tr>
      <w:tr w:rsidR="001932B9" w:rsidRPr="007964BB" w14:paraId="7D87D576" w14:textId="77777777" w:rsidTr="00BB314F">
        <w:trPr>
          <w:trHeight w:val="283"/>
          <w:tblHeader/>
        </w:trPr>
        <w:tc>
          <w:tcPr>
            <w:tcW w:w="3544" w:type="dxa"/>
            <w:noWrap/>
            <w:vAlign w:val="center"/>
            <w:hideMark/>
          </w:tcPr>
          <w:p w14:paraId="640D6DE2" w14:textId="77777777" w:rsidR="001932B9" w:rsidRPr="00BB314F" w:rsidRDefault="001932B9" w:rsidP="00BB314F">
            <w:pPr>
              <w:spacing w:after="0"/>
              <w:jc w:val="left"/>
              <w:rPr>
                <w:rFonts w:cs="Segoe UI"/>
                <w:b/>
                <w:bCs/>
                <w:sz w:val="18"/>
                <w:szCs w:val="18"/>
              </w:rPr>
            </w:pPr>
            <w:r w:rsidRPr="00BB314F">
              <w:rPr>
                <w:rFonts w:cs="Segoe UI"/>
                <w:b/>
                <w:bCs/>
                <w:sz w:val="18"/>
                <w:szCs w:val="18"/>
              </w:rPr>
              <w:t>SPOLU</w:t>
            </w:r>
          </w:p>
        </w:tc>
        <w:tc>
          <w:tcPr>
            <w:tcW w:w="1134" w:type="dxa"/>
            <w:noWrap/>
            <w:vAlign w:val="center"/>
            <w:hideMark/>
          </w:tcPr>
          <w:p w14:paraId="723D640B" w14:textId="77777777" w:rsidR="001932B9" w:rsidRPr="00BB314F" w:rsidRDefault="001932B9" w:rsidP="00BB314F">
            <w:pPr>
              <w:spacing w:after="0"/>
              <w:jc w:val="right"/>
              <w:rPr>
                <w:rFonts w:cs="Segoe UI"/>
                <w:b/>
                <w:bCs/>
                <w:sz w:val="18"/>
                <w:szCs w:val="18"/>
              </w:rPr>
            </w:pPr>
            <w:r w:rsidRPr="00BB314F">
              <w:rPr>
                <w:rFonts w:cs="Segoe UI"/>
                <w:b/>
                <w:bCs/>
                <w:color w:val="000000"/>
                <w:sz w:val="18"/>
                <w:szCs w:val="18"/>
              </w:rPr>
              <w:t>15 614</w:t>
            </w:r>
          </w:p>
        </w:tc>
        <w:tc>
          <w:tcPr>
            <w:tcW w:w="1105" w:type="dxa"/>
            <w:noWrap/>
            <w:vAlign w:val="center"/>
            <w:hideMark/>
          </w:tcPr>
          <w:p w14:paraId="3833FE3F" w14:textId="77777777" w:rsidR="001932B9" w:rsidRPr="00BB314F" w:rsidRDefault="001932B9" w:rsidP="00BB314F">
            <w:pPr>
              <w:spacing w:after="0"/>
              <w:jc w:val="right"/>
              <w:rPr>
                <w:rFonts w:cs="Segoe UI"/>
                <w:b/>
                <w:bCs/>
                <w:color w:val="000000"/>
                <w:sz w:val="18"/>
                <w:szCs w:val="18"/>
              </w:rPr>
            </w:pPr>
            <w:r w:rsidRPr="00BB314F">
              <w:rPr>
                <w:rFonts w:cs="Segoe UI"/>
                <w:b/>
                <w:bCs/>
                <w:color w:val="000000"/>
                <w:sz w:val="18"/>
                <w:szCs w:val="18"/>
              </w:rPr>
              <w:t>15 984</w:t>
            </w:r>
          </w:p>
        </w:tc>
        <w:tc>
          <w:tcPr>
            <w:tcW w:w="1184" w:type="dxa"/>
            <w:noWrap/>
            <w:vAlign w:val="center"/>
            <w:hideMark/>
          </w:tcPr>
          <w:p w14:paraId="3DAD814A" w14:textId="77777777" w:rsidR="001932B9" w:rsidRPr="00BB314F" w:rsidRDefault="001932B9" w:rsidP="00BB314F">
            <w:pPr>
              <w:spacing w:after="0"/>
              <w:jc w:val="right"/>
              <w:rPr>
                <w:rFonts w:cs="Segoe UI"/>
                <w:b/>
                <w:bCs/>
                <w:color w:val="000000"/>
                <w:sz w:val="18"/>
                <w:szCs w:val="18"/>
              </w:rPr>
            </w:pPr>
            <w:r w:rsidRPr="00BB314F">
              <w:rPr>
                <w:rFonts w:cs="Segoe UI"/>
                <w:b/>
                <w:bCs/>
                <w:color w:val="000000"/>
                <w:sz w:val="18"/>
                <w:szCs w:val="18"/>
              </w:rPr>
              <w:t>14 233</w:t>
            </w:r>
          </w:p>
        </w:tc>
        <w:tc>
          <w:tcPr>
            <w:tcW w:w="1145" w:type="dxa"/>
            <w:noWrap/>
            <w:vAlign w:val="center"/>
            <w:hideMark/>
          </w:tcPr>
          <w:p w14:paraId="4445DBE2" w14:textId="77777777" w:rsidR="001932B9" w:rsidRPr="00BB314F" w:rsidRDefault="001932B9" w:rsidP="00BB314F">
            <w:pPr>
              <w:spacing w:after="0"/>
              <w:jc w:val="right"/>
              <w:rPr>
                <w:rFonts w:cs="Segoe UI"/>
                <w:b/>
                <w:bCs/>
                <w:color w:val="000000"/>
                <w:sz w:val="18"/>
                <w:szCs w:val="18"/>
              </w:rPr>
            </w:pPr>
            <w:r w:rsidRPr="00BB314F">
              <w:rPr>
                <w:rFonts w:cs="Segoe UI"/>
                <w:b/>
                <w:bCs/>
                <w:color w:val="000000"/>
                <w:sz w:val="18"/>
                <w:szCs w:val="18"/>
              </w:rPr>
              <w:t>15 853</w:t>
            </w:r>
          </w:p>
        </w:tc>
        <w:tc>
          <w:tcPr>
            <w:tcW w:w="1266" w:type="dxa"/>
            <w:noWrap/>
            <w:vAlign w:val="center"/>
            <w:hideMark/>
          </w:tcPr>
          <w:p w14:paraId="47114B70" w14:textId="77777777" w:rsidR="001932B9" w:rsidRPr="00BB314F" w:rsidRDefault="001932B9" w:rsidP="00BB314F">
            <w:pPr>
              <w:spacing w:after="0"/>
              <w:jc w:val="right"/>
              <w:rPr>
                <w:rFonts w:cs="Segoe UI"/>
                <w:b/>
                <w:bCs/>
                <w:color w:val="000000"/>
                <w:sz w:val="18"/>
                <w:szCs w:val="18"/>
              </w:rPr>
            </w:pPr>
            <w:r w:rsidRPr="00BB314F">
              <w:rPr>
                <w:rFonts w:cs="Segoe UI"/>
                <w:b/>
                <w:bCs/>
                <w:color w:val="000000"/>
                <w:sz w:val="18"/>
                <w:szCs w:val="18"/>
              </w:rPr>
              <w:t>-131</w:t>
            </w:r>
          </w:p>
        </w:tc>
      </w:tr>
    </w:tbl>
    <w:p w14:paraId="299D6E34" w14:textId="179997E3" w:rsidR="001932B9" w:rsidRDefault="001932B9" w:rsidP="001932B9">
      <w:pPr>
        <w:keepNext/>
        <w:spacing w:after="0"/>
        <w:rPr>
          <w:rFonts w:eastAsia="Calibri" w:cs="Times New Roman"/>
          <w:b/>
          <w:iCs/>
          <w:color w:val="314364"/>
          <w:szCs w:val="18"/>
        </w:rPr>
      </w:pPr>
      <w:r w:rsidRPr="00DD6B70">
        <w:rPr>
          <w:rFonts w:eastAsia="Calibri"/>
          <w:i/>
          <w:color w:val="314364"/>
          <w:sz w:val="16"/>
        </w:rPr>
        <w:t>Zdro: MF SR</w:t>
      </w:r>
      <w:r>
        <w:rPr>
          <w:rFonts w:eastAsia="Calibri"/>
          <w:i/>
          <w:color w:val="314364"/>
          <w:sz w:val="16"/>
        </w:rPr>
        <w:t>.</w:t>
      </w:r>
    </w:p>
    <w:p w14:paraId="55173703" w14:textId="77777777" w:rsidR="001932B9" w:rsidRDefault="001932B9" w:rsidP="00DA7A8D">
      <w:pPr>
        <w:keepNext/>
        <w:spacing w:after="0"/>
        <w:rPr>
          <w:rFonts w:eastAsia="Calibri" w:cs="Times New Roman"/>
          <w:b/>
          <w:iCs/>
          <w:color w:val="314364"/>
          <w:szCs w:val="18"/>
        </w:rPr>
      </w:pPr>
    </w:p>
    <w:p w14:paraId="7EBC60D9" w14:textId="5966E371" w:rsidR="001932B9" w:rsidRDefault="001932B9">
      <w:pPr>
        <w:spacing w:after="160" w:line="259" w:lineRule="auto"/>
        <w:jc w:val="left"/>
        <w:rPr>
          <w:rFonts w:eastAsia="Calibri" w:cs="Times New Roman"/>
          <w:b/>
          <w:iCs/>
          <w:color w:val="314364"/>
          <w:szCs w:val="18"/>
        </w:rPr>
      </w:pPr>
      <w:r>
        <w:rPr>
          <w:rFonts w:eastAsia="Calibri" w:cs="Times New Roman"/>
          <w:b/>
          <w:iCs/>
          <w:color w:val="314364"/>
          <w:szCs w:val="18"/>
        </w:rPr>
        <w:br w:type="page"/>
      </w:r>
    </w:p>
    <w:p w14:paraId="79F68184" w14:textId="210B4E07" w:rsidR="00DA7A8D" w:rsidRPr="00393D9E" w:rsidRDefault="00DA7A8D" w:rsidP="00DA7A8D">
      <w:pPr>
        <w:keepNext/>
        <w:spacing w:after="0"/>
        <w:rPr>
          <w:rFonts w:eastAsia="Calibri" w:cs="Times New Roman"/>
          <w:b/>
          <w:iCs/>
          <w:color w:val="314364"/>
          <w:szCs w:val="18"/>
        </w:rPr>
      </w:pPr>
      <w:r w:rsidRPr="00393D9E">
        <w:rPr>
          <w:rFonts w:eastAsia="Calibri" w:cs="Times New Roman"/>
          <w:b/>
          <w:iCs/>
          <w:color w:val="314364"/>
          <w:szCs w:val="18"/>
        </w:rPr>
        <w:lastRenderedPageBreak/>
        <w:t xml:space="preserve">Tabuľka </w:t>
      </w:r>
      <w:r w:rsidR="0034440C">
        <w:rPr>
          <w:rFonts w:eastAsia="Calibri" w:cs="Times New Roman"/>
          <w:b/>
          <w:iCs/>
          <w:color w:val="314364"/>
          <w:szCs w:val="18"/>
        </w:rPr>
        <w:t>1</w:t>
      </w:r>
      <w:r w:rsidR="0032471C">
        <w:rPr>
          <w:rFonts w:eastAsia="Calibri" w:cs="Times New Roman"/>
          <w:b/>
          <w:iCs/>
          <w:color w:val="314364"/>
          <w:szCs w:val="18"/>
        </w:rPr>
        <w:t>6</w:t>
      </w:r>
      <w:r w:rsidRPr="00393D9E">
        <w:rPr>
          <w:rFonts w:eastAsia="Calibri" w:cs="Times New Roman"/>
          <w:b/>
          <w:iCs/>
          <w:color w:val="314364"/>
          <w:szCs w:val="18"/>
        </w:rPr>
        <w:t>: Limit verejných výdavkov subjektov verejnej správy a ďalších súčastí RVS na rok 202</w:t>
      </w:r>
      <w:r w:rsidR="00014FCF">
        <w:rPr>
          <w:rFonts w:eastAsia="Calibri" w:cs="Times New Roman"/>
          <w:b/>
          <w:iCs/>
          <w:color w:val="314364"/>
          <w:szCs w:val="18"/>
        </w:rPr>
        <w:t>6</w:t>
      </w:r>
    </w:p>
    <w:tbl>
      <w:tblPr>
        <w:tblW w:w="5000" w:type="pct"/>
        <w:jc w:val="center"/>
        <w:tblCellMar>
          <w:top w:w="28" w:type="dxa"/>
        </w:tblCellMar>
        <w:tblLook w:val="04A0" w:firstRow="1" w:lastRow="0" w:firstColumn="1" w:lastColumn="0" w:noHBand="0" w:noVBand="1"/>
      </w:tblPr>
      <w:tblGrid>
        <w:gridCol w:w="5514"/>
        <w:gridCol w:w="1778"/>
        <w:gridCol w:w="1778"/>
      </w:tblGrid>
      <w:tr w:rsidR="00DA7A8D" w:rsidRPr="00393D9E" w14:paraId="4C003E21" w14:textId="77777777" w:rsidTr="00BB314F">
        <w:trPr>
          <w:trHeight w:val="57"/>
          <w:tblHeader/>
          <w:jc w:val="center"/>
        </w:trPr>
        <w:tc>
          <w:tcPr>
            <w:tcW w:w="3040" w:type="pct"/>
            <w:tcBorders>
              <w:bottom w:val="single" w:sz="4" w:space="0" w:color="314364"/>
            </w:tcBorders>
            <w:shd w:val="clear" w:color="auto" w:fill="314364"/>
            <w:vAlign w:val="center"/>
          </w:tcPr>
          <w:p w14:paraId="00D394AD" w14:textId="77777777" w:rsidR="00DA7A8D" w:rsidRPr="00393D9E" w:rsidRDefault="00DA7A8D" w:rsidP="00BB314F">
            <w:pPr>
              <w:spacing w:after="0" w:line="240" w:lineRule="auto"/>
              <w:rPr>
                <w:rFonts w:eastAsia="Calibri" w:cs="Segoe UI"/>
                <w:b/>
                <w:color w:val="FFFFFF"/>
                <w:sz w:val="18"/>
                <w:szCs w:val="18"/>
              </w:rPr>
            </w:pPr>
            <w:r w:rsidRPr="00393D9E">
              <w:rPr>
                <w:rFonts w:eastAsia="Calibri" w:cs="Segoe UI"/>
                <w:b/>
                <w:color w:val="FFFFFF"/>
                <w:sz w:val="18"/>
                <w:szCs w:val="18"/>
              </w:rPr>
              <w:t>Subjekt verejnej správy</w:t>
            </w:r>
          </w:p>
        </w:tc>
        <w:tc>
          <w:tcPr>
            <w:tcW w:w="980" w:type="pct"/>
            <w:tcBorders>
              <w:bottom w:val="single" w:sz="4" w:space="0" w:color="314364"/>
            </w:tcBorders>
            <w:shd w:val="clear" w:color="auto" w:fill="314364"/>
            <w:vAlign w:val="center"/>
          </w:tcPr>
          <w:p w14:paraId="4FFB5DBB" w14:textId="77777777" w:rsidR="00DA7A8D" w:rsidRPr="00393D9E" w:rsidRDefault="00DA7A8D" w:rsidP="00BB314F">
            <w:pPr>
              <w:spacing w:after="0" w:line="240" w:lineRule="auto"/>
              <w:jc w:val="right"/>
              <w:rPr>
                <w:rFonts w:eastAsia="Calibri" w:cs="Segoe UI"/>
                <w:b/>
                <w:color w:val="FFFFFF"/>
                <w:sz w:val="18"/>
                <w:szCs w:val="18"/>
              </w:rPr>
            </w:pPr>
            <w:r w:rsidRPr="00393D9E">
              <w:rPr>
                <w:rFonts w:eastAsia="Calibri" w:cs="Segoe UI"/>
                <w:b/>
                <w:color w:val="FFFFFF"/>
                <w:sz w:val="18"/>
                <w:szCs w:val="18"/>
              </w:rPr>
              <w:t>LVV (v eurách)</w:t>
            </w:r>
          </w:p>
        </w:tc>
        <w:tc>
          <w:tcPr>
            <w:tcW w:w="980" w:type="pct"/>
            <w:tcBorders>
              <w:bottom w:val="single" w:sz="4" w:space="0" w:color="314364"/>
            </w:tcBorders>
            <w:shd w:val="clear" w:color="auto" w:fill="314364"/>
            <w:vAlign w:val="center"/>
          </w:tcPr>
          <w:p w14:paraId="7947A134" w14:textId="77777777" w:rsidR="00DA7A8D" w:rsidRPr="00393D9E" w:rsidRDefault="00DA7A8D" w:rsidP="00BB314F">
            <w:pPr>
              <w:spacing w:after="0" w:line="240" w:lineRule="auto"/>
              <w:jc w:val="right"/>
              <w:rPr>
                <w:rFonts w:eastAsia="Calibri" w:cs="Segoe UI"/>
                <w:b/>
                <w:color w:val="FFFFFF"/>
                <w:sz w:val="18"/>
                <w:szCs w:val="18"/>
              </w:rPr>
            </w:pPr>
            <w:r w:rsidRPr="00393D9E">
              <w:rPr>
                <w:rFonts w:eastAsia="Calibri" w:cs="Segoe UI"/>
                <w:b/>
                <w:color w:val="FFFFFF"/>
                <w:sz w:val="18"/>
                <w:szCs w:val="18"/>
              </w:rPr>
              <w:t>Podiel na LVV (v %)</w:t>
            </w:r>
          </w:p>
        </w:tc>
      </w:tr>
      <w:tr w:rsidR="00DA7A8D" w:rsidRPr="00393D9E" w14:paraId="2D998E9F" w14:textId="77777777" w:rsidTr="00BB314F">
        <w:trPr>
          <w:trHeight w:val="57"/>
          <w:jc w:val="center"/>
        </w:trPr>
        <w:tc>
          <w:tcPr>
            <w:tcW w:w="3040" w:type="pct"/>
            <w:tcBorders>
              <w:top w:val="single" w:sz="4" w:space="0" w:color="314364"/>
            </w:tcBorders>
            <w:vAlign w:val="center"/>
          </w:tcPr>
          <w:p w14:paraId="405C43BE" w14:textId="77777777" w:rsidR="00DA7A8D" w:rsidRPr="00393D9E" w:rsidRDefault="00DA7A8D" w:rsidP="00BB314F">
            <w:pPr>
              <w:spacing w:after="0" w:line="240" w:lineRule="auto"/>
              <w:rPr>
                <w:rFonts w:eastAsia="Calibri" w:cs="Segoe UI"/>
                <w:b/>
                <w:bCs/>
                <w:sz w:val="18"/>
                <w:szCs w:val="18"/>
              </w:rPr>
            </w:pPr>
            <w:r w:rsidRPr="00393D9E">
              <w:rPr>
                <w:rFonts w:eastAsia="Times New Roman" w:cs="Segoe UI"/>
                <w:b/>
                <w:bCs/>
                <w:sz w:val="18"/>
                <w:szCs w:val="18"/>
                <w:lang w:eastAsia="sk-SK"/>
              </w:rPr>
              <w:t>Celkový limit verejných výdavkov</w:t>
            </w:r>
          </w:p>
        </w:tc>
        <w:tc>
          <w:tcPr>
            <w:tcW w:w="980" w:type="pct"/>
            <w:tcBorders>
              <w:top w:val="single" w:sz="4" w:space="0" w:color="314364"/>
            </w:tcBorders>
            <w:vAlign w:val="center"/>
          </w:tcPr>
          <w:p w14:paraId="2E9F9C01" w14:textId="77777777" w:rsidR="00DA7A8D" w:rsidRPr="00393D9E" w:rsidRDefault="00DA7A8D" w:rsidP="00BB314F">
            <w:pPr>
              <w:spacing w:after="0" w:line="240" w:lineRule="auto"/>
              <w:jc w:val="right"/>
              <w:rPr>
                <w:rFonts w:eastAsia="Calibri" w:cs="Segoe UI"/>
                <w:b/>
                <w:sz w:val="18"/>
                <w:szCs w:val="18"/>
              </w:rPr>
            </w:pPr>
            <w:r w:rsidRPr="00393D9E">
              <w:rPr>
                <w:rFonts w:eastAsia="Times New Roman" w:cs="Segoe UI"/>
                <w:sz w:val="18"/>
                <w:szCs w:val="18"/>
                <w:lang w:eastAsia="sk-SK"/>
              </w:rPr>
              <w:t>62 042 080 298</w:t>
            </w:r>
          </w:p>
        </w:tc>
        <w:tc>
          <w:tcPr>
            <w:tcW w:w="980" w:type="pct"/>
            <w:tcBorders>
              <w:top w:val="single" w:sz="4" w:space="0" w:color="314364"/>
            </w:tcBorders>
            <w:vAlign w:val="bottom"/>
          </w:tcPr>
          <w:p w14:paraId="3C308CE2" w14:textId="77777777" w:rsidR="00DA7A8D" w:rsidRPr="00393D9E" w:rsidRDefault="00DA7A8D" w:rsidP="00BB314F">
            <w:pPr>
              <w:spacing w:after="0" w:line="240" w:lineRule="auto"/>
              <w:jc w:val="right"/>
              <w:rPr>
                <w:rFonts w:eastAsia="Calibri" w:cs="Segoe UI"/>
                <w:b/>
                <w:sz w:val="18"/>
                <w:szCs w:val="18"/>
              </w:rPr>
            </w:pPr>
            <w:r w:rsidRPr="00393D9E">
              <w:rPr>
                <w:rFonts w:eastAsia="Times New Roman" w:cs="Segoe UI"/>
                <w:color w:val="000000"/>
                <w:sz w:val="18"/>
                <w:szCs w:val="18"/>
                <w:lang w:eastAsia="sk-SK"/>
              </w:rPr>
              <w:t>-</w:t>
            </w:r>
          </w:p>
        </w:tc>
      </w:tr>
      <w:tr w:rsidR="00DA7A8D" w:rsidRPr="00393D9E" w14:paraId="5D4611FE" w14:textId="77777777" w:rsidTr="00BB314F">
        <w:trPr>
          <w:trHeight w:val="57"/>
          <w:jc w:val="center"/>
        </w:trPr>
        <w:tc>
          <w:tcPr>
            <w:tcW w:w="3040" w:type="pct"/>
            <w:vAlign w:val="center"/>
          </w:tcPr>
          <w:p w14:paraId="77013F67"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Štátny rozpočet</w:t>
            </w:r>
          </w:p>
        </w:tc>
        <w:tc>
          <w:tcPr>
            <w:tcW w:w="980" w:type="pct"/>
            <w:vAlign w:val="center"/>
          </w:tcPr>
          <w:p w14:paraId="05EA43D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22 527 117 094</w:t>
            </w:r>
          </w:p>
        </w:tc>
        <w:tc>
          <w:tcPr>
            <w:tcW w:w="980" w:type="pct"/>
            <w:vAlign w:val="bottom"/>
          </w:tcPr>
          <w:p w14:paraId="073A291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36,309%</w:t>
            </w:r>
          </w:p>
        </w:tc>
      </w:tr>
      <w:tr w:rsidR="00DA7A8D" w:rsidRPr="00393D9E" w14:paraId="1D45F129" w14:textId="77777777" w:rsidTr="00BB314F">
        <w:trPr>
          <w:trHeight w:val="57"/>
          <w:jc w:val="center"/>
        </w:trPr>
        <w:tc>
          <w:tcPr>
            <w:tcW w:w="3040" w:type="pct"/>
            <w:vAlign w:val="center"/>
          </w:tcPr>
          <w:p w14:paraId="642D2C8A"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Sociálna poisťovňa</w:t>
            </w:r>
          </w:p>
        </w:tc>
        <w:tc>
          <w:tcPr>
            <w:tcW w:w="980" w:type="pct"/>
            <w:vAlign w:val="center"/>
          </w:tcPr>
          <w:p w14:paraId="3412A03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15 005 713 700</w:t>
            </w:r>
          </w:p>
        </w:tc>
        <w:tc>
          <w:tcPr>
            <w:tcW w:w="980" w:type="pct"/>
            <w:vAlign w:val="bottom"/>
          </w:tcPr>
          <w:p w14:paraId="4999685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24,186%</w:t>
            </w:r>
          </w:p>
        </w:tc>
      </w:tr>
      <w:tr w:rsidR="00DA7A8D" w:rsidRPr="00393D9E" w14:paraId="0AC835CC" w14:textId="77777777" w:rsidTr="00BB314F">
        <w:trPr>
          <w:trHeight w:val="57"/>
          <w:jc w:val="center"/>
        </w:trPr>
        <w:tc>
          <w:tcPr>
            <w:tcW w:w="3040" w:type="pct"/>
            <w:vAlign w:val="center"/>
          </w:tcPr>
          <w:p w14:paraId="1F4173E9"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Samospráva</w:t>
            </w:r>
          </w:p>
        </w:tc>
        <w:tc>
          <w:tcPr>
            <w:tcW w:w="980" w:type="pct"/>
            <w:vAlign w:val="center"/>
          </w:tcPr>
          <w:p w14:paraId="2D08661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9 882 090 272</w:t>
            </w:r>
          </w:p>
        </w:tc>
        <w:tc>
          <w:tcPr>
            <w:tcW w:w="980" w:type="pct"/>
            <w:vAlign w:val="bottom"/>
          </w:tcPr>
          <w:p w14:paraId="3641864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15,928%</w:t>
            </w:r>
          </w:p>
        </w:tc>
      </w:tr>
      <w:tr w:rsidR="00DA7A8D" w:rsidRPr="00393D9E" w14:paraId="60F6DA47" w14:textId="77777777" w:rsidTr="00BB314F">
        <w:trPr>
          <w:trHeight w:val="57"/>
          <w:jc w:val="center"/>
        </w:trPr>
        <w:tc>
          <w:tcPr>
            <w:tcW w:w="3040" w:type="pct"/>
            <w:vAlign w:val="center"/>
          </w:tcPr>
          <w:p w14:paraId="3DC47FD8"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Verejné zdravotné poistenie</w:t>
            </w:r>
          </w:p>
        </w:tc>
        <w:tc>
          <w:tcPr>
            <w:tcW w:w="980" w:type="pct"/>
            <w:vAlign w:val="center"/>
          </w:tcPr>
          <w:p w14:paraId="366945CE"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5 780 950 454</w:t>
            </w:r>
          </w:p>
        </w:tc>
        <w:tc>
          <w:tcPr>
            <w:tcW w:w="980" w:type="pct"/>
            <w:vAlign w:val="bottom"/>
          </w:tcPr>
          <w:p w14:paraId="7FA7BC7C"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9,318%</w:t>
            </w:r>
          </w:p>
        </w:tc>
      </w:tr>
      <w:tr w:rsidR="00DA7A8D" w:rsidRPr="00393D9E" w14:paraId="04B316DB" w14:textId="77777777" w:rsidTr="00BB314F">
        <w:trPr>
          <w:trHeight w:val="57"/>
          <w:jc w:val="center"/>
        </w:trPr>
        <w:tc>
          <w:tcPr>
            <w:tcW w:w="3040" w:type="pct"/>
            <w:vAlign w:val="center"/>
          </w:tcPr>
          <w:p w14:paraId="7920D219"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Zdravotnícke zariadenia</w:t>
            </w:r>
          </w:p>
        </w:tc>
        <w:tc>
          <w:tcPr>
            <w:tcW w:w="980" w:type="pct"/>
            <w:vAlign w:val="center"/>
          </w:tcPr>
          <w:p w14:paraId="7B28F008"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4 412 944 862</w:t>
            </w:r>
          </w:p>
        </w:tc>
        <w:tc>
          <w:tcPr>
            <w:tcW w:w="980" w:type="pct"/>
            <w:vAlign w:val="bottom"/>
          </w:tcPr>
          <w:p w14:paraId="6C8D52EC"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7,113%</w:t>
            </w:r>
          </w:p>
        </w:tc>
      </w:tr>
      <w:tr w:rsidR="00DA7A8D" w:rsidRPr="00393D9E" w14:paraId="1DB5F9B6" w14:textId="77777777" w:rsidTr="00BB314F">
        <w:trPr>
          <w:trHeight w:val="57"/>
          <w:jc w:val="center"/>
        </w:trPr>
        <w:tc>
          <w:tcPr>
            <w:tcW w:w="3040" w:type="pct"/>
            <w:vAlign w:val="center"/>
          </w:tcPr>
          <w:p w14:paraId="6580916B"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Verejné vysoké školy</w:t>
            </w:r>
          </w:p>
        </w:tc>
        <w:tc>
          <w:tcPr>
            <w:tcW w:w="980" w:type="pct"/>
            <w:vAlign w:val="center"/>
          </w:tcPr>
          <w:p w14:paraId="1057A91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1 254 015 597</w:t>
            </w:r>
          </w:p>
        </w:tc>
        <w:tc>
          <w:tcPr>
            <w:tcW w:w="980" w:type="pct"/>
            <w:vAlign w:val="bottom"/>
          </w:tcPr>
          <w:p w14:paraId="0DFF7EF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2,021%</w:t>
            </w:r>
          </w:p>
        </w:tc>
      </w:tr>
      <w:tr w:rsidR="00DA7A8D" w:rsidRPr="00393D9E" w14:paraId="172C6562" w14:textId="77777777" w:rsidTr="00BB314F">
        <w:trPr>
          <w:trHeight w:val="57"/>
          <w:jc w:val="center"/>
        </w:trPr>
        <w:tc>
          <w:tcPr>
            <w:tcW w:w="3040" w:type="pct"/>
            <w:vAlign w:val="center"/>
          </w:tcPr>
          <w:p w14:paraId="69396EE4"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Železnice Slovenskej republiky</w:t>
            </w:r>
          </w:p>
        </w:tc>
        <w:tc>
          <w:tcPr>
            <w:tcW w:w="980" w:type="pct"/>
            <w:vAlign w:val="center"/>
          </w:tcPr>
          <w:p w14:paraId="5B600E5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719 312 062</w:t>
            </w:r>
          </w:p>
        </w:tc>
        <w:tc>
          <w:tcPr>
            <w:tcW w:w="980" w:type="pct"/>
            <w:vAlign w:val="bottom"/>
          </w:tcPr>
          <w:p w14:paraId="0F1441C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1,159%</w:t>
            </w:r>
          </w:p>
        </w:tc>
      </w:tr>
      <w:tr w:rsidR="00DA7A8D" w:rsidRPr="00393D9E" w14:paraId="0505DB92" w14:textId="77777777" w:rsidTr="00BB314F">
        <w:trPr>
          <w:trHeight w:val="57"/>
          <w:jc w:val="center"/>
        </w:trPr>
        <w:tc>
          <w:tcPr>
            <w:tcW w:w="3040" w:type="pct"/>
            <w:vAlign w:val="center"/>
          </w:tcPr>
          <w:p w14:paraId="1D3A1E45"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Železničná spoločnosť Slovensko, a.s.</w:t>
            </w:r>
          </w:p>
        </w:tc>
        <w:tc>
          <w:tcPr>
            <w:tcW w:w="980" w:type="pct"/>
            <w:vAlign w:val="center"/>
          </w:tcPr>
          <w:p w14:paraId="59A8035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628 595 239</w:t>
            </w:r>
          </w:p>
        </w:tc>
        <w:tc>
          <w:tcPr>
            <w:tcW w:w="980" w:type="pct"/>
            <w:vAlign w:val="bottom"/>
          </w:tcPr>
          <w:p w14:paraId="1D9555B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1,013%</w:t>
            </w:r>
          </w:p>
        </w:tc>
      </w:tr>
      <w:tr w:rsidR="00DA7A8D" w:rsidRPr="00393D9E" w14:paraId="4A39DC97" w14:textId="77777777" w:rsidTr="00BB314F">
        <w:trPr>
          <w:trHeight w:val="57"/>
          <w:jc w:val="center"/>
        </w:trPr>
        <w:tc>
          <w:tcPr>
            <w:tcW w:w="3040" w:type="pct"/>
            <w:vAlign w:val="center"/>
          </w:tcPr>
          <w:p w14:paraId="4CC52935"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Národná diaľničná spoločnosť, a.s.</w:t>
            </w:r>
          </w:p>
        </w:tc>
        <w:tc>
          <w:tcPr>
            <w:tcW w:w="980" w:type="pct"/>
            <w:vAlign w:val="center"/>
          </w:tcPr>
          <w:p w14:paraId="42CAC6CC"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454 302 420</w:t>
            </w:r>
          </w:p>
        </w:tc>
        <w:tc>
          <w:tcPr>
            <w:tcW w:w="980" w:type="pct"/>
            <w:vAlign w:val="bottom"/>
          </w:tcPr>
          <w:p w14:paraId="78395334"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0,732%</w:t>
            </w:r>
          </w:p>
        </w:tc>
      </w:tr>
      <w:tr w:rsidR="00DA7A8D" w:rsidRPr="00393D9E" w14:paraId="2AB92964" w14:textId="77777777" w:rsidTr="00BB314F">
        <w:trPr>
          <w:trHeight w:val="57"/>
          <w:jc w:val="center"/>
        </w:trPr>
        <w:tc>
          <w:tcPr>
            <w:tcW w:w="3040" w:type="pct"/>
            <w:vAlign w:val="center"/>
          </w:tcPr>
          <w:p w14:paraId="28D05982"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Jadrová a vyraďovacia spoločnosť, a.s.</w:t>
            </w:r>
          </w:p>
        </w:tc>
        <w:tc>
          <w:tcPr>
            <w:tcW w:w="980" w:type="pct"/>
            <w:vAlign w:val="center"/>
          </w:tcPr>
          <w:p w14:paraId="5C06A31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294 350 358</w:t>
            </w:r>
          </w:p>
        </w:tc>
        <w:tc>
          <w:tcPr>
            <w:tcW w:w="980" w:type="pct"/>
            <w:vAlign w:val="bottom"/>
          </w:tcPr>
          <w:p w14:paraId="05ABCBE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0,474%</w:t>
            </w:r>
          </w:p>
        </w:tc>
      </w:tr>
      <w:tr w:rsidR="00DA7A8D" w:rsidRPr="00393D9E" w14:paraId="42F2A58B" w14:textId="77777777" w:rsidTr="00BB314F">
        <w:trPr>
          <w:trHeight w:val="57"/>
          <w:jc w:val="center"/>
        </w:trPr>
        <w:tc>
          <w:tcPr>
            <w:tcW w:w="3040" w:type="pct"/>
            <w:vAlign w:val="center"/>
          </w:tcPr>
          <w:p w14:paraId="1C75B314"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Verejné výskumné inštitúcie</w:t>
            </w:r>
          </w:p>
        </w:tc>
        <w:tc>
          <w:tcPr>
            <w:tcW w:w="980" w:type="pct"/>
            <w:vAlign w:val="center"/>
          </w:tcPr>
          <w:p w14:paraId="6A63C04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190 310 178</w:t>
            </w:r>
          </w:p>
        </w:tc>
        <w:tc>
          <w:tcPr>
            <w:tcW w:w="980" w:type="pct"/>
            <w:vAlign w:val="bottom"/>
          </w:tcPr>
          <w:p w14:paraId="0FD3947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0,307%</w:t>
            </w:r>
          </w:p>
        </w:tc>
      </w:tr>
      <w:tr w:rsidR="00DA7A8D" w:rsidRPr="00393D9E" w14:paraId="524398FB" w14:textId="77777777" w:rsidTr="00BB314F">
        <w:trPr>
          <w:trHeight w:val="57"/>
          <w:jc w:val="center"/>
        </w:trPr>
        <w:tc>
          <w:tcPr>
            <w:tcW w:w="3040" w:type="pct"/>
            <w:vAlign w:val="center"/>
          </w:tcPr>
          <w:p w14:paraId="71C58DF3"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Slovenská televízia a rozhlas</w:t>
            </w:r>
          </w:p>
        </w:tc>
        <w:tc>
          <w:tcPr>
            <w:tcW w:w="980" w:type="pct"/>
            <w:vAlign w:val="center"/>
          </w:tcPr>
          <w:p w14:paraId="42E395E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178 328 714</w:t>
            </w:r>
          </w:p>
        </w:tc>
        <w:tc>
          <w:tcPr>
            <w:tcW w:w="980" w:type="pct"/>
            <w:vAlign w:val="bottom"/>
          </w:tcPr>
          <w:p w14:paraId="2FFB2EEA"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0,287%</w:t>
            </w:r>
          </w:p>
        </w:tc>
      </w:tr>
      <w:tr w:rsidR="00DA7A8D" w:rsidRPr="00393D9E" w14:paraId="26E9991E" w14:textId="77777777" w:rsidTr="00BB314F">
        <w:trPr>
          <w:trHeight w:val="57"/>
          <w:jc w:val="center"/>
        </w:trPr>
        <w:tc>
          <w:tcPr>
            <w:tcW w:w="3040" w:type="pct"/>
            <w:vAlign w:val="center"/>
          </w:tcPr>
          <w:p w14:paraId="0650A416"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Valaliky Industrial Park, s r.o.</w:t>
            </w:r>
          </w:p>
        </w:tc>
        <w:tc>
          <w:tcPr>
            <w:tcW w:w="980" w:type="pct"/>
            <w:vAlign w:val="center"/>
          </w:tcPr>
          <w:p w14:paraId="5EB39DB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158 451 845</w:t>
            </w:r>
          </w:p>
        </w:tc>
        <w:tc>
          <w:tcPr>
            <w:tcW w:w="980" w:type="pct"/>
            <w:vAlign w:val="bottom"/>
          </w:tcPr>
          <w:p w14:paraId="2BB7028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0,255%</w:t>
            </w:r>
          </w:p>
        </w:tc>
      </w:tr>
      <w:tr w:rsidR="00DA7A8D" w:rsidRPr="00393D9E" w14:paraId="6EA0C41F" w14:textId="77777777" w:rsidTr="00BB314F">
        <w:trPr>
          <w:trHeight w:val="57"/>
          <w:jc w:val="center"/>
        </w:trPr>
        <w:tc>
          <w:tcPr>
            <w:tcW w:w="3040" w:type="pct"/>
            <w:vAlign w:val="center"/>
          </w:tcPr>
          <w:p w14:paraId="6AA3C8B8"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Slovenský vodohospodársky podnik, š.p.</w:t>
            </w:r>
          </w:p>
        </w:tc>
        <w:tc>
          <w:tcPr>
            <w:tcW w:w="980" w:type="pct"/>
            <w:vAlign w:val="center"/>
          </w:tcPr>
          <w:p w14:paraId="28583D3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141 499 463</w:t>
            </w:r>
          </w:p>
        </w:tc>
        <w:tc>
          <w:tcPr>
            <w:tcW w:w="980" w:type="pct"/>
            <w:vAlign w:val="bottom"/>
          </w:tcPr>
          <w:p w14:paraId="5C316948"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0,228%</w:t>
            </w:r>
          </w:p>
        </w:tc>
      </w:tr>
      <w:tr w:rsidR="00DA7A8D" w:rsidRPr="00393D9E" w14:paraId="6946BAC9" w14:textId="77777777" w:rsidTr="00BB314F">
        <w:trPr>
          <w:trHeight w:val="57"/>
          <w:jc w:val="center"/>
        </w:trPr>
        <w:tc>
          <w:tcPr>
            <w:tcW w:w="3040" w:type="pct"/>
            <w:vAlign w:val="center"/>
          </w:tcPr>
          <w:p w14:paraId="2890D8B7"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Agentúra pre núdzové zásoby ropy a ropných výrobkov</w:t>
            </w:r>
          </w:p>
        </w:tc>
        <w:tc>
          <w:tcPr>
            <w:tcW w:w="980" w:type="pct"/>
            <w:vAlign w:val="center"/>
          </w:tcPr>
          <w:p w14:paraId="57D6BD45"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62 392 892</w:t>
            </w:r>
          </w:p>
        </w:tc>
        <w:tc>
          <w:tcPr>
            <w:tcW w:w="980" w:type="pct"/>
            <w:vAlign w:val="bottom"/>
          </w:tcPr>
          <w:p w14:paraId="6427E345"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0,101%</w:t>
            </w:r>
          </w:p>
        </w:tc>
      </w:tr>
      <w:tr w:rsidR="00DA7A8D" w:rsidRPr="00393D9E" w14:paraId="37E5BC17" w14:textId="77777777" w:rsidTr="00BB314F">
        <w:trPr>
          <w:trHeight w:val="57"/>
          <w:jc w:val="center"/>
        </w:trPr>
        <w:tc>
          <w:tcPr>
            <w:tcW w:w="3040" w:type="pct"/>
            <w:vAlign w:val="center"/>
          </w:tcPr>
          <w:p w14:paraId="5978A05D"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Environmentálny fond</w:t>
            </w:r>
          </w:p>
        </w:tc>
        <w:tc>
          <w:tcPr>
            <w:tcW w:w="980" w:type="pct"/>
            <w:vAlign w:val="center"/>
          </w:tcPr>
          <w:p w14:paraId="03ACE67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54 089 767</w:t>
            </w:r>
          </w:p>
        </w:tc>
        <w:tc>
          <w:tcPr>
            <w:tcW w:w="980" w:type="pct"/>
            <w:vAlign w:val="bottom"/>
          </w:tcPr>
          <w:p w14:paraId="1B12B63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0,087%</w:t>
            </w:r>
          </w:p>
        </w:tc>
      </w:tr>
      <w:tr w:rsidR="00DA7A8D" w:rsidRPr="00393D9E" w14:paraId="34405262" w14:textId="77777777" w:rsidTr="00BB314F">
        <w:trPr>
          <w:trHeight w:val="57"/>
          <w:jc w:val="center"/>
        </w:trPr>
        <w:tc>
          <w:tcPr>
            <w:tcW w:w="3040" w:type="pct"/>
            <w:vAlign w:val="center"/>
          </w:tcPr>
          <w:p w14:paraId="036DA337"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Eximbanka</w:t>
            </w:r>
          </w:p>
        </w:tc>
        <w:tc>
          <w:tcPr>
            <w:tcW w:w="980" w:type="pct"/>
            <w:vAlign w:val="center"/>
          </w:tcPr>
          <w:p w14:paraId="201B14D4"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45 611 000</w:t>
            </w:r>
          </w:p>
        </w:tc>
        <w:tc>
          <w:tcPr>
            <w:tcW w:w="980" w:type="pct"/>
            <w:vAlign w:val="bottom"/>
          </w:tcPr>
          <w:p w14:paraId="49FAC40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0,074%</w:t>
            </w:r>
          </w:p>
        </w:tc>
      </w:tr>
      <w:tr w:rsidR="00DA7A8D" w:rsidRPr="00393D9E" w14:paraId="28E56335" w14:textId="77777777" w:rsidTr="00BB314F">
        <w:trPr>
          <w:trHeight w:val="57"/>
          <w:jc w:val="center"/>
        </w:trPr>
        <w:tc>
          <w:tcPr>
            <w:tcW w:w="3040" w:type="pct"/>
            <w:vAlign w:val="center"/>
          </w:tcPr>
          <w:p w14:paraId="22A558C3"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Úrad pre dohľad nad zdravotnou starostlivosťou</w:t>
            </w:r>
          </w:p>
        </w:tc>
        <w:tc>
          <w:tcPr>
            <w:tcW w:w="980" w:type="pct"/>
            <w:vAlign w:val="center"/>
          </w:tcPr>
          <w:p w14:paraId="3C4AFE8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34 739 170</w:t>
            </w:r>
          </w:p>
        </w:tc>
        <w:tc>
          <w:tcPr>
            <w:tcW w:w="980" w:type="pct"/>
            <w:vAlign w:val="bottom"/>
          </w:tcPr>
          <w:p w14:paraId="2413DBD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0,056%</w:t>
            </w:r>
          </w:p>
        </w:tc>
      </w:tr>
      <w:tr w:rsidR="00DA7A8D" w:rsidRPr="00393D9E" w14:paraId="5918F138" w14:textId="77777777" w:rsidTr="00BB314F">
        <w:trPr>
          <w:trHeight w:val="57"/>
          <w:jc w:val="center"/>
        </w:trPr>
        <w:tc>
          <w:tcPr>
            <w:tcW w:w="3040" w:type="pct"/>
            <w:vAlign w:val="center"/>
          </w:tcPr>
          <w:p w14:paraId="031BA028"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Slovenská záručná a rozvojová banka, a.s.</w:t>
            </w:r>
          </w:p>
        </w:tc>
        <w:tc>
          <w:tcPr>
            <w:tcW w:w="980" w:type="pct"/>
            <w:vAlign w:val="center"/>
          </w:tcPr>
          <w:p w14:paraId="55DBBEF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29 747 246</w:t>
            </w:r>
          </w:p>
        </w:tc>
        <w:tc>
          <w:tcPr>
            <w:tcW w:w="980" w:type="pct"/>
            <w:vAlign w:val="bottom"/>
          </w:tcPr>
          <w:p w14:paraId="6A3A493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0,048%</w:t>
            </w:r>
          </w:p>
        </w:tc>
      </w:tr>
      <w:tr w:rsidR="00DA7A8D" w:rsidRPr="00393D9E" w14:paraId="3041C97E" w14:textId="77777777" w:rsidTr="00BB314F">
        <w:trPr>
          <w:trHeight w:val="57"/>
          <w:jc w:val="center"/>
        </w:trPr>
        <w:tc>
          <w:tcPr>
            <w:tcW w:w="3040" w:type="pct"/>
            <w:vAlign w:val="center"/>
          </w:tcPr>
          <w:p w14:paraId="2CEACA6F"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Slovak Investment Holding, a. s.</w:t>
            </w:r>
          </w:p>
        </w:tc>
        <w:tc>
          <w:tcPr>
            <w:tcW w:w="980" w:type="pct"/>
            <w:vAlign w:val="center"/>
          </w:tcPr>
          <w:p w14:paraId="4664DD0A"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25 788 845</w:t>
            </w:r>
          </w:p>
        </w:tc>
        <w:tc>
          <w:tcPr>
            <w:tcW w:w="980" w:type="pct"/>
            <w:vAlign w:val="bottom"/>
          </w:tcPr>
          <w:p w14:paraId="2680A4D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0,042%</w:t>
            </w:r>
          </w:p>
        </w:tc>
      </w:tr>
      <w:tr w:rsidR="00DA7A8D" w:rsidRPr="00393D9E" w14:paraId="2DC99808" w14:textId="77777777" w:rsidTr="00BB314F">
        <w:trPr>
          <w:trHeight w:val="57"/>
          <w:jc w:val="center"/>
        </w:trPr>
        <w:tc>
          <w:tcPr>
            <w:tcW w:w="3040" w:type="pct"/>
            <w:vAlign w:val="center"/>
          </w:tcPr>
          <w:p w14:paraId="66DBAF60"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Slovenský pozemkový fond</w:t>
            </w:r>
          </w:p>
        </w:tc>
        <w:tc>
          <w:tcPr>
            <w:tcW w:w="980" w:type="pct"/>
            <w:vAlign w:val="center"/>
          </w:tcPr>
          <w:p w14:paraId="14E3F674"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21 250 263</w:t>
            </w:r>
          </w:p>
        </w:tc>
        <w:tc>
          <w:tcPr>
            <w:tcW w:w="980" w:type="pct"/>
            <w:vAlign w:val="bottom"/>
          </w:tcPr>
          <w:p w14:paraId="08728E4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0,034%</w:t>
            </w:r>
          </w:p>
        </w:tc>
      </w:tr>
      <w:tr w:rsidR="00DA7A8D" w:rsidRPr="00393D9E" w14:paraId="1DD210F9" w14:textId="77777777" w:rsidTr="00BB314F">
        <w:trPr>
          <w:trHeight w:val="57"/>
          <w:jc w:val="center"/>
        </w:trPr>
        <w:tc>
          <w:tcPr>
            <w:tcW w:w="3040" w:type="pct"/>
            <w:vAlign w:val="center"/>
          </w:tcPr>
          <w:p w14:paraId="29DA3B02"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Fond na podporu umenia</w:t>
            </w:r>
          </w:p>
        </w:tc>
        <w:tc>
          <w:tcPr>
            <w:tcW w:w="980" w:type="pct"/>
            <w:vAlign w:val="center"/>
          </w:tcPr>
          <w:p w14:paraId="341675D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20 586 800</w:t>
            </w:r>
          </w:p>
        </w:tc>
        <w:tc>
          <w:tcPr>
            <w:tcW w:w="980" w:type="pct"/>
            <w:vAlign w:val="bottom"/>
          </w:tcPr>
          <w:p w14:paraId="5CB4C40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0,033%</w:t>
            </w:r>
          </w:p>
        </w:tc>
      </w:tr>
      <w:tr w:rsidR="00DA7A8D" w:rsidRPr="00393D9E" w14:paraId="7C98F211" w14:textId="77777777" w:rsidTr="00BB314F">
        <w:trPr>
          <w:trHeight w:val="57"/>
          <w:jc w:val="center"/>
        </w:trPr>
        <w:tc>
          <w:tcPr>
            <w:tcW w:w="3040" w:type="pct"/>
            <w:vAlign w:val="center"/>
          </w:tcPr>
          <w:p w14:paraId="1EE1E9AA"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MH Invest, s.r.o.</w:t>
            </w:r>
          </w:p>
        </w:tc>
        <w:tc>
          <w:tcPr>
            <w:tcW w:w="980" w:type="pct"/>
            <w:vAlign w:val="center"/>
          </w:tcPr>
          <w:p w14:paraId="5BCDE3F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19 558 657</w:t>
            </w:r>
          </w:p>
        </w:tc>
        <w:tc>
          <w:tcPr>
            <w:tcW w:w="980" w:type="pct"/>
            <w:vAlign w:val="bottom"/>
          </w:tcPr>
          <w:p w14:paraId="04B05AD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0,032%</w:t>
            </w:r>
          </w:p>
        </w:tc>
      </w:tr>
      <w:tr w:rsidR="00DA7A8D" w:rsidRPr="00393D9E" w14:paraId="47659E9A" w14:textId="77777777" w:rsidTr="00BB314F">
        <w:trPr>
          <w:trHeight w:val="57"/>
          <w:jc w:val="center"/>
        </w:trPr>
        <w:tc>
          <w:tcPr>
            <w:tcW w:w="3040" w:type="pct"/>
            <w:vAlign w:val="center"/>
          </w:tcPr>
          <w:p w14:paraId="128B76D5"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Audiovizuálny fond</w:t>
            </w:r>
          </w:p>
        </w:tc>
        <w:tc>
          <w:tcPr>
            <w:tcW w:w="980" w:type="pct"/>
            <w:vAlign w:val="center"/>
          </w:tcPr>
          <w:p w14:paraId="0B5A783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17 331 400</w:t>
            </w:r>
          </w:p>
        </w:tc>
        <w:tc>
          <w:tcPr>
            <w:tcW w:w="980" w:type="pct"/>
            <w:vAlign w:val="bottom"/>
          </w:tcPr>
          <w:p w14:paraId="28C2774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0,028%</w:t>
            </w:r>
          </w:p>
        </w:tc>
      </w:tr>
      <w:tr w:rsidR="00DA7A8D" w:rsidRPr="00393D9E" w14:paraId="5FDBA00E" w14:textId="77777777" w:rsidTr="00BB314F">
        <w:trPr>
          <w:trHeight w:val="57"/>
          <w:jc w:val="center"/>
        </w:trPr>
        <w:tc>
          <w:tcPr>
            <w:tcW w:w="3040" w:type="pct"/>
            <w:vAlign w:val="center"/>
          </w:tcPr>
          <w:p w14:paraId="2082574F"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Fond na podporu športu</w:t>
            </w:r>
          </w:p>
        </w:tc>
        <w:tc>
          <w:tcPr>
            <w:tcW w:w="980" w:type="pct"/>
            <w:vAlign w:val="center"/>
          </w:tcPr>
          <w:p w14:paraId="435C319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16 052 130</w:t>
            </w:r>
          </w:p>
        </w:tc>
        <w:tc>
          <w:tcPr>
            <w:tcW w:w="980" w:type="pct"/>
            <w:vAlign w:val="bottom"/>
          </w:tcPr>
          <w:p w14:paraId="42E82B8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0,026%</w:t>
            </w:r>
          </w:p>
        </w:tc>
      </w:tr>
      <w:tr w:rsidR="00DA7A8D" w:rsidRPr="00393D9E" w14:paraId="19DCD348" w14:textId="77777777" w:rsidTr="00BB314F">
        <w:trPr>
          <w:trHeight w:val="57"/>
          <w:jc w:val="center"/>
        </w:trPr>
        <w:tc>
          <w:tcPr>
            <w:tcW w:w="3040" w:type="pct"/>
            <w:vAlign w:val="center"/>
          </w:tcPr>
          <w:p w14:paraId="07981F24"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Slovenská konsolidačná, a. s.</w:t>
            </w:r>
          </w:p>
        </w:tc>
        <w:tc>
          <w:tcPr>
            <w:tcW w:w="980" w:type="pct"/>
            <w:vAlign w:val="center"/>
          </w:tcPr>
          <w:p w14:paraId="71EF6AB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13 322 575</w:t>
            </w:r>
          </w:p>
        </w:tc>
        <w:tc>
          <w:tcPr>
            <w:tcW w:w="980" w:type="pct"/>
            <w:vAlign w:val="bottom"/>
          </w:tcPr>
          <w:p w14:paraId="08DCCE2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0,021%</w:t>
            </w:r>
          </w:p>
        </w:tc>
      </w:tr>
      <w:tr w:rsidR="00DA7A8D" w:rsidRPr="00393D9E" w14:paraId="1DBBF851" w14:textId="77777777" w:rsidTr="00BB314F">
        <w:trPr>
          <w:trHeight w:val="57"/>
          <w:jc w:val="center"/>
        </w:trPr>
        <w:tc>
          <w:tcPr>
            <w:tcW w:w="3040" w:type="pct"/>
            <w:vAlign w:val="center"/>
          </w:tcPr>
          <w:p w14:paraId="47A23E55"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Fond na podporu cestovného ruchu</w:t>
            </w:r>
          </w:p>
        </w:tc>
        <w:tc>
          <w:tcPr>
            <w:tcW w:w="980" w:type="pct"/>
            <w:vAlign w:val="center"/>
          </w:tcPr>
          <w:p w14:paraId="363E202A"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10 500 000</w:t>
            </w:r>
          </w:p>
        </w:tc>
        <w:tc>
          <w:tcPr>
            <w:tcW w:w="980" w:type="pct"/>
            <w:vAlign w:val="bottom"/>
          </w:tcPr>
          <w:p w14:paraId="0864CA9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0,017%</w:t>
            </w:r>
          </w:p>
        </w:tc>
      </w:tr>
      <w:tr w:rsidR="00DA7A8D" w:rsidRPr="00393D9E" w14:paraId="188BDD52" w14:textId="77777777" w:rsidTr="00BB314F">
        <w:trPr>
          <w:trHeight w:val="57"/>
          <w:jc w:val="center"/>
        </w:trPr>
        <w:tc>
          <w:tcPr>
            <w:tcW w:w="3040" w:type="pct"/>
            <w:vAlign w:val="center"/>
          </w:tcPr>
          <w:p w14:paraId="4F31F485"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Štátny fond rozvoja bývania</w:t>
            </w:r>
          </w:p>
        </w:tc>
        <w:tc>
          <w:tcPr>
            <w:tcW w:w="980" w:type="pct"/>
            <w:vAlign w:val="center"/>
          </w:tcPr>
          <w:p w14:paraId="4A7E7BE4"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9 880 000</w:t>
            </w:r>
          </w:p>
        </w:tc>
        <w:tc>
          <w:tcPr>
            <w:tcW w:w="980" w:type="pct"/>
            <w:vAlign w:val="bottom"/>
          </w:tcPr>
          <w:p w14:paraId="7163B10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0,016%</w:t>
            </w:r>
          </w:p>
        </w:tc>
      </w:tr>
      <w:tr w:rsidR="00DA7A8D" w:rsidRPr="00393D9E" w14:paraId="352608CB" w14:textId="77777777" w:rsidTr="00BB314F">
        <w:trPr>
          <w:trHeight w:val="57"/>
          <w:jc w:val="center"/>
        </w:trPr>
        <w:tc>
          <w:tcPr>
            <w:tcW w:w="3040" w:type="pct"/>
            <w:vAlign w:val="center"/>
          </w:tcPr>
          <w:p w14:paraId="48B66309"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Fond na podporu kultúry národnostných menšín</w:t>
            </w:r>
          </w:p>
        </w:tc>
        <w:tc>
          <w:tcPr>
            <w:tcW w:w="980" w:type="pct"/>
            <w:vAlign w:val="center"/>
          </w:tcPr>
          <w:p w14:paraId="18023EB7"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8 037 000</w:t>
            </w:r>
          </w:p>
        </w:tc>
        <w:tc>
          <w:tcPr>
            <w:tcW w:w="980" w:type="pct"/>
            <w:vAlign w:val="bottom"/>
          </w:tcPr>
          <w:p w14:paraId="292CC248"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0,013%</w:t>
            </w:r>
          </w:p>
        </w:tc>
      </w:tr>
      <w:tr w:rsidR="00DA7A8D" w:rsidRPr="00393D9E" w14:paraId="2E164F75" w14:textId="77777777" w:rsidTr="00BB314F">
        <w:trPr>
          <w:trHeight w:val="57"/>
          <w:jc w:val="center"/>
        </w:trPr>
        <w:tc>
          <w:tcPr>
            <w:tcW w:w="3040" w:type="pct"/>
            <w:vAlign w:val="center"/>
          </w:tcPr>
          <w:p w14:paraId="0F2C15E9"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Tlačová agentúra SR</w:t>
            </w:r>
          </w:p>
        </w:tc>
        <w:tc>
          <w:tcPr>
            <w:tcW w:w="980" w:type="pct"/>
            <w:vAlign w:val="center"/>
          </w:tcPr>
          <w:p w14:paraId="29514E08"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7 035 428</w:t>
            </w:r>
          </w:p>
        </w:tc>
        <w:tc>
          <w:tcPr>
            <w:tcW w:w="980" w:type="pct"/>
            <w:vAlign w:val="bottom"/>
          </w:tcPr>
          <w:p w14:paraId="2F2B603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0,011%</w:t>
            </w:r>
          </w:p>
        </w:tc>
      </w:tr>
      <w:tr w:rsidR="00DA7A8D" w:rsidRPr="00393D9E" w14:paraId="6447C102" w14:textId="77777777" w:rsidTr="00BB314F">
        <w:trPr>
          <w:trHeight w:val="57"/>
          <w:jc w:val="center"/>
        </w:trPr>
        <w:tc>
          <w:tcPr>
            <w:tcW w:w="3040" w:type="pct"/>
            <w:vAlign w:val="center"/>
          </w:tcPr>
          <w:p w14:paraId="28F3078F"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MH Manažment, a. s.</w:t>
            </w:r>
          </w:p>
        </w:tc>
        <w:tc>
          <w:tcPr>
            <w:tcW w:w="980" w:type="pct"/>
            <w:vAlign w:val="center"/>
          </w:tcPr>
          <w:p w14:paraId="0E75BA7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4 379 100</w:t>
            </w:r>
          </w:p>
        </w:tc>
        <w:tc>
          <w:tcPr>
            <w:tcW w:w="980" w:type="pct"/>
            <w:vAlign w:val="bottom"/>
          </w:tcPr>
          <w:p w14:paraId="557E2B1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0,007%</w:t>
            </w:r>
          </w:p>
        </w:tc>
      </w:tr>
      <w:tr w:rsidR="00DA7A8D" w:rsidRPr="00393D9E" w14:paraId="0A32CBC7" w14:textId="77777777" w:rsidTr="00BB314F">
        <w:trPr>
          <w:trHeight w:val="57"/>
          <w:jc w:val="center"/>
        </w:trPr>
        <w:tc>
          <w:tcPr>
            <w:tcW w:w="3040" w:type="pct"/>
            <w:vAlign w:val="center"/>
          </w:tcPr>
          <w:p w14:paraId="2FC457A6"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Rada pre rozpočtovú zodpovednosť</w:t>
            </w:r>
          </w:p>
        </w:tc>
        <w:tc>
          <w:tcPr>
            <w:tcW w:w="980" w:type="pct"/>
            <w:vAlign w:val="center"/>
          </w:tcPr>
          <w:p w14:paraId="1A6340B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4 328 644</w:t>
            </w:r>
          </w:p>
        </w:tc>
        <w:tc>
          <w:tcPr>
            <w:tcW w:w="980" w:type="pct"/>
            <w:vAlign w:val="bottom"/>
          </w:tcPr>
          <w:p w14:paraId="6CB5816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0,007%</w:t>
            </w:r>
          </w:p>
        </w:tc>
      </w:tr>
      <w:tr w:rsidR="00DA7A8D" w:rsidRPr="00393D9E" w14:paraId="6BCC7EB1" w14:textId="77777777" w:rsidTr="00BB314F">
        <w:trPr>
          <w:trHeight w:val="57"/>
          <w:jc w:val="center"/>
        </w:trPr>
        <w:tc>
          <w:tcPr>
            <w:tcW w:w="3040" w:type="pct"/>
            <w:vAlign w:val="center"/>
          </w:tcPr>
          <w:p w14:paraId="59C045F7"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Národný inštitút pre hodnotu a technológie v zdravotníctve</w:t>
            </w:r>
          </w:p>
        </w:tc>
        <w:tc>
          <w:tcPr>
            <w:tcW w:w="980" w:type="pct"/>
            <w:vAlign w:val="center"/>
          </w:tcPr>
          <w:p w14:paraId="4049092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2 684 690</w:t>
            </w:r>
          </w:p>
        </w:tc>
        <w:tc>
          <w:tcPr>
            <w:tcW w:w="980" w:type="pct"/>
            <w:vAlign w:val="bottom"/>
          </w:tcPr>
          <w:p w14:paraId="4CF19AC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0,004%</w:t>
            </w:r>
          </w:p>
        </w:tc>
      </w:tr>
      <w:tr w:rsidR="00DA7A8D" w:rsidRPr="00393D9E" w14:paraId="1AAFD561" w14:textId="77777777" w:rsidTr="00BB314F">
        <w:trPr>
          <w:trHeight w:val="57"/>
          <w:jc w:val="center"/>
        </w:trPr>
        <w:tc>
          <w:tcPr>
            <w:tcW w:w="3040" w:type="pct"/>
            <w:vAlign w:val="center"/>
          </w:tcPr>
          <w:p w14:paraId="1F252C70" w14:textId="77777777" w:rsidR="00DA7A8D" w:rsidRPr="00393D9E" w:rsidRDefault="00DA7A8D" w:rsidP="00BB314F">
            <w:pPr>
              <w:spacing w:after="0" w:line="240" w:lineRule="auto"/>
              <w:rPr>
                <w:rFonts w:eastAsia="Calibri" w:cs="Segoe UI"/>
                <w:i/>
                <w:sz w:val="18"/>
                <w:szCs w:val="18"/>
              </w:rPr>
            </w:pPr>
            <w:r w:rsidRPr="00393D9E">
              <w:rPr>
                <w:rFonts w:eastAsia="Times New Roman" w:cs="Segoe UI"/>
                <w:sz w:val="18"/>
                <w:szCs w:val="18"/>
                <w:lang w:eastAsia="sk-SK"/>
              </w:rPr>
              <w:t>MH Invest II, s. r. o.</w:t>
            </w:r>
          </w:p>
        </w:tc>
        <w:tc>
          <w:tcPr>
            <w:tcW w:w="980" w:type="pct"/>
            <w:vAlign w:val="center"/>
          </w:tcPr>
          <w:p w14:paraId="702679F5"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2 070 615</w:t>
            </w:r>
          </w:p>
        </w:tc>
        <w:tc>
          <w:tcPr>
            <w:tcW w:w="980" w:type="pct"/>
            <w:vAlign w:val="bottom"/>
          </w:tcPr>
          <w:p w14:paraId="0F21B1D4"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0,003%</w:t>
            </w:r>
          </w:p>
        </w:tc>
      </w:tr>
      <w:tr w:rsidR="00DA7A8D" w:rsidRPr="00393D9E" w14:paraId="5E3C96CA" w14:textId="77777777" w:rsidTr="00BB314F">
        <w:trPr>
          <w:trHeight w:val="57"/>
          <w:jc w:val="center"/>
        </w:trPr>
        <w:tc>
          <w:tcPr>
            <w:tcW w:w="3040" w:type="pct"/>
            <w:vAlign w:val="center"/>
          </w:tcPr>
          <w:p w14:paraId="6699A907" w14:textId="77777777" w:rsidR="00DA7A8D" w:rsidRPr="00393D9E" w:rsidRDefault="00DA7A8D" w:rsidP="00BB314F">
            <w:pPr>
              <w:spacing w:after="0" w:line="240" w:lineRule="auto"/>
              <w:rPr>
                <w:rFonts w:eastAsia="Calibri" w:cs="Segoe UI"/>
                <w:i/>
                <w:sz w:val="18"/>
                <w:szCs w:val="18"/>
              </w:rPr>
            </w:pPr>
            <w:r w:rsidRPr="00393D9E">
              <w:rPr>
                <w:rFonts w:eastAsia="Times New Roman" w:cs="Segoe UI"/>
                <w:sz w:val="18"/>
                <w:szCs w:val="18"/>
                <w:lang w:eastAsia="sk-SK"/>
              </w:rPr>
              <w:t>Národný jadrový fond</w:t>
            </w:r>
          </w:p>
        </w:tc>
        <w:tc>
          <w:tcPr>
            <w:tcW w:w="980" w:type="pct"/>
            <w:vAlign w:val="center"/>
          </w:tcPr>
          <w:p w14:paraId="2FF653A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1 716 100</w:t>
            </w:r>
          </w:p>
        </w:tc>
        <w:tc>
          <w:tcPr>
            <w:tcW w:w="980" w:type="pct"/>
            <w:vAlign w:val="bottom"/>
          </w:tcPr>
          <w:p w14:paraId="17F2F20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0,003%</w:t>
            </w:r>
          </w:p>
        </w:tc>
      </w:tr>
      <w:tr w:rsidR="00DA7A8D" w:rsidRPr="00393D9E" w14:paraId="1CF495CF" w14:textId="77777777" w:rsidTr="00BB314F">
        <w:trPr>
          <w:trHeight w:val="57"/>
          <w:jc w:val="center"/>
        </w:trPr>
        <w:tc>
          <w:tcPr>
            <w:tcW w:w="3040" w:type="pct"/>
            <w:vAlign w:val="center"/>
          </w:tcPr>
          <w:p w14:paraId="5571BAD1" w14:textId="77777777" w:rsidR="00DA7A8D" w:rsidRPr="00393D9E" w:rsidRDefault="00DA7A8D" w:rsidP="00BB314F">
            <w:pPr>
              <w:spacing w:after="0" w:line="240" w:lineRule="auto"/>
              <w:rPr>
                <w:rFonts w:eastAsia="Calibri" w:cs="Segoe UI"/>
                <w:color w:val="000000"/>
                <w:sz w:val="18"/>
                <w:szCs w:val="18"/>
              </w:rPr>
            </w:pPr>
            <w:r w:rsidRPr="00393D9E">
              <w:rPr>
                <w:rFonts w:eastAsia="Times New Roman" w:cs="Segoe UI"/>
                <w:sz w:val="18"/>
                <w:szCs w:val="18"/>
                <w:lang w:eastAsia="sk-SK"/>
              </w:rPr>
              <w:t>Úrad pre dohľad nad výkonom auditu</w:t>
            </w:r>
          </w:p>
        </w:tc>
        <w:tc>
          <w:tcPr>
            <w:tcW w:w="980" w:type="pct"/>
            <w:vAlign w:val="center"/>
          </w:tcPr>
          <w:p w14:paraId="0718D24D"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sz w:val="18"/>
                <w:szCs w:val="18"/>
                <w:lang w:eastAsia="sk-SK"/>
              </w:rPr>
              <w:t>1 684 000</w:t>
            </w:r>
          </w:p>
        </w:tc>
        <w:tc>
          <w:tcPr>
            <w:tcW w:w="980" w:type="pct"/>
            <w:vAlign w:val="bottom"/>
          </w:tcPr>
          <w:p w14:paraId="5E487670"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color w:val="000000"/>
                <w:sz w:val="18"/>
                <w:szCs w:val="18"/>
                <w:lang w:eastAsia="sk-SK"/>
              </w:rPr>
              <w:t>0,003%</w:t>
            </w:r>
          </w:p>
        </w:tc>
      </w:tr>
      <w:tr w:rsidR="00DA7A8D" w:rsidRPr="00393D9E" w14:paraId="7A795AA6" w14:textId="77777777" w:rsidTr="00BB314F">
        <w:trPr>
          <w:trHeight w:val="57"/>
          <w:jc w:val="center"/>
        </w:trPr>
        <w:tc>
          <w:tcPr>
            <w:tcW w:w="3040" w:type="pct"/>
            <w:vAlign w:val="center"/>
          </w:tcPr>
          <w:p w14:paraId="6E23E7FC" w14:textId="77777777" w:rsidR="00DA7A8D" w:rsidRPr="00393D9E" w:rsidRDefault="00DA7A8D" w:rsidP="00BB314F">
            <w:pPr>
              <w:spacing w:after="0" w:line="240" w:lineRule="auto"/>
              <w:rPr>
                <w:rFonts w:eastAsia="Calibri" w:cs="Segoe UI"/>
                <w:color w:val="000000"/>
                <w:sz w:val="18"/>
                <w:szCs w:val="18"/>
              </w:rPr>
            </w:pPr>
            <w:r w:rsidRPr="00393D9E">
              <w:rPr>
                <w:rFonts w:eastAsia="Times New Roman" w:cs="Segoe UI"/>
                <w:sz w:val="18"/>
                <w:szCs w:val="18"/>
                <w:lang w:eastAsia="sk-SK"/>
              </w:rPr>
              <w:t>Fond na podporu vzdelávania</w:t>
            </w:r>
          </w:p>
        </w:tc>
        <w:tc>
          <w:tcPr>
            <w:tcW w:w="980" w:type="pct"/>
            <w:vAlign w:val="center"/>
          </w:tcPr>
          <w:p w14:paraId="72879AD1"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sz w:val="18"/>
                <w:szCs w:val="18"/>
                <w:lang w:eastAsia="sk-SK"/>
              </w:rPr>
              <w:t>1 311 718</w:t>
            </w:r>
          </w:p>
        </w:tc>
        <w:tc>
          <w:tcPr>
            <w:tcW w:w="980" w:type="pct"/>
            <w:vAlign w:val="bottom"/>
          </w:tcPr>
          <w:p w14:paraId="574B2FE5"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color w:val="000000"/>
                <w:sz w:val="18"/>
                <w:szCs w:val="18"/>
                <w:lang w:eastAsia="sk-SK"/>
              </w:rPr>
              <w:t>0,002%</w:t>
            </w:r>
          </w:p>
        </w:tc>
      </w:tr>
      <w:tr w:rsidR="00DA7A8D" w:rsidRPr="00393D9E" w14:paraId="4E468A56" w14:textId="77777777" w:rsidTr="00BB314F">
        <w:trPr>
          <w:trHeight w:val="57"/>
          <w:jc w:val="center"/>
        </w:trPr>
        <w:tc>
          <w:tcPr>
            <w:tcW w:w="3040" w:type="pct"/>
            <w:tcBorders>
              <w:bottom w:val="single" w:sz="4" w:space="0" w:color="314364"/>
            </w:tcBorders>
            <w:vAlign w:val="center"/>
          </w:tcPr>
          <w:p w14:paraId="1C97992E" w14:textId="77777777" w:rsidR="00DA7A8D" w:rsidRPr="00393D9E" w:rsidRDefault="00DA7A8D" w:rsidP="00BB314F">
            <w:pPr>
              <w:spacing w:after="0" w:line="240" w:lineRule="auto"/>
              <w:rPr>
                <w:rFonts w:eastAsia="Calibri" w:cs="Segoe UI"/>
                <w:i/>
                <w:sz w:val="18"/>
                <w:szCs w:val="18"/>
              </w:rPr>
            </w:pPr>
            <w:r w:rsidRPr="00393D9E">
              <w:rPr>
                <w:rFonts w:eastAsia="Times New Roman" w:cs="Segoe UI"/>
                <w:sz w:val="18"/>
                <w:szCs w:val="18"/>
                <w:lang w:eastAsia="sk-SK"/>
              </w:rPr>
              <w:t>Rezerva na nepredvídateľné udalosti</w:t>
            </w:r>
          </w:p>
        </w:tc>
        <w:tc>
          <w:tcPr>
            <w:tcW w:w="980" w:type="pct"/>
            <w:tcBorders>
              <w:bottom w:val="single" w:sz="4" w:space="0" w:color="314364"/>
            </w:tcBorders>
            <w:vAlign w:val="center"/>
          </w:tcPr>
          <w:p w14:paraId="7EDC2B6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0</w:t>
            </w:r>
          </w:p>
        </w:tc>
        <w:tc>
          <w:tcPr>
            <w:tcW w:w="980" w:type="pct"/>
            <w:tcBorders>
              <w:bottom w:val="single" w:sz="4" w:space="0" w:color="314364"/>
            </w:tcBorders>
            <w:vAlign w:val="bottom"/>
          </w:tcPr>
          <w:p w14:paraId="5F795F3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0,000%</w:t>
            </w:r>
          </w:p>
        </w:tc>
      </w:tr>
    </w:tbl>
    <w:p w14:paraId="0335D86B" w14:textId="77777777" w:rsidR="00DA7A8D" w:rsidRPr="00393D9E" w:rsidRDefault="00DA7A8D" w:rsidP="00DA7A8D">
      <w:pPr>
        <w:rPr>
          <w:rFonts w:eastAsia="Calibri" w:cs="Times New Roman"/>
          <w:i/>
          <w:color w:val="314364"/>
          <w:sz w:val="16"/>
        </w:rPr>
      </w:pPr>
      <w:r w:rsidRPr="00393D9E">
        <w:rPr>
          <w:rFonts w:eastAsia="Calibri" w:cs="Times New Roman"/>
          <w:i/>
          <w:color w:val="314364"/>
          <w:sz w:val="16"/>
        </w:rPr>
        <w:t>Zdroj: MF SR.</w:t>
      </w:r>
    </w:p>
    <w:p w14:paraId="43BC25D0" w14:textId="77777777" w:rsidR="00DA7A8D" w:rsidRPr="00393D9E" w:rsidRDefault="00DA7A8D" w:rsidP="00DA7A8D">
      <w:pPr>
        <w:rPr>
          <w:rFonts w:eastAsia="Calibri" w:cs="Times New Roman"/>
          <w:i/>
          <w:color w:val="314364"/>
          <w:sz w:val="16"/>
        </w:rPr>
      </w:pPr>
    </w:p>
    <w:p w14:paraId="24036519" w14:textId="77777777" w:rsidR="00DA7A8D" w:rsidRPr="00393D9E" w:rsidRDefault="00DA7A8D" w:rsidP="00DA7A8D">
      <w:pPr>
        <w:rPr>
          <w:rFonts w:eastAsia="Calibri" w:cs="Times New Roman"/>
          <w:i/>
          <w:color w:val="314364"/>
          <w:sz w:val="16"/>
        </w:rPr>
      </w:pPr>
    </w:p>
    <w:p w14:paraId="314A33F8" w14:textId="77777777" w:rsidR="00DA7A8D" w:rsidRPr="00393D9E" w:rsidRDefault="00DA7A8D" w:rsidP="00DA7A8D">
      <w:pPr>
        <w:rPr>
          <w:rFonts w:eastAsia="Calibri" w:cs="Times New Roman"/>
          <w:i/>
          <w:color w:val="314364"/>
          <w:sz w:val="16"/>
        </w:rPr>
      </w:pPr>
    </w:p>
    <w:p w14:paraId="06B87A4D" w14:textId="77777777" w:rsidR="00DA7A8D" w:rsidRPr="00393D9E" w:rsidRDefault="00DA7A8D" w:rsidP="00DA7A8D">
      <w:pPr>
        <w:spacing w:after="200"/>
        <w:rPr>
          <w:rFonts w:eastAsia="Calibri" w:cs="Times New Roman"/>
          <w:i/>
          <w:color w:val="314364"/>
          <w:sz w:val="16"/>
        </w:rPr>
      </w:pPr>
      <w:r w:rsidRPr="00393D9E">
        <w:rPr>
          <w:rFonts w:eastAsia="Calibri" w:cs="Times New Roman"/>
          <w:i/>
          <w:color w:val="314364"/>
          <w:sz w:val="16"/>
        </w:rPr>
        <w:br w:type="page"/>
      </w:r>
    </w:p>
    <w:p w14:paraId="6E38A134" w14:textId="77EE195F" w:rsidR="00DA7A8D" w:rsidRPr="00393D9E" w:rsidRDefault="00DA7A8D" w:rsidP="00DA7A8D">
      <w:pPr>
        <w:keepNext/>
        <w:spacing w:after="0"/>
        <w:rPr>
          <w:rFonts w:eastAsia="Calibri" w:cs="Times New Roman"/>
          <w:b/>
          <w:iCs/>
          <w:color w:val="314364"/>
          <w:szCs w:val="18"/>
        </w:rPr>
      </w:pPr>
      <w:r w:rsidRPr="00393D9E">
        <w:rPr>
          <w:rFonts w:eastAsia="Calibri" w:cs="Times New Roman"/>
          <w:b/>
          <w:iCs/>
          <w:color w:val="314364"/>
          <w:szCs w:val="18"/>
        </w:rPr>
        <w:lastRenderedPageBreak/>
        <w:t xml:space="preserve">Tabuľka </w:t>
      </w:r>
      <w:r w:rsidR="0034440C">
        <w:rPr>
          <w:rFonts w:eastAsia="Calibri" w:cs="Times New Roman"/>
          <w:b/>
          <w:iCs/>
          <w:color w:val="314364"/>
          <w:szCs w:val="18"/>
        </w:rPr>
        <w:t>1</w:t>
      </w:r>
      <w:r w:rsidR="0032471C">
        <w:rPr>
          <w:rFonts w:eastAsia="Calibri" w:cs="Times New Roman"/>
          <w:b/>
          <w:iCs/>
          <w:color w:val="314364"/>
          <w:szCs w:val="18"/>
        </w:rPr>
        <w:t>7</w:t>
      </w:r>
      <w:r w:rsidRPr="00393D9E">
        <w:rPr>
          <w:rFonts w:eastAsia="Calibri" w:cs="Times New Roman"/>
          <w:b/>
          <w:iCs/>
          <w:color w:val="314364"/>
          <w:szCs w:val="18"/>
        </w:rPr>
        <w:t>: Limit verejných výdavkov kapitol ŠR na rok 202</w:t>
      </w:r>
      <w:r w:rsidR="00014FCF">
        <w:rPr>
          <w:rFonts w:eastAsia="Calibri" w:cs="Times New Roman"/>
          <w:b/>
          <w:iCs/>
          <w:color w:val="314364"/>
          <w:szCs w:val="18"/>
        </w:rPr>
        <w:t>6</w:t>
      </w:r>
    </w:p>
    <w:tbl>
      <w:tblPr>
        <w:tblW w:w="5000" w:type="pct"/>
        <w:jc w:val="center"/>
        <w:tblCellMar>
          <w:top w:w="28" w:type="dxa"/>
        </w:tblCellMar>
        <w:tblLook w:val="04A0" w:firstRow="1" w:lastRow="0" w:firstColumn="1" w:lastColumn="0" w:noHBand="0" w:noVBand="1"/>
      </w:tblPr>
      <w:tblGrid>
        <w:gridCol w:w="5708"/>
        <w:gridCol w:w="1682"/>
        <w:gridCol w:w="1680"/>
      </w:tblGrid>
      <w:tr w:rsidR="00DA7A8D" w:rsidRPr="00393D9E" w14:paraId="5F467D13" w14:textId="77777777" w:rsidTr="00BB314F">
        <w:trPr>
          <w:trHeight w:val="57"/>
          <w:tblHeader/>
          <w:jc w:val="center"/>
        </w:trPr>
        <w:tc>
          <w:tcPr>
            <w:tcW w:w="3147" w:type="pct"/>
            <w:tcBorders>
              <w:bottom w:val="single" w:sz="4" w:space="0" w:color="314364"/>
            </w:tcBorders>
            <w:shd w:val="clear" w:color="auto" w:fill="314364"/>
            <w:vAlign w:val="center"/>
          </w:tcPr>
          <w:p w14:paraId="0D8D41CD" w14:textId="77777777" w:rsidR="00DA7A8D" w:rsidRPr="00393D9E" w:rsidRDefault="00DA7A8D" w:rsidP="00BB314F">
            <w:pPr>
              <w:spacing w:after="0" w:line="240" w:lineRule="auto"/>
              <w:rPr>
                <w:rFonts w:eastAsia="Calibri" w:cs="Segoe UI"/>
                <w:b/>
                <w:color w:val="FFFFFF"/>
                <w:sz w:val="18"/>
                <w:szCs w:val="18"/>
              </w:rPr>
            </w:pPr>
            <w:r w:rsidRPr="00393D9E">
              <w:rPr>
                <w:rFonts w:eastAsia="Calibri" w:cs="Segoe UI"/>
                <w:b/>
                <w:color w:val="FFFFFF"/>
                <w:sz w:val="18"/>
                <w:szCs w:val="18"/>
              </w:rPr>
              <w:t>Subjekt verejnej správy</w:t>
            </w:r>
          </w:p>
        </w:tc>
        <w:tc>
          <w:tcPr>
            <w:tcW w:w="927" w:type="pct"/>
            <w:tcBorders>
              <w:bottom w:val="single" w:sz="4" w:space="0" w:color="314364"/>
            </w:tcBorders>
            <w:shd w:val="clear" w:color="auto" w:fill="314364"/>
            <w:vAlign w:val="center"/>
          </w:tcPr>
          <w:p w14:paraId="7F221D53" w14:textId="77777777" w:rsidR="00DA7A8D" w:rsidRPr="00393D9E" w:rsidRDefault="00DA7A8D" w:rsidP="00BB314F">
            <w:pPr>
              <w:spacing w:after="0" w:line="240" w:lineRule="auto"/>
              <w:jc w:val="right"/>
              <w:rPr>
                <w:rFonts w:eastAsia="Calibri" w:cs="Segoe UI"/>
                <w:b/>
                <w:color w:val="FFFFFF"/>
                <w:sz w:val="18"/>
                <w:szCs w:val="18"/>
              </w:rPr>
            </w:pPr>
            <w:r w:rsidRPr="00393D9E">
              <w:rPr>
                <w:rFonts w:eastAsia="Calibri" w:cs="Segoe UI"/>
                <w:b/>
                <w:color w:val="FFFFFF"/>
                <w:sz w:val="18"/>
                <w:szCs w:val="18"/>
              </w:rPr>
              <w:t>LVV (v eurách)</w:t>
            </w:r>
          </w:p>
        </w:tc>
        <w:tc>
          <w:tcPr>
            <w:tcW w:w="926" w:type="pct"/>
            <w:tcBorders>
              <w:bottom w:val="single" w:sz="4" w:space="0" w:color="314364"/>
            </w:tcBorders>
            <w:shd w:val="clear" w:color="auto" w:fill="314364"/>
            <w:vAlign w:val="center"/>
          </w:tcPr>
          <w:p w14:paraId="5ACC00C5" w14:textId="77777777" w:rsidR="00DA7A8D" w:rsidRPr="00393D9E" w:rsidRDefault="00DA7A8D" w:rsidP="00BB314F">
            <w:pPr>
              <w:spacing w:after="0" w:line="240" w:lineRule="auto"/>
              <w:jc w:val="right"/>
              <w:rPr>
                <w:rFonts w:eastAsia="Calibri" w:cs="Segoe UI"/>
                <w:b/>
                <w:color w:val="FFFFFF"/>
                <w:sz w:val="18"/>
                <w:szCs w:val="18"/>
              </w:rPr>
            </w:pPr>
            <w:r w:rsidRPr="00393D9E">
              <w:rPr>
                <w:rFonts w:eastAsia="Calibri" w:cs="Segoe UI"/>
                <w:b/>
                <w:color w:val="FFFFFF"/>
                <w:sz w:val="18"/>
                <w:szCs w:val="18"/>
              </w:rPr>
              <w:t>Podiel (v %)</w:t>
            </w:r>
          </w:p>
        </w:tc>
      </w:tr>
      <w:tr w:rsidR="00DA7A8D" w:rsidRPr="00393D9E" w14:paraId="5AF830BA" w14:textId="77777777" w:rsidTr="00BB314F">
        <w:trPr>
          <w:trHeight w:val="57"/>
          <w:jc w:val="center"/>
        </w:trPr>
        <w:tc>
          <w:tcPr>
            <w:tcW w:w="3147" w:type="pct"/>
            <w:tcBorders>
              <w:top w:val="single" w:sz="4" w:space="0" w:color="314364"/>
            </w:tcBorders>
            <w:vAlign w:val="center"/>
          </w:tcPr>
          <w:p w14:paraId="2E39373E" w14:textId="77777777" w:rsidR="00DA7A8D" w:rsidRPr="00393D9E" w:rsidRDefault="00DA7A8D" w:rsidP="00BB314F">
            <w:pPr>
              <w:spacing w:after="0" w:line="240" w:lineRule="auto"/>
              <w:rPr>
                <w:rFonts w:eastAsia="Calibri" w:cs="Segoe UI"/>
                <w:b/>
                <w:bCs/>
                <w:sz w:val="18"/>
                <w:szCs w:val="18"/>
              </w:rPr>
            </w:pPr>
            <w:r w:rsidRPr="00393D9E">
              <w:rPr>
                <w:rFonts w:eastAsia="Times New Roman" w:cs="Segoe UI"/>
                <w:b/>
                <w:bCs/>
                <w:sz w:val="18"/>
                <w:szCs w:val="18"/>
                <w:lang w:eastAsia="sk-SK"/>
              </w:rPr>
              <w:t>Štátny rozpočet</w:t>
            </w:r>
          </w:p>
        </w:tc>
        <w:tc>
          <w:tcPr>
            <w:tcW w:w="927" w:type="pct"/>
            <w:tcBorders>
              <w:top w:val="single" w:sz="4" w:space="0" w:color="314364"/>
            </w:tcBorders>
            <w:vAlign w:val="center"/>
          </w:tcPr>
          <w:p w14:paraId="64090A3B" w14:textId="77777777" w:rsidR="00DA7A8D" w:rsidRPr="00393D9E" w:rsidRDefault="00DA7A8D" w:rsidP="00BB314F">
            <w:pPr>
              <w:spacing w:after="0" w:line="240" w:lineRule="auto"/>
              <w:jc w:val="right"/>
              <w:rPr>
                <w:rFonts w:eastAsia="Calibri" w:cs="Segoe UI"/>
                <w:b/>
                <w:bCs/>
                <w:sz w:val="18"/>
                <w:szCs w:val="18"/>
              </w:rPr>
            </w:pPr>
            <w:r w:rsidRPr="00393D9E">
              <w:rPr>
                <w:rFonts w:eastAsia="Times New Roman" w:cs="Segoe UI"/>
                <w:b/>
                <w:bCs/>
                <w:sz w:val="18"/>
                <w:szCs w:val="18"/>
                <w:lang w:eastAsia="sk-SK"/>
              </w:rPr>
              <w:t>22 527 117 094</w:t>
            </w:r>
          </w:p>
        </w:tc>
        <w:tc>
          <w:tcPr>
            <w:tcW w:w="926" w:type="pct"/>
            <w:tcBorders>
              <w:top w:val="single" w:sz="4" w:space="0" w:color="314364"/>
            </w:tcBorders>
            <w:vAlign w:val="bottom"/>
          </w:tcPr>
          <w:p w14:paraId="49DA68ED" w14:textId="77777777" w:rsidR="00DA7A8D" w:rsidRPr="00393D9E" w:rsidRDefault="00DA7A8D" w:rsidP="00BB314F">
            <w:pPr>
              <w:spacing w:after="0" w:line="240" w:lineRule="auto"/>
              <w:jc w:val="right"/>
              <w:rPr>
                <w:rFonts w:eastAsia="Calibri" w:cs="Segoe UI"/>
                <w:b/>
                <w:bCs/>
                <w:sz w:val="18"/>
                <w:szCs w:val="18"/>
              </w:rPr>
            </w:pPr>
          </w:p>
        </w:tc>
      </w:tr>
      <w:tr w:rsidR="00DA7A8D" w:rsidRPr="00393D9E" w14:paraId="2CAADCB8" w14:textId="77777777" w:rsidTr="00BB314F">
        <w:trPr>
          <w:trHeight w:val="57"/>
          <w:jc w:val="center"/>
        </w:trPr>
        <w:tc>
          <w:tcPr>
            <w:tcW w:w="3147" w:type="pct"/>
            <w:vAlign w:val="center"/>
          </w:tcPr>
          <w:p w14:paraId="7E72273C"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Cyklické výdavky</w:t>
            </w:r>
          </w:p>
        </w:tc>
        <w:tc>
          <w:tcPr>
            <w:tcW w:w="927" w:type="pct"/>
            <w:vAlign w:val="center"/>
          </w:tcPr>
          <w:p w14:paraId="7C58169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-27 259 350</w:t>
            </w:r>
          </w:p>
        </w:tc>
        <w:tc>
          <w:tcPr>
            <w:tcW w:w="926" w:type="pct"/>
            <w:vAlign w:val="bottom"/>
          </w:tcPr>
          <w:p w14:paraId="5A66968F" w14:textId="77777777" w:rsidR="00DA7A8D" w:rsidRPr="00393D9E" w:rsidRDefault="00DA7A8D" w:rsidP="00BB314F">
            <w:pPr>
              <w:spacing w:after="0" w:line="240" w:lineRule="auto"/>
              <w:jc w:val="right"/>
              <w:rPr>
                <w:rFonts w:eastAsia="Calibri" w:cs="Segoe UI"/>
                <w:sz w:val="18"/>
                <w:szCs w:val="18"/>
              </w:rPr>
            </w:pPr>
          </w:p>
        </w:tc>
      </w:tr>
      <w:tr w:rsidR="00DA7A8D" w:rsidRPr="00393D9E" w14:paraId="47D57D86" w14:textId="77777777" w:rsidTr="00BB314F">
        <w:trPr>
          <w:trHeight w:val="57"/>
          <w:jc w:val="center"/>
        </w:trPr>
        <w:tc>
          <w:tcPr>
            <w:tcW w:w="3147" w:type="pct"/>
            <w:vAlign w:val="center"/>
          </w:tcPr>
          <w:p w14:paraId="31E2407B"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Imputy Štátneho rozpočtu</w:t>
            </w:r>
          </w:p>
        </w:tc>
        <w:tc>
          <w:tcPr>
            <w:tcW w:w="927" w:type="pct"/>
            <w:vAlign w:val="center"/>
          </w:tcPr>
          <w:p w14:paraId="4FD08D05"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2 051 196 560</w:t>
            </w:r>
          </w:p>
        </w:tc>
        <w:tc>
          <w:tcPr>
            <w:tcW w:w="926" w:type="pct"/>
            <w:vAlign w:val="bottom"/>
          </w:tcPr>
          <w:p w14:paraId="0EBEC698" w14:textId="77777777" w:rsidR="00DA7A8D" w:rsidRPr="00393D9E" w:rsidRDefault="00DA7A8D" w:rsidP="00BB314F">
            <w:pPr>
              <w:spacing w:after="0" w:line="240" w:lineRule="auto"/>
              <w:jc w:val="right"/>
              <w:rPr>
                <w:rFonts w:eastAsia="Calibri" w:cs="Segoe UI"/>
                <w:sz w:val="18"/>
                <w:szCs w:val="18"/>
              </w:rPr>
            </w:pPr>
          </w:p>
        </w:tc>
      </w:tr>
      <w:tr w:rsidR="00DA7A8D" w:rsidRPr="00393D9E" w14:paraId="74984699" w14:textId="77777777" w:rsidTr="00BB314F">
        <w:trPr>
          <w:trHeight w:val="57"/>
          <w:jc w:val="center"/>
        </w:trPr>
        <w:tc>
          <w:tcPr>
            <w:tcW w:w="3147" w:type="pct"/>
            <w:vAlign w:val="center"/>
          </w:tcPr>
          <w:p w14:paraId="643D6262" w14:textId="77777777" w:rsidR="00DA7A8D" w:rsidRPr="00393D9E" w:rsidRDefault="00DA7A8D" w:rsidP="00BB314F">
            <w:pPr>
              <w:spacing w:after="0" w:line="240" w:lineRule="auto"/>
              <w:rPr>
                <w:rFonts w:eastAsia="Calibri" w:cs="Segoe UI"/>
                <w:b/>
                <w:bCs/>
                <w:sz w:val="18"/>
                <w:szCs w:val="18"/>
              </w:rPr>
            </w:pPr>
            <w:r w:rsidRPr="00393D9E">
              <w:rPr>
                <w:rFonts w:eastAsia="Times New Roman" w:cs="Segoe UI"/>
                <w:b/>
                <w:bCs/>
                <w:sz w:val="18"/>
                <w:szCs w:val="18"/>
                <w:lang w:eastAsia="sk-SK"/>
              </w:rPr>
              <w:t>LVV ŠR bez cyklických a imputov</w:t>
            </w:r>
          </w:p>
        </w:tc>
        <w:tc>
          <w:tcPr>
            <w:tcW w:w="927" w:type="pct"/>
            <w:vAlign w:val="center"/>
          </w:tcPr>
          <w:p w14:paraId="21F4283D" w14:textId="77777777" w:rsidR="00DA7A8D" w:rsidRPr="00393D9E" w:rsidRDefault="00DA7A8D" w:rsidP="00BB314F">
            <w:pPr>
              <w:spacing w:after="0" w:line="240" w:lineRule="auto"/>
              <w:jc w:val="right"/>
              <w:rPr>
                <w:rFonts w:eastAsia="Calibri" w:cs="Segoe UI"/>
                <w:b/>
                <w:bCs/>
                <w:sz w:val="18"/>
                <w:szCs w:val="18"/>
              </w:rPr>
            </w:pPr>
            <w:r w:rsidRPr="00393D9E">
              <w:rPr>
                <w:rFonts w:eastAsia="Times New Roman" w:cs="Segoe UI"/>
                <w:b/>
                <w:bCs/>
                <w:sz w:val="18"/>
                <w:szCs w:val="18"/>
                <w:lang w:eastAsia="sk-SK"/>
              </w:rPr>
              <w:t>20 503 179 884</w:t>
            </w:r>
          </w:p>
        </w:tc>
        <w:tc>
          <w:tcPr>
            <w:tcW w:w="926" w:type="pct"/>
            <w:vAlign w:val="bottom"/>
          </w:tcPr>
          <w:p w14:paraId="2EB86F72" w14:textId="77777777" w:rsidR="00DA7A8D" w:rsidRPr="00393D9E" w:rsidRDefault="00DA7A8D" w:rsidP="00BB314F">
            <w:pPr>
              <w:spacing w:after="0" w:line="240" w:lineRule="auto"/>
              <w:jc w:val="right"/>
              <w:rPr>
                <w:rFonts w:eastAsia="Calibri" w:cs="Segoe UI"/>
                <w:b/>
                <w:bCs/>
                <w:sz w:val="18"/>
                <w:szCs w:val="18"/>
              </w:rPr>
            </w:pPr>
          </w:p>
        </w:tc>
      </w:tr>
      <w:tr w:rsidR="00DA7A8D" w:rsidRPr="00393D9E" w14:paraId="145B5852" w14:textId="77777777" w:rsidTr="00BB314F">
        <w:trPr>
          <w:trHeight w:val="57"/>
          <w:jc w:val="center"/>
        </w:trPr>
        <w:tc>
          <w:tcPr>
            <w:tcW w:w="3147" w:type="pct"/>
            <w:vAlign w:val="center"/>
          </w:tcPr>
          <w:p w14:paraId="10D941CA"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práce, sociálnych vecí a rodiny SR</w:t>
            </w:r>
          </w:p>
        </w:tc>
        <w:tc>
          <w:tcPr>
            <w:tcW w:w="927" w:type="pct"/>
            <w:vAlign w:val="center"/>
          </w:tcPr>
          <w:p w14:paraId="79BD8C9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3 768 143 942</w:t>
            </w:r>
          </w:p>
        </w:tc>
        <w:tc>
          <w:tcPr>
            <w:tcW w:w="926" w:type="pct"/>
            <w:vAlign w:val="bottom"/>
          </w:tcPr>
          <w:p w14:paraId="77C67AA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18,378%</w:t>
            </w:r>
          </w:p>
        </w:tc>
      </w:tr>
      <w:tr w:rsidR="00DA7A8D" w:rsidRPr="00393D9E" w14:paraId="36E65685" w14:textId="77777777" w:rsidTr="00BB314F">
        <w:trPr>
          <w:trHeight w:val="57"/>
          <w:jc w:val="center"/>
        </w:trPr>
        <w:tc>
          <w:tcPr>
            <w:tcW w:w="3147" w:type="pct"/>
            <w:vAlign w:val="center"/>
          </w:tcPr>
          <w:p w14:paraId="0F57EF93"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obrany SR</w:t>
            </w:r>
          </w:p>
        </w:tc>
        <w:tc>
          <w:tcPr>
            <w:tcW w:w="927" w:type="pct"/>
            <w:vAlign w:val="center"/>
          </w:tcPr>
          <w:p w14:paraId="3B8E8D34"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3 071 110 956</w:t>
            </w:r>
          </w:p>
        </w:tc>
        <w:tc>
          <w:tcPr>
            <w:tcW w:w="926" w:type="pct"/>
            <w:vAlign w:val="bottom"/>
          </w:tcPr>
          <w:p w14:paraId="66CBE39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14,979%</w:t>
            </w:r>
          </w:p>
        </w:tc>
      </w:tr>
      <w:tr w:rsidR="00DA7A8D" w:rsidRPr="00393D9E" w14:paraId="7E2FF1D3" w14:textId="77777777" w:rsidTr="00BB314F">
        <w:trPr>
          <w:trHeight w:val="57"/>
          <w:jc w:val="center"/>
        </w:trPr>
        <w:tc>
          <w:tcPr>
            <w:tcW w:w="3147" w:type="pct"/>
            <w:vAlign w:val="center"/>
          </w:tcPr>
          <w:p w14:paraId="3D91F72C"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zdravotníctva SR</w:t>
            </w:r>
          </w:p>
        </w:tc>
        <w:tc>
          <w:tcPr>
            <w:tcW w:w="927" w:type="pct"/>
            <w:vAlign w:val="center"/>
          </w:tcPr>
          <w:p w14:paraId="23C4181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2 979 167 185</w:t>
            </w:r>
          </w:p>
        </w:tc>
        <w:tc>
          <w:tcPr>
            <w:tcW w:w="926" w:type="pct"/>
            <w:vAlign w:val="bottom"/>
          </w:tcPr>
          <w:p w14:paraId="34DC302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14,530%</w:t>
            </w:r>
          </w:p>
        </w:tc>
      </w:tr>
      <w:tr w:rsidR="00DA7A8D" w:rsidRPr="00393D9E" w14:paraId="3CD857F5" w14:textId="77777777" w:rsidTr="00BB314F">
        <w:trPr>
          <w:trHeight w:val="57"/>
          <w:jc w:val="center"/>
        </w:trPr>
        <w:tc>
          <w:tcPr>
            <w:tcW w:w="3147" w:type="pct"/>
            <w:vAlign w:val="center"/>
          </w:tcPr>
          <w:p w14:paraId="105D2B8F"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vnútra SR</w:t>
            </w:r>
          </w:p>
        </w:tc>
        <w:tc>
          <w:tcPr>
            <w:tcW w:w="927" w:type="pct"/>
            <w:vAlign w:val="center"/>
          </w:tcPr>
          <w:p w14:paraId="615CC2D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2 455 919 049</w:t>
            </w:r>
          </w:p>
        </w:tc>
        <w:tc>
          <w:tcPr>
            <w:tcW w:w="926" w:type="pct"/>
            <w:vAlign w:val="bottom"/>
          </w:tcPr>
          <w:p w14:paraId="3EAAE32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11,978%</w:t>
            </w:r>
          </w:p>
        </w:tc>
      </w:tr>
      <w:tr w:rsidR="00DA7A8D" w:rsidRPr="00393D9E" w14:paraId="417367D5" w14:textId="77777777" w:rsidTr="00BB314F">
        <w:trPr>
          <w:trHeight w:val="57"/>
          <w:jc w:val="center"/>
        </w:trPr>
        <w:tc>
          <w:tcPr>
            <w:tcW w:w="3147" w:type="pct"/>
            <w:vAlign w:val="center"/>
          </w:tcPr>
          <w:p w14:paraId="52B32C37"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Všeobecná pokladničná správa</w:t>
            </w:r>
          </w:p>
        </w:tc>
        <w:tc>
          <w:tcPr>
            <w:tcW w:w="927" w:type="pct"/>
            <w:vAlign w:val="center"/>
          </w:tcPr>
          <w:p w14:paraId="3EB42E7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2 371 210 886</w:t>
            </w:r>
          </w:p>
        </w:tc>
        <w:tc>
          <w:tcPr>
            <w:tcW w:w="926" w:type="pct"/>
            <w:vAlign w:val="bottom"/>
          </w:tcPr>
          <w:p w14:paraId="216882EC"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11,565%</w:t>
            </w:r>
          </w:p>
        </w:tc>
      </w:tr>
      <w:tr w:rsidR="00DA7A8D" w:rsidRPr="00393D9E" w14:paraId="6878CEBD" w14:textId="77777777" w:rsidTr="00BB314F">
        <w:trPr>
          <w:trHeight w:val="57"/>
          <w:jc w:val="center"/>
        </w:trPr>
        <w:tc>
          <w:tcPr>
            <w:tcW w:w="3147" w:type="pct"/>
            <w:vAlign w:val="center"/>
          </w:tcPr>
          <w:p w14:paraId="036336E4"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školstva, výskumu, vývoja a mládeže SR</w:t>
            </w:r>
          </w:p>
        </w:tc>
        <w:tc>
          <w:tcPr>
            <w:tcW w:w="927" w:type="pct"/>
            <w:vAlign w:val="center"/>
          </w:tcPr>
          <w:p w14:paraId="103D7A8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1 140 791 383</w:t>
            </w:r>
          </w:p>
        </w:tc>
        <w:tc>
          <w:tcPr>
            <w:tcW w:w="926" w:type="pct"/>
            <w:vAlign w:val="bottom"/>
          </w:tcPr>
          <w:p w14:paraId="2191911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5,564%</w:t>
            </w:r>
          </w:p>
        </w:tc>
      </w:tr>
      <w:tr w:rsidR="00DA7A8D" w:rsidRPr="00393D9E" w14:paraId="696A6807" w14:textId="77777777" w:rsidTr="00BB314F">
        <w:trPr>
          <w:trHeight w:val="57"/>
          <w:jc w:val="center"/>
        </w:trPr>
        <w:tc>
          <w:tcPr>
            <w:tcW w:w="3147" w:type="pct"/>
            <w:vAlign w:val="center"/>
          </w:tcPr>
          <w:p w14:paraId="7DA01441"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spravodlivosti SR</w:t>
            </w:r>
          </w:p>
        </w:tc>
        <w:tc>
          <w:tcPr>
            <w:tcW w:w="927" w:type="pct"/>
            <w:vAlign w:val="center"/>
          </w:tcPr>
          <w:p w14:paraId="0135FB87"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832 515 579</w:t>
            </w:r>
          </w:p>
        </w:tc>
        <w:tc>
          <w:tcPr>
            <w:tcW w:w="926" w:type="pct"/>
            <w:vAlign w:val="bottom"/>
          </w:tcPr>
          <w:p w14:paraId="0EFF0B8A"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4,060%</w:t>
            </w:r>
          </w:p>
        </w:tc>
      </w:tr>
      <w:tr w:rsidR="00DA7A8D" w:rsidRPr="00393D9E" w14:paraId="002487BD" w14:textId="77777777" w:rsidTr="00BB314F">
        <w:trPr>
          <w:trHeight w:val="57"/>
          <w:jc w:val="center"/>
        </w:trPr>
        <w:tc>
          <w:tcPr>
            <w:tcW w:w="3147" w:type="pct"/>
            <w:vAlign w:val="center"/>
          </w:tcPr>
          <w:p w14:paraId="3225B10B"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dopravy SR</w:t>
            </w:r>
          </w:p>
        </w:tc>
        <w:tc>
          <w:tcPr>
            <w:tcW w:w="927" w:type="pct"/>
            <w:vAlign w:val="center"/>
          </w:tcPr>
          <w:p w14:paraId="6B05C2B8"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714 653 013</w:t>
            </w:r>
          </w:p>
        </w:tc>
        <w:tc>
          <w:tcPr>
            <w:tcW w:w="926" w:type="pct"/>
            <w:vAlign w:val="bottom"/>
          </w:tcPr>
          <w:p w14:paraId="570BF0D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3,486%</w:t>
            </w:r>
          </w:p>
        </w:tc>
      </w:tr>
      <w:tr w:rsidR="00DA7A8D" w:rsidRPr="00393D9E" w14:paraId="69D69AE1" w14:textId="77777777" w:rsidTr="00BB314F">
        <w:trPr>
          <w:trHeight w:val="57"/>
          <w:jc w:val="center"/>
        </w:trPr>
        <w:tc>
          <w:tcPr>
            <w:tcW w:w="3147" w:type="pct"/>
            <w:vAlign w:val="center"/>
          </w:tcPr>
          <w:p w14:paraId="14780048"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financií SR</w:t>
            </w:r>
          </w:p>
        </w:tc>
        <w:tc>
          <w:tcPr>
            <w:tcW w:w="927" w:type="pct"/>
            <w:vAlign w:val="center"/>
          </w:tcPr>
          <w:p w14:paraId="5AAF7A7C"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708 594 057</w:t>
            </w:r>
          </w:p>
        </w:tc>
        <w:tc>
          <w:tcPr>
            <w:tcW w:w="926" w:type="pct"/>
            <w:vAlign w:val="bottom"/>
          </w:tcPr>
          <w:p w14:paraId="18FAD55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3,456%</w:t>
            </w:r>
          </w:p>
        </w:tc>
      </w:tr>
      <w:tr w:rsidR="00DA7A8D" w:rsidRPr="00393D9E" w14:paraId="050D39BC" w14:textId="77777777" w:rsidTr="00BB314F">
        <w:trPr>
          <w:trHeight w:val="57"/>
          <w:jc w:val="center"/>
        </w:trPr>
        <w:tc>
          <w:tcPr>
            <w:tcW w:w="3147" w:type="pct"/>
            <w:vAlign w:val="center"/>
          </w:tcPr>
          <w:p w14:paraId="69009FC0"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kultúry SR</w:t>
            </w:r>
          </w:p>
        </w:tc>
        <w:tc>
          <w:tcPr>
            <w:tcW w:w="927" w:type="pct"/>
            <w:vAlign w:val="center"/>
          </w:tcPr>
          <w:p w14:paraId="57FD65C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301 614 320</w:t>
            </w:r>
          </w:p>
        </w:tc>
        <w:tc>
          <w:tcPr>
            <w:tcW w:w="926" w:type="pct"/>
            <w:vAlign w:val="bottom"/>
          </w:tcPr>
          <w:p w14:paraId="2F37A6F8"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1,471%</w:t>
            </w:r>
          </w:p>
        </w:tc>
      </w:tr>
      <w:tr w:rsidR="00DA7A8D" w:rsidRPr="00393D9E" w14:paraId="5C9B9FA2" w14:textId="77777777" w:rsidTr="00BB314F">
        <w:trPr>
          <w:trHeight w:val="57"/>
          <w:jc w:val="center"/>
        </w:trPr>
        <w:tc>
          <w:tcPr>
            <w:tcW w:w="3147" w:type="pct"/>
            <w:vAlign w:val="center"/>
          </w:tcPr>
          <w:p w14:paraId="676C9944"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pôdohospodárstva a rozvoja vidieka SR</w:t>
            </w:r>
          </w:p>
        </w:tc>
        <w:tc>
          <w:tcPr>
            <w:tcW w:w="927" w:type="pct"/>
            <w:vAlign w:val="center"/>
          </w:tcPr>
          <w:p w14:paraId="4C40B9D7"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289 554 644</w:t>
            </w:r>
          </w:p>
        </w:tc>
        <w:tc>
          <w:tcPr>
            <w:tcW w:w="926" w:type="pct"/>
            <w:vAlign w:val="bottom"/>
          </w:tcPr>
          <w:p w14:paraId="6A265BC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1,412%</w:t>
            </w:r>
          </w:p>
        </w:tc>
      </w:tr>
      <w:tr w:rsidR="00DA7A8D" w:rsidRPr="00393D9E" w14:paraId="086E030A" w14:textId="77777777" w:rsidTr="00BB314F">
        <w:trPr>
          <w:trHeight w:val="57"/>
          <w:jc w:val="center"/>
        </w:trPr>
        <w:tc>
          <w:tcPr>
            <w:tcW w:w="3147" w:type="pct"/>
            <w:vAlign w:val="center"/>
          </w:tcPr>
          <w:p w14:paraId="5947E87C"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životného prostredia SR</w:t>
            </w:r>
          </w:p>
        </w:tc>
        <w:tc>
          <w:tcPr>
            <w:tcW w:w="927" w:type="pct"/>
            <w:vAlign w:val="center"/>
          </w:tcPr>
          <w:p w14:paraId="36AEC6B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282 202 310</w:t>
            </w:r>
          </w:p>
        </w:tc>
        <w:tc>
          <w:tcPr>
            <w:tcW w:w="926" w:type="pct"/>
            <w:vAlign w:val="bottom"/>
          </w:tcPr>
          <w:p w14:paraId="6A0978D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1,376%</w:t>
            </w:r>
          </w:p>
        </w:tc>
      </w:tr>
      <w:tr w:rsidR="00DA7A8D" w:rsidRPr="00393D9E" w14:paraId="518A74BF" w14:textId="77777777" w:rsidTr="00BB314F">
        <w:trPr>
          <w:trHeight w:val="57"/>
          <w:jc w:val="center"/>
        </w:trPr>
        <w:tc>
          <w:tcPr>
            <w:tcW w:w="3147" w:type="pct"/>
            <w:vAlign w:val="center"/>
          </w:tcPr>
          <w:p w14:paraId="7F7740D0"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hospodárstva SR</w:t>
            </w:r>
          </w:p>
        </w:tc>
        <w:tc>
          <w:tcPr>
            <w:tcW w:w="927" w:type="pct"/>
            <w:vAlign w:val="center"/>
          </w:tcPr>
          <w:p w14:paraId="1CFE75E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264 743 647</w:t>
            </w:r>
          </w:p>
        </w:tc>
        <w:tc>
          <w:tcPr>
            <w:tcW w:w="926" w:type="pct"/>
            <w:vAlign w:val="bottom"/>
          </w:tcPr>
          <w:p w14:paraId="68FD1E9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1,291%</w:t>
            </w:r>
          </w:p>
        </w:tc>
      </w:tr>
      <w:tr w:rsidR="00DA7A8D" w:rsidRPr="00393D9E" w14:paraId="5DCCA90D" w14:textId="77777777" w:rsidTr="00BB314F">
        <w:trPr>
          <w:trHeight w:val="57"/>
          <w:jc w:val="center"/>
        </w:trPr>
        <w:tc>
          <w:tcPr>
            <w:tcW w:w="3147" w:type="pct"/>
            <w:vAlign w:val="center"/>
          </w:tcPr>
          <w:p w14:paraId="47AD9595"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zahraničných vecí a európskych záležitostí SR</w:t>
            </w:r>
          </w:p>
        </w:tc>
        <w:tc>
          <w:tcPr>
            <w:tcW w:w="927" w:type="pct"/>
            <w:vAlign w:val="center"/>
          </w:tcPr>
          <w:p w14:paraId="695058EE"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177 378 983</w:t>
            </w:r>
          </w:p>
        </w:tc>
        <w:tc>
          <w:tcPr>
            <w:tcW w:w="926" w:type="pct"/>
            <w:vAlign w:val="bottom"/>
          </w:tcPr>
          <w:p w14:paraId="4A70A09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0,865%</w:t>
            </w:r>
          </w:p>
        </w:tc>
      </w:tr>
      <w:tr w:rsidR="00DA7A8D" w:rsidRPr="00393D9E" w14:paraId="4D741315" w14:textId="77777777" w:rsidTr="00BB314F">
        <w:trPr>
          <w:trHeight w:val="57"/>
          <w:jc w:val="center"/>
        </w:trPr>
        <w:tc>
          <w:tcPr>
            <w:tcW w:w="3147" w:type="pct"/>
            <w:vAlign w:val="center"/>
          </w:tcPr>
          <w:p w14:paraId="0F7E316A"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investícií, regionálneho rozvoja a informatizácie SR</w:t>
            </w:r>
          </w:p>
        </w:tc>
        <w:tc>
          <w:tcPr>
            <w:tcW w:w="927" w:type="pct"/>
            <w:vAlign w:val="center"/>
          </w:tcPr>
          <w:p w14:paraId="773A733D"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176 495 697</w:t>
            </w:r>
          </w:p>
        </w:tc>
        <w:tc>
          <w:tcPr>
            <w:tcW w:w="926" w:type="pct"/>
            <w:vAlign w:val="bottom"/>
          </w:tcPr>
          <w:p w14:paraId="1863F328"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0,861%</w:t>
            </w:r>
          </w:p>
        </w:tc>
      </w:tr>
      <w:tr w:rsidR="00DA7A8D" w:rsidRPr="00393D9E" w14:paraId="591A0BAF" w14:textId="77777777" w:rsidTr="00BB314F">
        <w:trPr>
          <w:trHeight w:val="57"/>
          <w:jc w:val="center"/>
        </w:trPr>
        <w:tc>
          <w:tcPr>
            <w:tcW w:w="3147" w:type="pct"/>
            <w:vAlign w:val="center"/>
          </w:tcPr>
          <w:p w14:paraId="790CE664" w14:textId="77777777" w:rsidR="00DA7A8D" w:rsidRPr="00393D9E" w:rsidRDefault="00DA7A8D" w:rsidP="00BB314F">
            <w:pPr>
              <w:spacing w:after="0" w:line="240" w:lineRule="auto"/>
              <w:rPr>
                <w:rFonts w:eastAsia="Calibri" w:cs="Segoe UI"/>
                <w:color w:val="000000"/>
                <w:sz w:val="18"/>
                <w:szCs w:val="18"/>
              </w:rPr>
            </w:pPr>
            <w:r w:rsidRPr="00393D9E">
              <w:rPr>
                <w:rFonts w:eastAsia="Times New Roman" w:cs="Segoe UI"/>
                <w:sz w:val="18"/>
                <w:szCs w:val="18"/>
                <w:lang w:eastAsia="sk-SK"/>
              </w:rPr>
              <w:t>Úrad podpredsedu vlády SR pre Plán obnovy a znalostnú ekonomiku</w:t>
            </w:r>
          </w:p>
        </w:tc>
        <w:tc>
          <w:tcPr>
            <w:tcW w:w="927" w:type="pct"/>
            <w:vAlign w:val="center"/>
          </w:tcPr>
          <w:p w14:paraId="7EEF7B64"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sz w:val="18"/>
                <w:szCs w:val="18"/>
                <w:lang w:eastAsia="sk-SK"/>
              </w:rPr>
              <w:t>171 399 326</w:t>
            </w:r>
          </w:p>
        </w:tc>
        <w:tc>
          <w:tcPr>
            <w:tcW w:w="926" w:type="pct"/>
            <w:vAlign w:val="bottom"/>
          </w:tcPr>
          <w:p w14:paraId="445DAF47"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color w:val="000000"/>
                <w:sz w:val="18"/>
                <w:szCs w:val="18"/>
                <w:lang w:eastAsia="sk-SK"/>
              </w:rPr>
              <w:t>0,836%</w:t>
            </w:r>
          </w:p>
        </w:tc>
      </w:tr>
      <w:tr w:rsidR="00DA7A8D" w:rsidRPr="00393D9E" w14:paraId="3B158A9A" w14:textId="77777777" w:rsidTr="00BB314F">
        <w:trPr>
          <w:trHeight w:val="57"/>
          <w:jc w:val="center"/>
        </w:trPr>
        <w:tc>
          <w:tcPr>
            <w:tcW w:w="3147" w:type="pct"/>
            <w:vAlign w:val="center"/>
          </w:tcPr>
          <w:p w14:paraId="573F310F" w14:textId="77777777" w:rsidR="00DA7A8D" w:rsidRPr="00393D9E" w:rsidRDefault="00DA7A8D" w:rsidP="00BB314F">
            <w:pPr>
              <w:spacing w:after="0" w:line="240" w:lineRule="auto"/>
              <w:rPr>
                <w:rFonts w:eastAsia="Calibri" w:cs="Segoe UI"/>
                <w:color w:val="000000"/>
                <w:sz w:val="18"/>
                <w:szCs w:val="18"/>
              </w:rPr>
            </w:pPr>
            <w:r w:rsidRPr="00393D9E">
              <w:rPr>
                <w:rFonts w:eastAsia="Times New Roman" w:cs="Segoe UI"/>
                <w:sz w:val="18"/>
                <w:szCs w:val="18"/>
                <w:lang w:eastAsia="sk-SK"/>
              </w:rPr>
              <w:t>Generálna prokuratúra SR</w:t>
            </w:r>
          </w:p>
        </w:tc>
        <w:tc>
          <w:tcPr>
            <w:tcW w:w="927" w:type="pct"/>
            <w:vAlign w:val="center"/>
          </w:tcPr>
          <w:p w14:paraId="2E49E949"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sz w:val="18"/>
                <w:szCs w:val="18"/>
                <w:lang w:eastAsia="sk-SK"/>
              </w:rPr>
              <w:t>159 928 879</w:t>
            </w:r>
          </w:p>
        </w:tc>
        <w:tc>
          <w:tcPr>
            <w:tcW w:w="926" w:type="pct"/>
            <w:vAlign w:val="bottom"/>
          </w:tcPr>
          <w:p w14:paraId="64877161"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color w:val="000000"/>
                <w:sz w:val="18"/>
                <w:szCs w:val="18"/>
                <w:lang w:eastAsia="sk-SK"/>
              </w:rPr>
              <w:t>0,780%</w:t>
            </w:r>
          </w:p>
        </w:tc>
      </w:tr>
      <w:tr w:rsidR="00DA7A8D" w:rsidRPr="00393D9E" w14:paraId="13D6ABA7" w14:textId="77777777" w:rsidTr="00BB314F">
        <w:trPr>
          <w:trHeight w:val="57"/>
          <w:jc w:val="center"/>
        </w:trPr>
        <w:tc>
          <w:tcPr>
            <w:tcW w:w="3147" w:type="pct"/>
            <w:vAlign w:val="center"/>
          </w:tcPr>
          <w:p w14:paraId="44731328"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Ministerstvo cestovného ruchu a športu SR</w:t>
            </w:r>
          </w:p>
        </w:tc>
        <w:tc>
          <w:tcPr>
            <w:tcW w:w="927" w:type="pct"/>
            <w:vAlign w:val="center"/>
          </w:tcPr>
          <w:p w14:paraId="0DB2BDE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148 283 276</w:t>
            </w:r>
          </w:p>
        </w:tc>
        <w:tc>
          <w:tcPr>
            <w:tcW w:w="926" w:type="pct"/>
            <w:vAlign w:val="bottom"/>
          </w:tcPr>
          <w:p w14:paraId="1D2AF3C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0,723%</w:t>
            </w:r>
          </w:p>
        </w:tc>
      </w:tr>
      <w:tr w:rsidR="00DA7A8D" w:rsidRPr="00393D9E" w14:paraId="4080E56F" w14:textId="77777777" w:rsidTr="00BB314F">
        <w:trPr>
          <w:trHeight w:val="57"/>
          <w:jc w:val="center"/>
        </w:trPr>
        <w:tc>
          <w:tcPr>
            <w:tcW w:w="3147" w:type="pct"/>
            <w:vAlign w:val="center"/>
          </w:tcPr>
          <w:p w14:paraId="2D83EC67"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Slovenská informačná služba</w:t>
            </w:r>
          </w:p>
        </w:tc>
        <w:tc>
          <w:tcPr>
            <w:tcW w:w="927" w:type="pct"/>
            <w:vAlign w:val="center"/>
          </w:tcPr>
          <w:p w14:paraId="3910F0E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101 581 844</w:t>
            </w:r>
          </w:p>
        </w:tc>
        <w:tc>
          <w:tcPr>
            <w:tcW w:w="926" w:type="pct"/>
            <w:vAlign w:val="bottom"/>
          </w:tcPr>
          <w:p w14:paraId="59F5A9D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0,495%</w:t>
            </w:r>
          </w:p>
        </w:tc>
      </w:tr>
      <w:tr w:rsidR="00DA7A8D" w:rsidRPr="00393D9E" w14:paraId="200001D5" w14:textId="77777777" w:rsidTr="00BB314F">
        <w:trPr>
          <w:trHeight w:val="57"/>
          <w:jc w:val="center"/>
        </w:trPr>
        <w:tc>
          <w:tcPr>
            <w:tcW w:w="3147" w:type="pct"/>
            <w:vAlign w:val="center"/>
          </w:tcPr>
          <w:p w14:paraId="2BEEAEBD"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Úrad vlády SR</w:t>
            </w:r>
          </w:p>
        </w:tc>
        <w:tc>
          <w:tcPr>
            <w:tcW w:w="927" w:type="pct"/>
            <w:vAlign w:val="center"/>
          </w:tcPr>
          <w:p w14:paraId="7EB2533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55 644 645</w:t>
            </w:r>
          </w:p>
        </w:tc>
        <w:tc>
          <w:tcPr>
            <w:tcW w:w="926" w:type="pct"/>
            <w:vAlign w:val="bottom"/>
          </w:tcPr>
          <w:p w14:paraId="1A2F348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0,271%</w:t>
            </w:r>
          </w:p>
        </w:tc>
      </w:tr>
      <w:tr w:rsidR="00DA7A8D" w:rsidRPr="00393D9E" w14:paraId="207F35FA" w14:textId="77777777" w:rsidTr="00BB314F">
        <w:trPr>
          <w:trHeight w:val="57"/>
          <w:jc w:val="center"/>
        </w:trPr>
        <w:tc>
          <w:tcPr>
            <w:tcW w:w="3147" w:type="pct"/>
            <w:vAlign w:val="center"/>
          </w:tcPr>
          <w:p w14:paraId="3B52FE7A"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Úrad pre územné plánovanie a výstavbu SR</w:t>
            </w:r>
          </w:p>
        </w:tc>
        <w:tc>
          <w:tcPr>
            <w:tcW w:w="927" w:type="pct"/>
            <w:vAlign w:val="center"/>
          </w:tcPr>
          <w:p w14:paraId="79F96DB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55 090 874</w:t>
            </w:r>
          </w:p>
        </w:tc>
        <w:tc>
          <w:tcPr>
            <w:tcW w:w="926" w:type="pct"/>
            <w:vAlign w:val="bottom"/>
          </w:tcPr>
          <w:p w14:paraId="70F274FE"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0,269%</w:t>
            </w:r>
          </w:p>
        </w:tc>
      </w:tr>
      <w:tr w:rsidR="00DA7A8D" w:rsidRPr="00393D9E" w14:paraId="1A685FE2" w14:textId="77777777" w:rsidTr="00BB314F">
        <w:trPr>
          <w:trHeight w:val="57"/>
          <w:jc w:val="center"/>
        </w:trPr>
        <w:tc>
          <w:tcPr>
            <w:tcW w:w="3147" w:type="pct"/>
            <w:vAlign w:val="center"/>
          </w:tcPr>
          <w:p w14:paraId="4B467B7B"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Kancelária Národnej rady SR</w:t>
            </w:r>
          </w:p>
        </w:tc>
        <w:tc>
          <w:tcPr>
            <w:tcW w:w="927" w:type="pct"/>
            <w:vAlign w:val="center"/>
          </w:tcPr>
          <w:p w14:paraId="69FBF858"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47 718 914</w:t>
            </w:r>
          </w:p>
        </w:tc>
        <w:tc>
          <w:tcPr>
            <w:tcW w:w="926" w:type="pct"/>
            <w:vAlign w:val="bottom"/>
          </w:tcPr>
          <w:p w14:paraId="02733FE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0,233%</w:t>
            </w:r>
          </w:p>
        </w:tc>
      </w:tr>
      <w:tr w:rsidR="00DA7A8D" w:rsidRPr="00393D9E" w14:paraId="277E5277" w14:textId="77777777" w:rsidTr="00BB314F">
        <w:trPr>
          <w:trHeight w:val="57"/>
          <w:jc w:val="center"/>
        </w:trPr>
        <w:tc>
          <w:tcPr>
            <w:tcW w:w="3147" w:type="pct"/>
            <w:vAlign w:val="center"/>
          </w:tcPr>
          <w:p w14:paraId="31333374"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Štatistický úrad SR</w:t>
            </w:r>
          </w:p>
        </w:tc>
        <w:tc>
          <w:tcPr>
            <w:tcW w:w="927" w:type="pct"/>
            <w:vAlign w:val="center"/>
          </w:tcPr>
          <w:p w14:paraId="1449A52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38 444 576</w:t>
            </w:r>
          </w:p>
        </w:tc>
        <w:tc>
          <w:tcPr>
            <w:tcW w:w="926" w:type="pct"/>
            <w:vAlign w:val="bottom"/>
          </w:tcPr>
          <w:p w14:paraId="6851DC5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0,188%</w:t>
            </w:r>
          </w:p>
        </w:tc>
      </w:tr>
      <w:tr w:rsidR="00DA7A8D" w:rsidRPr="00393D9E" w14:paraId="0B974549" w14:textId="77777777" w:rsidTr="00BB314F">
        <w:trPr>
          <w:trHeight w:val="57"/>
          <w:jc w:val="center"/>
        </w:trPr>
        <w:tc>
          <w:tcPr>
            <w:tcW w:w="3147" w:type="pct"/>
            <w:vAlign w:val="center"/>
          </w:tcPr>
          <w:p w14:paraId="342E71CD"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Národný bezpečnostný úrad</w:t>
            </w:r>
          </w:p>
        </w:tc>
        <w:tc>
          <w:tcPr>
            <w:tcW w:w="927" w:type="pct"/>
            <w:vAlign w:val="center"/>
          </w:tcPr>
          <w:p w14:paraId="74D0A5C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22 977 446</w:t>
            </w:r>
          </w:p>
        </w:tc>
        <w:tc>
          <w:tcPr>
            <w:tcW w:w="926" w:type="pct"/>
            <w:vAlign w:val="bottom"/>
          </w:tcPr>
          <w:p w14:paraId="0373C69E"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0,112%</w:t>
            </w:r>
          </w:p>
        </w:tc>
      </w:tr>
      <w:tr w:rsidR="00DA7A8D" w:rsidRPr="00393D9E" w14:paraId="732C2457" w14:textId="77777777" w:rsidTr="00BB314F">
        <w:trPr>
          <w:trHeight w:val="57"/>
          <w:jc w:val="center"/>
        </w:trPr>
        <w:tc>
          <w:tcPr>
            <w:tcW w:w="3147" w:type="pct"/>
            <w:vAlign w:val="center"/>
          </w:tcPr>
          <w:p w14:paraId="4549C99A"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Úrad geodézie, kartografie a katastra SR</w:t>
            </w:r>
          </w:p>
        </w:tc>
        <w:tc>
          <w:tcPr>
            <w:tcW w:w="927" w:type="pct"/>
            <w:vAlign w:val="center"/>
          </w:tcPr>
          <w:p w14:paraId="3AC7E8B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20 766 730</w:t>
            </w:r>
          </w:p>
        </w:tc>
        <w:tc>
          <w:tcPr>
            <w:tcW w:w="926" w:type="pct"/>
            <w:vAlign w:val="bottom"/>
          </w:tcPr>
          <w:p w14:paraId="2238AC0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0,101%</w:t>
            </w:r>
          </w:p>
        </w:tc>
      </w:tr>
      <w:tr w:rsidR="00DA7A8D" w:rsidRPr="00393D9E" w14:paraId="1CBD2CD5" w14:textId="77777777" w:rsidTr="00BB314F">
        <w:trPr>
          <w:trHeight w:val="57"/>
          <w:jc w:val="center"/>
        </w:trPr>
        <w:tc>
          <w:tcPr>
            <w:tcW w:w="3147" w:type="pct"/>
            <w:vAlign w:val="center"/>
          </w:tcPr>
          <w:p w14:paraId="7F7B065A"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Kancelária Najvyššieho súdu SR</w:t>
            </w:r>
          </w:p>
        </w:tc>
        <w:tc>
          <w:tcPr>
            <w:tcW w:w="927" w:type="pct"/>
            <w:vAlign w:val="center"/>
          </w:tcPr>
          <w:p w14:paraId="2DAFA880"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20 353 741</w:t>
            </w:r>
          </w:p>
        </w:tc>
        <w:tc>
          <w:tcPr>
            <w:tcW w:w="926" w:type="pct"/>
            <w:vAlign w:val="bottom"/>
          </w:tcPr>
          <w:p w14:paraId="46E00F7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0,099%</w:t>
            </w:r>
          </w:p>
        </w:tc>
      </w:tr>
      <w:tr w:rsidR="00DA7A8D" w:rsidRPr="00393D9E" w14:paraId="5421D6AB" w14:textId="77777777" w:rsidTr="00BB314F">
        <w:trPr>
          <w:trHeight w:val="57"/>
          <w:jc w:val="center"/>
        </w:trPr>
        <w:tc>
          <w:tcPr>
            <w:tcW w:w="3147" w:type="pct"/>
            <w:vAlign w:val="center"/>
          </w:tcPr>
          <w:p w14:paraId="206DA57F"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Úrad pre verejné obstarávanie</w:t>
            </w:r>
          </w:p>
        </w:tc>
        <w:tc>
          <w:tcPr>
            <w:tcW w:w="927" w:type="pct"/>
            <w:vAlign w:val="center"/>
          </w:tcPr>
          <w:p w14:paraId="2972C2DE"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16 035 003</w:t>
            </w:r>
          </w:p>
        </w:tc>
        <w:tc>
          <w:tcPr>
            <w:tcW w:w="926" w:type="pct"/>
            <w:vAlign w:val="bottom"/>
          </w:tcPr>
          <w:p w14:paraId="32AA8E4C"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0,078%</w:t>
            </w:r>
          </w:p>
        </w:tc>
      </w:tr>
      <w:tr w:rsidR="00DA7A8D" w:rsidRPr="00393D9E" w14:paraId="78E96173" w14:textId="77777777" w:rsidTr="00BB314F">
        <w:trPr>
          <w:trHeight w:val="57"/>
          <w:jc w:val="center"/>
        </w:trPr>
        <w:tc>
          <w:tcPr>
            <w:tcW w:w="3147" w:type="pct"/>
            <w:vAlign w:val="center"/>
          </w:tcPr>
          <w:p w14:paraId="31354EE4"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Najvyšší kontrolný úrad SR</w:t>
            </w:r>
          </w:p>
        </w:tc>
        <w:tc>
          <w:tcPr>
            <w:tcW w:w="927" w:type="pct"/>
            <w:vAlign w:val="center"/>
          </w:tcPr>
          <w:p w14:paraId="65204277"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15 519 343</w:t>
            </w:r>
          </w:p>
        </w:tc>
        <w:tc>
          <w:tcPr>
            <w:tcW w:w="926" w:type="pct"/>
            <w:vAlign w:val="bottom"/>
          </w:tcPr>
          <w:p w14:paraId="21A2AD9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0,076%</w:t>
            </w:r>
          </w:p>
        </w:tc>
      </w:tr>
      <w:tr w:rsidR="00DA7A8D" w:rsidRPr="00393D9E" w14:paraId="5795CAF2" w14:textId="77777777" w:rsidTr="00BB314F">
        <w:trPr>
          <w:trHeight w:val="57"/>
          <w:jc w:val="center"/>
        </w:trPr>
        <w:tc>
          <w:tcPr>
            <w:tcW w:w="3147" w:type="pct"/>
            <w:vAlign w:val="center"/>
          </w:tcPr>
          <w:p w14:paraId="2C4C6773"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Úrad pre normalizáciu, metrológiu a skúšobníctvo SR</w:t>
            </w:r>
          </w:p>
        </w:tc>
        <w:tc>
          <w:tcPr>
            <w:tcW w:w="927" w:type="pct"/>
            <w:vAlign w:val="center"/>
          </w:tcPr>
          <w:p w14:paraId="0A29653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12 758 777</w:t>
            </w:r>
          </w:p>
        </w:tc>
        <w:tc>
          <w:tcPr>
            <w:tcW w:w="926" w:type="pct"/>
            <w:vAlign w:val="bottom"/>
          </w:tcPr>
          <w:p w14:paraId="711BEE67"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0,062%</w:t>
            </w:r>
          </w:p>
        </w:tc>
      </w:tr>
      <w:tr w:rsidR="00DA7A8D" w:rsidRPr="00393D9E" w14:paraId="28188F59" w14:textId="77777777" w:rsidTr="00BB314F">
        <w:trPr>
          <w:trHeight w:val="57"/>
          <w:jc w:val="center"/>
        </w:trPr>
        <w:tc>
          <w:tcPr>
            <w:tcW w:w="3147" w:type="pct"/>
            <w:vAlign w:val="center"/>
          </w:tcPr>
          <w:p w14:paraId="2897848D"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Správa štátnych hmotných rezerv SR</w:t>
            </w:r>
          </w:p>
        </w:tc>
        <w:tc>
          <w:tcPr>
            <w:tcW w:w="927" w:type="pct"/>
            <w:vAlign w:val="center"/>
          </w:tcPr>
          <w:p w14:paraId="57C4D88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12 010 475</w:t>
            </w:r>
          </w:p>
        </w:tc>
        <w:tc>
          <w:tcPr>
            <w:tcW w:w="926" w:type="pct"/>
            <w:vAlign w:val="bottom"/>
          </w:tcPr>
          <w:p w14:paraId="35B2D16A"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0,059%</w:t>
            </w:r>
          </w:p>
        </w:tc>
      </w:tr>
      <w:tr w:rsidR="00DA7A8D" w:rsidRPr="00393D9E" w14:paraId="7C357250" w14:textId="77777777" w:rsidTr="00BB314F">
        <w:trPr>
          <w:trHeight w:val="57"/>
          <w:jc w:val="center"/>
        </w:trPr>
        <w:tc>
          <w:tcPr>
            <w:tcW w:w="3147" w:type="pct"/>
            <w:vAlign w:val="center"/>
          </w:tcPr>
          <w:p w14:paraId="514019E1"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Slovenská akadémia vied</w:t>
            </w:r>
          </w:p>
        </w:tc>
        <w:tc>
          <w:tcPr>
            <w:tcW w:w="927" w:type="pct"/>
            <w:vAlign w:val="center"/>
          </w:tcPr>
          <w:p w14:paraId="232DB0B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11 201 387</w:t>
            </w:r>
          </w:p>
        </w:tc>
        <w:tc>
          <w:tcPr>
            <w:tcW w:w="926" w:type="pct"/>
            <w:vAlign w:val="bottom"/>
          </w:tcPr>
          <w:p w14:paraId="2AE05BF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0,055%</w:t>
            </w:r>
          </w:p>
        </w:tc>
      </w:tr>
      <w:tr w:rsidR="00DA7A8D" w:rsidRPr="00393D9E" w14:paraId="03BC4B72" w14:textId="77777777" w:rsidTr="00BB314F">
        <w:trPr>
          <w:trHeight w:val="57"/>
          <w:jc w:val="center"/>
        </w:trPr>
        <w:tc>
          <w:tcPr>
            <w:tcW w:w="3147" w:type="pct"/>
            <w:vAlign w:val="center"/>
          </w:tcPr>
          <w:p w14:paraId="296F67DE" w14:textId="77777777" w:rsidR="00DA7A8D" w:rsidRPr="00393D9E" w:rsidRDefault="00DA7A8D" w:rsidP="00BB314F">
            <w:pPr>
              <w:spacing w:after="0" w:line="240" w:lineRule="auto"/>
              <w:rPr>
                <w:rFonts w:eastAsia="Calibri" w:cs="Segoe UI"/>
                <w:sz w:val="18"/>
                <w:szCs w:val="18"/>
              </w:rPr>
            </w:pPr>
            <w:r w:rsidRPr="00393D9E">
              <w:rPr>
                <w:rFonts w:eastAsia="Times New Roman" w:cs="Segoe UI"/>
                <w:sz w:val="18"/>
                <w:szCs w:val="18"/>
                <w:lang w:eastAsia="sk-SK"/>
              </w:rPr>
              <w:t>Kancelária prezidenta SR</w:t>
            </w:r>
          </w:p>
        </w:tc>
        <w:tc>
          <w:tcPr>
            <w:tcW w:w="927" w:type="pct"/>
            <w:vAlign w:val="center"/>
          </w:tcPr>
          <w:p w14:paraId="31F06C6B"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10 693 315</w:t>
            </w:r>
          </w:p>
        </w:tc>
        <w:tc>
          <w:tcPr>
            <w:tcW w:w="926" w:type="pct"/>
            <w:vAlign w:val="bottom"/>
          </w:tcPr>
          <w:p w14:paraId="6F7C0442"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0,052%</w:t>
            </w:r>
          </w:p>
        </w:tc>
      </w:tr>
      <w:tr w:rsidR="00DA7A8D" w:rsidRPr="00393D9E" w14:paraId="7DD019B9" w14:textId="77777777" w:rsidTr="00BB314F">
        <w:trPr>
          <w:trHeight w:val="57"/>
          <w:jc w:val="center"/>
        </w:trPr>
        <w:tc>
          <w:tcPr>
            <w:tcW w:w="3147" w:type="pct"/>
            <w:vAlign w:val="center"/>
          </w:tcPr>
          <w:p w14:paraId="69A70471" w14:textId="77777777" w:rsidR="00DA7A8D" w:rsidRPr="00393D9E" w:rsidRDefault="00DA7A8D" w:rsidP="00BB314F">
            <w:pPr>
              <w:spacing w:after="0" w:line="240" w:lineRule="auto"/>
              <w:rPr>
                <w:rFonts w:eastAsia="Calibri" w:cs="Segoe UI"/>
                <w:i/>
                <w:sz w:val="18"/>
                <w:szCs w:val="18"/>
              </w:rPr>
            </w:pPr>
            <w:r w:rsidRPr="00393D9E">
              <w:rPr>
                <w:rFonts w:eastAsia="Times New Roman" w:cs="Segoe UI"/>
                <w:sz w:val="18"/>
                <w:szCs w:val="18"/>
                <w:lang w:eastAsia="sk-SK"/>
              </w:rPr>
              <w:t>Úrad jadrového dozoru SR</w:t>
            </w:r>
          </w:p>
        </w:tc>
        <w:tc>
          <w:tcPr>
            <w:tcW w:w="927" w:type="pct"/>
            <w:vAlign w:val="center"/>
          </w:tcPr>
          <w:p w14:paraId="47624D73"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10 504 437</w:t>
            </w:r>
          </w:p>
        </w:tc>
        <w:tc>
          <w:tcPr>
            <w:tcW w:w="926" w:type="pct"/>
            <w:vAlign w:val="bottom"/>
          </w:tcPr>
          <w:p w14:paraId="21420BEC"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0,051%</w:t>
            </w:r>
          </w:p>
        </w:tc>
      </w:tr>
      <w:tr w:rsidR="00DA7A8D" w:rsidRPr="00393D9E" w14:paraId="77888689" w14:textId="77777777" w:rsidTr="00BB314F">
        <w:trPr>
          <w:trHeight w:val="57"/>
          <w:jc w:val="center"/>
        </w:trPr>
        <w:tc>
          <w:tcPr>
            <w:tcW w:w="3147" w:type="pct"/>
            <w:vAlign w:val="center"/>
          </w:tcPr>
          <w:p w14:paraId="3377C8DE" w14:textId="77777777" w:rsidR="00DA7A8D" w:rsidRPr="00393D9E" w:rsidRDefault="00DA7A8D" w:rsidP="00BB314F">
            <w:pPr>
              <w:spacing w:after="0" w:line="240" w:lineRule="auto"/>
              <w:rPr>
                <w:rFonts w:eastAsia="Calibri" w:cs="Segoe UI"/>
                <w:i/>
                <w:sz w:val="18"/>
                <w:szCs w:val="18"/>
              </w:rPr>
            </w:pPr>
            <w:r w:rsidRPr="00393D9E">
              <w:rPr>
                <w:rFonts w:eastAsia="Times New Roman" w:cs="Segoe UI"/>
                <w:sz w:val="18"/>
                <w:szCs w:val="18"/>
                <w:lang w:eastAsia="sk-SK"/>
              </w:rPr>
              <w:t>Kancelária Ústavného súdu SR</w:t>
            </w:r>
          </w:p>
        </w:tc>
        <w:tc>
          <w:tcPr>
            <w:tcW w:w="927" w:type="pct"/>
            <w:vAlign w:val="center"/>
          </w:tcPr>
          <w:p w14:paraId="1561AD77"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9 469 672</w:t>
            </w:r>
          </w:p>
        </w:tc>
        <w:tc>
          <w:tcPr>
            <w:tcW w:w="926" w:type="pct"/>
            <w:vAlign w:val="bottom"/>
          </w:tcPr>
          <w:p w14:paraId="5F486646"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0,046%</w:t>
            </w:r>
          </w:p>
        </w:tc>
      </w:tr>
      <w:tr w:rsidR="00DA7A8D" w:rsidRPr="00393D9E" w14:paraId="36101AA5" w14:textId="77777777" w:rsidTr="00BB314F">
        <w:trPr>
          <w:trHeight w:val="57"/>
          <w:jc w:val="center"/>
        </w:trPr>
        <w:tc>
          <w:tcPr>
            <w:tcW w:w="3147" w:type="pct"/>
            <w:vAlign w:val="center"/>
          </w:tcPr>
          <w:p w14:paraId="4B9E2051" w14:textId="77777777" w:rsidR="00DA7A8D" w:rsidRPr="00393D9E" w:rsidRDefault="00DA7A8D" w:rsidP="00BB314F">
            <w:pPr>
              <w:spacing w:after="0" w:line="240" w:lineRule="auto"/>
              <w:rPr>
                <w:rFonts w:eastAsia="Calibri" w:cs="Segoe UI"/>
                <w:color w:val="000000"/>
                <w:sz w:val="18"/>
                <w:szCs w:val="18"/>
              </w:rPr>
            </w:pPr>
            <w:r w:rsidRPr="00393D9E">
              <w:rPr>
                <w:rFonts w:eastAsia="Times New Roman" w:cs="Segoe UI"/>
                <w:sz w:val="18"/>
                <w:szCs w:val="18"/>
                <w:lang w:eastAsia="sk-SK"/>
              </w:rPr>
              <w:t>Kancelária Najvyššieho správneho súdu SR</w:t>
            </w:r>
          </w:p>
        </w:tc>
        <w:tc>
          <w:tcPr>
            <w:tcW w:w="927" w:type="pct"/>
            <w:vAlign w:val="center"/>
          </w:tcPr>
          <w:p w14:paraId="0C4AA8A8"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sz w:val="18"/>
                <w:szCs w:val="18"/>
                <w:lang w:eastAsia="sk-SK"/>
              </w:rPr>
              <w:t>8 756 213</w:t>
            </w:r>
          </w:p>
        </w:tc>
        <w:tc>
          <w:tcPr>
            <w:tcW w:w="926" w:type="pct"/>
            <w:vAlign w:val="bottom"/>
          </w:tcPr>
          <w:p w14:paraId="2734F7B8"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color w:val="000000"/>
                <w:sz w:val="18"/>
                <w:szCs w:val="18"/>
                <w:lang w:eastAsia="sk-SK"/>
              </w:rPr>
              <w:t>0,043%</w:t>
            </w:r>
          </w:p>
        </w:tc>
      </w:tr>
      <w:tr w:rsidR="00DA7A8D" w:rsidRPr="00393D9E" w14:paraId="7789BB5C" w14:textId="77777777" w:rsidTr="00BB314F">
        <w:trPr>
          <w:trHeight w:val="57"/>
          <w:jc w:val="center"/>
        </w:trPr>
        <w:tc>
          <w:tcPr>
            <w:tcW w:w="3147" w:type="pct"/>
            <w:vAlign w:val="center"/>
          </w:tcPr>
          <w:p w14:paraId="22DB0CC0" w14:textId="77777777" w:rsidR="00DA7A8D" w:rsidRPr="00393D9E" w:rsidRDefault="00DA7A8D" w:rsidP="00BB314F">
            <w:pPr>
              <w:spacing w:after="0" w:line="240" w:lineRule="auto"/>
              <w:rPr>
                <w:rFonts w:eastAsia="Calibri" w:cs="Segoe UI"/>
                <w:color w:val="000000"/>
                <w:sz w:val="18"/>
                <w:szCs w:val="18"/>
              </w:rPr>
            </w:pPr>
            <w:r w:rsidRPr="00393D9E">
              <w:rPr>
                <w:rFonts w:eastAsia="Times New Roman" w:cs="Segoe UI"/>
                <w:sz w:val="18"/>
                <w:szCs w:val="18"/>
                <w:lang w:eastAsia="sk-SK"/>
              </w:rPr>
              <w:t>Úrad pre reguláciu sieťových odvetví</w:t>
            </w:r>
          </w:p>
        </w:tc>
        <w:tc>
          <w:tcPr>
            <w:tcW w:w="927" w:type="pct"/>
            <w:vAlign w:val="center"/>
          </w:tcPr>
          <w:p w14:paraId="4884EF4D"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sz w:val="18"/>
                <w:szCs w:val="18"/>
                <w:lang w:eastAsia="sk-SK"/>
              </w:rPr>
              <w:t>6 421 136</w:t>
            </w:r>
          </w:p>
        </w:tc>
        <w:tc>
          <w:tcPr>
            <w:tcW w:w="926" w:type="pct"/>
            <w:vAlign w:val="bottom"/>
          </w:tcPr>
          <w:p w14:paraId="2EDD36BD"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color w:val="000000"/>
                <w:sz w:val="18"/>
                <w:szCs w:val="18"/>
                <w:lang w:eastAsia="sk-SK"/>
              </w:rPr>
              <w:t>0,031%</w:t>
            </w:r>
          </w:p>
        </w:tc>
      </w:tr>
      <w:tr w:rsidR="00DA7A8D" w:rsidRPr="00393D9E" w14:paraId="7D65109A" w14:textId="77777777" w:rsidTr="00BB314F">
        <w:trPr>
          <w:trHeight w:val="57"/>
          <w:jc w:val="center"/>
        </w:trPr>
        <w:tc>
          <w:tcPr>
            <w:tcW w:w="3147" w:type="pct"/>
            <w:vAlign w:val="center"/>
          </w:tcPr>
          <w:p w14:paraId="79E5BC4B" w14:textId="77777777" w:rsidR="00DA7A8D" w:rsidRPr="00393D9E" w:rsidRDefault="00DA7A8D" w:rsidP="00BB314F">
            <w:pPr>
              <w:spacing w:after="0" w:line="240" w:lineRule="auto"/>
              <w:rPr>
                <w:rFonts w:eastAsia="Calibri" w:cs="Segoe UI"/>
                <w:color w:val="000000"/>
                <w:sz w:val="18"/>
                <w:szCs w:val="18"/>
              </w:rPr>
            </w:pPr>
            <w:r w:rsidRPr="00393D9E">
              <w:rPr>
                <w:rFonts w:eastAsia="Times New Roman" w:cs="Segoe UI"/>
                <w:sz w:val="18"/>
                <w:szCs w:val="18"/>
                <w:lang w:eastAsia="sk-SK"/>
              </w:rPr>
              <w:t>Úrad priemyselného vlastníctva SR</w:t>
            </w:r>
          </w:p>
        </w:tc>
        <w:tc>
          <w:tcPr>
            <w:tcW w:w="927" w:type="pct"/>
            <w:vAlign w:val="center"/>
          </w:tcPr>
          <w:p w14:paraId="7D757D75"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sz w:val="18"/>
                <w:szCs w:val="18"/>
                <w:lang w:eastAsia="sk-SK"/>
              </w:rPr>
              <w:t>5 799 055</w:t>
            </w:r>
          </w:p>
        </w:tc>
        <w:tc>
          <w:tcPr>
            <w:tcW w:w="926" w:type="pct"/>
            <w:vAlign w:val="bottom"/>
          </w:tcPr>
          <w:p w14:paraId="1F5AE738" w14:textId="77777777" w:rsidR="00DA7A8D" w:rsidRPr="00393D9E" w:rsidRDefault="00DA7A8D" w:rsidP="00BB314F">
            <w:pPr>
              <w:spacing w:after="0" w:line="240" w:lineRule="auto"/>
              <w:jc w:val="right"/>
              <w:rPr>
                <w:rFonts w:eastAsia="Calibri" w:cs="Segoe UI"/>
                <w:color w:val="000000"/>
                <w:sz w:val="18"/>
                <w:szCs w:val="18"/>
              </w:rPr>
            </w:pPr>
            <w:r w:rsidRPr="00393D9E">
              <w:rPr>
                <w:rFonts w:eastAsia="Times New Roman" w:cs="Segoe UI"/>
                <w:color w:val="000000"/>
                <w:sz w:val="18"/>
                <w:szCs w:val="18"/>
                <w:lang w:eastAsia="sk-SK"/>
              </w:rPr>
              <w:t>0,028%</w:t>
            </w:r>
          </w:p>
        </w:tc>
      </w:tr>
      <w:tr w:rsidR="00DA7A8D" w:rsidRPr="00393D9E" w14:paraId="3755B9D2" w14:textId="77777777" w:rsidTr="00BB314F">
        <w:trPr>
          <w:trHeight w:val="57"/>
          <w:jc w:val="center"/>
        </w:trPr>
        <w:tc>
          <w:tcPr>
            <w:tcW w:w="3147" w:type="pct"/>
            <w:vAlign w:val="center"/>
          </w:tcPr>
          <w:p w14:paraId="293AEC2B" w14:textId="77777777" w:rsidR="00DA7A8D" w:rsidRPr="00393D9E" w:rsidRDefault="00DA7A8D" w:rsidP="00BB314F">
            <w:pPr>
              <w:spacing w:after="0" w:line="240" w:lineRule="auto"/>
              <w:rPr>
                <w:rFonts w:eastAsia="Calibri" w:cs="Segoe UI"/>
                <w:i/>
                <w:sz w:val="18"/>
                <w:szCs w:val="18"/>
              </w:rPr>
            </w:pPr>
            <w:r w:rsidRPr="00393D9E">
              <w:rPr>
                <w:rFonts w:eastAsia="Times New Roman" w:cs="Segoe UI"/>
                <w:sz w:val="18"/>
                <w:szCs w:val="18"/>
                <w:lang w:eastAsia="sk-SK"/>
              </w:rPr>
              <w:t>Protimonopolný úrad SR</w:t>
            </w:r>
          </w:p>
        </w:tc>
        <w:tc>
          <w:tcPr>
            <w:tcW w:w="927" w:type="pct"/>
            <w:vAlign w:val="center"/>
          </w:tcPr>
          <w:p w14:paraId="5482E9CA"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4 453 908</w:t>
            </w:r>
          </w:p>
        </w:tc>
        <w:tc>
          <w:tcPr>
            <w:tcW w:w="926" w:type="pct"/>
            <w:vAlign w:val="bottom"/>
          </w:tcPr>
          <w:p w14:paraId="3D4FBEC1"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0,022%</w:t>
            </w:r>
          </w:p>
        </w:tc>
      </w:tr>
      <w:tr w:rsidR="00DA7A8D" w:rsidRPr="00393D9E" w14:paraId="66E64579" w14:textId="77777777" w:rsidTr="00BB314F">
        <w:trPr>
          <w:trHeight w:val="57"/>
          <w:jc w:val="center"/>
        </w:trPr>
        <w:tc>
          <w:tcPr>
            <w:tcW w:w="3147" w:type="pct"/>
            <w:tcBorders>
              <w:bottom w:val="single" w:sz="4" w:space="0" w:color="314364"/>
            </w:tcBorders>
            <w:vAlign w:val="center"/>
          </w:tcPr>
          <w:p w14:paraId="6EC6809B" w14:textId="77777777" w:rsidR="00DA7A8D" w:rsidRPr="00393D9E" w:rsidRDefault="00DA7A8D" w:rsidP="00BB314F">
            <w:pPr>
              <w:spacing w:after="0" w:line="240" w:lineRule="auto"/>
              <w:rPr>
                <w:rFonts w:eastAsia="Calibri" w:cs="Segoe UI"/>
                <w:i/>
                <w:sz w:val="18"/>
                <w:szCs w:val="18"/>
              </w:rPr>
            </w:pPr>
            <w:r w:rsidRPr="00393D9E">
              <w:rPr>
                <w:rFonts w:eastAsia="Times New Roman" w:cs="Segoe UI"/>
                <w:sz w:val="18"/>
                <w:szCs w:val="18"/>
                <w:lang w:eastAsia="sk-SK"/>
              </w:rPr>
              <w:t>Kancelária Súdnej rady SR</w:t>
            </w:r>
          </w:p>
        </w:tc>
        <w:tc>
          <w:tcPr>
            <w:tcW w:w="927" w:type="pct"/>
            <w:tcBorders>
              <w:bottom w:val="single" w:sz="4" w:space="0" w:color="314364"/>
            </w:tcBorders>
            <w:vAlign w:val="center"/>
          </w:tcPr>
          <w:p w14:paraId="5040B9E9"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sz w:val="18"/>
                <w:szCs w:val="18"/>
                <w:lang w:eastAsia="sk-SK"/>
              </w:rPr>
              <w:t>3 271 261</w:t>
            </w:r>
          </w:p>
        </w:tc>
        <w:tc>
          <w:tcPr>
            <w:tcW w:w="926" w:type="pct"/>
            <w:tcBorders>
              <w:bottom w:val="single" w:sz="4" w:space="0" w:color="314364"/>
            </w:tcBorders>
            <w:vAlign w:val="bottom"/>
          </w:tcPr>
          <w:p w14:paraId="5E29065F" w14:textId="77777777" w:rsidR="00DA7A8D" w:rsidRPr="00393D9E" w:rsidRDefault="00DA7A8D" w:rsidP="00BB314F">
            <w:pPr>
              <w:spacing w:after="0" w:line="240" w:lineRule="auto"/>
              <w:jc w:val="right"/>
              <w:rPr>
                <w:rFonts w:eastAsia="Calibri" w:cs="Segoe UI"/>
                <w:sz w:val="18"/>
                <w:szCs w:val="18"/>
              </w:rPr>
            </w:pPr>
            <w:r w:rsidRPr="00393D9E">
              <w:rPr>
                <w:rFonts w:eastAsia="Times New Roman" w:cs="Segoe UI"/>
                <w:color w:val="000000"/>
                <w:sz w:val="18"/>
                <w:szCs w:val="18"/>
                <w:lang w:eastAsia="sk-SK"/>
              </w:rPr>
              <w:t>0,016%</w:t>
            </w:r>
          </w:p>
        </w:tc>
      </w:tr>
    </w:tbl>
    <w:p w14:paraId="2B04206E" w14:textId="77777777" w:rsidR="00DA7A8D" w:rsidRPr="00393D9E" w:rsidRDefault="00DA7A8D" w:rsidP="00DA7A8D">
      <w:pPr>
        <w:rPr>
          <w:rFonts w:eastAsia="Calibri" w:cs="Times New Roman"/>
          <w:i/>
          <w:color w:val="314364"/>
          <w:sz w:val="16"/>
        </w:rPr>
      </w:pPr>
      <w:r w:rsidRPr="00393D9E">
        <w:rPr>
          <w:rFonts w:eastAsia="Calibri" w:cs="Times New Roman"/>
          <w:i/>
          <w:color w:val="314364"/>
          <w:sz w:val="16"/>
        </w:rPr>
        <w:t>Zdroj: MF SR.</w:t>
      </w:r>
    </w:p>
    <w:p w14:paraId="33AAD809" w14:textId="162B2460" w:rsidR="001932B9" w:rsidRDefault="001932B9" w:rsidP="001932B9">
      <w:pPr>
        <w:keepNext/>
        <w:spacing w:after="0"/>
        <w:rPr>
          <w:rFonts w:cs="Times New Roman"/>
          <w:b/>
          <w:iCs/>
          <w:color w:val="314364"/>
          <w:szCs w:val="18"/>
        </w:rPr>
      </w:pPr>
      <w:r w:rsidRPr="00354C50">
        <w:rPr>
          <w:rFonts w:cs="Times New Roman"/>
          <w:b/>
          <w:iCs/>
          <w:color w:val="314364"/>
          <w:szCs w:val="18"/>
        </w:rPr>
        <w:lastRenderedPageBreak/>
        <w:t xml:space="preserve">Tabuľka </w:t>
      </w:r>
      <w:r>
        <w:rPr>
          <w:rFonts w:cs="Times New Roman"/>
          <w:b/>
          <w:iCs/>
          <w:color w:val="314364"/>
          <w:szCs w:val="18"/>
        </w:rPr>
        <w:t>1</w:t>
      </w:r>
      <w:r w:rsidR="0032471C">
        <w:rPr>
          <w:rFonts w:cs="Times New Roman"/>
          <w:b/>
          <w:iCs/>
          <w:color w:val="314364"/>
          <w:szCs w:val="18"/>
        </w:rPr>
        <w:t>8</w:t>
      </w:r>
      <w:r w:rsidRPr="00354C50">
        <w:rPr>
          <w:rFonts w:cs="Times New Roman"/>
          <w:b/>
          <w:iCs/>
          <w:color w:val="314364"/>
          <w:szCs w:val="18"/>
        </w:rPr>
        <w:t xml:space="preserve">: </w:t>
      </w:r>
      <w:r>
        <w:rPr>
          <w:rFonts w:cs="Times New Roman"/>
          <w:b/>
          <w:iCs/>
          <w:color w:val="314364"/>
          <w:szCs w:val="18"/>
        </w:rPr>
        <w:t>Zoznam s</w:t>
      </w:r>
      <w:r w:rsidRPr="00354C50">
        <w:rPr>
          <w:rFonts w:cs="Times New Roman"/>
          <w:b/>
          <w:iCs/>
          <w:color w:val="314364"/>
          <w:szCs w:val="18"/>
        </w:rPr>
        <w:t>trategick</w:t>
      </w:r>
      <w:r>
        <w:rPr>
          <w:rFonts w:cs="Times New Roman"/>
          <w:b/>
          <w:iCs/>
          <w:color w:val="314364"/>
          <w:szCs w:val="18"/>
        </w:rPr>
        <w:t>ých investícií</w:t>
      </w:r>
    </w:p>
    <w:tbl>
      <w:tblPr>
        <w:tblStyle w:val="Mriekatabuky"/>
        <w:tblW w:w="5000" w:type="pct"/>
        <w:tblBorders>
          <w:top w:val="none" w:sz="0" w:space="0" w:color="auto"/>
          <w:left w:val="none" w:sz="0" w:space="0" w:color="auto"/>
          <w:bottom w:val="single" w:sz="4" w:space="0" w:color="314364" w:themeColor="text2"/>
          <w:right w:val="none" w:sz="0" w:space="0" w:color="auto"/>
          <w:insideH w:val="none" w:sz="0" w:space="0" w:color="auto"/>
          <w:insideV w:val="none" w:sz="0" w:space="0" w:color="auto"/>
        </w:tblBorders>
        <w:tblLook w:val="04A0" w:firstRow="1" w:lastRow="0" w:firstColumn="1" w:lastColumn="0" w:noHBand="0" w:noVBand="1"/>
      </w:tblPr>
      <w:tblGrid>
        <w:gridCol w:w="9070"/>
      </w:tblGrid>
      <w:tr w:rsidR="001932B9" w14:paraId="644D6F84" w14:textId="77777777" w:rsidTr="00BB314F">
        <w:trPr>
          <w:trHeight w:val="283"/>
        </w:trPr>
        <w:tc>
          <w:tcPr>
            <w:tcW w:w="5000" w:type="pct"/>
            <w:shd w:val="clear" w:color="auto" w:fill="314364" w:themeFill="text2"/>
            <w:vAlign w:val="center"/>
          </w:tcPr>
          <w:p w14:paraId="3C2EA3C4" w14:textId="77777777" w:rsidR="001932B9" w:rsidRPr="000C6806" w:rsidRDefault="001932B9" w:rsidP="00BB314F">
            <w:pPr>
              <w:keepNext/>
              <w:spacing w:after="0"/>
              <w:jc w:val="left"/>
              <w:rPr>
                <w:rFonts w:cs="Segoe UI"/>
                <w:b/>
                <w:color w:val="FFFFFF" w:themeColor="background1"/>
                <w:sz w:val="18"/>
                <w:szCs w:val="18"/>
              </w:rPr>
            </w:pPr>
            <w:r>
              <w:rPr>
                <w:rFonts w:cs="Segoe UI"/>
                <w:b/>
                <w:color w:val="FFFFFF" w:themeColor="background1"/>
                <w:sz w:val="18"/>
                <w:szCs w:val="18"/>
              </w:rPr>
              <w:t>Projekt</w:t>
            </w:r>
          </w:p>
        </w:tc>
      </w:tr>
      <w:tr w:rsidR="001932B9" w14:paraId="0DA1BF48" w14:textId="77777777" w:rsidTr="00BB314F">
        <w:trPr>
          <w:trHeight w:val="283"/>
        </w:trPr>
        <w:tc>
          <w:tcPr>
            <w:tcW w:w="5000" w:type="pct"/>
            <w:vAlign w:val="center"/>
          </w:tcPr>
          <w:p w14:paraId="09BC0894"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Diaľnica D1 Turany – Hubová*</w:t>
            </w:r>
          </w:p>
        </w:tc>
      </w:tr>
      <w:tr w:rsidR="001932B9" w14:paraId="0C1B5119" w14:textId="77777777" w:rsidTr="00BB314F">
        <w:trPr>
          <w:trHeight w:val="283"/>
        </w:trPr>
        <w:tc>
          <w:tcPr>
            <w:tcW w:w="5000" w:type="pct"/>
            <w:vAlign w:val="center"/>
          </w:tcPr>
          <w:p w14:paraId="1133D266"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Diaľnica D1 Bidovce – štátna hranica Slovenská republika/Ukrajina*</w:t>
            </w:r>
          </w:p>
        </w:tc>
      </w:tr>
      <w:tr w:rsidR="001932B9" w14:paraId="7E91A83C" w14:textId="77777777" w:rsidTr="00BB314F">
        <w:trPr>
          <w:trHeight w:val="283"/>
        </w:trPr>
        <w:tc>
          <w:tcPr>
            <w:tcW w:w="5000" w:type="pct"/>
            <w:vAlign w:val="center"/>
          </w:tcPr>
          <w:p w14:paraId="0F02EED9"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Diaľnica D3 v úseku Žilina-Brodno – Kysucké Nové Mesto *</w:t>
            </w:r>
          </w:p>
        </w:tc>
      </w:tr>
      <w:tr w:rsidR="001932B9" w14:paraId="77903AD4" w14:textId="77777777" w:rsidTr="00BB314F">
        <w:trPr>
          <w:trHeight w:val="283"/>
        </w:trPr>
        <w:tc>
          <w:tcPr>
            <w:tcW w:w="5000" w:type="pct"/>
            <w:vAlign w:val="center"/>
          </w:tcPr>
          <w:p w14:paraId="34F008D9"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Diaľnica D3 v úseku Kysucké Nové Mesto – Oščadnica*</w:t>
            </w:r>
          </w:p>
        </w:tc>
      </w:tr>
      <w:tr w:rsidR="001932B9" w14:paraId="4127AB32" w14:textId="77777777" w:rsidTr="00BB314F">
        <w:trPr>
          <w:trHeight w:val="283"/>
        </w:trPr>
        <w:tc>
          <w:tcPr>
            <w:tcW w:w="5000" w:type="pct"/>
            <w:vAlign w:val="center"/>
          </w:tcPr>
          <w:p w14:paraId="732DDA96"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Diaľnica D3 v úseku Oščadnica – Čadca-Bukov, 2. profil*</w:t>
            </w:r>
          </w:p>
        </w:tc>
      </w:tr>
      <w:tr w:rsidR="001932B9" w14:paraId="7DCB28B0" w14:textId="77777777" w:rsidTr="00BB314F">
        <w:trPr>
          <w:trHeight w:val="283"/>
        </w:trPr>
        <w:tc>
          <w:tcPr>
            <w:tcW w:w="5000" w:type="pct"/>
            <w:vAlign w:val="center"/>
          </w:tcPr>
          <w:p w14:paraId="29DF7D00"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Diaľnica D4 v úseku Bratislava-Rača – Bratislava-Záhorská Bystrica*</w:t>
            </w:r>
          </w:p>
        </w:tc>
      </w:tr>
      <w:tr w:rsidR="001932B9" w14:paraId="662F66EA" w14:textId="77777777" w:rsidTr="00BB314F">
        <w:trPr>
          <w:trHeight w:val="283"/>
        </w:trPr>
        <w:tc>
          <w:tcPr>
            <w:tcW w:w="5000" w:type="pct"/>
            <w:vAlign w:val="center"/>
          </w:tcPr>
          <w:p w14:paraId="75E4D0E9"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Diaľničný privádzač Lietavská Lúčka – Žilina, I. etapa*</w:t>
            </w:r>
          </w:p>
        </w:tc>
      </w:tr>
      <w:tr w:rsidR="001932B9" w14:paraId="6E8E0F34" w14:textId="77777777" w:rsidTr="00BB314F">
        <w:trPr>
          <w:trHeight w:val="283"/>
        </w:trPr>
        <w:tc>
          <w:tcPr>
            <w:tcW w:w="5000" w:type="pct"/>
            <w:vAlign w:val="center"/>
          </w:tcPr>
          <w:p w14:paraId="438C0AFB"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Rýchlostná cesta R2 Zvolen západ – Zvolen východ*</w:t>
            </w:r>
          </w:p>
        </w:tc>
      </w:tr>
      <w:tr w:rsidR="001932B9" w14:paraId="675170FB" w14:textId="77777777" w:rsidTr="00BB314F">
        <w:trPr>
          <w:trHeight w:val="283"/>
        </w:trPr>
        <w:tc>
          <w:tcPr>
            <w:tcW w:w="5000" w:type="pct"/>
            <w:vAlign w:val="center"/>
          </w:tcPr>
          <w:p w14:paraId="5AEA3DCB"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Rýchlostná cesta R2 Zacharovce – Bátka*</w:t>
            </w:r>
          </w:p>
        </w:tc>
      </w:tr>
      <w:tr w:rsidR="001932B9" w14:paraId="4C205B26" w14:textId="77777777" w:rsidTr="00BB314F">
        <w:trPr>
          <w:trHeight w:val="283"/>
        </w:trPr>
        <w:tc>
          <w:tcPr>
            <w:tcW w:w="5000" w:type="pct"/>
            <w:vAlign w:val="center"/>
          </w:tcPr>
          <w:p w14:paraId="3A683E07"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Rýchlostná cesta R2 Bátka – Figa*</w:t>
            </w:r>
          </w:p>
        </w:tc>
      </w:tr>
      <w:tr w:rsidR="001932B9" w14:paraId="3F28DCF8" w14:textId="77777777" w:rsidTr="00BB314F">
        <w:trPr>
          <w:trHeight w:val="283"/>
        </w:trPr>
        <w:tc>
          <w:tcPr>
            <w:tcW w:w="5000" w:type="pct"/>
            <w:vAlign w:val="center"/>
          </w:tcPr>
          <w:p w14:paraId="10559B06"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Rýchlostná cesta R2 Šaca – Košické Oľšany, I. úsek*</w:t>
            </w:r>
          </w:p>
        </w:tc>
      </w:tr>
      <w:tr w:rsidR="001932B9" w14:paraId="4B26B9D6" w14:textId="77777777" w:rsidTr="00BB314F">
        <w:trPr>
          <w:trHeight w:val="283"/>
        </w:trPr>
        <w:tc>
          <w:tcPr>
            <w:tcW w:w="5000" w:type="pct"/>
            <w:vAlign w:val="center"/>
          </w:tcPr>
          <w:p w14:paraId="1DB1DAE1"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Rýchlostná cesta R4 Lipníky – Kapušany*</w:t>
            </w:r>
          </w:p>
        </w:tc>
      </w:tr>
      <w:tr w:rsidR="001932B9" w14:paraId="45529A4A" w14:textId="77777777" w:rsidTr="00BB314F">
        <w:trPr>
          <w:trHeight w:val="283"/>
        </w:trPr>
        <w:tc>
          <w:tcPr>
            <w:tcW w:w="5000" w:type="pct"/>
            <w:vAlign w:val="center"/>
          </w:tcPr>
          <w:p w14:paraId="27B42740"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Rýchlostná cesta R4 štátna hranica SR/PR – Lipníky*</w:t>
            </w:r>
          </w:p>
        </w:tc>
      </w:tr>
      <w:tr w:rsidR="001932B9" w14:paraId="527D288E" w14:textId="77777777" w:rsidTr="00BB314F">
        <w:trPr>
          <w:trHeight w:val="283"/>
        </w:trPr>
        <w:tc>
          <w:tcPr>
            <w:tcW w:w="5000" w:type="pct"/>
            <w:vAlign w:val="center"/>
          </w:tcPr>
          <w:p w14:paraId="0CF5F322"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Zdvojkoľajnenie trate Devínska Nová Ves – štátna hranica SK/AT (Marchegg)*</w:t>
            </w:r>
          </w:p>
        </w:tc>
      </w:tr>
      <w:tr w:rsidR="001932B9" w14:paraId="0CDECD9F" w14:textId="77777777" w:rsidTr="00BB314F">
        <w:trPr>
          <w:trHeight w:val="283"/>
        </w:trPr>
        <w:tc>
          <w:tcPr>
            <w:tcW w:w="5000" w:type="pct"/>
            <w:vAlign w:val="center"/>
          </w:tcPr>
          <w:p w14:paraId="2689BB2F" w14:textId="77777777" w:rsidR="001932B9" w:rsidRPr="0082528D" w:rsidRDefault="001932B9" w:rsidP="00BB314F">
            <w:pPr>
              <w:pStyle w:val="Odsekzoznamu"/>
              <w:keepNext/>
              <w:numPr>
                <w:ilvl w:val="0"/>
                <w:numId w:val="7"/>
              </w:numPr>
              <w:spacing w:after="0"/>
              <w:ind w:left="321" w:hanging="284"/>
              <w:jc w:val="left"/>
              <w:rPr>
                <w:rFonts w:cs="Times New Roman"/>
                <w:b/>
                <w:iCs/>
                <w:color w:val="314364"/>
                <w:szCs w:val="18"/>
              </w:rPr>
            </w:pPr>
            <w:r w:rsidRPr="0082528D">
              <w:rPr>
                <w:rFonts w:cs="Segoe UI"/>
                <w:color w:val="000000"/>
                <w:sz w:val="18"/>
                <w:szCs w:val="18"/>
              </w:rPr>
              <w:t>ŽSR, modernizácia železničnej trate Devínska Nová Ves – štátna hranica SR/ČR*</w:t>
            </w:r>
          </w:p>
        </w:tc>
      </w:tr>
      <w:tr w:rsidR="001932B9" w14:paraId="71B7F2C8" w14:textId="77777777" w:rsidTr="00BB314F">
        <w:trPr>
          <w:trHeight w:val="283"/>
        </w:trPr>
        <w:tc>
          <w:tcPr>
            <w:tcW w:w="5000" w:type="pct"/>
            <w:vAlign w:val="center"/>
          </w:tcPr>
          <w:p w14:paraId="5A83148B"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cs="Segoe UI"/>
                <w:color w:val="000000"/>
                <w:sz w:val="18"/>
                <w:szCs w:val="18"/>
              </w:rPr>
              <w:t>ŽSR, modernizácia železničnej trate Devínska Nová Ves – štátna hranica SR/ČR, Malacky (mimo) – Kúty*</w:t>
            </w:r>
          </w:p>
        </w:tc>
      </w:tr>
      <w:tr w:rsidR="001932B9" w14:paraId="7EFBCBBD" w14:textId="77777777" w:rsidTr="00BB314F">
        <w:trPr>
          <w:trHeight w:val="283"/>
        </w:trPr>
        <w:tc>
          <w:tcPr>
            <w:tcW w:w="5000" w:type="pct"/>
            <w:vAlign w:val="center"/>
          </w:tcPr>
          <w:p w14:paraId="38E9DE24"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cs="Segoe UI"/>
                <w:color w:val="000000"/>
                <w:sz w:val="18"/>
                <w:szCs w:val="18"/>
              </w:rPr>
              <w:t>ŽSR, modernizácia železničnej trate Čadca – Krásno nad Kysucou*</w:t>
            </w:r>
          </w:p>
        </w:tc>
      </w:tr>
      <w:tr w:rsidR="001932B9" w14:paraId="2786CD46" w14:textId="77777777" w:rsidTr="00BB314F">
        <w:trPr>
          <w:trHeight w:val="283"/>
        </w:trPr>
        <w:tc>
          <w:tcPr>
            <w:tcW w:w="5000" w:type="pct"/>
            <w:vAlign w:val="center"/>
          </w:tcPr>
          <w:p w14:paraId="1CC40880"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cs="Segoe UI"/>
                <w:color w:val="000000"/>
                <w:sz w:val="18"/>
                <w:szCs w:val="18"/>
              </w:rPr>
              <w:t>Modernizácia železničnej trate Žilina – Košice v úseku Liptovský Mikuláš – Poprad-Tatry, 5. etapa, traťový úsek Liptovský Hrádok – Paludza*</w:t>
            </w:r>
          </w:p>
        </w:tc>
      </w:tr>
      <w:tr w:rsidR="001932B9" w14:paraId="6966E75A" w14:textId="77777777" w:rsidTr="00BB314F">
        <w:trPr>
          <w:trHeight w:val="283"/>
        </w:trPr>
        <w:tc>
          <w:tcPr>
            <w:tcW w:w="5000" w:type="pct"/>
            <w:vAlign w:val="center"/>
          </w:tcPr>
          <w:p w14:paraId="797DC7CC"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cs="Segoe UI"/>
                <w:color w:val="000000"/>
                <w:sz w:val="18"/>
                <w:szCs w:val="18"/>
              </w:rPr>
              <w:t>Modernizácia železničnej trate Žilina – Košice, úsek trate Poprad-Tatry – Krompachy, časť A2 Markušovce – Vydrník *</w:t>
            </w:r>
          </w:p>
        </w:tc>
      </w:tr>
      <w:tr w:rsidR="001932B9" w14:paraId="708AADE7" w14:textId="77777777" w:rsidTr="00BB314F">
        <w:trPr>
          <w:trHeight w:val="283"/>
        </w:trPr>
        <w:tc>
          <w:tcPr>
            <w:tcW w:w="5000" w:type="pct"/>
            <w:vAlign w:val="center"/>
          </w:tcPr>
          <w:p w14:paraId="2BC6467B"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cs="Segoe UI"/>
                <w:color w:val="000000"/>
                <w:sz w:val="18"/>
                <w:szCs w:val="18"/>
              </w:rPr>
              <w:t>Výstavba Fakultnej nemocnice s poliklinikou F. D. Roosevelta Banská Bystrica*</w:t>
            </w:r>
          </w:p>
        </w:tc>
      </w:tr>
      <w:tr w:rsidR="001932B9" w14:paraId="5DD738BB" w14:textId="77777777" w:rsidTr="00BB314F">
        <w:trPr>
          <w:trHeight w:val="283"/>
        </w:trPr>
        <w:tc>
          <w:tcPr>
            <w:tcW w:w="5000" w:type="pct"/>
            <w:vAlign w:val="center"/>
          </w:tcPr>
          <w:p w14:paraId="133E733A"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cs="Segoe UI"/>
                <w:color w:val="000000"/>
                <w:sz w:val="18"/>
                <w:szCs w:val="18"/>
              </w:rPr>
              <w:t>Rozvoj a modernizácia FNsP J. A. Reimana Prešov</w:t>
            </w:r>
          </w:p>
        </w:tc>
      </w:tr>
      <w:tr w:rsidR="001932B9" w14:paraId="68C8E68D" w14:textId="77777777" w:rsidTr="00BB314F">
        <w:trPr>
          <w:trHeight w:val="283"/>
        </w:trPr>
        <w:tc>
          <w:tcPr>
            <w:tcW w:w="5000" w:type="pct"/>
            <w:vAlign w:val="center"/>
          </w:tcPr>
          <w:p w14:paraId="24A854C6"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cs="Segoe UI"/>
                <w:color w:val="000000"/>
                <w:sz w:val="18"/>
                <w:szCs w:val="18"/>
              </w:rPr>
              <w:t>Výstavba Univerzitnej nemocnice sv. Martina</w:t>
            </w:r>
          </w:p>
        </w:tc>
      </w:tr>
      <w:tr w:rsidR="001932B9" w14:paraId="359840F0" w14:textId="77777777" w:rsidTr="00BB314F">
        <w:trPr>
          <w:trHeight w:val="283"/>
        </w:trPr>
        <w:tc>
          <w:tcPr>
            <w:tcW w:w="5000" w:type="pct"/>
            <w:vAlign w:val="center"/>
          </w:tcPr>
          <w:p w14:paraId="7E419905"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Modernizácia Prístavu Bratislava</w:t>
            </w:r>
          </w:p>
        </w:tc>
      </w:tr>
      <w:tr w:rsidR="001932B9" w14:paraId="773B03F8" w14:textId="77777777" w:rsidTr="00BB314F">
        <w:trPr>
          <w:trHeight w:val="283"/>
        </w:trPr>
        <w:tc>
          <w:tcPr>
            <w:tcW w:w="5000" w:type="pct"/>
            <w:vAlign w:val="center"/>
          </w:tcPr>
          <w:p w14:paraId="2D001539"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Obmena dopravného letectva Vzdušných síl Ozbrojených síl SR*</w:t>
            </w:r>
          </w:p>
        </w:tc>
      </w:tr>
      <w:tr w:rsidR="001932B9" w14:paraId="59F1942A" w14:textId="77777777" w:rsidTr="00BB314F">
        <w:trPr>
          <w:trHeight w:val="283"/>
        </w:trPr>
        <w:tc>
          <w:tcPr>
            <w:tcW w:w="5000" w:type="pct"/>
            <w:vAlign w:val="center"/>
          </w:tcPr>
          <w:p w14:paraId="2E144040"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Nákladný automobil N3G*</w:t>
            </w:r>
          </w:p>
        </w:tc>
      </w:tr>
      <w:tr w:rsidR="001932B9" w14:paraId="3153E923" w14:textId="77777777" w:rsidTr="00BB314F">
        <w:trPr>
          <w:trHeight w:val="283"/>
        </w:trPr>
        <w:tc>
          <w:tcPr>
            <w:tcW w:w="5000" w:type="pct"/>
            <w:vAlign w:val="center"/>
          </w:tcPr>
          <w:p w14:paraId="23CE02F3"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Doplnenie počtu viacúčelových vrtuľníkov Vzdušných síl Ozbrojených síl Slovenskej republiky na zabezpečenie transportných a bojových spôsobilostí*</w:t>
            </w:r>
          </w:p>
        </w:tc>
      </w:tr>
      <w:tr w:rsidR="001932B9" w14:paraId="24C1670B" w14:textId="77777777" w:rsidTr="00BB314F">
        <w:trPr>
          <w:trHeight w:val="283"/>
        </w:trPr>
        <w:tc>
          <w:tcPr>
            <w:tcW w:w="5000" w:type="pct"/>
            <w:vAlign w:val="center"/>
          </w:tcPr>
          <w:p w14:paraId="7B23BAC7"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Modernizácia Terminálu kombinovanej dopravy (TKD) Dobrá</w:t>
            </w:r>
          </w:p>
        </w:tc>
      </w:tr>
      <w:tr w:rsidR="001932B9" w14:paraId="13FC27BF" w14:textId="77777777" w:rsidTr="00BB314F">
        <w:trPr>
          <w:trHeight w:val="283"/>
        </w:trPr>
        <w:tc>
          <w:tcPr>
            <w:tcW w:w="5000" w:type="pct"/>
            <w:vAlign w:val="center"/>
          </w:tcPr>
          <w:p w14:paraId="2A9AE97D"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Inovácia a modernizácia Vodnej elektrárne Gabčíkovo</w:t>
            </w:r>
          </w:p>
        </w:tc>
      </w:tr>
      <w:tr w:rsidR="001932B9" w14:paraId="0DAF5E22" w14:textId="77777777" w:rsidTr="00BB314F">
        <w:trPr>
          <w:trHeight w:val="283"/>
        </w:trPr>
        <w:tc>
          <w:tcPr>
            <w:tcW w:w="5000" w:type="pct"/>
            <w:vAlign w:val="center"/>
          </w:tcPr>
          <w:p w14:paraId="4B8D7ADD"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Modernizácia železničnej trate Žilina – Košice, úsek trate Poprad Tatry (mimo) – Krompachy, časť A.1 Poprad Tatry (mimo) – Vydrník</w:t>
            </w:r>
          </w:p>
        </w:tc>
      </w:tr>
      <w:tr w:rsidR="001932B9" w14:paraId="6F7FD0CE" w14:textId="77777777" w:rsidTr="00BB314F">
        <w:trPr>
          <w:trHeight w:val="283"/>
        </w:trPr>
        <w:tc>
          <w:tcPr>
            <w:tcW w:w="5000" w:type="pct"/>
            <w:vAlign w:val="center"/>
          </w:tcPr>
          <w:p w14:paraId="1BBAFCC5"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Šurany Industrial Park</w:t>
            </w:r>
          </w:p>
        </w:tc>
      </w:tr>
      <w:tr w:rsidR="001932B9" w14:paraId="1103526C" w14:textId="77777777" w:rsidTr="00BB314F">
        <w:trPr>
          <w:trHeight w:val="283"/>
        </w:trPr>
        <w:tc>
          <w:tcPr>
            <w:tcW w:w="5000" w:type="pct"/>
            <w:vAlign w:val="center"/>
          </w:tcPr>
          <w:p w14:paraId="157A545E"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Transformácia 400/110kV ESt Ladce</w:t>
            </w:r>
          </w:p>
        </w:tc>
      </w:tr>
      <w:tr w:rsidR="001932B9" w14:paraId="3DB61880" w14:textId="77777777" w:rsidTr="00BB314F">
        <w:trPr>
          <w:trHeight w:val="283"/>
        </w:trPr>
        <w:tc>
          <w:tcPr>
            <w:tcW w:w="5000" w:type="pct"/>
            <w:vAlign w:val="center"/>
          </w:tcPr>
          <w:p w14:paraId="477DBC85"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Národná univerzitná nemocnica generála Milana Rastislava Štefánika*</w:t>
            </w:r>
          </w:p>
        </w:tc>
      </w:tr>
      <w:tr w:rsidR="001932B9" w14:paraId="0477E5F1" w14:textId="77777777" w:rsidTr="00BB314F">
        <w:trPr>
          <w:trHeight w:val="283"/>
        </w:trPr>
        <w:tc>
          <w:tcPr>
            <w:tcW w:w="5000" w:type="pct"/>
            <w:vAlign w:val="center"/>
          </w:tcPr>
          <w:p w14:paraId="0DD6CCB5"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Infraštruktúra protivzdušnej obrany*</w:t>
            </w:r>
          </w:p>
        </w:tc>
      </w:tr>
      <w:tr w:rsidR="001932B9" w14:paraId="1D87A6C2" w14:textId="77777777" w:rsidTr="00BB314F">
        <w:trPr>
          <w:trHeight w:val="283"/>
        </w:trPr>
        <w:tc>
          <w:tcPr>
            <w:tcW w:w="5000" w:type="pct"/>
            <w:vAlign w:val="center"/>
          </w:tcPr>
          <w:p w14:paraId="06BD0C25"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Vedenie 2 x 400 kV Horná Ždaňa – lokalita Oslany</w:t>
            </w:r>
          </w:p>
        </w:tc>
      </w:tr>
      <w:tr w:rsidR="001932B9" w14:paraId="5E77091C" w14:textId="77777777" w:rsidTr="00BB314F">
        <w:trPr>
          <w:trHeight w:val="283"/>
        </w:trPr>
        <w:tc>
          <w:tcPr>
            <w:tcW w:w="5000" w:type="pct"/>
            <w:vAlign w:val="center"/>
          </w:tcPr>
          <w:p w14:paraId="7815269B" w14:textId="77777777" w:rsidR="001932B9" w:rsidRPr="0082528D" w:rsidRDefault="001932B9" w:rsidP="00BB314F">
            <w:pPr>
              <w:pStyle w:val="Odsekzoznamu"/>
              <w:keepNext/>
              <w:numPr>
                <w:ilvl w:val="0"/>
                <w:numId w:val="7"/>
              </w:numPr>
              <w:spacing w:after="0"/>
              <w:ind w:left="321" w:hanging="284"/>
              <w:jc w:val="left"/>
              <w:rPr>
                <w:rFonts w:cs="Segoe UI"/>
                <w:color w:val="000000"/>
                <w:sz w:val="18"/>
                <w:szCs w:val="18"/>
              </w:rPr>
            </w:pPr>
            <w:r w:rsidRPr="0082528D">
              <w:rPr>
                <w:rFonts w:eastAsia="Calibri" w:cs="Segoe UI"/>
                <w:sz w:val="18"/>
                <w:szCs w:val="18"/>
              </w:rPr>
              <w:t>II/502 Pezinok obchvat a II/502 Modra obchvat</w:t>
            </w:r>
          </w:p>
        </w:tc>
      </w:tr>
    </w:tbl>
    <w:p w14:paraId="17A55A4E" w14:textId="77777777" w:rsidR="001932B9" w:rsidRDefault="001932B9" w:rsidP="001932B9">
      <w:pPr>
        <w:pStyle w:val="Zdroj"/>
        <w:spacing w:after="0"/>
      </w:pPr>
      <w:r>
        <w:t xml:space="preserve">Zdroj: </w:t>
      </w:r>
      <w:r w:rsidRPr="0082528D">
        <w:t xml:space="preserve">Zbierka zákonov. </w:t>
      </w:r>
    </w:p>
    <w:p w14:paraId="61E90EB8" w14:textId="015B4825" w:rsidR="00354C50" w:rsidRPr="00F74312" w:rsidRDefault="001932B9" w:rsidP="00707E45">
      <w:pPr>
        <w:pStyle w:val="Zdroj"/>
        <w:spacing w:after="0"/>
      </w:pPr>
      <w:r w:rsidRPr="0082528D">
        <w:t>*štúdiu uskutočniteľnosti nevykoná MF SR</w:t>
      </w:r>
    </w:p>
    <w:sectPr w:rsidR="00354C50" w:rsidRPr="00F74312" w:rsidSect="00962F36">
      <w:headerReference w:type="default" r:id="rId54"/>
      <w:footerReference w:type="default" r:id="rId55"/>
      <w:pgSz w:w="11906" w:h="16838"/>
      <w:pgMar w:top="1418" w:right="1418" w:bottom="1134" w:left="1418"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BA515B" w14:textId="77777777" w:rsidR="0065645A" w:rsidRDefault="0065645A" w:rsidP="004F10D0">
      <w:pPr>
        <w:spacing w:after="0" w:line="240" w:lineRule="auto"/>
      </w:pPr>
      <w:r>
        <w:separator/>
      </w:r>
    </w:p>
    <w:p w14:paraId="20CFF6F0" w14:textId="77777777" w:rsidR="0065645A" w:rsidRDefault="0065645A"/>
  </w:endnote>
  <w:endnote w:type="continuationSeparator" w:id="0">
    <w:p w14:paraId="0D37F970" w14:textId="77777777" w:rsidR="0065645A" w:rsidRDefault="0065645A" w:rsidP="004F10D0">
      <w:pPr>
        <w:spacing w:after="0" w:line="240" w:lineRule="auto"/>
      </w:pPr>
      <w:r>
        <w:continuationSeparator/>
      </w:r>
    </w:p>
    <w:p w14:paraId="37690060" w14:textId="77777777" w:rsidR="0065645A" w:rsidRDefault="006564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Montserrat">
    <w:panose1 w:val="00000500000000000000"/>
    <w:charset w:val="EE"/>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56A1A" w14:textId="77777777" w:rsidR="000F4345" w:rsidRPr="00FF5DA3" w:rsidRDefault="000F4345" w:rsidP="008F0A84">
    <w:pPr>
      <w:pStyle w:val="Pta"/>
      <w:tabs>
        <w:tab w:val="clear" w:pos="4536"/>
        <w:tab w:val="clear" w:pos="9072"/>
        <w:tab w:val="center" w:pos="9070"/>
      </w:tabs>
      <w:jc w:val="center"/>
      <w:rPr>
        <w:b/>
        <w:color w:val="314364"/>
        <w:sz w:val="3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5359340"/>
      <w:docPartObj>
        <w:docPartGallery w:val="Page Numbers (Bottom of Page)"/>
        <w:docPartUnique/>
      </w:docPartObj>
    </w:sdtPr>
    <w:sdtEndPr/>
    <w:sdtContent>
      <w:p w14:paraId="1CF29EB5" w14:textId="5C7CCC17" w:rsidR="000F4345" w:rsidRDefault="000F4345" w:rsidP="00733BFD">
        <w:pPr>
          <w:pStyle w:val="Pta"/>
          <w:jc w:val="right"/>
        </w:pPr>
        <w:r>
          <w:fldChar w:fldCharType="begin"/>
        </w:r>
        <w:r>
          <w:instrText>PAGE   \* MERGEFORMAT</w:instrText>
        </w:r>
        <w:r>
          <w:fldChar w:fldCharType="separate"/>
        </w:r>
        <w:r w:rsidR="00F22D63">
          <w:rPr>
            <w:noProof/>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77E4A6" w14:textId="77777777" w:rsidR="0065645A" w:rsidRDefault="0065645A" w:rsidP="004F10D0">
      <w:pPr>
        <w:spacing w:after="0" w:line="240" w:lineRule="auto"/>
      </w:pPr>
      <w:r>
        <w:separator/>
      </w:r>
    </w:p>
  </w:footnote>
  <w:footnote w:type="continuationSeparator" w:id="0">
    <w:p w14:paraId="065DAFB3" w14:textId="77777777" w:rsidR="0065645A" w:rsidRDefault="0065645A" w:rsidP="004F10D0">
      <w:pPr>
        <w:spacing w:after="0" w:line="240" w:lineRule="auto"/>
      </w:pPr>
      <w:r>
        <w:continuationSeparator/>
      </w:r>
    </w:p>
    <w:p w14:paraId="532A0F16" w14:textId="77777777" w:rsidR="0065645A" w:rsidRDefault="0065645A"/>
  </w:footnote>
  <w:footnote w:id="1">
    <w:p w14:paraId="711DD9C9" w14:textId="4A0903A3" w:rsidR="003074D7" w:rsidRDefault="003074D7">
      <w:pPr>
        <w:pStyle w:val="Textpoznmkypodiarou"/>
      </w:pPr>
      <w:r>
        <w:rPr>
          <w:rStyle w:val="Odkaznapoznmkupodiarou"/>
        </w:rPr>
        <w:footnoteRef/>
      </w:r>
      <w:r>
        <w:t xml:space="preserve"> Spracované na základe výsledkov kontroly Strednodobých rozpočtových rámcov</w:t>
      </w:r>
      <w:r w:rsidR="00DC475B">
        <w:t>.</w:t>
      </w:r>
      <w:r>
        <w:t xml:space="preserve"> [</w:t>
      </w:r>
      <w:hyperlink r:id="rId1" w:history="1">
        <w:r w:rsidRPr="003074D7">
          <w:rPr>
            <w:rStyle w:val="Hypertextovprepojenie"/>
            <w:sz w:val="16"/>
          </w:rPr>
          <w:t>online</w:t>
        </w:r>
      </w:hyperlink>
      <w:r>
        <w:t>]</w:t>
      </w:r>
      <w:r w:rsidR="00DC475B">
        <w:t>.</w:t>
      </w:r>
    </w:p>
  </w:footnote>
  <w:footnote w:id="2">
    <w:p w14:paraId="157D4854" w14:textId="557FF1CF" w:rsidR="00AE716B" w:rsidRDefault="00AE716B" w:rsidP="00AE716B">
      <w:pPr>
        <w:pStyle w:val="Textpoznmkypodiarou"/>
      </w:pPr>
      <w:r>
        <w:rPr>
          <w:rStyle w:val="Odkaznapoznmkupodiarou"/>
        </w:rPr>
        <w:footnoteRef/>
      </w:r>
      <w:r>
        <w:t xml:space="preserve"> P</w:t>
      </w:r>
      <w:r w:rsidRPr="006F2D0A">
        <w:t>odľa § 4, ods. 3, písm. c) zákona 103/2007 o</w:t>
      </w:r>
      <w:r>
        <w:t> </w:t>
      </w:r>
      <w:r w:rsidRPr="006F2D0A">
        <w:t>tripartite</w:t>
      </w:r>
      <w:r>
        <w:t>.</w:t>
      </w:r>
    </w:p>
  </w:footnote>
  <w:footnote w:id="3">
    <w:p w14:paraId="1AED1775" w14:textId="7A04836F" w:rsidR="000861DA" w:rsidRDefault="000861DA">
      <w:pPr>
        <w:pStyle w:val="Textpoznmkypodiarou"/>
      </w:pPr>
      <w:r>
        <w:rPr>
          <w:rStyle w:val="Odkaznapoznmkupodiarou"/>
        </w:rPr>
        <w:footnoteRef/>
      </w:r>
      <w:r>
        <w:t xml:space="preserve"> OECD. </w:t>
      </w:r>
      <w:r w:rsidRPr="000861DA">
        <w:rPr>
          <w:lang w:val="en-GB"/>
        </w:rPr>
        <w:t>Recommendation of the Council on Budgetary Governance</w:t>
      </w:r>
      <w:r>
        <w:rPr>
          <w:lang w:val="en-GB"/>
        </w:rPr>
        <w:t>.</w:t>
      </w:r>
      <w:r w:rsidRPr="000861DA">
        <w:rPr>
          <w:lang w:val="en-GB"/>
        </w:rPr>
        <w:t xml:space="preserve"> [</w:t>
      </w:r>
      <w:hyperlink r:id="rId2" w:history="1">
        <w:r w:rsidRPr="000861DA">
          <w:rPr>
            <w:rStyle w:val="Hypertextovprepojenie"/>
            <w:sz w:val="16"/>
            <w:lang w:val="en-GB"/>
          </w:rPr>
          <w:t>online</w:t>
        </w:r>
      </w:hyperlink>
      <w:r w:rsidRPr="000861DA">
        <w:rPr>
          <w:lang w:val="en-GB"/>
        </w:rPr>
        <w:t>]</w:t>
      </w:r>
      <w:r>
        <w:rPr>
          <w:lang w:val="en-GB"/>
        </w:rPr>
        <w:t>.</w:t>
      </w:r>
    </w:p>
  </w:footnote>
  <w:footnote w:id="4">
    <w:p w14:paraId="7BFC1BCD" w14:textId="77777777" w:rsidR="005F0391" w:rsidRDefault="005F0391" w:rsidP="005F0391">
      <w:pPr>
        <w:pStyle w:val="Textpoznmkypodiarou"/>
      </w:pPr>
      <w:r>
        <w:rPr>
          <w:rStyle w:val="Odkaznapoznmkupodiarou"/>
        </w:rPr>
        <w:footnoteRef/>
      </w:r>
      <w:r>
        <w:t xml:space="preserve"> MF SR – Výbor pre makroekonomické prognózy. [</w:t>
      </w:r>
      <w:hyperlink r:id="rId3" w:history="1">
        <w:r w:rsidRPr="00B03A94">
          <w:rPr>
            <w:rStyle w:val="Hypertextovprepojenie"/>
            <w:sz w:val="16"/>
          </w:rPr>
          <w:t>online</w:t>
        </w:r>
      </w:hyperlink>
      <w:r>
        <w:t>].</w:t>
      </w:r>
    </w:p>
  </w:footnote>
  <w:footnote w:id="5">
    <w:p w14:paraId="68858FEB" w14:textId="77777777" w:rsidR="001A5615" w:rsidRDefault="001A5615" w:rsidP="001A5615">
      <w:pPr>
        <w:pStyle w:val="Textpoznmkypodiarou"/>
      </w:pPr>
      <w:r>
        <w:rPr>
          <w:rStyle w:val="Odkaznapoznmkupodiarou"/>
        </w:rPr>
        <w:footnoteRef/>
      </w:r>
      <w:r>
        <w:t xml:space="preserve"> EK – Správa o krajine. [</w:t>
      </w:r>
      <w:hyperlink r:id="rId4" w:history="1">
        <w:r w:rsidRPr="00B106A4">
          <w:rPr>
            <w:rStyle w:val="Hypertextovprepojenie"/>
            <w:sz w:val="16"/>
          </w:rPr>
          <w:t>online</w:t>
        </w:r>
      </w:hyperlink>
      <w:r>
        <w:t>].</w:t>
      </w:r>
    </w:p>
  </w:footnote>
  <w:footnote w:id="6">
    <w:p w14:paraId="2DD636AF" w14:textId="77777777" w:rsidR="008277B0" w:rsidRDefault="008277B0" w:rsidP="008277B0">
      <w:pPr>
        <w:pStyle w:val="Textpoznmkypodiarou"/>
      </w:pPr>
      <w:r>
        <w:rPr>
          <w:rStyle w:val="Odkaznapoznmkupodiarou"/>
        </w:rPr>
        <w:footnoteRef/>
      </w:r>
      <w:r>
        <w:t xml:space="preserve"> MF SR – Návrh na ozdravenie verejných financií. [</w:t>
      </w:r>
      <w:hyperlink r:id="rId5" w:history="1">
        <w:r w:rsidRPr="00DE1500">
          <w:rPr>
            <w:rStyle w:val="Hypertextovprepojenie"/>
            <w:sz w:val="16"/>
          </w:rPr>
          <w:t>online</w:t>
        </w:r>
      </w:hyperlink>
      <w:r>
        <w:t>].</w:t>
      </w:r>
    </w:p>
  </w:footnote>
  <w:footnote w:id="7">
    <w:p w14:paraId="46BB41D2" w14:textId="06EE7071" w:rsidR="00C96FC7" w:rsidRDefault="00C96FC7" w:rsidP="00C96FC7">
      <w:pPr>
        <w:pStyle w:val="Textpoznmkypodiarou"/>
      </w:pPr>
      <w:r>
        <w:rPr>
          <w:rStyle w:val="Odkaznapoznmkupodiarou"/>
        </w:rPr>
        <w:footnoteRef/>
      </w:r>
      <w:r>
        <w:t xml:space="preserve"> Od podlahy k hodnote – zdaňovanie nehnuteľností na Slovensku</w:t>
      </w:r>
      <w:r w:rsidRPr="00D001A2">
        <w:t xml:space="preserve">. Národná banka Slovenska. </w:t>
      </w:r>
      <w:r w:rsidR="00CD1070">
        <w:t>J</w:t>
      </w:r>
      <w:r w:rsidRPr="00D001A2">
        <w:t>ú</w:t>
      </w:r>
      <w:r>
        <w:t>l</w:t>
      </w:r>
      <w:r w:rsidRPr="00D001A2">
        <w:t xml:space="preserve"> 202</w:t>
      </w:r>
      <w:r>
        <w:t>4</w:t>
      </w:r>
      <w:r w:rsidRPr="00D001A2">
        <w:t>. [</w:t>
      </w:r>
      <w:hyperlink r:id="rId6" w:history="1">
        <w:r w:rsidRPr="00295165">
          <w:rPr>
            <w:rStyle w:val="Hypertextovprepojenie"/>
            <w:sz w:val="16"/>
          </w:rPr>
          <w:t>online</w:t>
        </w:r>
      </w:hyperlink>
      <w:r w:rsidRPr="00D001A2">
        <w:t>].</w:t>
      </w:r>
    </w:p>
  </w:footnote>
  <w:footnote w:id="8">
    <w:p w14:paraId="2775E59B" w14:textId="77777777" w:rsidR="00BA6E74" w:rsidRDefault="00BA6E74" w:rsidP="00BA6E74">
      <w:pPr>
        <w:pStyle w:val="Textpoznmkypodiarou"/>
      </w:pPr>
      <w:r>
        <w:rPr>
          <w:rStyle w:val="Odkaznapoznmkupodiarou"/>
        </w:rPr>
        <w:footnoteRef/>
      </w:r>
      <w:r>
        <w:t xml:space="preserve"> NKÚ SR – Nelichotivé vysvedčenie: Každý druhý most v zlom stave, diaľnice staviame pomaly. [</w:t>
      </w:r>
      <w:hyperlink r:id="rId7" w:history="1">
        <w:r w:rsidRPr="00C421E1">
          <w:rPr>
            <w:rStyle w:val="Hypertextovprepojenie"/>
            <w:sz w:val="16"/>
          </w:rPr>
          <w:t>online</w:t>
        </w:r>
      </w:hyperlink>
      <w:r>
        <w:t>].</w:t>
      </w:r>
    </w:p>
  </w:footnote>
  <w:footnote w:id="9">
    <w:p w14:paraId="2DECA5CB" w14:textId="77777777" w:rsidR="00D3599C" w:rsidRDefault="00D3599C" w:rsidP="00D3599C">
      <w:pPr>
        <w:pStyle w:val="Textpoznmkypodiarou"/>
      </w:pPr>
      <w:r>
        <w:rPr>
          <w:rStyle w:val="Odkaznapoznmkupodiarou"/>
        </w:rPr>
        <w:footnoteRef/>
      </w:r>
      <w:r>
        <w:t xml:space="preserve"> MF SR – Výbor pre daňové prognózy. [</w:t>
      </w:r>
      <w:hyperlink r:id="rId8" w:history="1">
        <w:r w:rsidRPr="00781508">
          <w:rPr>
            <w:rStyle w:val="Hypertextovprepojenie"/>
            <w:sz w:val="16"/>
          </w:rPr>
          <w:t>online</w:t>
        </w:r>
      </w:hyperlink>
      <w:r>
        <w:t>].</w:t>
      </w:r>
    </w:p>
  </w:footnote>
  <w:footnote w:id="10">
    <w:p w14:paraId="4A659B75" w14:textId="282420DC" w:rsidR="00EF1C9C" w:rsidRDefault="00EF1C9C" w:rsidP="00EF1C9C">
      <w:pPr>
        <w:pStyle w:val="Textpoznmkypodiarou"/>
      </w:pPr>
      <w:r>
        <w:rPr>
          <w:rStyle w:val="Odkaznapoznmkupodiarou"/>
        </w:rPr>
        <w:footnoteRef/>
      </w:r>
      <w:r>
        <w:t xml:space="preserve"> Na základe zákona č. 580/2004 Z. z. §12, ods. 1, písm. f), ktorým sa zvyšuje sadzba odvodu za poistencov štátu zo 4,5 % na 5 %. </w:t>
      </w:r>
    </w:p>
  </w:footnote>
  <w:footnote w:id="11">
    <w:p w14:paraId="6F48FA2A" w14:textId="44F49B01" w:rsidR="00277871" w:rsidRPr="000E12AB" w:rsidRDefault="00277871" w:rsidP="00DD7E8C">
      <w:pPr>
        <w:spacing w:after="0" w:line="240" w:lineRule="auto"/>
        <w:rPr>
          <w:rFonts w:eastAsia="Times New Roman" w:cs="Segoe UI"/>
          <w:iCs/>
          <w:color w:val="37383A"/>
          <w:sz w:val="16"/>
          <w:szCs w:val="16"/>
          <w:lang w:eastAsia="sk-SK"/>
        </w:rPr>
      </w:pPr>
      <w:r w:rsidRPr="000E12AB">
        <w:rPr>
          <w:rStyle w:val="Odkaznapoznmkupodiarou"/>
          <w:rFonts w:cs="Segoe UI"/>
          <w:sz w:val="16"/>
          <w:szCs w:val="16"/>
        </w:rPr>
        <w:footnoteRef/>
      </w:r>
      <w:r w:rsidRPr="000E12AB">
        <w:rPr>
          <w:rFonts w:cs="Segoe UI"/>
          <w:sz w:val="16"/>
          <w:szCs w:val="16"/>
        </w:rPr>
        <w:t xml:space="preserve"> Novela zákona o sociálnom poistení odstraňuje </w:t>
      </w:r>
      <w:r w:rsidRPr="000E12AB">
        <w:rPr>
          <w:rFonts w:eastAsia="Times New Roman" w:cs="Segoe UI"/>
          <w:iCs/>
          <w:color w:val="37383A"/>
          <w:sz w:val="16"/>
          <w:szCs w:val="16"/>
          <w:lang w:eastAsia="sk-SK"/>
        </w:rPr>
        <w:t xml:space="preserve">diskrimináciu matiek resp. rodičov, ktorí majú kvôli výchove detí nižšie dôchodky. </w:t>
      </w:r>
      <w:r w:rsidR="00F060AD">
        <w:rPr>
          <w:rFonts w:eastAsia="Times New Roman" w:cs="Segoe UI"/>
          <w:iCs/>
          <w:color w:val="37383A"/>
          <w:sz w:val="16"/>
          <w:szCs w:val="16"/>
          <w:lang w:eastAsia="sk-SK"/>
        </w:rPr>
        <w:t>Š</w:t>
      </w:r>
      <w:r w:rsidRPr="000E12AB">
        <w:rPr>
          <w:rFonts w:eastAsia="Times New Roman" w:cs="Segoe UI"/>
          <w:iCs/>
          <w:color w:val="37383A"/>
          <w:sz w:val="16"/>
          <w:szCs w:val="16"/>
          <w:lang w:eastAsia="sk-SK"/>
        </w:rPr>
        <w:t xml:space="preserve">tát </w:t>
      </w:r>
      <w:r w:rsidR="00F060AD">
        <w:rPr>
          <w:rFonts w:eastAsia="Times New Roman" w:cs="Segoe UI"/>
          <w:iCs/>
          <w:color w:val="37383A"/>
          <w:sz w:val="16"/>
          <w:szCs w:val="16"/>
          <w:lang w:eastAsia="sk-SK"/>
        </w:rPr>
        <w:t xml:space="preserve">má </w:t>
      </w:r>
      <w:r w:rsidRPr="000E12AB">
        <w:rPr>
          <w:rFonts w:eastAsia="Times New Roman" w:cs="Segoe UI"/>
          <w:iCs/>
          <w:color w:val="37383A"/>
          <w:sz w:val="16"/>
          <w:szCs w:val="16"/>
          <w:lang w:eastAsia="sk-SK"/>
        </w:rPr>
        <w:t xml:space="preserve">na matky, resp. rodičov na materskej a rodičovskej dovolenke pozerať tak, akoby riadne pracovali. </w:t>
      </w:r>
      <w:r w:rsidRPr="000E12AB">
        <w:rPr>
          <w:rFonts w:eastAsia="Times New Roman" w:cs="Segoe UI"/>
          <w:color w:val="37383A"/>
          <w:sz w:val="16"/>
          <w:szCs w:val="16"/>
          <w:lang w:eastAsia="sk-SK"/>
        </w:rPr>
        <w:t>S</w:t>
      </w:r>
      <w:r w:rsidR="00F060AD">
        <w:rPr>
          <w:rFonts w:eastAsia="Times New Roman" w:cs="Segoe UI"/>
          <w:color w:val="37383A"/>
          <w:sz w:val="16"/>
          <w:szCs w:val="16"/>
          <w:lang w:eastAsia="sk-SK"/>
        </w:rPr>
        <w:t>P</w:t>
      </w:r>
      <w:r w:rsidRPr="000E12AB">
        <w:rPr>
          <w:rFonts w:eastAsia="Times New Roman" w:cs="Segoe UI"/>
          <w:color w:val="37383A"/>
          <w:sz w:val="16"/>
          <w:szCs w:val="16"/>
          <w:lang w:eastAsia="sk-SK"/>
        </w:rPr>
        <w:t xml:space="preserve"> prepočíta starobné, predčasné a invalidné dôchodky, pričom pri </w:t>
      </w:r>
      <w:r w:rsidR="00F060AD">
        <w:rPr>
          <w:rFonts w:eastAsia="Times New Roman" w:cs="Segoe UI"/>
          <w:color w:val="37383A"/>
          <w:sz w:val="16"/>
          <w:szCs w:val="16"/>
          <w:lang w:eastAsia="sk-SK"/>
        </w:rPr>
        <w:t>pre</w:t>
      </w:r>
      <w:r w:rsidRPr="000E12AB">
        <w:rPr>
          <w:rFonts w:eastAsia="Times New Roman" w:cs="Segoe UI"/>
          <w:color w:val="37383A"/>
          <w:sz w:val="16"/>
          <w:szCs w:val="16"/>
          <w:lang w:eastAsia="sk-SK"/>
        </w:rPr>
        <w:t>počte spriemeruje zárobky z obdobia pred a po období starostlivosti o dieťa a použije ich aj za obdobie starostlivosti. Podmienkou je, že rodič musí pracovať minimálne rovnako dlho, ako sa staral o dieťa.</w:t>
      </w:r>
    </w:p>
  </w:footnote>
  <w:footnote w:id="12">
    <w:p w14:paraId="5DB22254" w14:textId="77777777" w:rsidR="00277871" w:rsidRDefault="00277871" w:rsidP="00DD7E8C">
      <w:pPr>
        <w:pStyle w:val="Textpoznmkypodiarou"/>
      </w:pPr>
      <w:r>
        <w:rPr>
          <w:rStyle w:val="Odkaznapoznmkupodiarou"/>
        </w:rPr>
        <w:footnoteRef/>
      </w:r>
      <w:r>
        <w:t xml:space="preserve"> MF SR. Inštitút finančnej politiky. Výbor pre daňové prognózy, 84. zasadnutie, september 2025.</w:t>
      </w:r>
    </w:p>
  </w:footnote>
  <w:footnote w:id="13">
    <w:p w14:paraId="15DBE123" w14:textId="76EB5AF7" w:rsidR="00277871" w:rsidRPr="000E12AB" w:rsidRDefault="00277871" w:rsidP="00DD7E8C">
      <w:pPr>
        <w:pStyle w:val="Textpoznmkypodiarou"/>
        <w:rPr>
          <w:rFonts w:cs="Segoe UI"/>
          <w:szCs w:val="16"/>
        </w:rPr>
      </w:pPr>
      <w:r w:rsidRPr="000E12AB">
        <w:rPr>
          <w:rStyle w:val="Odkaznapoznmkupodiarou"/>
          <w:rFonts w:cs="Segoe UI"/>
          <w:szCs w:val="16"/>
        </w:rPr>
        <w:footnoteRef/>
      </w:r>
      <w:r w:rsidRPr="000E12AB">
        <w:rPr>
          <w:rFonts w:cs="Segoe UI"/>
          <w:szCs w:val="16"/>
        </w:rPr>
        <w:t xml:space="preserve"> V roku 2025 bol 13. dôchodok vo výške 606,30 eur, v roku 2025 je plánovaný v sume 667,30 eur a v rokoch 2026 až 2028 nie je plánovaná valorizácia a maximálny 13. dôchodok </w:t>
      </w:r>
      <w:r w:rsidR="00F060AD">
        <w:rPr>
          <w:rFonts w:cs="Segoe UI"/>
          <w:szCs w:val="16"/>
        </w:rPr>
        <w:t>z</w:t>
      </w:r>
      <w:r w:rsidRPr="000E12AB">
        <w:rPr>
          <w:rFonts w:cs="Segoe UI"/>
          <w:szCs w:val="16"/>
        </w:rPr>
        <w:t>ostane na úrovni z roku 2025.</w:t>
      </w:r>
    </w:p>
  </w:footnote>
  <w:footnote w:id="14">
    <w:p w14:paraId="0F09371B" w14:textId="77777777" w:rsidR="003D035E" w:rsidRDefault="003D035E" w:rsidP="003D035E">
      <w:pPr>
        <w:pStyle w:val="Textpoznmkypodiarou"/>
      </w:pPr>
      <w:r>
        <w:rPr>
          <w:rStyle w:val="Odkaznapoznmkupodiarou"/>
        </w:rPr>
        <w:footnoteRef/>
      </w:r>
      <w:r>
        <w:t xml:space="preserve"> V</w:t>
      </w:r>
      <w:r w:rsidRPr="007A5E7C">
        <w:t>yjadruje</w:t>
      </w:r>
      <w:r>
        <w:t>,</w:t>
      </w:r>
      <w:r w:rsidRPr="007A5E7C">
        <w:t xml:space="preserve"> do akej miery dôchodok nahrádza príjem pred odchodom do penzie</w:t>
      </w:r>
      <w:r>
        <w:t>.</w:t>
      </w:r>
    </w:p>
  </w:footnote>
  <w:footnote w:id="15">
    <w:p w14:paraId="20BA92E3" w14:textId="0710D191" w:rsidR="00277871" w:rsidRPr="00062AE6" w:rsidRDefault="00277871" w:rsidP="00062AE6">
      <w:pPr>
        <w:spacing w:after="0" w:line="240" w:lineRule="auto"/>
        <w:rPr>
          <w:sz w:val="16"/>
          <w:szCs w:val="16"/>
        </w:rPr>
      </w:pPr>
      <w:r w:rsidRPr="00062AE6">
        <w:rPr>
          <w:rStyle w:val="Odkaznapoznmkupodiarou"/>
          <w:rFonts w:cs="Segoe UI"/>
          <w:sz w:val="16"/>
          <w:szCs w:val="16"/>
        </w:rPr>
        <w:footnoteRef/>
      </w:r>
      <w:r w:rsidRPr="00062AE6">
        <w:rPr>
          <w:rFonts w:cs="Segoe UI"/>
          <w:sz w:val="16"/>
          <w:szCs w:val="16"/>
        </w:rPr>
        <w:t xml:space="preserve"> Česká správa sociálního zabezpečení. </w:t>
      </w:r>
      <w:hyperlink r:id="rId9" w:anchor="section_1" w:history="1">
        <w:r w:rsidRPr="00062AE6">
          <w:rPr>
            <w:rFonts w:cs="Segoe UI"/>
            <w:color w:val="0000FF"/>
            <w:sz w:val="16"/>
            <w:szCs w:val="16"/>
            <w:u w:val="single"/>
          </w:rPr>
          <w:t>[online]</w:t>
        </w:r>
      </w:hyperlink>
      <w:r w:rsidRPr="00062AE6">
        <w:rPr>
          <w:rFonts w:cs="Segoe UI"/>
          <w:sz w:val="16"/>
          <w:szCs w:val="16"/>
        </w:rPr>
        <w:t>.</w:t>
      </w:r>
      <w:r w:rsidRPr="00062AE6">
        <w:rPr>
          <w:rFonts w:eastAsia="Times New Roman" w:cs="Segoe UI"/>
          <w:color w:val="000000"/>
          <w:sz w:val="16"/>
          <w:szCs w:val="16"/>
          <w:lang w:eastAsia="sk-SK"/>
        </w:rPr>
        <w:t xml:space="preserve"> Pri prepočte dôchodkov z CZK do EUR bol použitý kurz NBS v posledný deň v mesiaci december príslušného roka.</w:t>
      </w:r>
    </w:p>
  </w:footnote>
  <w:footnote w:id="16">
    <w:p w14:paraId="48C22F16" w14:textId="1DDE9401" w:rsidR="00FD4639" w:rsidRPr="00FD4639" w:rsidRDefault="00FD4639" w:rsidP="00FD4639">
      <w:pPr>
        <w:pStyle w:val="Textpoznmkypodiarou"/>
        <w:rPr>
          <w:szCs w:val="16"/>
        </w:rPr>
      </w:pPr>
      <w:r w:rsidRPr="00FD4639">
        <w:rPr>
          <w:rStyle w:val="Odkaznapoznmkupodiarou"/>
          <w:szCs w:val="16"/>
        </w:rPr>
        <w:footnoteRef/>
      </w:r>
      <w:r w:rsidRPr="00FD4639">
        <w:rPr>
          <w:szCs w:val="16"/>
        </w:rPr>
        <w:t xml:space="preserve"> Government Effectiveness Index. Svetová banka. </w:t>
      </w:r>
      <w:r w:rsidRPr="00FD4639">
        <w:rPr>
          <w:szCs w:val="16"/>
          <w:lang w:val="en-US"/>
        </w:rPr>
        <w:t>[</w:t>
      </w:r>
      <w:hyperlink r:id="rId10" w:history="1">
        <w:r w:rsidRPr="00FD4639">
          <w:rPr>
            <w:rStyle w:val="Hypertextovprepojenie"/>
            <w:sz w:val="16"/>
            <w:szCs w:val="16"/>
          </w:rPr>
          <w:t>online</w:t>
        </w:r>
      </w:hyperlink>
      <w:r w:rsidRPr="00FD4639">
        <w:rPr>
          <w:szCs w:val="16"/>
        </w:rPr>
        <w:t>].</w:t>
      </w:r>
    </w:p>
  </w:footnote>
  <w:footnote w:id="17">
    <w:p w14:paraId="634923CF" w14:textId="77777777" w:rsidR="00525C90" w:rsidRPr="00FD4639" w:rsidRDefault="00525C90" w:rsidP="00525C90">
      <w:pPr>
        <w:pStyle w:val="Textpoznmkypodiarou"/>
        <w:rPr>
          <w:szCs w:val="16"/>
        </w:rPr>
      </w:pPr>
      <w:r w:rsidRPr="00FD4639">
        <w:rPr>
          <w:rStyle w:val="Odkaznapoznmkupodiarou"/>
          <w:szCs w:val="16"/>
        </w:rPr>
        <w:footnoteRef/>
      </w:r>
      <w:r w:rsidRPr="00FD4639">
        <w:rPr>
          <w:szCs w:val="16"/>
        </w:rPr>
        <w:t xml:space="preserve"> EK, Správa o Slovensku. 2025. [</w:t>
      </w:r>
      <w:hyperlink r:id="rId11" w:history="1">
        <w:r w:rsidRPr="00FD4639">
          <w:rPr>
            <w:rStyle w:val="Hypertextovprepojenie"/>
            <w:sz w:val="16"/>
            <w:szCs w:val="16"/>
          </w:rPr>
          <w:t>online</w:t>
        </w:r>
      </w:hyperlink>
      <w:r w:rsidRPr="00FD4639">
        <w:rPr>
          <w:szCs w:val="16"/>
        </w:rPr>
        <w:t>].</w:t>
      </w:r>
    </w:p>
  </w:footnote>
  <w:footnote w:id="18">
    <w:p w14:paraId="276EEDFA" w14:textId="77777777" w:rsidR="00FD4639" w:rsidRPr="00FD4639" w:rsidRDefault="00FD4639" w:rsidP="00FD4639">
      <w:pPr>
        <w:pStyle w:val="Textpoznmkypodiarou"/>
        <w:rPr>
          <w:szCs w:val="16"/>
        </w:rPr>
      </w:pPr>
      <w:r w:rsidRPr="00FD4639">
        <w:rPr>
          <w:rStyle w:val="Odkaznapoznmkupodiarou"/>
          <w:szCs w:val="16"/>
        </w:rPr>
        <w:footnoteRef/>
      </w:r>
      <w:r w:rsidRPr="00FD4639">
        <w:rPr>
          <w:szCs w:val="16"/>
        </w:rPr>
        <w:t xml:space="preserve"> PVV 2023 – 2027. NR SR. </w:t>
      </w:r>
      <w:r w:rsidRPr="00FD4639">
        <w:rPr>
          <w:szCs w:val="16"/>
          <w:lang w:val="en-US"/>
        </w:rPr>
        <w:t>[</w:t>
      </w:r>
      <w:hyperlink r:id="rId12" w:history="1">
        <w:r w:rsidRPr="00FD4639">
          <w:rPr>
            <w:rStyle w:val="Hypertextovprepojenie"/>
            <w:sz w:val="16"/>
            <w:szCs w:val="16"/>
          </w:rPr>
          <w:t>online</w:t>
        </w:r>
      </w:hyperlink>
      <w:r w:rsidRPr="00FD4639">
        <w:rPr>
          <w:szCs w:val="16"/>
        </w:rPr>
        <w:t>].</w:t>
      </w:r>
    </w:p>
  </w:footnote>
  <w:footnote w:id="19">
    <w:p w14:paraId="65AC55F4" w14:textId="5DA39712" w:rsidR="00FD4639" w:rsidRPr="00FD4639" w:rsidRDefault="00FD4639" w:rsidP="00FD4639">
      <w:pPr>
        <w:pStyle w:val="Textpoznmkypodiarou"/>
        <w:rPr>
          <w:szCs w:val="16"/>
        </w:rPr>
      </w:pPr>
      <w:r w:rsidRPr="00FD4639">
        <w:rPr>
          <w:rStyle w:val="Odkaznapoznmkupodiarou"/>
          <w:szCs w:val="16"/>
        </w:rPr>
        <w:footnoteRef/>
      </w:r>
      <w:r w:rsidRPr="00FD4639">
        <w:rPr>
          <w:szCs w:val="16"/>
        </w:rPr>
        <w:t xml:space="preserve"> </w:t>
      </w:r>
      <w:r>
        <w:rPr>
          <w:szCs w:val="16"/>
          <w:lang w:val="en-US"/>
        </w:rPr>
        <w:t>[</w:t>
      </w:r>
      <w:hyperlink r:id="rId13" w:history="1">
        <w:r w:rsidRPr="00FD4639">
          <w:rPr>
            <w:rStyle w:val="Hypertextovprepojenie"/>
            <w:sz w:val="16"/>
            <w:szCs w:val="16"/>
          </w:rPr>
          <w:t>online</w:t>
        </w:r>
      </w:hyperlink>
      <w:r>
        <w:rPr>
          <w:szCs w:val="16"/>
        </w:rPr>
        <w:t>].</w:t>
      </w:r>
    </w:p>
  </w:footnote>
  <w:footnote w:id="20">
    <w:p w14:paraId="7D905F9F" w14:textId="11BE80AB" w:rsidR="00FD4639" w:rsidRDefault="00FD4639" w:rsidP="00FD4639">
      <w:pPr>
        <w:pStyle w:val="Textpoznmkypodiarou"/>
      </w:pPr>
      <w:r>
        <w:rPr>
          <w:rStyle w:val="Odkaznapoznmkupodiarou"/>
        </w:rPr>
        <w:footnoteRef/>
      </w:r>
      <w:r>
        <w:t xml:space="preserve"> 575/2001 Z. z. o organizácii činnosti vlády a organizácii ústrednej štátnej správy.</w:t>
      </w:r>
    </w:p>
  </w:footnote>
  <w:footnote w:id="21">
    <w:p w14:paraId="3A2C91E9" w14:textId="77777777" w:rsidR="00A31055" w:rsidRPr="00A31055" w:rsidRDefault="00A31055" w:rsidP="00A31055">
      <w:pPr>
        <w:pStyle w:val="Textpoznmkypodiarou"/>
        <w:rPr>
          <w:szCs w:val="16"/>
        </w:rPr>
      </w:pPr>
      <w:r w:rsidRPr="00A31055">
        <w:rPr>
          <w:rStyle w:val="Odkaznapoznmkupodiarou"/>
          <w:szCs w:val="16"/>
        </w:rPr>
        <w:footnoteRef/>
      </w:r>
      <w:r w:rsidRPr="00A31055">
        <w:rPr>
          <w:szCs w:val="16"/>
        </w:rPr>
        <w:t xml:space="preserve"> Ekonomický a menový vývoj, september 2025. NBS. 2025. </w:t>
      </w:r>
      <w:r w:rsidRPr="00A31055">
        <w:rPr>
          <w:szCs w:val="16"/>
          <w:lang w:val="en-US"/>
        </w:rPr>
        <w:t>[</w:t>
      </w:r>
      <w:hyperlink r:id="rId14" w:history="1">
        <w:r w:rsidRPr="00A31055">
          <w:rPr>
            <w:rStyle w:val="Hypertextovprepojenie"/>
            <w:sz w:val="16"/>
            <w:szCs w:val="16"/>
          </w:rPr>
          <w:t>online</w:t>
        </w:r>
      </w:hyperlink>
      <w:r w:rsidRPr="00A31055">
        <w:rPr>
          <w:szCs w:val="16"/>
        </w:rPr>
        <w:t>].</w:t>
      </w:r>
    </w:p>
  </w:footnote>
  <w:footnote w:id="22">
    <w:p w14:paraId="7B26923D" w14:textId="77777777" w:rsidR="00A31055" w:rsidRDefault="00A31055" w:rsidP="00A31055">
      <w:pPr>
        <w:pStyle w:val="Textpoznmkypodiarou"/>
      </w:pPr>
      <w:r>
        <w:rPr>
          <w:rStyle w:val="Odkaznapoznmkupodiarou"/>
        </w:rPr>
        <w:footnoteRef/>
      </w:r>
      <w:r>
        <w:t xml:space="preserve"> V nadväznosti na uznesenie vlády SR č. 649/2020 </w:t>
      </w:r>
    </w:p>
  </w:footnote>
  <w:footnote w:id="23">
    <w:p w14:paraId="1766B273" w14:textId="77777777" w:rsidR="002D712E" w:rsidRDefault="002D712E" w:rsidP="002D712E">
      <w:pPr>
        <w:pStyle w:val="Textpoznmkypodiarou"/>
      </w:pPr>
      <w:r>
        <w:rPr>
          <w:rStyle w:val="Odkaznapoznmkupodiarou"/>
        </w:rPr>
        <w:footnoteRef/>
      </w:r>
      <w:r>
        <w:t xml:space="preserve"> Zvýšenie v kapitole MŠVVM SR  je spôsobené novelou školského zákona z roku 2023 a z dôvodu zvýšenia počtu detí a žiakov materských škôl. V kapitole MPSVR SR je zvýšenie počtu zamestnancov z dôvodu zákona o integrovanej posudkovej činnosti a novelou zákona o profesionálnych náhradných rodičoch.</w:t>
      </w:r>
    </w:p>
  </w:footnote>
  <w:footnote w:id="24">
    <w:p w14:paraId="3C60939D" w14:textId="77777777" w:rsidR="00522970" w:rsidRDefault="00522970" w:rsidP="00522970">
      <w:pPr>
        <w:pStyle w:val="Textpoznmkypodiarou"/>
      </w:pPr>
      <w:r>
        <w:rPr>
          <w:rStyle w:val="Odkaznapoznmkupodiarou"/>
        </w:rPr>
        <w:footnoteRef/>
      </w:r>
      <w:r>
        <w:rPr>
          <w:szCs w:val="16"/>
        </w:rPr>
        <w:t xml:space="preserve"> </w:t>
      </w:r>
      <w:r w:rsidRPr="00251665">
        <w:rPr>
          <w:szCs w:val="16"/>
        </w:rPr>
        <w:t xml:space="preserve">ÚHP – </w:t>
      </w:r>
      <w:r w:rsidRPr="0085079F">
        <w:rPr>
          <w:szCs w:val="16"/>
        </w:rPr>
        <w:t>Tajomstvá štátnych nájmov. 2025.</w:t>
      </w:r>
      <w:r w:rsidRPr="00E65673">
        <w:rPr>
          <w:szCs w:val="16"/>
        </w:rPr>
        <w:t xml:space="preserve"> </w:t>
      </w:r>
      <w:r w:rsidRPr="00E65673">
        <w:rPr>
          <w:szCs w:val="16"/>
          <w:lang w:val="en-US"/>
        </w:rPr>
        <w:t>[</w:t>
      </w:r>
      <w:hyperlink r:id="rId15" w:history="1">
        <w:r w:rsidRPr="00BB314F">
          <w:rPr>
            <w:rStyle w:val="Hypertextovprepojenie"/>
            <w:sz w:val="16"/>
            <w:szCs w:val="16"/>
          </w:rPr>
          <w:t>online</w:t>
        </w:r>
      </w:hyperlink>
      <w:r w:rsidRPr="00251665">
        <w:rPr>
          <w:szCs w:val="16"/>
        </w:rPr>
        <w:t>].</w:t>
      </w:r>
    </w:p>
  </w:footnote>
  <w:footnote w:id="25">
    <w:p w14:paraId="72116104" w14:textId="77777777" w:rsidR="00AC2FEA" w:rsidRPr="00393D9E" w:rsidRDefault="00AC2FEA" w:rsidP="00AC2FEA">
      <w:pPr>
        <w:pStyle w:val="Plonk1"/>
        <w:rPr>
          <w:rFonts w:ascii="Segoe UI" w:hAnsi="Segoe UI" w:cs="Segoe UI"/>
          <w:sz w:val="16"/>
          <w:szCs w:val="16"/>
        </w:rPr>
      </w:pPr>
      <w:r w:rsidRPr="00393D9E">
        <w:rPr>
          <w:rStyle w:val="Odkaznapoznmkupodiarou"/>
          <w:rFonts w:ascii="Segoe UI" w:hAnsi="Segoe UI" w:cs="Segoe UI"/>
          <w:sz w:val="16"/>
          <w:szCs w:val="16"/>
        </w:rPr>
        <w:footnoteRef/>
      </w:r>
      <w:r w:rsidRPr="00393D9E">
        <w:rPr>
          <w:rFonts w:ascii="Segoe UI" w:hAnsi="Segoe UI" w:cs="Segoe UI"/>
          <w:sz w:val="16"/>
          <w:szCs w:val="16"/>
        </w:rPr>
        <w:t xml:space="preserve"> </w:t>
      </w:r>
      <w:bookmarkStart w:id="20" w:name="_Hlk206763199"/>
      <w:r w:rsidRPr="00393D9E">
        <w:rPr>
          <w:rFonts w:ascii="Segoe UI" w:hAnsi="Segoe UI" w:cs="Segoe UI"/>
          <w:sz w:val="16"/>
          <w:szCs w:val="16"/>
        </w:rPr>
        <w:t xml:space="preserve">Národný strednodobý fiškálno-štrukturálny plán SR. </w:t>
      </w:r>
      <w:hyperlink r:id="rId16" w:history="1">
        <w:r w:rsidRPr="00393D9E">
          <w:rPr>
            <w:rStyle w:val="Hypertextovprepojenie1"/>
            <w:rFonts w:ascii="Segoe UI" w:hAnsi="Segoe UI" w:cs="Segoe UI"/>
            <w:sz w:val="16"/>
            <w:szCs w:val="16"/>
          </w:rPr>
          <w:t>[online]</w:t>
        </w:r>
      </w:hyperlink>
      <w:r w:rsidRPr="00393D9E">
        <w:rPr>
          <w:rFonts w:ascii="Segoe UI" w:hAnsi="Segoe UI" w:cs="Segoe UI"/>
          <w:sz w:val="16"/>
          <w:szCs w:val="16"/>
        </w:rPr>
        <w:t>.</w:t>
      </w:r>
      <w:bookmarkEnd w:id="20"/>
    </w:p>
  </w:footnote>
  <w:footnote w:id="26">
    <w:p w14:paraId="1FC3C3C7" w14:textId="77777777" w:rsidR="00AC2FEA" w:rsidRPr="00393D9E" w:rsidRDefault="00AC2FEA" w:rsidP="00AC2FEA">
      <w:pPr>
        <w:pStyle w:val="Plonk1"/>
        <w:rPr>
          <w:rFonts w:ascii="Segoe UI" w:hAnsi="Segoe UI" w:cs="Segoe UI"/>
          <w:sz w:val="16"/>
          <w:szCs w:val="16"/>
        </w:rPr>
      </w:pPr>
      <w:r w:rsidRPr="00393D9E">
        <w:rPr>
          <w:rStyle w:val="Odkaznapoznmkupodiarou"/>
          <w:rFonts w:ascii="Segoe UI" w:hAnsi="Segoe UI" w:cs="Segoe UI"/>
          <w:sz w:val="16"/>
          <w:szCs w:val="16"/>
        </w:rPr>
        <w:footnoteRef/>
      </w:r>
      <w:r w:rsidRPr="00393D9E">
        <w:rPr>
          <w:rFonts w:ascii="Segoe UI" w:hAnsi="Segoe UI" w:cs="Segoe UI"/>
          <w:sz w:val="16"/>
          <w:szCs w:val="16"/>
        </w:rPr>
        <w:t xml:space="preserve"> Výročná správa o pokroku a stanovisko MF SR k hodnoteniu RRZ. </w:t>
      </w:r>
      <w:hyperlink r:id="rId17" w:history="1">
        <w:r w:rsidRPr="00393D9E">
          <w:rPr>
            <w:rStyle w:val="Hypertextovprepojenie1"/>
            <w:rFonts w:ascii="Segoe UI" w:hAnsi="Segoe UI" w:cs="Segoe UI"/>
            <w:sz w:val="16"/>
            <w:szCs w:val="16"/>
          </w:rPr>
          <w:t>[online]</w:t>
        </w:r>
      </w:hyperlink>
      <w:r w:rsidRPr="00393D9E">
        <w:rPr>
          <w:rFonts w:ascii="Segoe UI" w:hAnsi="Segoe UI" w:cs="Segoe UI"/>
          <w:sz w:val="16"/>
          <w:szCs w:val="16"/>
        </w:rPr>
        <w:t>.</w:t>
      </w:r>
    </w:p>
  </w:footnote>
  <w:footnote w:id="27">
    <w:p w14:paraId="343A5D5F" w14:textId="77777777" w:rsidR="00AC2FEA" w:rsidRPr="00393D9E" w:rsidRDefault="00AC2FEA" w:rsidP="00AC2FEA">
      <w:pPr>
        <w:pStyle w:val="Plonk1"/>
        <w:rPr>
          <w:rFonts w:ascii="Segoe UI" w:hAnsi="Segoe UI" w:cs="Segoe UI"/>
          <w:sz w:val="16"/>
          <w:szCs w:val="16"/>
        </w:rPr>
      </w:pPr>
      <w:r w:rsidRPr="00393D9E">
        <w:rPr>
          <w:rStyle w:val="Odkaznapoznmkupodiarou"/>
          <w:rFonts w:ascii="Segoe UI" w:hAnsi="Segoe UI" w:cs="Segoe UI"/>
          <w:sz w:val="16"/>
          <w:szCs w:val="16"/>
        </w:rPr>
        <w:footnoteRef/>
      </w:r>
      <w:r w:rsidRPr="00393D9E">
        <w:rPr>
          <w:rFonts w:ascii="Segoe UI" w:hAnsi="Segoe UI" w:cs="Segoe UI"/>
          <w:sz w:val="16"/>
          <w:szCs w:val="16"/>
        </w:rPr>
        <w:t xml:space="preserve"> Hodnotenie Výročnej správy o pokroku 2025. </w:t>
      </w:r>
      <w:hyperlink r:id="rId18" w:history="1">
        <w:r w:rsidRPr="00393D9E">
          <w:rPr>
            <w:rStyle w:val="Hypertextovprepojenie1"/>
            <w:rFonts w:ascii="Segoe UI" w:hAnsi="Segoe UI" w:cs="Segoe UI"/>
            <w:sz w:val="16"/>
            <w:szCs w:val="16"/>
          </w:rPr>
          <w:t>[online]</w:t>
        </w:r>
      </w:hyperlink>
      <w:r w:rsidRPr="00393D9E">
        <w:rPr>
          <w:rFonts w:ascii="Segoe UI" w:hAnsi="Segoe UI" w:cs="Segoe UI"/>
          <w:sz w:val="16"/>
          <w:szCs w:val="16"/>
        </w:rPr>
        <w:t>.</w:t>
      </w:r>
    </w:p>
  </w:footnote>
  <w:footnote w:id="28">
    <w:p w14:paraId="3E1CC234" w14:textId="77777777" w:rsidR="00AC2FEA" w:rsidRPr="00393D9E" w:rsidRDefault="00AC2FEA" w:rsidP="00AC2FEA">
      <w:pPr>
        <w:pStyle w:val="Plonk1"/>
        <w:rPr>
          <w:rFonts w:ascii="Segoe UI" w:hAnsi="Segoe UI" w:cs="Segoe UI"/>
          <w:sz w:val="16"/>
          <w:szCs w:val="16"/>
        </w:rPr>
      </w:pPr>
      <w:r w:rsidRPr="00393D9E">
        <w:rPr>
          <w:rStyle w:val="Odkaznapoznmkupodiarou"/>
          <w:rFonts w:ascii="Segoe UI" w:hAnsi="Segoe UI" w:cs="Segoe UI"/>
          <w:sz w:val="16"/>
          <w:szCs w:val="16"/>
        </w:rPr>
        <w:footnoteRef/>
      </w:r>
      <w:r w:rsidRPr="00393D9E">
        <w:rPr>
          <w:rFonts w:ascii="Segoe UI" w:hAnsi="Segoe UI" w:cs="Segoe UI"/>
          <w:sz w:val="16"/>
          <w:szCs w:val="16"/>
        </w:rPr>
        <w:t xml:space="preserve"> Stanovisko Najvyššieho kontrolného úradu SR k návrhu štátneho rozpočtu SR na rok 2025. [</w:t>
      </w:r>
      <w:hyperlink r:id="rId19" w:history="1">
        <w:r w:rsidRPr="00393D9E">
          <w:rPr>
            <w:rStyle w:val="Hypertextovprepojenie1"/>
            <w:rFonts w:ascii="Segoe UI" w:hAnsi="Segoe UI" w:cs="Segoe UI"/>
            <w:sz w:val="16"/>
            <w:szCs w:val="16"/>
          </w:rPr>
          <w:t>online</w:t>
        </w:r>
      </w:hyperlink>
      <w:r w:rsidRPr="00393D9E">
        <w:rPr>
          <w:rFonts w:ascii="Segoe UI" w:hAnsi="Segoe UI" w:cs="Segoe UI"/>
          <w:sz w:val="16"/>
          <w:szCs w:val="16"/>
        </w:rPr>
        <w:t>].</w:t>
      </w:r>
    </w:p>
  </w:footnote>
  <w:footnote w:id="29">
    <w:p w14:paraId="34C9ED19" w14:textId="77777777" w:rsidR="0006275C" w:rsidRPr="0093035B" w:rsidRDefault="0006275C" w:rsidP="0006275C">
      <w:pPr>
        <w:pStyle w:val="Textpoznmkypodiarou"/>
        <w:rPr>
          <w:rFonts w:cs="Segoe UI"/>
          <w:szCs w:val="16"/>
        </w:rPr>
      </w:pPr>
      <w:r w:rsidRPr="0093035B">
        <w:rPr>
          <w:rStyle w:val="Odkaznapoznmkupodiarou"/>
          <w:rFonts w:cs="Segoe UI"/>
          <w:szCs w:val="16"/>
        </w:rPr>
        <w:footnoteRef/>
      </w:r>
      <w:r w:rsidRPr="0093035B">
        <w:rPr>
          <w:rFonts w:cs="Segoe UI"/>
          <w:szCs w:val="16"/>
        </w:rPr>
        <w:t xml:space="preserve"> </w:t>
      </w:r>
      <w:r>
        <w:rPr>
          <w:rFonts w:cs="Segoe UI"/>
          <w:szCs w:val="16"/>
        </w:rPr>
        <w:t>Z</w:t>
      </w:r>
      <w:r w:rsidRPr="0093035B">
        <w:rPr>
          <w:rFonts w:cs="Segoe UI"/>
          <w:szCs w:val="16"/>
        </w:rPr>
        <w:t xml:space="preserve"> toho na poľnohospodárske fondy v sume </w:t>
      </w:r>
      <w:r>
        <w:rPr>
          <w:rFonts w:cs="Segoe UI"/>
          <w:szCs w:val="16"/>
        </w:rPr>
        <w:t>106,2</w:t>
      </w:r>
      <w:r w:rsidRPr="0093035B">
        <w:rPr>
          <w:rFonts w:cs="Segoe UI"/>
          <w:szCs w:val="16"/>
        </w:rPr>
        <w:t xml:space="preserve"> mil. eur a na štrukturálne fondy vo výške </w:t>
      </w:r>
      <w:r>
        <w:rPr>
          <w:rFonts w:cs="Segoe UI"/>
          <w:szCs w:val="16"/>
        </w:rPr>
        <w:t>393,5</w:t>
      </w:r>
      <w:r w:rsidRPr="0093035B">
        <w:rPr>
          <w:rFonts w:cs="Segoe UI"/>
          <w:szCs w:val="16"/>
        </w:rPr>
        <w:t xml:space="preserve"> mil. eur.</w:t>
      </w:r>
    </w:p>
  </w:footnote>
  <w:footnote w:id="30">
    <w:p w14:paraId="4199B7D7" w14:textId="123B9878" w:rsidR="0006275C" w:rsidRPr="0093035B" w:rsidRDefault="0006275C" w:rsidP="0006275C">
      <w:pPr>
        <w:pStyle w:val="Textpoznmkypodiarou"/>
        <w:rPr>
          <w:rFonts w:cs="Segoe UI"/>
          <w:szCs w:val="16"/>
        </w:rPr>
      </w:pPr>
      <w:r w:rsidRPr="0093035B">
        <w:rPr>
          <w:rStyle w:val="Odkaznapoznmkupodiarou"/>
          <w:rFonts w:cs="Segoe UI"/>
          <w:szCs w:val="16"/>
        </w:rPr>
        <w:footnoteRef/>
      </w:r>
      <w:r>
        <w:rPr>
          <w:rFonts w:cs="Segoe UI"/>
          <w:szCs w:val="16"/>
        </w:rPr>
        <w:t xml:space="preserve"> Prostriedky EÚ</w:t>
      </w:r>
      <w:r w:rsidRPr="0093035B">
        <w:rPr>
          <w:rFonts w:cs="Segoe UI"/>
          <w:szCs w:val="16"/>
        </w:rPr>
        <w:t xml:space="preserve"> prijaté na samostatný účet NIKA prevádza na príjmový účet kapitoly VPS</w:t>
      </w:r>
      <w:r>
        <w:rPr>
          <w:rFonts w:cs="Segoe UI"/>
          <w:szCs w:val="16"/>
        </w:rPr>
        <w:t>, čím sa zaradia do príjmov ŠR. [</w:t>
      </w:r>
      <w:hyperlink r:id="rId20" w:history="1">
        <w:r w:rsidRPr="0087188A">
          <w:rPr>
            <w:rStyle w:val="Hypertextovprepojenie"/>
            <w:rFonts w:cs="Segoe UI"/>
            <w:sz w:val="16"/>
            <w:szCs w:val="16"/>
          </w:rPr>
          <w:t>online</w:t>
        </w:r>
      </w:hyperlink>
      <w:r>
        <w:rPr>
          <w:rStyle w:val="Hypertextovprepojenie"/>
          <w:rFonts w:cs="Segoe UI"/>
          <w:color w:val="auto"/>
          <w:sz w:val="16"/>
          <w:szCs w:val="16"/>
        </w:rPr>
        <w:t>]</w:t>
      </w:r>
      <w:r w:rsidRPr="0093035B">
        <w:rPr>
          <w:rFonts w:cs="Segoe UI"/>
          <w:szCs w:val="16"/>
        </w:rPr>
        <w:t>.</w:t>
      </w:r>
    </w:p>
  </w:footnote>
  <w:footnote w:id="31">
    <w:p w14:paraId="412E9DB1" w14:textId="1354EAD2" w:rsidR="0006275C" w:rsidRPr="0093035B" w:rsidRDefault="0006275C" w:rsidP="0006275C">
      <w:pPr>
        <w:pStyle w:val="Textpoznmkypodiarou"/>
        <w:rPr>
          <w:rFonts w:cs="Segoe UI"/>
          <w:szCs w:val="16"/>
        </w:rPr>
      </w:pPr>
      <w:r w:rsidRPr="0093035B">
        <w:rPr>
          <w:rStyle w:val="Odkaznapoznmkupodiarou"/>
          <w:rFonts w:cs="Segoe UI"/>
          <w:szCs w:val="16"/>
        </w:rPr>
        <w:footnoteRef/>
      </w:r>
      <w:r w:rsidRPr="0093035B">
        <w:rPr>
          <w:rFonts w:cs="Segoe UI"/>
          <w:szCs w:val="16"/>
        </w:rPr>
        <w:t xml:space="preserve"> MIRRI</w:t>
      </w:r>
      <w:r>
        <w:rPr>
          <w:rFonts w:cs="Segoe UI"/>
          <w:szCs w:val="16"/>
        </w:rPr>
        <w:t xml:space="preserve"> SR</w:t>
      </w:r>
      <w:r w:rsidRPr="0093035B">
        <w:rPr>
          <w:rFonts w:cs="Segoe UI"/>
          <w:szCs w:val="16"/>
        </w:rPr>
        <w:t>, MV SR, MS SR, MF SR, MŽP SR, MŠVV</w:t>
      </w:r>
      <w:r>
        <w:rPr>
          <w:rFonts w:cs="Segoe UI"/>
          <w:szCs w:val="16"/>
        </w:rPr>
        <w:t>M</w:t>
      </w:r>
      <w:r w:rsidRPr="0093035B">
        <w:rPr>
          <w:rFonts w:cs="Segoe UI"/>
          <w:szCs w:val="16"/>
        </w:rPr>
        <w:t xml:space="preserve"> SR, MZ SR, MPSVR SR, MH SR, MD SR, ÚVO a</w:t>
      </w:r>
      <w:r>
        <w:rPr>
          <w:rFonts w:cs="Segoe UI"/>
          <w:szCs w:val="16"/>
        </w:rPr>
        <w:t> </w:t>
      </w:r>
      <w:r w:rsidRPr="0093035B">
        <w:rPr>
          <w:rFonts w:cs="Segoe UI"/>
          <w:szCs w:val="16"/>
        </w:rPr>
        <w:t>NIKA</w:t>
      </w:r>
      <w:r>
        <w:rPr>
          <w:rFonts w:cs="Segoe UI"/>
          <w:szCs w:val="16"/>
        </w:rPr>
        <w:t>.</w:t>
      </w:r>
    </w:p>
  </w:footnote>
  <w:footnote w:id="32">
    <w:p w14:paraId="19F1A768" w14:textId="77777777" w:rsidR="003816FB" w:rsidRDefault="003816FB" w:rsidP="003816FB">
      <w:pPr>
        <w:pStyle w:val="Textpoznmkypodiarou"/>
      </w:pPr>
      <w:r>
        <w:rPr>
          <w:rStyle w:val="Odkaznapoznmkupodiarou"/>
        </w:rPr>
        <w:footnoteRef/>
      </w:r>
      <w:r>
        <w:t xml:space="preserve"> Minimálna hranica čerpania za prvý ročný záväzok už bola vďaka vyplateniu mimoriadnej 30 % zálohovej platby z EK (v dôsledku presunu časti alokácie P SK v sume 231,8 mil. eur na novú iniciatívu: Platforma strategických technológií pre Európu – STEP) znížená o 69,5 mil. eur.  Presun alokácie bol schválený v rámci revízie P SK rozhodnutím EK č. </w:t>
      </w:r>
      <w:r w:rsidRPr="00D04341">
        <w:t>C(2025) 4799 final</w:t>
      </w:r>
      <w:r>
        <w:t xml:space="preserve"> zo </w:t>
      </w:r>
      <w:r w:rsidRPr="00D04341">
        <w:t>14. 7. 2025</w:t>
      </w:r>
      <w:r>
        <w:t>.</w:t>
      </w:r>
    </w:p>
  </w:footnote>
  <w:footnote w:id="33">
    <w:p w14:paraId="66B0063D" w14:textId="77777777" w:rsidR="003816FB" w:rsidRDefault="003816FB" w:rsidP="003816FB">
      <w:pPr>
        <w:pStyle w:val="Textpoznmkypodiarou"/>
      </w:pPr>
      <w:r>
        <w:rPr>
          <w:rStyle w:val="Odkaznapoznmkupodiarou"/>
        </w:rPr>
        <w:footnoteRef/>
      </w:r>
      <w:r>
        <w:t xml:space="preserve"> P</w:t>
      </w:r>
      <w:r w:rsidRPr="006A1254">
        <w:t xml:space="preserve">ravidlo n+3 je potrebné dodržať na úrovni programu ako celku, </w:t>
      </w:r>
      <w:r>
        <w:t>čo umožňuje nedostatočné čerpanie jednej priority kompenzovať nadčerpaním inej priority.</w:t>
      </w:r>
      <w:r w:rsidRPr="00932368">
        <w:t xml:space="preserve"> Zároveň </w:t>
      </w:r>
      <w:r>
        <w:t>k vyhnutiu sa prepadu časti alokácie</w:t>
      </w:r>
      <w:r w:rsidRPr="00932368">
        <w:t xml:space="preserve"> ku koncu roka 2025 môže prispieť revízia P</w:t>
      </w:r>
      <w:r>
        <w:t xml:space="preserve"> </w:t>
      </w:r>
      <w:r w:rsidRPr="00932368">
        <w:t xml:space="preserve">SK, v ktorej min. 10 % alokácie bude presunutých na nové priority EK definované v rámci Modernizovanej kohéznej politiky. SR tak splní podmienku </w:t>
      </w:r>
      <w:r>
        <w:t>pre</w:t>
      </w:r>
      <w:r w:rsidRPr="00932368">
        <w:t xml:space="preserve"> vyplatenie dodatočnej jednorazovej zálohovej platby vo výške 9,5 % z alokácie P</w:t>
      </w:r>
      <w:r>
        <w:t xml:space="preserve"> </w:t>
      </w:r>
      <w:r w:rsidRPr="00932368">
        <w:t xml:space="preserve">SK, ktorá </w:t>
      </w:r>
      <w:r>
        <w:t>z</w:t>
      </w:r>
      <w:r w:rsidRPr="00932368">
        <w:t>níži záväzok čerpania do konca roka 2025. Podmienkou však je predloženie takejto revízie P</w:t>
      </w:r>
      <w:r>
        <w:t xml:space="preserve"> </w:t>
      </w:r>
      <w:r w:rsidRPr="00932368">
        <w:t xml:space="preserve">SK na EK do konca roka 2025. </w:t>
      </w:r>
      <w:r w:rsidRPr="00DE339C">
        <w:t>[</w:t>
      </w:r>
      <w:hyperlink r:id="rId21" w:history="1">
        <w:r w:rsidRPr="003B5103">
          <w:rPr>
            <w:rStyle w:val="Hypertextovprepojenie"/>
            <w:sz w:val="16"/>
          </w:rPr>
          <w:t>online</w:t>
        </w:r>
      </w:hyperlink>
      <w:r w:rsidRPr="00DE339C">
        <w:t>]</w:t>
      </w:r>
      <w:r>
        <w:t>.</w:t>
      </w:r>
    </w:p>
  </w:footnote>
  <w:footnote w:id="34">
    <w:p w14:paraId="4AC6D239" w14:textId="77777777" w:rsidR="00DC70CB" w:rsidRDefault="00DC70CB" w:rsidP="00DC70CB">
      <w:pPr>
        <w:pStyle w:val="Textpoznmkypodiarou"/>
      </w:pPr>
      <w:r>
        <w:rPr>
          <w:rStyle w:val="Odkaznapoznmkupodiarou"/>
        </w:rPr>
        <w:footnoteRef/>
      </w:r>
      <w:r>
        <w:t xml:space="preserve"> Zdroj: ITMS21+. </w:t>
      </w:r>
      <w:r w:rsidRPr="00955BA0">
        <w:t>[</w:t>
      </w:r>
      <w:hyperlink r:id="rId22" w:history="1">
        <w:r w:rsidRPr="00955BA0">
          <w:rPr>
            <w:rStyle w:val="Hypertextovprepojenie"/>
            <w:sz w:val="16"/>
          </w:rPr>
          <w:t>online</w:t>
        </w:r>
      </w:hyperlink>
      <w:r w:rsidRPr="00955BA0">
        <w:t>].</w:t>
      </w:r>
    </w:p>
  </w:footnote>
  <w:footnote w:id="35">
    <w:p w14:paraId="1DF27D73" w14:textId="77777777" w:rsidR="003816FB" w:rsidRDefault="003816FB" w:rsidP="003816FB">
      <w:pPr>
        <w:pStyle w:val="Textpoznmkypodiarou"/>
      </w:pPr>
      <w:r>
        <w:rPr>
          <w:rStyle w:val="Odkaznapoznmkupodiarou"/>
        </w:rPr>
        <w:footnoteRef/>
      </w:r>
      <w:r>
        <w:t xml:space="preserve"> K 30. 9. 2025 sa implementuje 12 fázovaných dopravných projektov v celkovej výške 482,1 mil. eur, u ktorých bolo ukončené VO na výber dodávateľov. Zostáva dočerpať takmer 222,6 mil. eur, z toho za zdroj EÚ 84,7 mil. eur (zdroj: ITMS2021+). Okrem toho sú v implementácii aj fázované projekty MŽP a MIRRI SR, avšak v nižších sumách.</w:t>
      </w:r>
    </w:p>
  </w:footnote>
  <w:footnote w:id="36">
    <w:p w14:paraId="7AC36390" w14:textId="77777777" w:rsidR="003816FB" w:rsidRDefault="003816FB" w:rsidP="003816FB">
      <w:pPr>
        <w:pStyle w:val="Textpoznmkypodiarou"/>
      </w:pPr>
      <w:r>
        <w:rPr>
          <w:rStyle w:val="Odkaznapoznmkupodiarou"/>
        </w:rPr>
        <w:footnoteRef/>
      </w:r>
      <w:r>
        <w:t xml:space="preserve"> K 30. 9. 2025 sa uzavrelo deväť zmlúv o financovaní v sume 924,4 mil. eur. Doteraz vyplatené tranže sú vo výške 256,7 mil. eur (z toho za zdroj EÚ 204,6 mil. eur), t. j. takmer jedna tretina. </w:t>
      </w:r>
      <w:r w:rsidRPr="00C4766C">
        <w:t>(zdroj: ITMS2021+).</w:t>
      </w:r>
    </w:p>
  </w:footnote>
  <w:footnote w:id="37">
    <w:p w14:paraId="34CF93C2" w14:textId="77777777" w:rsidR="003816FB" w:rsidRDefault="003816FB" w:rsidP="003816FB">
      <w:pPr>
        <w:pStyle w:val="Textpoznmkypodiarou"/>
      </w:pPr>
      <w:r>
        <w:rPr>
          <w:rStyle w:val="Odkaznapoznmkupodiarou"/>
        </w:rPr>
        <w:footnoteRef/>
      </w:r>
      <w:r>
        <w:t xml:space="preserve"> K 30. 9. 2025 sa uzavreli zmluvy o NFP na 118 národných projektov v sume 3 616,2 mil. eur. Z toho 20 projektov má zazmluvnené prostriedky nad 50 mil. eur. Ide najmä o projekty MD SR, MŠVVM SR, MIRRI SR, MPSVaR SR, SIEA a ÚV SR. </w:t>
      </w:r>
    </w:p>
  </w:footnote>
  <w:footnote w:id="38">
    <w:p w14:paraId="1A644A7A" w14:textId="77777777" w:rsidR="003816FB" w:rsidRDefault="003816FB" w:rsidP="003816FB">
      <w:pPr>
        <w:pStyle w:val="Textpoznmkypodiarou"/>
      </w:pPr>
      <w:r>
        <w:rPr>
          <w:rStyle w:val="Odkaznapoznmkupodiarou"/>
        </w:rPr>
        <w:footnoteRef/>
      </w:r>
      <w:r>
        <w:t xml:space="preserve"> </w:t>
      </w:r>
      <w:r w:rsidRPr="00B166D7">
        <w:t xml:space="preserve">ÚVO </w:t>
      </w:r>
      <w:r>
        <w:t>podľa</w:t>
      </w:r>
      <w:r w:rsidRPr="00B166D7">
        <w:t xml:space="preserve"> UV č. 641/2021 </w:t>
      </w:r>
      <w:r>
        <w:t>vykonáva</w:t>
      </w:r>
      <w:r w:rsidRPr="00B166D7">
        <w:t xml:space="preserve"> kontrolu zákaziek VO financovaných z fondov EÚ v rámci </w:t>
      </w:r>
      <w:r>
        <w:t>P SK</w:t>
      </w:r>
      <w:r w:rsidRPr="00B166D7">
        <w:t>.</w:t>
      </w:r>
      <w:r>
        <w:t xml:space="preserve"> </w:t>
      </w:r>
      <w:r w:rsidRPr="00BC654C">
        <w:t xml:space="preserve">UV SR č. 488/2023 </w:t>
      </w:r>
      <w:r>
        <w:t xml:space="preserve">bolo pre ÚVO od 1. 1. 2024 </w:t>
      </w:r>
      <w:r w:rsidRPr="00BC654C">
        <w:t xml:space="preserve">schválených 110 </w:t>
      </w:r>
      <w:r>
        <w:t xml:space="preserve">administratívnych kapacít, pričom k 25. 6. 2025 bolo z toho obsadených 52,8. </w:t>
      </w:r>
      <w:r w:rsidRPr="00DE339C">
        <w:t>[</w:t>
      </w:r>
      <w:hyperlink r:id="rId23" w:history="1">
        <w:r w:rsidRPr="00D237A6">
          <w:rPr>
            <w:rStyle w:val="Hypertextovprepojenie"/>
            <w:sz w:val="16"/>
          </w:rPr>
          <w:t>online</w:t>
        </w:r>
      </w:hyperlink>
      <w:r w:rsidRPr="00DE339C">
        <w:t>]</w:t>
      </w:r>
      <w:r>
        <w:t>.</w:t>
      </w:r>
    </w:p>
  </w:footnote>
  <w:footnote w:id="39">
    <w:p w14:paraId="25A9F849" w14:textId="4E77E6AE" w:rsidR="00383B98" w:rsidRDefault="00383B98" w:rsidP="00383B98">
      <w:pPr>
        <w:pStyle w:val="Textpoznmkypodiarou"/>
      </w:pPr>
      <w:r>
        <w:rPr>
          <w:rStyle w:val="Odkaznapoznmkupodiarou"/>
        </w:rPr>
        <w:footnoteRef/>
      </w:r>
      <w:r>
        <w:t xml:space="preserve"> </w:t>
      </w:r>
      <w:r w:rsidR="004A235E">
        <w:t>Ide o 50 % alokácie P SK za ročné záväzky 2026 a 2027, ktoré EK v rámci strednodobého preskúmania uvoľnila do implementácie</w:t>
      </w:r>
      <w:r w:rsidR="004A235E" w:rsidRPr="000E082D">
        <w:t xml:space="preserve"> </w:t>
      </w:r>
      <w:r w:rsidR="004A235E">
        <w:t>cez schválenie revízie P SK dňa 14. 7. 2025.</w:t>
      </w:r>
    </w:p>
  </w:footnote>
  <w:footnote w:id="40">
    <w:p w14:paraId="04A6DBB2" w14:textId="77146CFA" w:rsidR="00383B98" w:rsidRDefault="00383B98" w:rsidP="00383B98">
      <w:pPr>
        <w:pStyle w:val="Textpoznmkypodiarou"/>
      </w:pPr>
      <w:r>
        <w:rPr>
          <w:rStyle w:val="Odkaznapoznmkupodiarou"/>
        </w:rPr>
        <w:footnoteRef/>
      </w:r>
      <w:r>
        <w:t xml:space="preserve"> </w:t>
      </w:r>
      <w:r w:rsidRPr="00F0358F">
        <w:t>Nariadenie EP a Rady (EÚ) č. 2025/1914 k strednodobé</w:t>
      </w:r>
      <w:r w:rsidR="00F90AF5">
        <w:t>mu</w:t>
      </w:r>
      <w:r w:rsidRPr="00F0358F">
        <w:t xml:space="preserve"> preskúmani</w:t>
      </w:r>
      <w:r w:rsidR="00F90AF5">
        <w:t>u</w:t>
      </w:r>
      <w:r w:rsidRPr="00F0358F">
        <w:t xml:space="preserve"> </w:t>
      </w:r>
      <w:r w:rsidR="00F90AF5">
        <w:t>je účinné od</w:t>
      </w:r>
      <w:r w:rsidRPr="00F0358F">
        <w:t xml:space="preserve"> 20.</w:t>
      </w:r>
      <w:r w:rsidR="00122E3D">
        <w:t xml:space="preserve"> </w:t>
      </w:r>
      <w:r w:rsidRPr="00F0358F">
        <w:t>9.</w:t>
      </w:r>
      <w:r w:rsidR="00122E3D">
        <w:t xml:space="preserve"> </w:t>
      </w:r>
      <w:r w:rsidRPr="00F0358F">
        <w:t>2025</w:t>
      </w:r>
      <w:r>
        <w:t>.</w:t>
      </w:r>
      <w:r w:rsidR="004A235E">
        <w:t xml:space="preserve"> </w:t>
      </w:r>
      <w:r w:rsidR="004A235E" w:rsidRPr="00DE339C">
        <w:t>[</w:t>
      </w:r>
      <w:hyperlink r:id="rId24" w:history="1">
        <w:r w:rsidR="004A235E" w:rsidRPr="00E404A8">
          <w:rPr>
            <w:rStyle w:val="Hypertextovprepojenie"/>
            <w:sz w:val="16"/>
          </w:rPr>
          <w:t>online</w:t>
        </w:r>
      </w:hyperlink>
      <w:r w:rsidR="004A235E" w:rsidRPr="00DE339C">
        <w:t>]</w:t>
      </w:r>
      <w:r w:rsidR="004A235E">
        <w:t>.</w:t>
      </w:r>
    </w:p>
  </w:footnote>
  <w:footnote w:id="41">
    <w:p w14:paraId="1046E09B" w14:textId="1C798014" w:rsidR="00383B98" w:rsidRDefault="00383B98" w:rsidP="00383B98">
      <w:pPr>
        <w:pStyle w:val="Textpoznmkypodiarou"/>
      </w:pPr>
      <w:r>
        <w:rPr>
          <w:rStyle w:val="Odkaznapoznmkupodiarou"/>
        </w:rPr>
        <w:footnoteRef/>
      </w:r>
      <w:r>
        <w:t xml:space="preserve"> V prípade presunu min. 10 % alokácie P</w:t>
      </w:r>
      <w:r w:rsidR="00122E3D">
        <w:t xml:space="preserve"> </w:t>
      </w:r>
      <w:r>
        <w:t>SK (t.</w:t>
      </w:r>
      <w:r w:rsidR="00122E3D">
        <w:t xml:space="preserve"> </w:t>
      </w:r>
      <w:r>
        <w:t xml:space="preserve">j. </w:t>
      </w:r>
      <w:r w:rsidRPr="007F44AC">
        <w:t>1 259,4</w:t>
      </w:r>
      <w:r>
        <w:t xml:space="preserve"> mil. eur) na nové priority politiky súdržnosti a predloženie takejto revízie programu na EK do konca decembra 2025, EK vyplatí výnimočnú zálohovú platbu vo výške 20 % realokovaných zdrojov a v dôsledku hranice SK s UA navyše dodatočnú jednorazovú zálohovú platbu vo výške 9,5 % alokácie PSK</w:t>
      </w:r>
      <w:r w:rsidR="00F90AF5">
        <w:t>.</w:t>
      </w:r>
      <w:r>
        <w:t xml:space="preserve"> </w:t>
      </w:r>
      <w:r w:rsidRPr="00DE339C">
        <w:t>[</w:t>
      </w:r>
      <w:hyperlink r:id="rId25" w:history="1">
        <w:r>
          <w:rPr>
            <w:rStyle w:val="Hypertextovprepojenie"/>
            <w:sz w:val="16"/>
          </w:rPr>
          <w:t>online</w:t>
        </w:r>
      </w:hyperlink>
      <w:r w:rsidRPr="00DE339C">
        <w:t>]</w:t>
      </w:r>
      <w:r>
        <w:t xml:space="preserve">. </w:t>
      </w:r>
    </w:p>
  </w:footnote>
  <w:footnote w:id="42">
    <w:p w14:paraId="0A2362D8" w14:textId="77777777" w:rsidR="00383B98" w:rsidRDefault="00383B98" w:rsidP="00383B98">
      <w:pPr>
        <w:pStyle w:val="Textpoznmkypodiarou"/>
      </w:pPr>
      <w:r>
        <w:rPr>
          <w:rStyle w:val="Odkaznapoznmkupodiarou"/>
        </w:rPr>
        <w:footnoteRef/>
      </w:r>
      <w:r>
        <w:t xml:space="preserve"> M</w:t>
      </w:r>
      <w:r w:rsidRPr="00683CF8">
        <w:t>ax</w:t>
      </w:r>
      <w:r>
        <w:t>imálne</w:t>
      </w:r>
      <w:r w:rsidRPr="00683CF8">
        <w:t xml:space="preserve"> do výšky 100</w:t>
      </w:r>
      <w:r>
        <w:t xml:space="preserve"> </w:t>
      </w:r>
      <w:r w:rsidRPr="00683CF8">
        <w:t>% celkových oprávnených výdavkov</w:t>
      </w:r>
      <w:r>
        <w:t>.</w:t>
      </w:r>
    </w:p>
  </w:footnote>
  <w:footnote w:id="43">
    <w:p w14:paraId="01D6AB29" w14:textId="252D0340" w:rsidR="00E251CA" w:rsidRDefault="00E251CA" w:rsidP="00E251CA">
      <w:pPr>
        <w:pStyle w:val="Textpoznmkypodiarou"/>
      </w:pPr>
      <w:r>
        <w:rPr>
          <w:rStyle w:val="Odkaznapoznmkupodiarou"/>
        </w:rPr>
        <w:footnoteRef/>
      </w:r>
      <w:r>
        <w:t xml:space="preserve"> </w:t>
      </w:r>
      <w:r w:rsidRPr="00972C3F">
        <w:t>Vládny návrh zákona o adresnej energopomoci a o zmene a doplnení niektorých zákonov</w:t>
      </w:r>
      <w:r>
        <w:t>.</w:t>
      </w:r>
      <w:r w:rsidRPr="00972C3F">
        <w:t xml:space="preserve"> </w:t>
      </w:r>
      <w:r w:rsidRPr="00DE339C">
        <w:t>[</w:t>
      </w:r>
      <w:hyperlink r:id="rId26" w:history="1">
        <w:r w:rsidRPr="00972C3F">
          <w:rPr>
            <w:rStyle w:val="Hypertextovprepojenie"/>
            <w:sz w:val="16"/>
          </w:rPr>
          <w:t>online</w:t>
        </w:r>
      </w:hyperlink>
      <w:r w:rsidRPr="00DE339C">
        <w:t>]</w:t>
      </w:r>
      <w:r>
        <w:t>.</w:t>
      </w:r>
    </w:p>
  </w:footnote>
  <w:footnote w:id="44">
    <w:p w14:paraId="4511D181" w14:textId="63D9ECF0" w:rsidR="00383B98" w:rsidRDefault="00383B98" w:rsidP="00383B98">
      <w:pPr>
        <w:pStyle w:val="Textpoznmkypodiarou"/>
      </w:pPr>
      <w:r>
        <w:rPr>
          <w:rStyle w:val="Odkaznapoznmkupodiarou"/>
        </w:rPr>
        <w:footnoteRef/>
      </w:r>
      <w:r>
        <w:t xml:space="preserve"> </w:t>
      </w:r>
      <w:r w:rsidR="004A235E">
        <w:t>Podľa EK f</w:t>
      </w:r>
      <w:r>
        <w:t>inancovanie investíci</w:t>
      </w:r>
      <w:r w:rsidR="00F90AF5">
        <w:t>í</w:t>
      </w:r>
      <w:r>
        <w:t xml:space="preserve"> nesmie byť realizované z alokácie P</w:t>
      </w:r>
      <w:r w:rsidR="00D64618">
        <w:t xml:space="preserve"> </w:t>
      </w:r>
      <w:r>
        <w:t xml:space="preserve">SK </w:t>
      </w:r>
      <w:r w:rsidR="004A235E">
        <w:t xml:space="preserve">určenej </w:t>
      </w:r>
      <w:r>
        <w:t xml:space="preserve">na </w:t>
      </w:r>
      <w:r w:rsidRPr="00A56A17">
        <w:t>biodiverzit</w:t>
      </w:r>
      <w:r>
        <w:t>u</w:t>
      </w:r>
      <w:r w:rsidRPr="00A56A17">
        <w:t>, podpor</w:t>
      </w:r>
      <w:r>
        <w:t>u MRK, ESF a na IÚI</w:t>
      </w:r>
      <w:r w:rsidRPr="00A56A17">
        <w:t>.</w:t>
      </w:r>
    </w:p>
  </w:footnote>
  <w:footnote w:id="45">
    <w:p w14:paraId="7E787ECC" w14:textId="77777777" w:rsidR="004A235E" w:rsidRDefault="004A235E" w:rsidP="004A235E">
      <w:pPr>
        <w:pStyle w:val="Textpoznmkypodiarou"/>
      </w:pPr>
      <w:r>
        <w:rPr>
          <w:rStyle w:val="Odkaznapoznmkupodiarou"/>
        </w:rPr>
        <w:footnoteRef/>
      </w:r>
      <w:r>
        <w:t xml:space="preserve"> </w:t>
      </w:r>
      <w:r w:rsidRPr="00522EF7">
        <w:t>Článok 24</w:t>
      </w:r>
      <w:r>
        <w:t xml:space="preserve">, ods. 4 Nariadenia EP a Rady č. 2021/1060 z 24. júna 2021. </w:t>
      </w:r>
      <w:r w:rsidRPr="00522EF7">
        <w:t>[</w:t>
      </w:r>
      <w:hyperlink r:id="rId27" w:history="1">
        <w:r w:rsidRPr="007956DD">
          <w:rPr>
            <w:rStyle w:val="Hypertextovprepojenie"/>
            <w:sz w:val="16"/>
          </w:rPr>
          <w:t>online</w:t>
        </w:r>
      </w:hyperlink>
      <w:r w:rsidRPr="00522EF7">
        <w:t>].</w:t>
      </w:r>
    </w:p>
  </w:footnote>
  <w:footnote w:id="46">
    <w:p w14:paraId="2254B81E" w14:textId="77777777" w:rsidR="00E126DF" w:rsidRDefault="00E126DF" w:rsidP="00E126DF">
      <w:pPr>
        <w:pStyle w:val="Textpoznmkypodiarou"/>
      </w:pPr>
      <w:r>
        <w:rPr>
          <w:rStyle w:val="Odkaznapoznmkupodiarou"/>
        </w:rPr>
        <w:footnoteRef/>
      </w:r>
      <w:r>
        <w:t xml:space="preserve"> Čerpanie UMR sa týka zatiaľ dvoch projektov, pričom v rámci UMR Bratislava ide o fázovaný projekt z PO 2014  –  2020: „</w:t>
      </w:r>
      <w:r w:rsidRPr="00FE1343">
        <w:t>Električky pre Bratislavu - 2. fáza</w:t>
      </w:r>
      <w:r>
        <w:t>“ s čerpaním vo výške 62 mil. eur, t. j. 24 % z pridelenej alokácie (256 mil. eur) a v rámci UMR Trenčín ide o projekt: „</w:t>
      </w:r>
      <w:r w:rsidRPr="00FE1343">
        <w:t>Revitalizácia Hviezdoslavovej ulice</w:t>
      </w:r>
      <w:r>
        <w:t>“ s čerpaním vo výške 3 mil. eur, t. j. 4 % z pridelenej alokácie (71 mil. eur).</w:t>
      </w:r>
      <w:r w:rsidRPr="00FE1343">
        <w:t xml:space="preserve"> </w:t>
      </w:r>
    </w:p>
  </w:footnote>
  <w:footnote w:id="47">
    <w:p w14:paraId="272816F7" w14:textId="77777777" w:rsidR="00E126DF" w:rsidRDefault="00E126DF" w:rsidP="00E126DF">
      <w:pPr>
        <w:pStyle w:val="Textpoznmkypodiarou"/>
      </w:pPr>
      <w:r>
        <w:rPr>
          <w:rStyle w:val="Odkaznapoznmkupodiarou"/>
        </w:rPr>
        <w:footnoteRef/>
      </w:r>
      <w:r>
        <w:t xml:space="preserve"> Implementácia IÚI. </w:t>
      </w:r>
      <w:r w:rsidRPr="00DE339C">
        <w:t>[</w:t>
      </w:r>
      <w:hyperlink r:id="rId28" w:history="1">
        <w:r w:rsidRPr="00012A8C">
          <w:rPr>
            <w:rStyle w:val="Hypertextovprepojenie"/>
            <w:sz w:val="16"/>
          </w:rPr>
          <w:t>online</w:t>
        </w:r>
      </w:hyperlink>
      <w:r w:rsidRPr="00DE339C">
        <w:t>]</w:t>
      </w:r>
      <w:r>
        <w:t xml:space="preserve">.       </w:t>
      </w:r>
    </w:p>
  </w:footnote>
  <w:footnote w:id="48">
    <w:p w14:paraId="5F95FC65" w14:textId="6ED653AC" w:rsidR="004A235E" w:rsidRDefault="004A235E" w:rsidP="004A235E">
      <w:pPr>
        <w:pStyle w:val="Textpoznmkypodiarou"/>
      </w:pPr>
      <w:r>
        <w:rPr>
          <w:rStyle w:val="Odkaznapoznmkupodiarou"/>
        </w:rPr>
        <w:footnoteRef/>
      </w:r>
      <w:r>
        <w:t xml:space="preserve"> EK musí podľa </w:t>
      </w:r>
      <w:r w:rsidRPr="00E742DE">
        <w:t>člán</w:t>
      </w:r>
      <w:r>
        <w:t>ku</w:t>
      </w:r>
      <w:r w:rsidRPr="00E742DE">
        <w:t xml:space="preserve"> 24 </w:t>
      </w:r>
      <w:r>
        <w:t>Na</w:t>
      </w:r>
      <w:r w:rsidRPr="00E742DE">
        <w:t>riadenia (EÚ) 2021/241</w:t>
      </w:r>
      <w:r>
        <w:t xml:space="preserve"> realizovať posledné platby členským štátom do konca roku 2026. </w:t>
      </w:r>
      <w:r w:rsidRPr="00DE339C">
        <w:t>[</w:t>
      </w:r>
      <w:hyperlink r:id="rId29" w:history="1">
        <w:r w:rsidRPr="00A72A9C">
          <w:rPr>
            <w:rStyle w:val="Hypertextovprepojenie"/>
            <w:sz w:val="16"/>
          </w:rPr>
          <w:t>online</w:t>
        </w:r>
      </w:hyperlink>
      <w:r w:rsidRPr="00DE339C">
        <w:t>]</w:t>
      </w:r>
      <w:r>
        <w:t xml:space="preserve">.       </w:t>
      </w:r>
    </w:p>
  </w:footnote>
  <w:footnote w:id="49">
    <w:p w14:paraId="31B3C485" w14:textId="77777777" w:rsidR="00E251CA" w:rsidRDefault="00E251CA" w:rsidP="00E251CA">
      <w:pPr>
        <w:pStyle w:val="Textpoznmkypodiarou"/>
      </w:pPr>
      <w:r>
        <w:rPr>
          <w:rStyle w:val="Odkaznapoznmkupodiarou"/>
        </w:rPr>
        <w:footnoteRef/>
      </w:r>
      <w:r>
        <w:t xml:space="preserve"> Oznámenie Komisie EP a Rade NextGenerationEU – Cesta do roku 2026. </w:t>
      </w:r>
      <w:r w:rsidRPr="00676565">
        <w:t>[</w:t>
      </w:r>
      <w:hyperlink r:id="rId30" w:history="1">
        <w:r w:rsidRPr="0069463E">
          <w:rPr>
            <w:rStyle w:val="Hypertextovprepojenie"/>
            <w:sz w:val="16"/>
          </w:rPr>
          <w:t>online</w:t>
        </w:r>
      </w:hyperlink>
      <w:r w:rsidRPr="00676565">
        <w:t>]</w:t>
      </w:r>
      <w:r>
        <w:t>.</w:t>
      </w:r>
    </w:p>
  </w:footnote>
  <w:footnote w:id="50">
    <w:p w14:paraId="5886FA0E" w14:textId="3F99E79E" w:rsidR="00E251CA" w:rsidRDefault="00E251CA" w:rsidP="00E251CA">
      <w:pPr>
        <w:pStyle w:val="Textpoznmkypodiarou"/>
      </w:pPr>
      <w:r>
        <w:rPr>
          <w:rStyle w:val="Odkaznapoznmkupodiarou"/>
        </w:rPr>
        <w:footnoteRef/>
      </w:r>
      <w:r>
        <w:t xml:space="preserve"> Zmena POO schválená UV SR č. </w:t>
      </w:r>
      <w:r w:rsidRPr="00297FD6">
        <w:t>485/2025</w:t>
      </w:r>
      <w:r>
        <w:t xml:space="preserve"> dňa 8. 10. 2025.</w:t>
      </w:r>
      <w:r w:rsidRPr="00297FD6">
        <w:t xml:space="preserve"> </w:t>
      </w:r>
      <w:r w:rsidRPr="00676565">
        <w:t>[</w:t>
      </w:r>
      <w:hyperlink r:id="rId31" w:history="1">
        <w:r w:rsidRPr="00297FD6">
          <w:rPr>
            <w:rStyle w:val="Hypertextovprepojenie"/>
            <w:sz w:val="16"/>
          </w:rPr>
          <w:t>online</w:t>
        </w:r>
      </w:hyperlink>
      <w:r w:rsidRPr="00676565">
        <w:t>]</w:t>
      </w:r>
      <w:r>
        <w:t xml:space="preserve">. Predloženie revízie POO na EK 2. 10. 2025. </w:t>
      </w:r>
      <w:r w:rsidRPr="00676565">
        <w:t>[</w:t>
      </w:r>
      <w:hyperlink r:id="rId32" w:history="1">
        <w:r w:rsidRPr="00297FD6">
          <w:rPr>
            <w:rStyle w:val="Hypertextovprepojenie"/>
            <w:sz w:val="16"/>
          </w:rPr>
          <w:t>online</w:t>
        </w:r>
      </w:hyperlink>
      <w:r w:rsidRPr="00676565">
        <w:t>]</w:t>
      </w:r>
      <w:r>
        <w:t>.</w:t>
      </w:r>
    </w:p>
  </w:footnote>
  <w:footnote w:id="51">
    <w:p w14:paraId="30825B97" w14:textId="556BD23B" w:rsidR="004A235E" w:rsidRDefault="004A235E" w:rsidP="004A235E">
      <w:pPr>
        <w:pStyle w:val="Textpoznmkypodiarou"/>
      </w:pPr>
      <w:r>
        <w:rPr>
          <w:rStyle w:val="Odkaznapoznmkupodiarou"/>
        </w:rPr>
        <w:footnoteRef/>
      </w:r>
      <w:r>
        <w:t xml:space="preserve"> </w:t>
      </w:r>
      <w:r w:rsidRPr="00AA74D4">
        <w:t xml:space="preserve">Na základe vykonávacieho rozhodnutia EK </w:t>
      </w:r>
      <w:r>
        <w:t xml:space="preserve">č. C(2025)2940 </w:t>
      </w:r>
      <w:r w:rsidRPr="00AA74D4">
        <w:t>z 8. mája 2025</w:t>
      </w:r>
      <w:r>
        <w:t xml:space="preserve">. </w:t>
      </w:r>
      <w:r w:rsidRPr="00740E74">
        <w:t>[</w:t>
      </w:r>
      <w:hyperlink r:id="rId33" w:history="1">
        <w:r w:rsidRPr="006B316B">
          <w:rPr>
            <w:rStyle w:val="Hypertextovprepojenie"/>
            <w:sz w:val="16"/>
          </w:rPr>
          <w:t>online</w:t>
        </w:r>
      </w:hyperlink>
      <w:r w:rsidRPr="00740E74">
        <w:t>]</w:t>
      </w:r>
      <w:r>
        <w:t>.</w:t>
      </w:r>
    </w:p>
  </w:footnote>
  <w:footnote w:id="52">
    <w:p w14:paraId="140071DF" w14:textId="77777777" w:rsidR="004A235E" w:rsidRDefault="004A235E" w:rsidP="004A235E">
      <w:pPr>
        <w:pStyle w:val="Textpoznmkypodiarou"/>
      </w:pPr>
      <w:r>
        <w:rPr>
          <w:rStyle w:val="Odkaznapoznmkupodiarou"/>
        </w:rPr>
        <w:footnoteRef/>
      </w:r>
      <w:r>
        <w:t xml:space="preserve"> V</w:t>
      </w:r>
      <w:r w:rsidRPr="00810052">
        <w:t xml:space="preserve"> rámci auditu č. SK-Q2-2022-PFIU</w:t>
      </w:r>
      <w:r>
        <w:t>.</w:t>
      </w:r>
    </w:p>
  </w:footnote>
  <w:footnote w:id="53">
    <w:p w14:paraId="701D2C75" w14:textId="77777777" w:rsidR="004A235E" w:rsidRDefault="004A235E" w:rsidP="004A235E">
      <w:pPr>
        <w:pStyle w:val="Textpoznmkypodiarou"/>
      </w:pPr>
      <w:r>
        <w:rPr>
          <w:rStyle w:val="Odkaznapoznmkupodiarou"/>
        </w:rPr>
        <w:footnoteRef/>
      </w:r>
      <w:r>
        <w:t xml:space="preserve"> Alokácia POO pre SR sa znížila zo sumy 6 408,5 mil. eur na 6 407,2 mil. eur. Toto zníženie sa premietlo do krátenia 5. platby z EK a následne budú predmetom krátenia aj zvyšné štyri platby z EK.</w:t>
      </w:r>
    </w:p>
  </w:footnote>
  <w:footnote w:id="54">
    <w:p w14:paraId="458CE813" w14:textId="77777777" w:rsidR="00516DDB" w:rsidRDefault="00516DDB" w:rsidP="00516DDB">
      <w:pPr>
        <w:pStyle w:val="Textpoznmkypodiarou"/>
      </w:pPr>
      <w:r>
        <w:rPr>
          <w:rStyle w:val="Odkaznapoznmkupodiarou"/>
        </w:rPr>
        <w:footnoteRef/>
      </w:r>
      <w:r>
        <w:t xml:space="preserve"> </w:t>
      </w:r>
      <w:r w:rsidRPr="00246B82">
        <w:t>Ide o podporu v oblasti otvárania nových ambulancií primárnej starostlivosti v nedostatkových oblastiach, novej siete nemocníc – výstavba, rekonštrukcie a vybavenie, digitalizácie v zdravotníctve a výstavby a obnovy staníc záchrannej zdravotnej služby</w:t>
      </w:r>
      <w:r>
        <w:t>.</w:t>
      </w:r>
    </w:p>
  </w:footnote>
  <w:footnote w:id="55">
    <w:p w14:paraId="49AFF44C" w14:textId="77777777" w:rsidR="00516DDB" w:rsidRDefault="00516DDB" w:rsidP="00516DDB">
      <w:pPr>
        <w:pStyle w:val="Textpoznmkypodiarou"/>
      </w:pPr>
      <w:r>
        <w:rPr>
          <w:rStyle w:val="Odkaznapoznmkupodiarou"/>
        </w:rPr>
        <w:footnoteRef/>
      </w:r>
      <w:r>
        <w:t xml:space="preserve"> Predovšetkým na z</w:t>
      </w:r>
      <w:r w:rsidRPr="00762676">
        <w:t>lepšenie energetickej hospodárnosti rodinných domov</w:t>
      </w:r>
      <w:r>
        <w:t>.</w:t>
      </w:r>
    </w:p>
    <w:p w14:paraId="7E3BE7D0" w14:textId="77777777" w:rsidR="00516DDB" w:rsidRDefault="00516DDB" w:rsidP="00516DDB">
      <w:pPr>
        <w:pStyle w:val="Textpoznmkypodiarou"/>
      </w:pPr>
    </w:p>
  </w:footnote>
  <w:footnote w:id="56">
    <w:p w14:paraId="4C0E2114" w14:textId="77777777" w:rsidR="001A200F" w:rsidRPr="00163621" w:rsidRDefault="001A200F" w:rsidP="001A200F">
      <w:pPr>
        <w:pStyle w:val="Textpoznmkypodiarou"/>
        <w:rPr>
          <w:rFonts w:cs="Segoe UI"/>
          <w:szCs w:val="16"/>
        </w:rPr>
      </w:pPr>
      <w:r w:rsidRPr="00163621">
        <w:rPr>
          <w:rStyle w:val="Odkaznapoznmkupodiarou"/>
          <w:szCs w:val="16"/>
        </w:rPr>
        <w:footnoteRef/>
      </w:r>
      <w:r w:rsidRPr="00163621">
        <w:rPr>
          <w:rFonts w:cs="Segoe UI"/>
          <w:szCs w:val="16"/>
        </w:rPr>
        <w:t>V júli 2024 bola k strategickým investíciám zaradená Výstavba Univerzitnej nemocnice sv. Martina (</w:t>
      </w:r>
      <w:hyperlink r:id="rId34" w:history="1">
        <w:r w:rsidRPr="00163621">
          <w:rPr>
            <w:rStyle w:val="Hypertextovprepojenie"/>
            <w:rFonts w:cs="Segoe UI"/>
            <w:sz w:val="16"/>
            <w:szCs w:val="16"/>
          </w:rPr>
          <w:t>UZN č. 445/2024</w:t>
        </w:r>
      </w:hyperlink>
      <w:r w:rsidRPr="00163621">
        <w:rPr>
          <w:rFonts w:cs="Segoe UI"/>
          <w:szCs w:val="16"/>
        </w:rPr>
        <w:t>) a v decembri 2024 bolo zmenené osvedčenie o strategickej investícii na investičný projekt (</w:t>
      </w:r>
      <w:hyperlink r:id="rId35" w:history="1">
        <w:r w:rsidRPr="00163621">
          <w:rPr>
            <w:rStyle w:val="Hypertextovprepojenie"/>
            <w:rFonts w:cs="Segoe UI"/>
            <w:sz w:val="16"/>
            <w:szCs w:val="16"/>
          </w:rPr>
          <w:t>UZN č. 734/2024</w:t>
        </w:r>
      </w:hyperlink>
      <w:r w:rsidRPr="00163621">
        <w:rPr>
          <w:rFonts w:cs="Segoe UI"/>
          <w:szCs w:val="16"/>
        </w:rPr>
        <w:t>).</w:t>
      </w:r>
    </w:p>
  </w:footnote>
  <w:footnote w:id="57">
    <w:p w14:paraId="1E0878E4" w14:textId="77777777" w:rsidR="005D7577" w:rsidRPr="00B16B88" w:rsidRDefault="005D7577" w:rsidP="005D7577">
      <w:pPr>
        <w:pStyle w:val="Plonk1"/>
        <w:rPr>
          <w:rFonts w:ascii="Segoe UI" w:hAnsi="Segoe UI" w:cs="Segoe UI"/>
          <w:sz w:val="16"/>
          <w:szCs w:val="16"/>
        </w:rPr>
      </w:pPr>
      <w:r w:rsidRPr="00B16B88">
        <w:rPr>
          <w:rStyle w:val="Odkaznapoznmkupodiarou"/>
          <w:rFonts w:ascii="Segoe UI" w:hAnsi="Segoe UI" w:cs="Segoe UI"/>
          <w:sz w:val="16"/>
          <w:szCs w:val="16"/>
        </w:rPr>
        <w:footnoteRef/>
      </w:r>
      <w:r w:rsidRPr="00B16B88">
        <w:rPr>
          <w:rFonts w:ascii="Segoe UI" w:hAnsi="Segoe UI" w:cs="Segoe UI"/>
          <w:sz w:val="16"/>
          <w:szCs w:val="16"/>
        </w:rPr>
        <w:t xml:space="preserve"> Kancelária verejného ochrancu práv, Rada pre mediálne služby, Úrad na ochranu osobných údajov SR, Úrad na ochranu oznamovateľov, Úrad komisára pre deti, Úrad komisára pre osoby so zdravotným postihnutím, Slovenské národné stredisko pre ľudské práva a Ústav pamäti národa</w:t>
      </w:r>
    </w:p>
  </w:footnote>
  <w:footnote w:id="58">
    <w:p w14:paraId="6D8F4828" w14:textId="77777777" w:rsidR="00BA6E74" w:rsidRPr="0032471C" w:rsidRDefault="00BA6E74" w:rsidP="00BA6E74">
      <w:pPr>
        <w:pStyle w:val="Plonk1"/>
        <w:rPr>
          <w:rFonts w:ascii="Segoe UI" w:hAnsi="Segoe UI" w:cs="Segoe UI"/>
          <w:sz w:val="16"/>
          <w:szCs w:val="16"/>
        </w:rPr>
      </w:pPr>
      <w:r w:rsidRPr="0032471C">
        <w:rPr>
          <w:rStyle w:val="Odkaznapoznmkupodiarou"/>
          <w:rFonts w:ascii="Segoe UI" w:hAnsi="Segoe UI" w:cs="Segoe UI"/>
          <w:sz w:val="16"/>
          <w:szCs w:val="16"/>
        </w:rPr>
        <w:footnoteRef/>
      </w:r>
      <w:r w:rsidRPr="0032471C">
        <w:rPr>
          <w:rFonts w:ascii="Segoe UI" w:hAnsi="Segoe UI" w:cs="Segoe UI"/>
          <w:sz w:val="16"/>
          <w:szCs w:val="16"/>
        </w:rPr>
        <w:t xml:space="preserve"> Ústavný zákon o rozpočtovej zodpovednosti, 493/2011 Z. z. [</w:t>
      </w:r>
      <w:hyperlink r:id="rId36" w:anchor="ustavnyclanok-5.odsek-6.pismeno-b" w:history="1">
        <w:r w:rsidRPr="0032471C">
          <w:rPr>
            <w:rStyle w:val="Hypertextovprepojenie1"/>
            <w:rFonts w:ascii="Segoe UI" w:hAnsi="Segoe UI" w:cs="Segoe UI"/>
            <w:sz w:val="16"/>
            <w:szCs w:val="16"/>
          </w:rPr>
          <w:t>online</w:t>
        </w:r>
      </w:hyperlink>
      <w:r w:rsidRPr="0032471C">
        <w:rPr>
          <w:rFonts w:ascii="Segoe UI" w:hAnsi="Segoe UI" w:cs="Segoe UI"/>
          <w:sz w:val="16"/>
          <w:szCs w:val="16"/>
        </w:rPr>
        <w:t>]</w:t>
      </w:r>
      <w:r>
        <w:rPr>
          <w:rFonts w:ascii="Segoe UI" w:hAnsi="Segoe UI" w:cs="Segoe UI"/>
          <w:sz w:val="16"/>
          <w:szCs w:val="16"/>
        </w:rPr>
        <w:t>.</w:t>
      </w:r>
    </w:p>
  </w:footnote>
  <w:footnote w:id="59">
    <w:p w14:paraId="5CDE81B9" w14:textId="026E7C39" w:rsidR="000F4345" w:rsidRPr="00290A9E" w:rsidRDefault="000F4345" w:rsidP="00D36B99">
      <w:pPr>
        <w:pStyle w:val="Textpoznmkypodiarou"/>
        <w:rPr>
          <w:szCs w:val="16"/>
        </w:rPr>
      </w:pPr>
      <w:r w:rsidRPr="00290A9E">
        <w:rPr>
          <w:rStyle w:val="Odkaznapoznmkupodiarou"/>
          <w:szCs w:val="16"/>
        </w:rPr>
        <w:footnoteRef/>
      </w:r>
      <w:r w:rsidRPr="00290A9E">
        <w:rPr>
          <w:szCs w:val="16"/>
        </w:rPr>
        <w:t xml:space="preserve"> Programové vyhlásenie vlády Slovenskej republiky 2023 – 2027. [</w:t>
      </w:r>
      <w:hyperlink r:id="rId37" w:history="1">
        <w:r w:rsidRPr="00290A9E">
          <w:rPr>
            <w:rStyle w:val="Hypertextovprepojenie"/>
            <w:sz w:val="16"/>
            <w:szCs w:val="16"/>
          </w:rPr>
          <w:t>online</w:t>
        </w:r>
      </w:hyperlink>
      <w:r w:rsidRPr="00290A9E">
        <w:rPr>
          <w:szCs w:val="16"/>
        </w:rPr>
        <w:t>].</w:t>
      </w:r>
    </w:p>
  </w:footnote>
  <w:footnote w:id="60">
    <w:p w14:paraId="7CC90B5A" w14:textId="735E53FC" w:rsidR="000E0C95" w:rsidRPr="001B7482" w:rsidRDefault="000E0C95" w:rsidP="000E0C95">
      <w:pPr>
        <w:pStyle w:val="Default"/>
        <w:rPr>
          <w:rFonts w:ascii="Segoe UI" w:hAnsi="Segoe UI" w:cs="Segoe UI"/>
          <w:sz w:val="16"/>
          <w:szCs w:val="16"/>
        </w:rPr>
      </w:pPr>
      <w:r w:rsidRPr="001B7482">
        <w:rPr>
          <w:rStyle w:val="Odkaznapoznmkupodiarou"/>
          <w:rFonts w:ascii="Segoe UI" w:hAnsi="Segoe UI" w:cs="Segoe UI"/>
          <w:sz w:val="16"/>
          <w:szCs w:val="16"/>
        </w:rPr>
        <w:footnoteRef/>
      </w:r>
      <w:r w:rsidRPr="001B7482">
        <w:rPr>
          <w:rFonts w:ascii="Segoe UI" w:hAnsi="Segoe UI" w:cs="Segoe UI"/>
          <w:sz w:val="16"/>
          <w:szCs w:val="16"/>
        </w:rPr>
        <w:t xml:space="preserve"> Programové vyhlásenie vlády S</w:t>
      </w:r>
      <w:r>
        <w:rPr>
          <w:rFonts w:ascii="Segoe UI" w:hAnsi="Segoe UI" w:cs="Segoe UI"/>
          <w:sz w:val="16"/>
          <w:szCs w:val="16"/>
        </w:rPr>
        <w:t>lovenskej republiky</w:t>
      </w:r>
      <w:r w:rsidRPr="001B7482">
        <w:rPr>
          <w:rFonts w:ascii="Segoe UI" w:hAnsi="Segoe UI" w:cs="Segoe UI"/>
          <w:sz w:val="16"/>
          <w:szCs w:val="16"/>
        </w:rPr>
        <w:t xml:space="preserve"> 2023 – 2027 „Lepšie, pokojnejšie a bezpečnejšie žiť“</w:t>
      </w:r>
      <w:r>
        <w:rPr>
          <w:rFonts w:ascii="Segoe UI" w:hAnsi="Segoe UI" w:cs="Segoe UI"/>
          <w:sz w:val="16"/>
          <w:szCs w:val="16"/>
        </w:rPr>
        <w:t>, str</w:t>
      </w:r>
      <w:r w:rsidRPr="001B7482">
        <w:rPr>
          <w:rFonts w:ascii="Segoe UI" w:hAnsi="Segoe UI" w:cs="Segoe UI"/>
          <w:sz w:val="16"/>
          <w:szCs w:val="16"/>
        </w:rPr>
        <w:t xml:space="preserve">. 38. </w:t>
      </w:r>
      <w:hyperlink r:id="rId38" w:history="1">
        <w:r w:rsidRPr="004859E7">
          <w:rPr>
            <w:rStyle w:val="Hypertextovprepojenie"/>
            <w:rFonts w:cs="Segoe UI"/>
            <w:sz w:val="16"/>
            <w:szCs w:val="16"/>
          </w:rPr>
          <w:t>[online]</w:t>
        </w:r>
      </w:hyperlink>
      <w:r>
        <w:t>.</w:t>
      </w:r>
    </w:p>
    <w:p w14:paraId="47C57514" w14:textId="77777777" w:rsidR="000E0C95" w:rsidRPr="001B7482" w:rsidRDefault="000E0C95" w:rsidP="000E0C95">
      <w:pPr>
        <w:autoSpaceDE w:val="0"/>
        <w:autoSpaceDN w:val="0"/>
        <w:adjustRightInd w:val="0"/>
        <w:spacing w:after="0" w:line="240" w:lineRule="auto"/>
        <w:jc w:val="left"/>
        <w:rPr>
          <w:rFonts w:cs="Segoe UI"/>
          <w:sz w:val="16"/>
          <w:szCs w:val="16"/>
        </w:rPr>
      </w:pPr>
      <w:r>
        <w:rPr>
          <w:rFonts w:cs="Segoe UI"/>
          <w:sz w:val="16"/>
          <w:szCs w:val="16"/>
        </w:rPr>
        <w:t>„</w:t>
      </w:r>
      <w:r w:rsidRPr="001B7482">
        <w:rPr>
          <w:rFonts w:cs="Segoe UI"/>
          <w:sz w:val="16"/>
          <w:szCs w:val="16"/>
        </w:rPr>
        <w:t xml:space="preserve">Hlavnými cieľmi vlády v oblasti udržania sociálneho štátu sú najmä: </w:t>
      </w:r>
    </w:p>
    <w:p w14:paraId="7D2963FE" w14:textId="77777777" w:rsidR="000E0C95" w:rsidRPr="001B7482" w:rsidRDefault="000E0C95" w:rsidP="000E0C95">
      <w:pPr>
        <w:autoSpaceDE w:val="0"/>
        <w:autoSpaceDN w:val="0"/>
        <w:adjustRightInd w:val="0"/>
        <w:spacing w:after="0" w:line="240" w:lineRule="auto"/>
        <w:jc w:val="left"/>
        <w:rPr>
          <w:rFonts w:cs="Segoe UI"/>
          <w:color w:val="000000"/>
          <w:sz w:val="16"/>
          <w:szCs w:val="16"/>
        </w:rPr>
      </w:pPr>
      <w:r w:rsidRPr="001B7482">
        <w:rPr>
          <w:rFonts w:cs="Segoe UI"/>
          <w:color w:val="000000"/>
          <w:sz w:val="16"/>
          <w:szCs w:val="16"/>
        </w:rPr>
        <w:t xml:space="preserve">1. Zastavenie ďalšieho prepadávania životnej úrovne občanov Slovenskej republiky v porovnaní s priemernou životnou úrovňou v Európskej únii a obnovenie rastu životnej úrovne na Slovensku. </w:t>
      </w:r>
    </w:p>
    <w:p w14:paraId="37EDFE69" w14:textId="77777777" w:rsidR="000E0C95" w:rsidRPr="001B7482" w:rsidRDefault="000E0C95" w:rsidP="000E0C95">
      <w:pPr>
        <w:autoSpaceDE w:val="0"/>
        <w:autoSpaceDN w:val="0"/>
        <w:adjustRightInd w:val="0"/>
        <w:spacing w:after="0" w:line="240" w:lineRule="auto"/>
        <w:jc w:val="left"/>
        <w:rPr>
          <w:rFonts w:cs="Segoe UI"/>
          <w:color w:val="000000"/>
          <w:sz w:val="16"/>
          <w:szCs w:val="16"/>
        </w:rPr>
      </w:pPr>
      <w:r w:rsidRPr="001B7482">
        <w:rPr>
          <w:rFonts w:cs="Segoe UI"/>
          <w:color w:val="000000"/>
          <w:sz w:val="16"/>
          <w:szCs w:val="16"/>
        </w:rPr>
        <w:t xml:space="preserve">2. Efektívny boj so zdražovaním. </w:t>
      </w:r>
    </w:p>
    <w:p w14:paraId="520130A2" w14:textId="27D7A773" w:rsidR="000E0C95" w:rsidRDefault="000E0C95" w:rsidP="00CC2DFA">
      <w:pPr>
        <w:autoSpaceDE w:val="0"/>
        <w:autoSpaceDN w:val="0"/>
        <w:adjustRightInd w:val="0"/>
        <w:spacing w:after="0" w:line="240" w:lineRule="auto"/>
        <w:jc w:val="left"/>
      </w:pPr>
      <w:r w:rsidRPr="001B7482">
        <w:rPr>
          <w:rFonts w:cs="Segoe UI"/>
          <w:color w:val="000000"/>
          <w:sz w:val="16"/>
          <w:szCs w:val="16"/>
        </w:rPr>
        <w:t>3. Zastavenie šírenia chudoby a návrat dôstojnosti do života nízkopríjmových skupín občanov Slovenskej republiky odbúravaním priepastných sociálnych nerovností.</w:t>
      </w:r>
      <w:r>
        <w:rPr>
          <w:rFonts w:cs="Segoe UI"/>
          <w:color w:val="000000"/>
          <w:sz w:val="16"/>
          <w:szCs w:val="16"/>
        </w:rPr>
        <w:t>“</w:t>
      </w:r>
      <w:r w:rsidRPr="001B7482">
        <w:rPr>
          <w:rFonts w:cs="Segoe UI"/>
          <w:color w:val="000000"/>
          <w:sz w:val="16"/>
          <w:szCs w:val="16"/>
        </w:rPr>
        <w:t xml:space="preserve"> </w:t>
      </w:r>
    </w:p>
  </w:footnote>
  <w:footnote w:id="61">
    <w:p w14:paraId="60B74B36" w14:textId="77777777" w:rsidR="00CC2DFA" w:rsidRDefault="00CC2DFA" w:rsidP="00CC2DFA">
      <w:pPr>
        <w:pStyle w:val="Textpoznmkypodiarou"/>
      </w:pPr>
      <w:r>
        <w:rPr>
          <w:rStyle w:val="Odkaznapoznmkupodiarou"/>
        </w:rPr>
        <w:footnoteRef/>
      </w:r>
      <w:r>
        <w:t xml:space="preserve"> Slovenská štatistika a demografia 3/2025. Monika Rákošová. Miera chudoby alebo sociálneho vylúčenia v slovenských domácnostiach. </w:t>
      </w:r>
      <w:hyperlink r:id="rId39" w:history="1">
        <w:r w:rsidRPr="006F7AE0">
          <w:rPr>
            <w:rStyle w:val="Hypertextovprepojenie"/>
            <w:sz w:val="16"/>
          </w:rPr>
          <w:t>[online]</w:t>
        </w:r>
      </w:hyperlink>
      <w:r>
        <w:t>.</w:t>
      </w:r>
    </w:p>
  </w:footnote>
  <w:footnote w:id="62">
    <w:p w14:paraId="2FECEA37" w14:textId="58B52072" w:rsidR="009C3CB5" w:rsidRDefault="009C3CB5" w:rsidP="009C3CB5">
      <w:pPr>
        <w:pStyle w:val="Textpoznmkypodiarou"/>
      </w:pPr>
      <w:r>
        <w:rPr>
          <w:rStyle w:val="Odkaznapoznmkupodiarou"/>
        </w:rPr>
        <w:footnoteRef/>
      </w:r>
      <w:r>
        <w:t xml:space="preserve"> Rok 2025 je podľa očakávanej skutočnosti pri výdavkoch na lieky približne na úrovni rastu HDP (v % oproti hodnote roka 2015), pričom v roku 2026 sa očakáva mierne zníženie pod hodnotu rastu HDP. NKÚ SR upozorňuje, že očakávaná skutočnosť a</w:t>
      </w:r>
      <w:r w:rsidR="00A30F6A">
        <w:t xml:space="preserve">ni </w:t>
      </w:r>
      <w:r>
        <w:t>rozpočet výdavkov na lieky nemusí zohľadňovať skutočnosť.</w:t>
      </w:r>
    </w:p>
  </w:footnote>
  <w:footnote w:id="63">
    <w:p w14:paraId="32986FF2" w14:textId="2A424A5A" w:rsidR="000F4345" w:rsidRPr="00F77AF5" w:rsidRDefault="000F4345" w:rsidP="00D81534">
      <w:pPr>
        <w:pStyle w:val="Textpoznmkypodiarou"/>
        <w:rPr>
          <w:szCs w:val="16"/>
        </w:rPr>
      </w:pPr>
      <w:r w:rsidRPr="00F77AF5">
        <w:rPr>
          <w:rStyle w:val="Odkaznapoznmkupodiarou"/>
          <w:szCs w:val="16"/>
        </w:rPr>
        <w:footnoteRef/>
      </w:r>
      <w:r w:rsidRPr="00F77AF5">
        <w:rPr>
          <w:szCs w:val="16"/>
        </w:rPr>
        <w:t xml:space="preserve"> Celkovo bolo ukončených </w:t>
      </w:r>
      <w:r w:rsidR="00F678D2" w:rsidRPr="00F77AF5">
        <w:rPr>
          <w:szCs w:val="16"/>
        </w:rPr>
        <w:t>deväť</w:t>
      </w:r>
      <w:r w:rsidRPr="00F77AF5">
        <w:rPr>
          <w:szCs w:val="16"/>
        </w:rPr>
        <w:t xml:space="preserve"> a pozastavené </w:t>
      </w:r>
      <w:r w:rsidR="00F678D2" w:rsidRPr="00F77AF5">
        <w:rPr>
          <w:szCs w:val="16"/>
        </w:rPr>
        <w:t>tri</w:t>
      </w:r>
      <w:r w:rsidRPr="00F77AF5">
        <w:rPr>
          <w:szCs w:val="16"/>
        </w:rPr>
        <w:t xml:space="preserve"> z celkového počtu 28 úsporných opatrení.</w:t>
      </w:r>
    </w:p>
  </w:footnote>
  <w:footnote w:id="64">
    <w:p w14:paraId="2117CE28" w14:textId="77777777" w:rsidR="00A05EA1" w:rsidRPr="00F77AF5" w:rsidRDefault="00A05EA1" w:rsidP="00A05EA1">
      <w:pPr>
        <w:pStyle w:val="Textpoznmkypodiarou"/>
        <w:rPr>
          <w:szCs w:val="16"/>
        </w:rPr>
      </w:pPr>
      <w:r w:rsidRPr="00F77AF5">
        <w:rPr>
          <w:rStyle w:val="Odkaznapoznmkupodiarou"/>
          <w:szCs w:val="16"/>
        </w:rPr>
        <w:footnoteRef/>
      </w:r>
      <w:r w:rsidRPr="00F77AF5">
        <w:rPr>
          <w:szCs w:val="16"/>
        </w:rPr>
        <w:t xml:space="preserve"> Revízia výdavkov na zdravotníctvo. ÚHP MF SR, september 2022. [</w:t>
      </w:r>
      <w:hyperlink r:id="rId40" w:history="1">
        <w:r w:rsidRPr="00F77AF5">
          <w:rPr>
            <w:rStyle w:val="Hypertextovprepojenie"/>
            <w:sz w:val="16"/>
            <w:szCs w:val="16"/>
          </w:rPr>
          <w:t>online</w:t>
        </w:r>
      </w:hyperlink>
      <w:r w:rsidRPr="00F77AF5">
        <w:rPr>
          <w:szCs w:val="16"/>
        </w:rPr>
        <w:t>].</w:t>
      </w:r>
    </w:p>
  </w:footnote>
  <w:footnote w:id="65">
    <w:p w14:paraId="5B81511F" w14:textId="59BD7658" w:rsidR="00C0783B" w:rsidRDefault="00C0783B" w:rsidP="00C0783B">
      <w:pPr>
        <w:pStyle w:val="Textpoznmkypodiarou"/>
      </w:pPr>
      <w:r>
        <w:rPr>
          <w:rStyle w:val="Odkaznapoznmkupodiarou"/>
        </w:rPr>
        <w:footnoteRef/>
      </w:r>
      <w:r>
        <w:t xml:space="preserve"> MZ SR identifikoval úsporné opatrenia v oblasti liekov vo výške 149 mil. eur a v ústavnej zdravotnej starostlivosti 64 mil. eur. Predpoklad naplnenia úspor spočíva v uhrádzaní spätných platieb od farmaceutických spoločností do ZP. Tiež v uhrádzaní vyrovnávacích rozdielov pri prekračovaní limitov v rokoch 2018 – 2022, ktoré ostali uviaznuté vo farmaceutických spoločnostiach a MZ SR sa ich snaží legislatívne vymôcť späť do systému VZP. V ďalšom kroku plánuje MZ SR ušetriť prostredníctvom revízie úhrad liekov vrátane vyňatia neúčinných a neesenciálnych liekov z kategorizačného zoznamu, teda už viac nebudú hradené z prostriedkov VZP. Predpokladané ďalšie úspory súvisia s prijatím legislatívy upravujúcej prahové hodnoty vstupu liekov a limit spoluúčasti pacientov.</w:t>
      </w:r>
    </w:p>
  </w:footnote>
  <w:footnote w:id="66">
    <w:p w14:paraId="7C3067D6" w14:textId="77777777" w:rsidR="00831DD2" w:rsidRPr="00BC6CED" w:rsidRDefault="00831DD2" w:rsidP="00831DD2">
      <w:pPr>
        <w:pStyle w:val="Textpoznmkypodiarou"/>
        <w:rPr>
          <w:szCs w:val="16"/>
        </w:rPr>
      </w:pPr>
      <w:r w:rsidRPr="00BC6CED">
        <w:rPr>
          <w:rStyle w:val="Odkaznapoznmkupodiarou"/>
          <w:szCs w:val="16"/>
        </w:rPr>
        <w:footnoteRef/>
      </w:r>
      <w:r w:rsidRPr="00BC6CED">
        <w:rPr>
          <w:szCs w:val="16"/>
        </w:rPr>
        <w:t xml:space="preserve"> Podstránka webového sídla MZ</w:t>
      </w:r>
      <w:r>
        <w:rPr>
          <w:szCs w:val="16"/>
        </w:rPr>
        <w:t xml:space="preserve"> </w:t>
      </w:r>
      <w:r w:rsidRPr="00BC6CED">
        <w:rPr>
          <w:szCs w:val="16"/>
        </w:rPr>
        <w:t xml:space="preserve">SR venovaná </w:t>
      </w:r>
      <w:r>
        <w:rPr>
          <w:szCs w:val="16"/>
        </w:rPr>
        <w:t>r</w:t>
      </w:r>
      <w:r w:rsidRPr="00BC6CED">
        <w:rPr>
          <w:szCs w:val="16"/>
        </w:rPr>
        <w:t>ade je na tomto mieste: [</w:t>
      </w:r>
      <w:hyperlink r:id="rId41" w:history="1">
        <w:r w:rsidRPr="00BC6CED">
          <w:rPr>
            <w:rStyle w:val="Hypertextovprepojenie"/>
            <w:sz w:val="16"/>
            <w:szCs w:val="16"/>
          </w:rPr>
          <w:t>online</w:t>
        </w:r>
      </w:hyperlink>
      <w:r w:rsidRPr="00BC6CED">
        <w:rPr>
          <w:szCs w:val="16"/>
        </w:rPr>
        <w:t>].</w:t>
      </w:r>
    </w:p>
  </w:footnote>
  <w:footnote w:id="67">
    <w:p w14:paraId="25827814" w14:textId="77777777" w:rsidR="00E722EE" w:rsidRPr="00BC6CED" w:rsidRDefault="00E722EE" w:rsidP="00E722EE">
      <w:pPr>
        <w:pStyle w:val="Textpoznmkypodiarou"/>
        <w:rPr>
          <w:szCs w:val="16"/>
        </w:rPr>
      </w:pPr>
      <w:r w:rsidRPr="00BC6CED">
        <w:rPr>
          <w:rStyle w:val="Odkaznapoznmkupodiarou"/>
          <w:szCs w:val="16"/>
        </w:rPr>
        <w:footnoteRef/>
      </w:r>
      <w:r w:rsidRPr="00BC6CED">
        <w:rPr>
          <w:szCs w:val="16"/>
        </w:rPr>
        <w:t xml:space="preserve"> Štrukturálne výzvy 2025. Národná banka Slovenska. júl 2025. </w:t>
      </w:r>
      <w:hyperlink r:id="rId42" w:history="1">
        <w:r w:rsidRPr="00BC6CED">
          <w:rPr>
            <w:rStyle w:val="Hypertextovprepojenie"/>
            <w:sz w:val="16"/>
            <w:szCs w:val="16"/>
          </w:rPr>
          <w:t>[online]</w:t>
        </w:r>
      </w:hyperlink>
      <w:r w:rsidRPr="00BC6CED">
        <w:rPr>
          <w:szCs w:val="16"/>
        </w:rPr>
        <w:t>.</w:t>
      </w:r>
    </w:p>
  </w:footnote>
  <w:footnote w:id="68">
    <w:p w14:paraId="64AA2DD1" w14:textId="77777777" w:rsidR="00501658" w:rsidRPr="00BC6CED" w:rsidRDefault="00501658" w:rsidP="00501658">
      <w:pPr>
        <w:pStyle w:val="Textpoznmkypodiarou"/>
        <w:rPr>
          <w:szCs w:val="16"/>
        </w:rPr>
      </w:pPr>
      <w:r w:rsidRPr="00BC6CED">
        <w:rPr>
          <w:rStyle w:val="Odkaznapoznmkupodiarou"/>
          <w:szCs w:val="16"/>
        </w:rPr>
        <w:footnoteRef/>
      </w:r>
      <w:r w:rsidRPr="00BC6CED">
        <w:rPr>
          <w:szCs w:val="16"/>
        </w:rPr>
        <w:t xml:space="preserve"> Súhrnná správa o vývoji v Strategickom rámci starostlivosti o zdravie pre roky 2014-2030 za rok 2024. MZ SR. jún 2025. [</w:t>
      </w:r>
      <w:hyperlink r:id="rId43" w:history="1">
        <w:r w:rsidRPr="00BC6CED">
          <w:rPr>
            <w:rStyle w:val="Hypertextovprepojenie"/>
            <w:sz w:val="16"/>
            <w:szCs w:val="16"/>
          </w:rPr>
          <w:t>online</w:t>
        </w:r>
      </w:hyperlink>
      <w:r w:rsidRPr="00BC6CED">
        <w:rPr>
          <w:szCs w:val="16"/>
        </w:rPr>
        <w:t>].</w:t>
      </w:r>
    </w:p>
  </w:footnote>
  <w:footnote w:id="69">
    <w:p w14:paraId="475855BE" w14:textId="77777777" w:rsidR="00E722EE" w:rsidRPr="00BC6CED" w:rsidRDefault="00E722EE" w:rsidP="00E722EE">
      <w:pPr>
        <w:pStyle w:val="Textpoznmkypodiarou"/>
        <w:rPr>
          <w:szCs w:val="16"/>
        </w:rPr>
      </w:pPr>
      <w:r w:rsidRPr="00BC6CED">
        <w:rPr>
          <w:rStyle w:val="Odkaznapoznmkupodiarou"/>
          <w:szCs w:val="16"/>
        </w:rPr>
        <w:footnoteRef/>
      </w:r>
      <w:r w:rsidRPr="00BC6CED">
        <w:rPr>
          <w:szCs w:val="16"/>
        </w:rPr>
        <w:t xml:space="preserve"> Lastuka A, Breshock MR, Hay SH, et al. Global, regional, and national health-care inefficiency and associated factors in 201 countries, 1995–2022: a stochastic frontier meta-analysis for the Global Burden of Disease Study 2023. The Lancet Global Health. 15 July 2025. </w:t>
      </w:r>
      <w:hyperlink r:id="rId44" w:history="1">
        <w:r w:rsidRPr="00BC6CED">
          <w:rPr>
            <w:rStyle w:val="Hypertextovprepojenie"/>
            <w:sz w:val="16"/>
            <w:szCs w:val="16"/>
          </w:rPr>
          <w:t>[online]</w:t>
        </w:r>
      </w:hyperlink>
      <w:r w:rsidRPr="00BC6CED">
        <w:rPr>
          <w:szCs w:val="16"/>
        </w:rPr>
        <w:t>.</w:t>
      </w:r>
    </w:p>
  </w:footnote>
  <w:footnote w:id="70">
    <w:p w14:paraId="22DE2747" w14:textId="77777777" w:rsidR="00E722EE" w:rsidRPr="00BC6CED" w:rsidRDefault="00E722EE" w:rsidP="00E722EE">
      <w:pPr>
        <w:pStyle w:val="Textpoznmkypodiarou"/>
        <w:rPr>
          <w:szCs w:val="16"/>
        </w:rPr>
      </w:pPr>
      <w:r w:rsidRPr="00BC6CED">
        <w:rPr>
          <w:rStyle w:val="Odkaznapoznmkupodiarou"/>
          <w:szCs w:val="16"/>
        </w:rPr>
        <w:footnoteRef/>
      </w:r>
      <w:r w:rsidRPr="00BC6CED">
        <w:rPr>
          <w:szCs w:val="16"/>
        </w:rPr>
        <w:t xml:space="preserve"> Health-adjusted life expectancy (HALE).</w:t>
      </w:r>
    </w:p>
  </w:footnote>
  <w:footnote w:id="71">
    <w:p w14:paraId="40003D2C" w14:textId="720149F1" w:rsidR="001E093E" w:rsidRDefault="001E093E">
      <w:pPr>
        <w:pStyle w:val="Textpoznmkypodiarou"/>
      </w:pPr>
      <w:r>
        <w:rPr>
          <w:rStyle w:val="Odkaznapoznmkupodiarou"/>
        </w:rPr>
        <w:footnoteRef/>
      </w:r>
      <w:r>
        <w:t xml:space="preserve"> </w:t>
      </w:r>
      <w:r w:rsidRPr="001E093E">
        <w:t>ISCO skupina 221</w:t>
      </w:r>
      <w:r>
        <w:t>.</w:t>
      </w:r>
    </w:p>
  </w:footnote>
  <w:footnote w:id="72">
    <w:p w14:paraId="32959F1A" w14:textId="4E0F269D" w:rsidR="001E093E" w:rsidRDefault="001E093E">
      <w:pPr>
        <w:pStyle w:val="Textpoznmkypodiarou"/>
      </w:pPr>
      <w:r>
        <w:rPr>
          <w:rStyle w:val="Odkaznapoznmkupodiarou"/>
        </w:rPr>
        <w:footnoteRef/>
      </w:r>
      <w:r>
        <w:t xml:space="preserve"> </w:t>
      </w:r>
      <w:r w:rsidR="00C0783B" w:rsidRPr="00C0783B">
        <w:t>ISCO je medzinárodná štandardná klasifikácia zamestnaní (International Standard Classification of Occupations), ktorú zaviedla medzinárodná organizácia práce (ILO). V analýze bola použitá aktuálna verzia klasifikácie SK ISCO-08</w:t>
      </w:r>
      <w:r w:rsidR="00C0783B">
        <w:t>.</w:t>
      </w:r>
    </w:p>
  </w:footnote>
  <w:footnote w:id="73">
    <w:p w14:paraId="4A58BBA0" w14:textId="77777777" w:rsidR="000B28D8" w:rsidRPr="00BF71C6" w:rsidRDefault="000B28D8" w:rsidP="000B28D8">
      <w:pPr>
        <w:pStyle w:val="Textpoznmkypodiarou"/>
        <w:rPr>
          <w:rFonts w:cs="Segoe UI"/>
          <w:szCs w:val="16"/>
        </w:rPr>
      </w:pPr>
      <w:r w:rsidRPr="00604C5B">
        <w:rPr>
          <w:rStyle w:val="Odkaznapoznmkupodiarou"/>
          <w:rFonts w:cs="Segoe UI"/>
          <w:szCs w:val="16"/>
        </w:rPr>
        <w:footnoteRef/>
      </w:r>
      <w:r w:rsidRPr="00604C5B">
        <w:rPr>
          <w:rFonts w:cs="Segoe UI"/>
          <w:szCs w:val="16"/>
        </w:rPr>
        <w:t xml:space="preserve"> </w:t>
      </w:r>
      <w:hyperlink r:id="rId45" w:history="1">
        <w:r w:rsidRPr="00604C5B">
          <w:rPr>
            <w:rFonts w:cs="Segoe UI"/>
            <w:szCs w:val="16"/>
          </w:rPr>
          <w:t>EK</w:t>
        </w:r>
      </w:hyperlink>
      <w:r w:rsidRPr="00604C5B">
        <w:rPr>
          <w:rFonts w:cs="Segoe UI"/>
          <w:szCs w:val="16"/>
        </w:rPr>
        <w:t xml:space="preserve"> –</w:t>
      </w:r>
      <w:r w:rsidRPr="00BF71C6">
        <w:rPr>
          <w:rFonts w:cs="Segoe UI"/>
          <w:szCs w:val="16"/>
        </w:rPr>
        <w:t xml:space="preserve"> Biela kniha 2030. </w:t>
      </w:r>
      <w:r w:rsidRPr="00BF71C6">
        <w:rPr>
          <w:rFonts w:cs="Segoe UI"/>
          <w:szCs w:val="16"/>
          <w:lang w:val="en-US"/>
        </w:rPr>
        <w:t>[</w:t>
      </w:r>
      <w:hyperlink r:id="rId46" w:history="1">
        <w:r w:rsidRPr="00F6187C">
          <w:rPr>
            <w:rStyle w:val="Hypertextovprepojenie"/>
            <w:rFonts w:cs="Segoe UI"/>
            <w:sz w:val="16"/>
            <w:szCs w:val="16"/>
          </w:rPr>
          <w:t>online</w:t>
        </w:r>
      </w:hyperlink>
      <w:r w:rsidRPr="00604C5B">
        <w:rPr>
          <w:rFonts w:cs="Segoe UI"/>
          <w:szCs w:val="16"/>
        </w:rPr>
        <w:t>].</w:t>
      </w:r>
    </w:p>
  </w:footnote>
  <w:footnote w:id="74">
    <w:p w14:paraId="3F07C4E8" w14:textId="77777777" w:rsidR="00A04C25" w:rsidRDefault="00A04C25" w:rsidP="00A04C25">
      <w:pPr>
        <w:pStyle w:val="Textpoznmkypodiarou"/>
      </w:pPr>
      <w:r>
        <w:rPr>
          <w:rStyle w:val="Odkaznapoznmkupodiarou"/>
        </w:rPr>
        <w:footnoteRef/>
      </w:r>
      <w:r>
        <w:t xml:space="preserve"> </w:t>
      </w:r>
      <w:hyperlink r:id="rId47" w:history="1">
        <w:r w:rsidRPr="00E20DDF">
          <w:rPr>
            <w:rStyle w:val="Hypertextovprepojenie"/>
            <w:sz w:val="16"/>
          </w:rPr>
          <w:t>Strategic Technologies for Europe Platform - European Union (STEP)</w:t>
        </w:r>
      </w:hyperlink>
    </w:p>
  </w:footnote>
  <w:footnote w:id="75">
    <w:p w14:paraId="2819CFB9" w14:textId="77777777" w:rsidR="00A04C25" w:rsidRDefault="00A04C25" w:rsidP="00A04C25">
      <w:pPr>
        <w:pStyle w:val="Textpoznmkypodiarou"/>
      </w:pPr>
      <w:r>
        <w:rPr>
          <w:rStyle w:val="Odkaznapoznmkupodiarou"/>
        </w:rPr>
        <w:footnoteRef/>
      </w:r>
      <w:r>
        <w:t xml:space="preserve"> </w:t>
      </w:r>
      <w:hyperlink r:id="rId48" w:history="1">
        <w:r w:rsidRPr="00E20DDF">
          <w:rPr>
            <w:rStyle w:val="Hypertextovprepojenie"/>
            <w:sz w:val="16"/>
          </w:rPr>
          <w:t>EUR-Lex - 52025PC0188 - EN - EUR-Lex</w:t>
        </w:r>
      </w:hyperlink>
    </w:p>
  </w:footnote>
  <w:footnote w:id="76">
    <w:p w14:paraId="0142C513" w14:textId="77777777" w:rsidR="00A04C25" w:rsidRDefault="00A04C25" w:rsidP="00A04C25">
      <w:pPr>
        <w:pStyle w:val="Textpoznmkypodiarou"/>
      </w:pPr>
      <w:r>
        <w:rPr>
          <w:rStyle w:val="Odkaznapoznmkupodiarou"/>
        </w:rPr>
        <w:footnoteRef/>
      </w:r>
      <w:r>
        <w:t xml:space="preserve"> </w:t>
      </w:r>
      <w:hyperlink r:id="rId49" w:history="1">
        <w:r w:rsidRPr="00E20DDF">
          <w:rPr>
            <w:rStyle w:val="Hypertextovprepojenie"/>
            <w:sz w:val="16"/>
          </w:rPr>
          <w:t>Inforegio – Modernizovaná politika súdržnosti: Preskúmanie v polovici trvania</w:t>
        </w:r>
      </w:hyperlink>
    </w:p>
  </w:footnote>
  <w:footnote w:id="77">
    <w:p w14:paraId="3FD0C351" w14:textId="77777777" w:rsidR="002A7C02" w:rsidRDefault="002A7C02" w:rsidP="002A7C02">
      <w:pPr>
        <w:pStyle w:val="Textpoznmkypodiarou"/>
      </w:pPr>
      <w:r>
        <w:rPr>
          <w:rStyle w:val="Odkaznapoznmkupodiarou"/>
        </w:rPr>
        <w:footnoteRef/>
      </w:r>
      <w:r>
        <w:t xml:space="preserve"> </w:t>
      </w:r>
      <w:r w:rsidRPr="00F42C97">
        <w:t>3,5 % HDP na financovanie základných obranných potrieb a plnenie cieľov spôsobilostí NATO a 1,5 % HDP na ďalšie výdavky spojené s obranou, napríklad na ochranu kritickej infraštruktúry, obranu sietí a posilnenie obrannej priemyselnej základne</w:t>
      </w:r>
      <w:r>
        <w:t>.</w:t>
      </w:r>
    </w:p>
  </w:footnote>
  <w:footnote w:id="78">
    <w:p w14:paraId="0E0E9433" w14:textId="77777777" w:rsidR="002A7C02" w:rsidRPr="000959C3" w:rsidRDefault="002A7C02" w:rsidP="002A7C02">
      <w:pPr>
        <w:pStyle w:val="Textpoznmkypodiarou"/>
      </w:pPr>
      <w:r w:rsidRPr="000959C3">
        <w:rPr>
          <w:rStyle w:val="Odkaznapoznmkupodiarou"/>
        </w:rPr>
        <w:footnoteRef/>
      </w:r>
      <w:r w:rsidRPr="000959C3">
        <w:t xml:space="preserve"> </w:t>
      </w:r>
      <w:r>
        <w:t>NKÚ SR upozorňuje, že v zmysle navrhovaného uznesenia vlády SR j</w:t>
      </w:r>
      <w:r w:rsidRPr="000959C3">
        <w:t>e potrebné aktualizovať a zverejniť priorizované investičné plány projektov investičného charakteru a koncesií najmenej do roku 2031, v súlade s Metodikou prípravy a hodnotenia investičných projektov schválenou uznesením vlády SR č. 181/2022, so zohľadnením možností a zdrojov financovania.</w:t>
      </w:r>
    </w:p>
  </w:footnote>
  <w:footnote w:id="79">
    <w:p w14:paraId="048BF786" w14:textId="0E97056E" w:rsidR="000B28D8" w:rsidRDefault="000B28D8" w:rsidP="000B28D8">
      <w:pPr>
        <w:pStyle w:val="Textpoznmkypodiarou"/>
      </w:pPr>
      <w:r>
        <w:rPr>
          <w:rStyle w:val="Odkaznapoznmkupodiarou"/>
        </w:rPr>
        <w:footnoteRef/>
      </w:r>
      <w:r>
        <w:t xml:space="preserve"> </w:t>
      </w:r>
      <w:r w:rsidRPr="00E905F2">
        <w:t>Deklaráci</w:t>
      </w:r>
      <w:r>
        <w:t>ou</w:t>
      </w:r>
      <w:r w:rsidRPr="00E905F2">
        <w:t xml:space="preserve"> z</w:t>
      </w:r>
      <w:r w:rsidR="008C6BA0">
        <w:t> </w:t>
      </w:r>
      <w:r w:rsidRPr="00E905F2">
        <w:t>Walesu</w:t>
      </w:r>
      <w:r w:rsidR="008C6BA0">
        <w:t>,</w:t>
      </w:r>
      <w:r w:rsidRPr="00E905F2">
        <w:t xml:space="preserve"> prijat</w:t>
      </w:r>
      <w:r>
        <w:t>ou</w:t>
      </w:r>
      <w:r w:rsidRPr="00E905F2">
        <w:t xml:space="preserve"> na samite NATO vo Walese v septembri 2014</w:t>
      </w:r>
      <w:r w:rsidR="008C6BA0">
        <w:t>,</w:t>
      </w:r>
      <w:r w:rsidRPr="00E905F2">
        <w:t xml:space="preserve"> sa lídri členských štátov zaviazali postupne zvýšiť obranné výdavky tak, aby do roku 2024 dosiahli aspoň 2 % HDP</w:t>
      </w:r>
      <w:r w:rsidR="008C6BA0">
        <w:t>.</w:t>
      </w:r>
    </w:p>
  </w:footnote>
  <w:footnote w:id="80">
    <w:p w14:paraId="6469E0F0" w14:textId="77777777" w:rsidR="00CF79E4" w:rsidRDefault="00CF79E4" w:rsidP="00CF79E4">
      <w:pPr>
        <w:pStyle w:val="Textpoznmkypodiarou"/>
      </w:pPr>
      <w:r>
        <w:rPr>
          <w:rStyle w:val="Odkaznapoznmkupodiarou"/>
        </w:rPr>
        <w:footnoteRef/>
      </w:r>
      <w:r>
        <w:t xml:space="preserve"> </w:t>
      </w:r>
      <w:r w:rsidRPr="00C3420A">
        <w:t xml:space="preserve">Správa o </w:t>
      </w:r>
      <w:r>
        <w:t xml:space="preserve">krajine na rok 2025 – Slovensko. </w:t>
      </w:r>
      <w:r w:rsidRPr="00C3420A">
        <w:t>EK,  jún 2025</w:t>
      </w:r>
      <w:r>
        <w:t xml:space="preserve">. </w:t>
      </w:r>
      <w:hyperlink r:id="rId50" w:history="1">
        <w:r w:rsidRPr="00C3420A">
          <w:rPr>
            <w:rStyle w:val="Hypertextovprepojenie"/>
            <w:sz w:val="16"/>
          </w:rPr>
          <w:t>[online]</w:t>
        </w:r>
      </w:hyperlink>
      <w:r>
        <w:t>.</w:t>
      </w:r>
    </w:p>
  </w:footnote>
  <w:footnote w:id="81">
    <w:p w14:paraId="4121E1A6" w14:textId="77777777" w:rsidR="00CF79E4" w:rsidRDefault="00CF79E4" w:rsidP="00CF79E4">
      <w:pPr>
        <w:pStyle w:val="Textpoznmkypodiarou"/>
      </w:pPr>
      <w:r>
        <w:rPr>
          <w:rStyle w:val="Odkaznapoznmkupodiarou"/>
        </w:rPr>
        <w:footnoteRef/>
      </w:r>
      <w:r>
        <w:t xml:space="preserve"> </w:t>
      </w:r>
      <w:r w:rsidRPr="00C3420A">
        <w:t>Úroveň investícií do hospodárenia s vodami sa odhaduje na základe sledovania finančných prostriedkov EÚ, projektov EIB a vnútroštátnych výdavkov (účty výdavkov na ochranu životného prostredia, Eurostat).</w:t>
      </w:r>
    </w:p>
  </w:footnote>
  <w:footnote w:id="82">
    <w:p w14:paraId="4BDA7066" w14:textId="77777777" w:rsidR="00CF79E4" w:rsidRDefault="00CF79E4" w:rsidP="00CF79E4">
      <w:pPr>
        <w:pStyle w:val="Textpoznmkypodiarou"/>
      </w:pPr>
      <w:r>
        <w:rPr>
          <w:rStyle w:val="Odkaznapoznmkupodiarou"/>
        </w:rPr>
        <w:footnoteRef/>
      </w:r>
      <w:r>
        <w:t xml:space="preserve"> Centrálny archív údajov EIONET, EEA. </w:t>
      </w:r>
      <w:hyperlink r:id="rId51" w:history="1">
        <w:r w:rsidRPr="00C079AB">
          <w:rPr>
            <w:rStyle w:val="Hypertextovprepojenie"/>
            <w:sz w:val="16"/>
          </w:rPr>
          <w:t>[online]</w:t>
        </w:r>
      </w:hyperlink>
      <w:r>
        <w:t>.</w:t>
      </w:r>
    </w:p>
  </w:footnote>
  <w:footnote w:id="83">
    <w:p w14:paraId="1616E3C1" w14:textId="77777777" w:rsidR="00CF79E4" w:rsidRDefault="00CF79E4" w:rsidP="00CF79E4">
      <w:pPr>
        <w:pStyle w:val="Textpoznmkypodiarou"/>
      </w:pPr>
      <w:r>
        <w:rPr>
          <w:rStyle w:val="Odkaznapoznmkupodiarou"/>
        </w:rPr>
        <w:footnoteRef/>
      </w:r>
      <w:r>
        <w:t xml:space="preserve"> </w:t>
      </w:r>
      <w:r w:rsidRPr="00E01227">
        <w:t>Hodno</w:t>
      </w:r>
      <w:r>
        <w:t xml:space="preserve">ta za rok 2017, </w:t>
      </w:r>
      <w:r w:rsidRPr="00E01227">
        <w:t>EEA, 2024, The costs to health and the environment from industrial air po</w:t>
      </w:r>
      <w:r>
        <w:t xml:space="preserve">llution in Europe – 2024 update. </w:t>
      </w:r>
      <w:hyperlink r:id="rId52" w:history="1">
        <w:r w:rsidRPr="00E01227">
          <w:rPr>
            <w:rStyle w:val="Hypertextovprepojenie"/>
            <w:sz w:val="16"/>
          </w:rPr>
          <w:t>[online]</w:t>
        </w:r>
      </w:hyperlink>
      <w:r>
        <w:t>.</w:t>
      </w:r>
    </w:p>
  </w:footnote>
  <w:footnote w:id="84">
    <w:p w14:paraId="072C2FC5" w14:textId="77777777" w:rsidR="00CF79E4" w:rsidRDefault="00CF79E4" w:rsidP="00CF79E4">
      <w:pPr>
        <w:pStyle w:val="Textpoznmkypodiarou"/>
      </w:pPr>
      <w:r>
        <w:rPr>
          <w:rStyle w:val="Odkaznapoznmkupodiarou"/>
        </w:rPr>
        <w:footnoteRef/>
      </w:r>
      <w:r>
        <w:t xml:space="preserve"> </w:t>
      </w:r>
      <w:r w:rsidRPr="00E01227">
        <w:t>Environmental investment needs &amp; gaps assessment programme</w:t>
      </w:r>
      <w:r>
        <w:t xml:space="preserve">. EK, </w:t>
      </w:r>
      <w:r w:rsidRPr="00AC72C0">
        <w:t>aktualizácia na rok 2025. Vyjadrené v cenách z roku 2022.</w:t>
      </w:r>
    </w:p>
  </w:footnote>
  <w:footnote w:id="85">
    <w:p w14:paraId="45314513" w14:textId="77777777" w:rsidR="00CF79E4" w:rsidRDefault="00CF79E4" w:rsidP="00CF79E4">
      <w:pPr>
        <w:pStyle w:val="Textpoznmkypodiarou"/>
      </w:pPr>
      <w:r>
        <w:rPr>
          <w:rStyle w:val="Odkaznapoznmkupodiarou"/>
        </w:rPr>
        <w:footnoteRef/>
      </w:r>
      <w:r>
        <w:t xml:space="preserve"> </w:t>
      </w:r>
      <w:r w:rsidRPr="00C3420A">
        <w:t xml:space="preserve">Správa o </w:t>
      </w:r>
      <w:r>
        <w:t xml:space="preserve">krajine na rok 2025 – Slovensko. </w:t>
      </w:r>
      <w:r w:rsidRPr="00C3420A">
        <w:t>EK,  jún 2025</w:t>
      </w:r>
      <w:r>
        <w:t xml:space="preserve">. </w:t>
      </w:r>
      <w:hyperlink r:id="rId53" w:history="1">
        <w:r w:rsidRPr="00C3420A">
          <w:rPr>
            <w:rStyle w:val="Hypertextovprepojenie"/>
            <w:sz w:val="16"/>
          </w:rPr>
          <w:t>[online]</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803" w:type="pct"/>
      <w:tblInd w:w="-1418" w:type="dxa"/>
      <w:shd w:val="clear" w:color="auto" w:fill="9CB9EC" w:themeFill="accent2"/>
      <w:tblCellMar>
        <w:top w:w="115" w:type="dxa"/>
        <w:left w:w="115" w:type="dxa"/>
        <w:bottom w:w="115" w:type="dxa"/>
        <w:right w:w="115" w:type="dxa"/>
      </w:tblCellMar>
      <w:tblLook w:val="04A0" w:firstRow="1" w:lastRow="0" w:firstColumn="1" w:lastColumn="0" w:noHBand="0" w:noVBand="1"/>
    </w:tblPr>
    <w:tblGrid>
      <w:gridCol w:w="12341"/>
    </w:tblGrid>
    <w:tr w:rsidR="000F4345" w14:paraId="6078A1EE" w14:textId="77777777" w:rsidTr="00D368ED">
      <w:trPr>
        <w:trHeight w:val="1911"/>
      </w:trPr>
      <w:tc>
        <w:tcPr>
          <w:tcW w:w="5000" w:type="pct"/>
          <w:shd w:val="clear" w:color="auto" w:fill="314364"/>
          <w:vAlign w:val="center"/>
        </w:tcPr>
        <w:p w14:paraId="0129F68B" w14:textId="77777777" w:rsidR="000F4345" w:rsidRPr="00D368ED" w:rsidRDefault="000F4345" w:rsidP="000B6CC9">
          <w:pPr>
            <w:pStyle w:val="Hlavika"/>
            <w:tabs>
              <w:tab w:val="clear" w:pos="9072"/>
              <w:tab w:val="right" w:pos="10239"/>
            </w:tabs>
            <w:spacing w:before="240" w:after="120"/>
            <w:ind w:left="1308"/>
            <w:jc w:val="left"/>
            <w:rPr>
              <w:rFonts w:cs="Segoe UI"/>
              <w:b/>
              <w:caps/>
              <w:color w:val="FFFFFF" w:themeColor="background1"/>
              <w:sz w:val="40"/>
              <w:szCs w:val="40"/>
            </w:rPr>
          </w:pPr>
          <w:r w:rsidRPr="0060315B">
            <w:rPr>
              <w:rFonts w:cs="Segoe UI"/>
              <w:noProof/>
              <w:color w:val="FFFFFF" w:themeColor="background1"/>
              <w:sz w:val="40"/>
              <w:lang w:eastAsia="sk-SK"/>
            </w:rPr>
            <w:drawing>
              <wp:anchor distT="0" distB="0" distL="114300" distR="114300" simplePos="0" relativeHeight="251661312" behindDoc="0" locked="0" layoutInCell="1" allowOverlap="1" wp14:anchorId="375CB54A" wp14:editId="30DC9E20">
                <wp:simplePos x="0" y="0"/>
                <wp:positionH relativeFrom="margin">
                  <wp:posOffset>5177155</wp:posOffset>
                </wp:positionH>
                <wp:positionV relativeFrom="margin">
                  <wp:posOffset>135255</wp:posOffset>
                </wp:positionV>
                <wp:extent cx="1371600" cy="1009650"/>
                <wp:effectExtent l="0" t="0" r="0" b="0"/>
                <wp:wrapSquare wrapText="bothSides"/>
                <wp:docPr id="311803788" name="Obrázok 31180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ok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71600" cy="1009650"/>
                        </a:xfrm>
                        <a:prstGeom prst="rect">
                          <a:avLst/>
                        </a:prstGeom>
                      </pic:spPr>
                    </pic:pic>
                  </a:graphicData>
                </a:graphic>
                <wp14:sizeRelH relativeFrom="margin">
                  <wp14:pctWidth>0</wp14:pctWidth>
                </wp14:sizeRelH>
                <wp14:sizeRelV relativeFrom="margin">
                  <wp14:pctHeight>0</wp14:pctHeight>
                </wp14:sizeRelV>
              </wp:anchor>
            </w:drawing>
          </w:r>
          <w:r w:rsidRPr="00D368ED">
            <w:rPr>
              <w:rFonts w:cs="Segoe UI"/>
              <w:b/>
              <w:caps/>
              <w:color w:val="FFFFFF" w:themeColor="background1"/>
              <w:sz w:val="40"/>
              <w:szCs w:val="40"/>
            </w:rPr>
            <w:t>NAJVYŠŠÍ KONTROLNÝ ÚRAD</w:t>
          </w:r>
          <w:r w:rsidRPr="00D368ED">
            <w:rPr>
              <w:rFonts w:cs="Segoe UI"/>
              <w:b/>
              <w:caps/>
              <w:color w:val="FFFFFF" w:themeColor="background1"/>
              <w:sz w:val="40"/>
              <w:szCs w:val="40"/>
            </w:rPr>
            <w:br/>
            <w:t>SLOVENSKEJ REPUBLIKY</w:t>
          </w:r>
        </w:p>
        <w:p w14:paraId="41E3EFF0" w14:textId="77777777" w:rsidR="000F4345" w:rsidRPr="00452B4A" w:rsidRDefault="000F4345" w:rsidP="00D368ED">
          <w:pPr>
            <w:pStyle w:val="Hlavika"/>
            <w:ind w:left="1308"/>
            <w:jc w:val="left"/>
            <w:rPr>
              <w:rFonts w:ascii="Montserrat" w:hAnsi="Montserrat"/>
              <w:caps/>
              <w:color w:val="FFFFFF" w:themeColor="background1"/>
            </w:rPr>
          </w:pPr>
          <w:r>
            <w:rPr>
              <w:rFonts w:cs="Segoe UI"/>
              <w:color w:val="FFFFFF" w:themeColor="background1"/>
              <w:sz w:val="24"/>
            </w:rPr>
            <w:t>www.nku.gov.sk</w:t>
          </w:r>
        </w:p>
      </w:tc>
    </w:tr>
  </w:tbl>
  <w:p w14:paraId="0EE9014E" w14:textId="77777777" w:rsidR="000F4345" w:rsidRDefault="000F4345">
    <w:pPr>
      <w:pStyle w:val="Hlavik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600" w:type="pct"/>
      <w:tblInd w:w="-1471" w:type="dxa"/>
      <w:shd w:val="clear" w:color="auto" w:fill="9CB9EC" w:themeFill="accent2"/>
      <w:tblCellMar>
        <w:top w:w="115" w:type="dxa"/>
        <w:left w:w="115" w:type="dxa"/>
        <w:bottom w:w="115" w:type="dxa"/>
        <w:right w:w="115" w:type="dxa"/>
      </w:tblCellMar>
      <w:tblLook w:val="04A0" w:firstRow="1" w:lastRow="0" w:firstColumn="1" w:lastColumn="0" w:noHBand="0" w:noVBand="1"/>
    </w:tblPr>
    <w:tblGrid>
      <w:gridCol w:w="11972"/>
    </w:tblGrid>
    <w:tr w:rsidR="000F4345" w14:paraId="7A36DCFD" w14:textId="77777777" w:rsidTr="0056118C">
      <w:trPr>
        <w:trHeight w:val="1134"/>
      </w:trPr>
      <w:tc>
        <w:tcPr>
          <w:tcW w:w="5000" w:type="pct"/>
          <w:shd w:val="clear" w:color="auto" w:fill="314364"/>
          <w:vAlign w:val="center"/>
        </w:tcPr>
        <w:p w14:paraId="6D97F8F6" w14:textId="5CC4F8FA" w:rsidR="000F4345" w:rsidRPr="00962F36" w:rsidRDefault="000F4345" w:rsidP="00092577">
          <w:pPr>
            <w:pStyle w:val="Hlavika"/>
            <w:tabs>
              <w:tab w:val="clear" w:pos="4536"/>
              <w:tab w:val="center" w:pos="309"/>
            </w:tabs>
            <w:spacing w:before="120"/>
            <w:ind w:left="309" w:right="1296"/>
            <w:jc w:val="right"/>
            <w:rPr>
              <w:rFonts w:cs="Segoe UI"/>
              <w:color w:val="FFFFFF" w:themeColor="background1"/>
              <w:sz w:val="24"/>
            </w:rPr>
          </w:pPr>
          <w:r>
            <w:rPr>
              <w:rFonts w:cs="Segoe UI"/>
              <w:color w:val="FFFFFF" w:themeColor="background1"/>
              <w:sz w:val="24"/>
            </w:rPr>
            <w:br/>
            <w:t>www.nku.gov.sk</w:t>
          </w:r>
        </w:p>
      </w:tc>
    </w:tr>
  </w:tbl>
  <w:p w14:paraId="49FBD093" w14:textId="77777777" w:rsidR="000F4345" w:rsidRDefault="000F4345" w:rsidP="00E648E7">
    <w:pP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5247D1"/>
    <w:multiLevelType w:val="hybridMultilevel"/>
    <w:tmpl w:val="CB24C71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15:restartNumberingAfterBreak="0">
    <w:nsid w:val="235C2A8C"/>
    <w:multiLevelType w:val="hybridMultilevel"/>
    <w:tmpl w:val="40DA79AC"/>
    <w:lvl w:ilvl="0" w:tplc="041B0005">
      <w:start w:val="1"/>
      <w:numFmt w:val="bullet"/>
      <w:lvlText w:val=""/>
      <w:lvlJc w:val="left"/>
      <w:pPr>
        <w:ind w:left="720" w:hanging="360"/>
      </w:pPr>
      <w:rPr>
        <w:rFonts w:ascii="Wingdings" w:hAnsi="Wingding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2652455A"/>
    <w:multiLevelType w:val="multilevel"/>
    <w:tmpl w:val="9CFCE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C0200CD"/>
    <w:multiLevelType w:val="hybridMultilevel"/>
    <w:tmpl w:val="779C003E"/>
    <w:lvl w:ilvl="0" w:tplc="CEC6094A">
      <w:start w:val="1"/>
      <w:numFmt w:val="bullet"/>
      <w:lvlText w:val=""/>
      <w:lvlJc w:val="left"/>
      <w:pPr>
        <w:ind w:left="510" w:hanging="283"/>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C852ABC"/>
    <w:multiLevelType w:val="hybridMultilevel"/>
    <w:tmpl w:val="4FE6B62C"/>
    <w:lvl w:ilvl="0" w:tplc="041B0001">
      <w:start w:val="1"/>
      <w:numFmt w:val="bullet"/>
      <w:lvlText w:val=""/>
      <w:lvlJc w:val="left"/>
      <w:pPr>
        <w:ind w:left="720" w:hanging="360"/>
      </w:pPr>
      <w:rPr>
        <w:rFonts w:ascii="Symbol" w:hAnsi="Symbol" w:hint="default"/>
      </w:rPr>
    </w:lvl>
    <w:lvl w:ilvl="1" w:tplc="FCCCB646">
      <w:numFmt w:val="bullet"/>
      <w:lvlText w:val=""/>
      <w:lvlJc w:val="left"/>
      <w:pPr>
        <w:ind w:left="1212" w:hanging="132"/>
      </w:pPr>
      <w:rPr>
        <w:rFonts w:ascii="Times New Roman" w:eastAsia="Times New Roman" w:hAnsi="Symbol" w:cs="Times New Roman"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3426669D"/>
    <w:multiLevelType w:val="hybridMultilevel"/>
    <w:tmpl w:val="A0F2E7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15:restartNumberingAfterBreak="0">
    <w:nsid w:val="38BE09A6"/>
    <w:multiLevelType w:val="hybridMultilevel"/>
    <w:tmpl w:val="D178648C"/>
    <w:lvl w:ilvl="0" w:tplc="041B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7" w15:restartNumberingAfterBreak="0">
    <w:nsid w:val="3D27415F"/>
    <w:multiLevelType w:val="hybridMultilevel"/>
    <w:tmpl w:val="1D269758"/>
    <w:lvl w:ilvl="0" w:tplc="03BA7296">
      <w:start w:val="1"/>
      <w:numFmt w:val="bullet"/>
      <w:lvlText w:val="−"/>
      <w:lvlJc w:val="left"/>
      <w:pPr>
        <w:ind w:left="360" w:hanging="360"/>
      </w:pPr>
      <w:rPr>
        <w:rFonts w:ascii="Arial Narrow" w:hAnsi="Arial Narrow"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8" w15:restartNumberingAfterBreak="0">
    <w:nsid w:val="437406D9"/>
    <w:multiLevelType w:val="hybridMultilevel"/>
    <w:tmpl w:val="19788270"/>
    <w:lvl w:ilvl="0" w:tplc="8E8E4AE8">
      <w:start w:val="11"/>
      <w:numFmt w:val="bullet"/>
      <w:lvlText w:val="-"/>
      <w:lvlJc w:val="left"/>
      <w:pPr>
        <w:ind w:left="720" w:hanging="360"/>
      </w:pPr>
      <w:rPr>
        <w:rFonts w:ascii="Segoe UI" w:eastAsiaTheme="minorHAnsi" w:hAnsi="Segoe UI" w:cs="Segoe U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46223B60"/>
    <w:multiLevelType w:val="hybridMultilevel"/>
    <w:tmpl w:val="52AE66D4"/>
    <w:lvl w:ilvl="0" w:tplc="A292544C">
      <w:numFmt w:val="bullet"/>
      <w:lvlText w:val="-"/>
      <w:lvlJc w:val="left"/>
      <w:pPr>
        <w:ind w:left="720" w:hanging="360"/>
      </w:pPr>
      <w:rPr>
        <w:rFonts w:ascii="Segoe UI" w:eastAsiaTheme="minorHAnsi" w:hAnsi="Segoe UI" w:cs="Segoe U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47A12CE4"/>
    <w:multiLevelType w:val="hybridMultilevel"/>
    <w:tmpl w:val="AFDE4B0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57407784"/>
    <w:multiLevelType w:val="hybridMultilevel"/>
    <w:tmpl w:val="04C65800"/>
    <w:lvl w:ilvl="0" w:tplc="39A84060">
      <w:start w:val="30"/>
      <w:numFmt w:val="bullet"/>
      <w:lvlText w:val="-"/>
      <w:lvlJc w:val="left"/>
      <w:pPr>
        <w:ind w:left="720" w:hanging="360"/>
      </w:pPr>
      <w:rPr>
        <w:rFonts w:ascii="Segoe UI" w:eastAsia="Times New Roman" w:hAnsi="Segoe UI" w:cs="Segoe U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15:restartNumberingAfterBreak="0">
    <w:nsid w:val="59C92CDA"/>
    <w:multiLevelType w:val="hybridMultilevel"/>
    <w:tmpl w:val="CD3C0BE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660D3C0F"/>
    <w:multiLevelType w:val="hybridMultilevel"/>
    <w:tmpl w:val="7936AE06"/>
    <w:lvl w:ilvl="0" w:tplc="980C73D2">
      <w:start w:val="1"/>
      <w:numFmt w:val="decimal"/>
      <w:pStyle w:val="Pouitliteratra"/>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679755E7"/>
    <w:multiLevelType w:val="hybridMultilevel"/>
    <w:tmpl w:val="76F64084"/>
    <w:lvl w:ilvl="0" w:tplc="041B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6AEC3F49"/>
    <w:multiLevelType w:val="hybridMultilevel"/>
    <w:tmpl w:val="6D5CC654"/>
    <w:lvl w:ilvl="0" w:tplc="041B000F">
      <w:start w:val="1"/>
      <w:numFmt w:val="decimal"/>
      <w:lvlText w:val="%1."/>
      <w:lvlJc w:val="left"/>
      <w:pPr>
        <w:ind w:left="1434" w:hanging="360"/>
      </w:pPr>
      <w:rPr>
        <w:rFonts w:hint="default"/>
      </w:rPr>
    </w:lvl>
    <w:lvl w:ilvl="1" w:tplc="FFFFFFFF" w:tentative="1">
      <w:start w:val="1"/>
      <w:numFmt w:val="bullet"/>
      <w:lvlText w:val="o"/>
      <w:lvlJc w:val="left"/>
      <w:pPr>
        <w:ind w:left="2154" w:hanging="360"/>
      </w:pPr>
      <w:rPr>
        <w:rFonts w:ascii="Courier New" w:hAnsi="Courier New" w:cs="Courier New" w:hint="default"/>
      </w:rPr>
    </w:lvl>
    <w:lvl w:ilvl="2" w:tplc="FFFFFFFF" w:tentative="1">
      <w:start w:val="1"/>
      <w:numFmt w:val="bullet"/>
      <w:lvlText w:val=""/>
      <w:lvlJc w:val="left"/>
      <w:pPr>
        <w:ind w:left="2874" w:hanging="360"/>
      </w:pPr>
      <w:rPr>
        <w:rFonts w:ascii="Wingdings" w:hAnsi="Wingdings"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16" w15:restartNumberingAfterBreak="0">
    <w:nsid w:val="70FF3AEB"/>
    <w:multiLevelType w:val="hybridMultilevel"/>
    <w:tmpl w:val="384AED82"/>
    <w:lvl w:ilvl="0" w:tplc="2AC41CA6">
      <w:start w:val="1"/>
      <w:numFmt w:val="decimal"/>
      <w:lvlText w:val="%1."/>
      <w:lvlJc w:val="left"/>
      <w:pPr>
        <w:ind w:left="720" w:hanging="360"/>
      </w:pPr>
      <w:rPr>
        <w:b w:val="0"/>
        <w:color w:val="auto"/>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15:restartNumberingAfterBreak="0">
    <w:nsid w:val="71E705BE"/>
    <w:multiLevelType w:val="hybridMultilevel"/>
    <w:tmpl w:val="1E9C96FE"/>
    <w:lvl w:ilvl="0" w:tplc="041B0005">
      <w:start w:val="1"/>
      <w:numFmt w:val="bullet"/>
      <w:lvlText w:val=""/>
      <w:lvlJc w:val="left"/>
      <w:pPr>
        <w:ind w:left="720" w:hanging="360"/>
      </w:pPr>
      <w:rPr>
        <w:rFonts w:ascii="Wingdings" w:hAnsi="Wingdings" w:hint="default"/>
      </w:rPr>
    </w:lvl>
    <w:lvl w:ilvl="1" w:tplc="FCCCB646">
      <w:numFmt w:val="bullet"/>
      <w:lvlText w:val=""/>
      <w:lvlJc w:val="left"/>
      <w:pPr>
        <w:ind w:left="1212" w:hanging="132"/>
      </w:pPr>
      <w:rPr>
        <w:rFonts w:ascii="Times New Roman" w:eastAsia="Times New Roman" w:hAnsi="Symbol" w:cs="Times New Roman"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15:restartNumberingAfterBreak="0">
    <w:nsid w:val="7584282E"/>
    <w:multiLevelType w:val="multilevel"/>
    <w:tmpl w:val="0E76FFE6"/>
    <w:lvl w:ilvl="0">
      <w:start w:val="1"/>
      <w:numFmt w:val="decimal"/>
      <w:pStyle w:val="Nadpis1"/>
      <w:lvlText w:val="%1"/>
      <w:lvlJc w:val="left"/>
      <w:pPr>
        <w:ind w:left="360" w:hanging="360"/>
      </w:pPr>
      <w:rPr>
        <w:rFonts w:hint="default"/>
      </w:rPr>
    </w:lvl>
    <w:lvl w:ilvl="1">
      <w:start w:val="1"/>
      <w:numFmt w:val="decimal"/>
      <w:pStyle w:val="Nadpis2"/>
      <w:lvlText w:val="%1.%2"/>
      <w:lvlJc w:val="left"/>
      <w:pPr>
        <w:ind w:left="7378" w:hanging="432"/>
      </w:pPr>
      <w:rPr>
        <w:rFonts w:hint="default"/>
      </w:rPr>
    </w:lvl>
    <w:lvl w:ilvl="2">
      <w:start w:val="1"/>
      <w:numFmt w:val="decimal"/>
      <w:pStyle w:val="Nadpis3"/>
      <w:lvlText w:val="%1.%2.%3"/>
      <w:lvlJc w:val="left"/>
      <w:pPr>
        <w:ind w:left="3906"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3"/>
  </w:num>
  <w:num w:numId="2">
    <w:abstractNumId w:val="18"/>
  </w:num>
  <w:num w:numId="3">
    <w:abstractNumId w:val="9"/>
  </w:num>
  <w:num w:numId="4">
    <w:abstractNumId w:val="1"/>
  </w:num>
  <w:num w:numId="5">
    <w:abstractNumId w:val="17"/>
  </w:num>
  <w:num w:numId="6">
    <w:abstractNumId w:val="10"/>
  </w:num>
  <w:num w:numId="7">
    <w:abstractNumId w:val="16"/>
  </w:num>
  <w:num w:numId="8">
    <w:abstractNumId w:val="2"/>
  </w:num>
  <w:num w:numId="9">
    <w:abstractNumId w:val="12"/>
  </w:num>
  <w:num w:numId="10">
    <w:abstractNumId w:val="7"/>
  </w:num>
  <w:num w:numId="11">
    <w:abstractNumId w:val="8"/>
  </w:num>
  <w:num w:numId="12">
    <w:abstractNumId w:val="15"/>
  </w:num>
  <w:num w:numId="13">
    <w:abstractNumId w:val="4"/>
  </w:num>
  <w:num w:numId="14">
    <w:abstractNumId w:val="14"/>
  </w:num>
  <w:num w:numId="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num>
  <w:num w:numId="17">
    <w:abstractNumId w:val="6"/>
  </w:num>
  <w:num w:numId="18">
    <w:abstractNumId w:val="3"/>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5"/>
  </w:num>
  <w:num w:numId="22">
    <w:abstractNumId w:val="0"/>
  </w:num>
  <w:num w:numId="23">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6C2"/>
    <w:rsid w:val="00000294"/>
    <w:rsid w:val="00001C9E"/>
    <w:rsid w:val="00002667"/>
    <w:rsid w:val="00004033"/>
    <w:rsid w:val="00004331"/>
    <w:rsid w:val="000051FA"/>
    <w:rsid w:val="00005263"/>
    <w:rsid w:val="0000554F"/>
    <w:rsid w:val="00005671"/>
    <w:rsid w:val="000059A5"/>
    <w:rsid w:val="00006599"/>
    <w:rsid w:val="00006AA9"/>
    <w:rsid w:val="00006CF3"/>
    <w:rsid w:val="00007064"/>
    <w:rsid w:val="00007F18"/>
    <w:rsid w:val="00007FAE"/>
    <w:rsid w:val="000106FC"/>
    <w:rsid w:val="0001078D"/>
    <w:rsid w:val="00011187"/>
    <w:rsid w:val="000112C8"/>
    <w:rsid w:val="00011DEB"/>
    <w:rsid w:val="00014557"/>
    <w:rsid w:val="00014991"/>
    <w:rsid w:val="00014FCF"/>
    <w:rsid w:val="000156D3"/>
    <w:rsid w:val="00015CB4"/>
    <w:rsid w:val="00016629"/>
    <w:rsid w:val="00016D01"/>
    <w:rsid w:val="00017ABC"/>
    <w:rsid w:val="00020042"/>
    <w:rsid w:val="000201F0"/>
    <w:rsid w:val="000201FF"/>
    <w:rsid w:val="0002035E"/>
    <w:rsid w:val="00023340"/>
    <w:rsid w:val="00024757"/>
    <w:rsid w:val="000248C3"/>
    <w:rsid w:val="00024931"/>
    <w:rsid w:val="00024E9A"/>
    <w:rsid w:val="00024F2C"/>
    <w:rsid w:val="00025225"/>
    <w:rsid w:val="00025B3A"/>
    <w:rsid w:val="00025C9D"/>
    <w:rsid w:val="00027733"/>
    <w:rsid w:val="00030072"/>
    <w:rsid w:val="00030D77"/>
    <w:rsid w:val="00032ADE"/>
    <w:rsid w:val="00032CD9"/>
    <w:rsid w:val="0003320C"/>
    <w:rsid w:val="000336F0"/>
    <w:rsid w:val="000347E2"/>
    <w:rsid w:val="00034CF4"/>
    <w:rsid w:val="0003553D"/>
    <w:rsid w:val="00035D8F"/>
    <w:rsid w:val="00036406"/>
    <w:rsid w:val="000366C7"/>
    <w:rsid w:val="000369A5"/>
    <w:rsid w:val="00037A18"/>
    <w:rsid w:val="00037DEB"/>
    <w:rsid w:val="00037E23"/>
    <w:rsid w:val="00041539"/>
    <w:rsid w:val="00041751"/>
    <w:rsid w:val="00041ECD"/>
    <w:rsid w:val="00041F52"/>
    <w:rsid w:val="0004335E"/>
    <w:rsid w:val="00045218"/>
    <w:rsid w:val="00046FC0"/>
    <w:rsid w:val="00047809"/>
    <w:rsid w:val="00047A70"/>
    <w:rsid w:val="00050429"/>
    <w:rsid w:val="00050F6E"/>
    <w:rsid w:val="00051709"/>
    <w:rsid w:val="000518F9"/>
    <w:rsid w:val="0005233D"/>
    <w:rsid w:val="00052F8F"/>
    <w:rsid w:val="00053B31"/>
    <w:rsid w:val="000545F8"/>
    <w:rsid w:val="000555E4"/>
    <w:rsid w:val="0005675B"/>
    <w:rsid w:val="000569D3"/>
    <w:rsid w:val="00056B89"/>
    <w:rsid w:val="000601AC"/>
    <w:rsid w:val="00060491"/>
    <w:rsid w:val="00060BF3"/>
    <w:rsid w:val="00060EFA"/>
    <w:rsid w:val="00061135"/>
    <w:rsid w:val="000615A9"/>
    <w:rsid w:val="0006160A"/>
    <w:rsid w:val="0006179B"/>
    <w:rsid w:val="00061BA7"/>
    <w:rsid w:val="00061F1F"/>
    <w:rsid w:val="00062692"/>
    <w:rsid w:val="0006275C"/>
    <w:rsid w:val="00062AE6"/>
    <w:rsid w:val="00063087"/>
    <w:rsid w:val="0006328F"/>
    <w:rsid w:val="000634F6"/>
    <w:rsid w:val="00064FEC"/>
    <w:rsid w:val="000652F8"/>
    <w:rsid w:val="00065556"/>
    <w:rsid w:val="00065D83"/>
    <w:rsid w:val="00066A87"/>
    <w:rsid w:val="00070631"/>
    <w:rsid w:val="00070E2D"/>
    <w:rsid w:val="00071405"/>
    <w:rsid w:val="000726F6"/>
    <w:rsid w:val="00074731"/>
    <w:rsid w:val="00074FD1"/>
    <w:rsid w:val="0007555E"/>
    <w:rsid w:val="000766B8"/>
    <w:rsid w:val="00077243"/>
    <w:rsid w:val="00080172"/>
    <w:rsid w:val="00080403"/>
    <w:rsid w:val="000813A5"/>
    <w:rsid w:val="00081734"/>
    <w:rsid w:val="00081C95"/>
    <w:rsid w:val="00081DDE"/>
    <w:rsid w:val="00081E92"/>
    <w:rsid w:val="00083097"/>
    <w:rsid w:val="000839FB"/>
    <w:rsid w:val="00083CC1"/>
    <w:rsid w:val="00083E29"/>
    <w:rsid w:val="00084168"/>
    <w:rsid w:val="0008510E"/>
    <w:rsid w:val="00085248"/>
    <w:rsid w:val="0008563F"/>
    <w:rsid w:val="00085D9A"/>
    <w:rsid w:val="000861DA"/>
    <w:rsid w:val="00086CFA"/>
    <w:rsid w:val="00087BA2"/>
    <w:rsid w:val="000908D7"/>
    <w:rsid w:val="00091260"/>
    <w:rsid w:val="00091866"/>
    <w:rsid w:val="00091984"/>
    <w:rsid w:val="00092153"/>
    <w:rsid w:val="00092577"/>
    <w:rsid w:val="00092E55"/>
    <w:rsid w:val="00093514"/>
    <w:rsid w:val="000940C2"/>
    <w:rsid w:val="00094707"/>
    <w:rsid w:val="00094982"/>
    <w:rsid w:val="00095320"/>
    <w:rsid w:val="000954B8"/>
    <w:rsid w:val="00095CF4"/>
    <w:rsid w:val="0009606A"/>
    <w:rsid w:val="00096834"/>
    <w:rsid w:val="000A0207"/>
    <w:rsid w:val="000A1B67"/>
    <w:rsid w:val="000A2451"/>
    <w:rsid w:val="000A2A24"/>
    <w:rsid w:val="000A41F0"/>
    <w:rsid w:val="000A451D"/>
    <w:rsid w:val="000A5967"/>
    <w:rsid w:val="000A597C"/>
    <w:rsid w:val="000A5D4B"/>
    <w:rsid w:val="000B0105"/>
    <w:rsid w:val="000B127F"/>
    <w:rsid w:val="000B15AD"/>
    <w:rsid w:val="000B17E1"/>
    <w:rsid w:val="000B1C0A"/>
    <w:rsid w:val="000B261C"/>
    <w:rsid w:val="000B28D8"/>
    <w:rsid w:val="000B2A83"/>
    <w:rsid w:val="000B2D00"/>
    <w:rsid w:val="000B2F0C"/>
    <w:rsid w:val="000B3402"/>
    <w:rsid w:val="000B379D"/>
    <w:rsid w:val="000B638D"/>
    <w:rsid w:val="000B6CC9"/>
    <w:rsid w:val="000B6FE0"/>
    <w:rsid w:val="000B7C4A"/>
    <w:rsid w:val="000C1766"/>
    <w:rsid w:val="000C1B1C"/>
    <w:rsid w:val="000C26C5"/>
    <w:rsid w:val="000C2883"/>
    <w:rsid w:val="000C33D4"/>
    <w:rsid w:val="000C4086"/>
    <w:rsid w:val="000C4C7F"/>
    <w:rsid w:val="000C671E"/>
    <w:rsid w:val="000C724E"/>
    <w:rsid w:val="000C763A"/>
    <w:rsid w:val="000C7809"/>
    <w:rsid w:val="000C7B37"/>
    <w:rsid w:val="000D05F7"/>
    <w:rsid w:val="000D08CC"/>
    <w:rsid w:val="000D099A"/>
    <w:rsid w:val="000D2447"/>
    <w:rsid w:val="000D3480"/>
    <w:rsid w:val="000D39CA"/>
    <w:rsid w:val="000D40A9"/>
    <w:rsid w:val="000D44E2"/>
    <w:rsid w:val="000D556A"/>
    <w:rsid w:val="000D631B"/>
    <w:rsid w:val="000D6535"/>
    <w:rsid w:val="000D6E08"/>
    <w:rsid w:val="000D6E76"/>
    <w:rsid w:val="000D752F"/>
    <w:rsid w:val="000D79F3"/>
    <w:rsid w:val="000E0405"/>
    <w:rsid w:val="000E0C95"/>
    <w:rsid w:val="000E1798"/>
    <w:rsid w:val="000E1E08"/>
    <w:rsid w:val="000E24D7"/>
    <w:rsid w:val="000E3856"/>
    <w:rsid w:val="000E3CD2"/>
    <w:rsid w:val="000E4268"/>
    <w:rsid w:val="000E431B"/>
    <w:rsid w:val="000E482E"/>
    <w:rsid w:val="000E4ADD"/>
    <w:rsid w:val="000E5B51"/>
    <w:rsid w:val="000E5CB3"/>
    <w:rsid w:val="000F02B5"/>
    <w:rsid w:val="000F0C49"/>
    <w:rsid w:val="000F16E2"/>
    <w:rsid w:val="000F1888"/>
    <w:rsid w:val="000F242E"/>
    <w:rsid w:val="000F2AE0"/>
    <w:rsid w:val="000F4345"/>
    <w:rsid w:val="000F43AE"/>
    <w:rsid w:val="000F4C77"/>
    <w:rsid w:val="000F5084"/>
    <w:rsid w:val="000F57BF"/>
    <w:rsid w:val="000F5FAD"/>
    <w:rsid w:val="000F6084"/>
    <w:rsid w:val="000F6789"/>
    <w:rsid w:val="000F6D77"/>
    <w:rsid w:val="000F72FA"/>
    <w:rsid w:val="000F73C1"/>
    <w:rsid w:val="00100363"/>
    <w:rsid w:val="00100936"/>
    <w:rsid w:val="00100FF0"/>
    <w:rsid w:val="00101E9A"/>
    <w:rsid w:val="00103C21"/>
    <w:rsid w:val="00103FE7"/>
    <w:rsid w:val="00104F9C"/>
    <w:rsid w:val="00105203"/>
    <w:rsid w:val="00105E47"/>
    <w:rsid w:val="001067DB"/>
    <w:rsid w:val="00106B4A"/>
    <w:rsid w:val="00106BF8"/>
    <w:rsid w:val="00107DD4"/>
    <w:rsid w:val="00110271"/>
    <w:rsid w:val="00111C26"/>
    <w:rsid w:val="00112147"/>
    <w:rsid w:val="001123B7"/>
    <w:rsid w:val="001136F4"/>
    <w:rsid w:val="00113C5D"/>
    <w:rsid w:val="00114BB2"/>
    <w:rsid w:val="00115461"/>
    <w:rsid w:val="00115BC5"/>
    <w:rsid w:val="00116507"/>
    <w:rsid w:val="00117050"/>
    <w:rsid w:val="0011737A"/>
    <w:rsid w:val="0011791E"/>
    <w:rsid w:val="00117ABE"/>
    <w:rsid w:val="0012014B"/>
    <w:rsid w:val="001208E2"/>
    <w:rsid w:val="00120A92"/>
    <w:rsid w:val="001210F2"/>
    <w:rsid w:val="00122236"/>
    <w:rsid w:val="00122526"/>
    <w:rsid w:val="00122E3D"/>
    <w:rsid w:val="00123E66"/>
    <w:rsid w:val="001243D8"/>
    <w:rsid w:val="001256A4"/>
    <w:rsid w:val="001271CD"/>
    <w:rsid w:val="00127302"/>
    <w:rsid w:val="001273CF"/>
    <w:rsid w:val="0012753F"/>
    <w:rsid w:val="00127BB2"/>
    <w:rsid w:val="00130002"/>
    <w:rsid w:val="00132205"/>
    <w:rsid w:val="00132622"/>
    <w:rsid w:val="00134158"/>
    <w:rsid w:val="00134FFD"/>
    <w:rsid w:val="001355D0"/>
    <w:rsid w:val="0013594B"/>
    <w:rsid w:val="00135BC5"/>
    <w:rsid w:val="001363E6"/>
    <w:rsid w:val="00136576"/>
    <w:rsid w:val="00136A97"/>
    <w:rsid w:val="0013703B"/>
    <w:rsid w:val="0013799A"/>
    <w:rsid w:val="00137BC8"/>
    <w:rsid w:val="00137CBE"/>
    <w:rsid w:val="00137F1C"/>
    <w:rsid w:val="001401BC"/>
    <w:rsid w:val="00140496"/>
    <w:rsid w:val="0014071A"/>
    <w:rsid w:val="00140E51"/>
    <w:rsid w:val="0014156E"/>
    <w:rsid w:val="0014343D"/>
    <w:rsid w:val="0014479C"/>
    <w:rsid w:val="0014533F"/>
    <w:rsid w:val="00145644"/>
    <w:rsid w:val="00145BA9"/>
    <w:rsid w:val="001463C4"/>
    <w:rsid w:val="001463D9"/>
    <w:rsid w:val="001469EA"/>
    <w:rsid w:val="001479F0"/>
    <w:rsid w:val="00151147"/>
    <w:rsid w:val="0015153D"/>
    <w:rsid w:val="001528AD"/>
    <w:rsid w:val="00152E06"/>
    <w:rsid w:val="00152FDF"/>
    <w:rsid w:val="00154812"/>
    <w:rsid w:val="001555F8"/>
    <w:rsid w:val="001576E9"/>
    <w:rsid w:val="001578A2"/>
    <w:rsid w:val="00157D03"/>
    <w:rsid w:val="001609D9"/>
    <w:rsid w:val="00160B33"/>
    <w:rsid w:val="00160CCF"/>
    <w:rsid w:val="00162997"/>
    <w:rsid w:val="00162C00"/>
    <w:rsid w:val="00163A8C"/>
    <w:rsid w:val="00164DF3"/>
    <w:rsid w:val="00165412"/>
    <w:rsid w:val="00165813"/>
    <w:rsid w:val="00165B4F"/>
    <w:rsid w:val="00165F25"/>
    <w:rsid w:val="0016767D"/>
    <w:rsid w:val="0017145F"/>
    <w:rsid w:val="0017193D"/>
    <w:rsid w:val="00171ECD"/>
    <w:rsid w:val="0017296B"/>
    <w:rsid w:val="00172A71"/>
    <w:rsid w:val="00172C8B"/>
    <w:rsid w:val="001736C2"/>
    <w:rsid w:val="001739F0"/>
    <w:rsid w:val="001742E4"/>
    <w:rsid w:val="00174F97"/>
    <w:rsid w:val="001769EF"/>
    <w:rsid w:val="00176A5D"/>
    <w:rsid w:val="00177539"/>
    <w:rsid w:val="001778A6"/>
    <w:rsid w:val="0018078D"/>
    <w:rsid w:val="001813E9"/>
    <w:rsid w:val="00181C89"/>
    <w:rsid w:val="00182145"/>
    <w:rsid w:val="00183E6C"/>
    <w:rsid w:val="00184758"/>
    <w:rsid w:val="0018540D"/>
    <w:rsid w:val="0018541D"/>
    <w:rsid w:val="00185A1F"/>
    <w:rsid w:val="00185FA1"/>
    <w:rsid w:val="00186781"/>
    <w:rsid w:val="00187E30"/>
    <w:rsid w:val="00191436"/>
    <w:rsid w:val="00192A7B"/>
    <w:rsid w:val="001931C5"/>
    <w:rsid w:val="001932B9"/>
    <w:rsid w:val="001932C8"/>
    <w:rsid w:val="001937DF"/>
    <w:rsid w:val="0019430D"/>
    <w:rsid w:val="00194B34"/>
    <w:rsid w:val="00194C12"/>
    <w:rsid w:val="001951C8"/>
    <w:rsid w:val="001951F6"/>
    <w:rsid w:val="00196D31"/>
    <w:rsid w:val="00197492"/>
    <w:rsid w:val="0019785D"/>
    <w:rsid w:val="00197914"/>
    <w:rsid w:val="001A1A1B"/>
    <w:rsid w:val="001A1C0E"/>
    <w:rsid w:val="001A1FE0"/>
    <w:rsid w:val="001A200F"/>
    <w:rsid w:val="001A2FF8"/>
    <w:rsid w:val="001A3D08"/>
    <w:rsid w:val="001A4790"/>
    <w:rsid w:val="001A4B53"/>
    <w:rsid w:val="001A515F"/>
    <w:rsid w:val="001A5615"/>
    <w:rsid w:val="001A60A2"/>
    <w:rsid w:val="001A6493"/>
    <w:rsid w:val="001A6FB8"/>
    <w:rsid w:val="001A754A"/>
    <w:rsid w:val="001B03A6"/>
    <w:rsid w:val="001B10CB"/>
    <w:rsid w:val="001B136D"/>
    <w:rsid w:val="001B13FF"/>
    <w:rsid w:val="001B169A"/>
    <w:rsid w:val="001B1D50"/>
    <w:rsid w:val="001B2868"/>
    <w:rsid w:val="001B2BA3"/>
    <w:rsid w:val="001B3311"/>
    <w:rsid w:val="001B3E13"/>
    <w:rsid w:val="001B4846"/>
    <w:rsid w:val="001B5440"/>
    <w:rsid w:val="001B54E4"/>
    <w:rsid w:val="001B5858"/>
    <w:rsid w:val="001B5A17"/>
    <w:rsid w:val="001B6FC4"/>
    <w:rsid w:val="001B77C9"/>
    <w:rsid w:val="001B7A14"/>
    <w:rsid w:val="001B7DFF"/>
    <w:rsid w:val="001C051B"/>
    <w:rsid w:val="001C10F5"/>
    <w:rsid w:val="001C1F57"/>
    <w:rsid w:val="001C2034"/>
    <w:rsid w:val="001C2CAE"/>
    <w:rsid w:val="001C47F4"/>
    <w:rsid w:val="001C5FCE"/>
    <w:rsid w:val="001C5FF2"/>
    <w:rsid w:val="001C7157"/>
    <w:rsid w:val="001C732F"/>
    <w:rsid w:val="001C7997"/>
    <w:rsid w:val="001D0581"/>
    <w:rsid w:val="001D0D9A"/>
    <w:rsid w:val="001D1C95"/>
    <w:rsid w:val="001D1DCB"/>
    <w:rsid w:val="001D27B1"/>
    <w:rsid w:val="001D2E77"/>
    <w:rsid w:val="001D3AA6"/>
    <w:rsid w:val="001D3C4E"/>
    <w:rsid w:val="001D4049"/>
    <w:rsid w:val="001D4805"/>
    <w:rsid w:val="001D56CD"/>
    <w:rsid w:val="001D5BF7"/>
    <w:rsid w:val="001D5DFC"/>
    <w:rsid w:val="001D5E57"/>
    <w:rsid w:val="001D7483"/>
    <w:rsid w:val="001E093E"/>
    <w:rsid w:val="001E0A12"/>
    <w:rsid w:val="001E0D59"/>
    <w:rsid w:val="001E109F"/>
    <w:rsid w:val="001E1CD3"/>
    <w:rsid w:val="001E2D4C"/>
    <w:rsid w:val="001E3DBD"/>
    <w:rsid w:val="001E4A2A"/>
    <w:rsid w:val="001E5E06"/>
    <w:rsid w:val="001E601E"/>
    <w:rsid w:val="001E6323"/>
    <w:rsid w:val="001E7A80"/>
    <w:rsid w:val="001F0E91"/>
    <w:rsid w:val="001F1B66"/>
    <w:rsid w:val="001F1CBA"/>
    <w:rsid w:val="001F2E40"/>
    <w:rsid w:val="001F3866"/>
    <w:rsid w:val="001F4513"/>
    <w:rsid w:val="001F4AA2"/>
    <w:rsid w:val="001F6E5A"/>
    <w:rsid w:val="001F7057"/>
    <w:rsid w:val="001F78F5"/>
    <w:rsid w:val="001F7D00"/>
    <w:rsid w:val="00200800"/>
    <w:rsid w:val="00201E68"/>
    <w:rsid w:val="0020206E"/>
    <w:rsid w:val="00202081"/>
    <w:rsid w:val="002027E3"/>
    <w:rsid w:val="0020314A"/>
    <w:rsid w:val="002036A3"/>
    <w:rsid w:val="002038B4"/>
    <w:rsid w:val="00204DCA"/>
    <w:rsid w:val="0020515F"/>
    <w:rsid w:val="002055BD"/>
    <w:rsid w:val="00205613"/>
    <w:rsid w:val="002056B7"/>
    <w:rsid w:val="00205DCC"/>
    <w:rsid w:val="00207111"/>
    <w:rsid w:val="00207753"/>
    <w:rsid w:val="00207BF5"/>
    <w:rsid w:val="00210CF0"/>
    <w:rsid w:val="0021342B"/>
    <w:rsid w:val="00213465"/>
    <w:rsid w:val="002149B3"/>
    <w:rsid w:val="00214C3D"/>
    <w:rsid w:val="002158AB"/>
    <w:rsid w:val="00215A2E"/>
    <w:rsid w:val="0021660F"/>
    <w:rsid w:val="00216FB6"/>
    <w:rsid w:val="00217674"/>
    <w:rsid w:val="00217CD2"/>
    <w:rsid w:val="00217D25"/>
    <w:rsid w:val="00217DFF"/>
    <w:rsid w:val="00220608"/>
    <w:rsid w:val="00220B89"/>
    <w:rsid w:val="00220F1D"/>
    <w:rsid w:val="00221A4B"/>
    <w:rsid w:val="00221DBC"/>
    <w:rsid w:val="00224A44"/>
    <w:rsid w:val="002260BB"/>
    <w:rsid w:val="002260E2"/>
    <w:rsid w:val="0022613F"/>
    <w:rsid w:val="002277AE"/>
    <w:rsid w:val="00227DB9"/>
    <w:rsid w:val="002317A5"/>
    <w:rsid w:val="0023186B"/>
    <w:rsid w:val="0023270F"/>
    <w:rsid w:val="002328DF"/>
    <w:rsid w:val="00233667"/>
    <w:rsid w:val="00233B6C"/>
    <w:rsid w:val="002344E2"/>
    <w:rsid w:val="00234632"/>
    <w:rsid w:val="002353EE"/>
    <w:rsid w:val="00235889"/>
    <w:rsid w:val="00235CFE"/>
    <w:rsid w:val="002360EC"/>
    <w:rsid w:val="00237BC7"/>
    <w:rsid w:val="00237F46"/>
    <w:rsid w:val="002401E8"/>
    <w:rsid w:val="002403A7"/>
    <w:rsid w:val="002407D6"/>
    <w:rsid w:val="00240FAD"/>
    <w:rsid w:val="0024149A"/>
    <w:rsid w:val="00241A75"/>
    <w:rsid w:val="00241FDE"/>
    <w:rsid w:val="00243236"/>
    <w:rsid w:val="00243A51"/>
    <w:rsid w:val="00243D49"/>
    <w:rsid w:val="0024755A"/>
    <w:rsid w:val="00255099"/>
    <w:rsid w:val="00255A35"/>
    <w:rsid w:val="0025607B"/>
    <w:rsid w:val="00256ECC"/>
    <w:rsid w:val="002604A2"/>
    <w:rsid w:val="00261D0B"/>
    <w:rsid w:val="0026323B"/>
    <w:rsid w:val="0026362C"/>
    <w:rsid w:val="0026414E"/>
    <w:rsid w:val="0026439C"/>
    <w:rsid w:val="002649EE"/>
    <w:rsid w:val="002661F7"/>
    <w:rsid w:val="00266A7A"/>
    <w:rsid w:val="00266EF7"/>
    <w:rsid w:val="002711A9"/>
    <w:rsid w:val="00271CBA"/>
    <w:rsid w:val="00272470"/>
    <w:rsid w:val="00272915"/>
    <w:rsid w:val="00272DAF"/>
    <w:rsid w:val="0027333D"/>
    <w:rsid w:val="00273440"/>
    <w:rsid w:val="00273B17"/>
    <w:rsid w:val="00273B26"/>
    <w:rsid w:val="002741AA"/>
    <w:rsid w:val="00274403"/>
    <w:rsid w:val="00274EED"/>
    <w:rsid w:val="00275387"/>
    <w:rsid w:val="00276436"/>
    <w:rsid w:val="00276F44"/>
    <w:rsid w:val="0027751B"/>
    <w:rsid w:val="00277871"/>
    <w:rsid w:val="00277B68"/>
    <w:rsid w:val="00277C8B"/>
    <w:rsid w:val="00280E3A"/>
    <w:rsid w:val="002814E5"/>
    <w:rsid w:val="00281987"/>
    <w:rsid w:val="00282703"/>
    <w:rsid w:val="00283524"/>
    <w:rsid w:val="002836AF"/>
    <w:rsid w:val="00284315"/>
    <w:rsid w:val="002846CB"/>
    <w:rsid w:val="00284D9F"/>
    <w:rsid w:val="0028558B"/>
    <w:rsid w:val="002858A0"/>
    <w:rsid w:val="00286504"/>
    <w:rsid w:val="00286679"/>
    <w:rsid w:val="0028690D"/>
    <w:rsid w:val="00287025"/>
    <w:rsid w:val="002877E1"/>
    <w:rsid w:val="00290A9E"/>
    <w:rsid w:val="0029155E"/>
    <w:rsid w:val="00291CA4"/>
    <w:rsid w:val="002926E5"/>
    <w:rsid w:val="0029286C"/>
    <w:rsid w:val="00292D37"/>
    <w:rsid w:val="00293CF6"/>
    <w:rsid w:val="00293F46"/>
    <w:rsid w:val="00294101"/>
    <w:rsid w:val="0029471F"/>
    <w:rsid w:val="00294902"/>
    <w:rsid w:val="00294945"/>
    <w:rsid w:val="00294C28"/>
    <w:rsid w:val="00294F1F"/>
    <w:rsid w:val="00295CCC"/>
    <w:rsid w:val="00295D0B"/>
    <w:rsid w:val="00296524"/>
    <w:rsid w:val="00296624"/>
    <w:rsid w:val="00297B44"/>
    <w:rsid w:val="00297F78"/>
    <w:rsid w:val="002A0326"/>
    <w:rsid w:val="002A1496"/>
    <w:rsid w:val="002A20BC"/>
    <w:rsid w:val="002A24A1"/>
    <w:rsid w:val="002A2B50"/>
    <w:rsid w:val="002A2BE3"/>
    <w:rsid w:val="002A2DEC"/>
    <w:rsid w:val="002A3132"/>
    <w:rsid w:val="002A31B8"/>
    <w:rsid w:val="002A32E5"/>
    <w:rsid w:val="002A367E"/>
    <w:rsid w:val="002A3A7F"/>
    <w:rsid w:val="002A46C1"/>
    <w:rsid w:val="002A51E3"/>
    <w:rsid w:val="002A5217"/>
    <w:rsid w:val="002A55CE"/>
    <w:rsid w:val="002A58E5"/>
    <w:rsid w:val="002A599C"/>
    <w:rsid w:val="002A5F57"/>
    <w:rsid w:val="002A62E0"/>
    <w:rsid w:val="002A73DA"/>
    <w:rsid w:val="002A7C02"/>
    <w:rsid w:val="002B01FC"/>
    <w:rsid w:val="002B04BF"/>
    <w:rsid w:val="002B0AFD"/>
    <w:rsid w:val="002B1C1E"/>
    <w:rsid w:val="002B1DF7"/>
    <w:rsid w:val="002B21D7"/>
    <w:rsid w:val="002B2A28"/>
    <w:rsid w:val="002B2E82"/>
    <w:rsid w:val="002B3942"/>
    <w:rsid w:val="002B3CFA"/>
    <w:rsid w:val="002B6671"/>
    <w:rsid w:val="002B70F2"/>
    <w:rsid w:val="002B75D3"/>
    <w:rsid w:val="002B7F25"/>
    <w:rsid w:val="002C14FD"/>
    <w:rsid w:val="002C16C4"/>
    <w:rsid w:val="002C28FB"/>
    <w:rsid w:val="002C2BAB"/>
    <w:rsid w:val="002C3DA0"/>
    <w:rsid w:val="002C4699"/>
    <w:rsid w:val="002C55AB"/>
    <w:rsid w:val="002C61B7"/>
    <w:rsid w:val="002C7A6A"/>
    <w:rsid w:val="002C7DEF"/>
    <w:rsid w:val="002D0F6B"/>
    <w:rsid w:val="002D14C1"/>
    <w:rsid w:val="002D1720"/>
    <w:rsid w:val="002D17A6"/>
    <w:rsid w:val="002D1C96"/>
    <w:rsid w:val="002D21FE"/>
    <w:rsid w:val="002D2AEA"/>
    <w:rsid w:val="002D2F4B"/>
    <w:rsid w:val="002D2F99"/>
    <w:rsid w:val="002D3110"/>
    <w:rsid w:val="002D3343"/>
    <w:rsid w:val="002D389F"/>
    <w:rsid w:val="002D3CCA"/>
    <w:rsid w:val="002D4645"/>
    <w:rsid w:val="002D4ED0"/>
    <w:rsid w:val="002D4FA6"/>
    <w:rsid w:val="002D50F1"/>
    <w:rsid w:val="002D54D7"/>
    <w:rsid w:val="002D54E5"/>
    <w:rsid w:val="002D65A5"/>
    <w:rsid w:val="002D6F02"/>
    <w:rsid w:val="002D712E"/>
    <w:rsid w:val="002E0AA8"/>
    <w:rsid w:val="002E1306"/>
    <w:rsid w:val="002E130C"/>
    <w:rsid w:val="002E16B1"/>
    <w:rsid w:val="002E2742"/>
    <w:rsid w:val="002E38E2"/>
    <w:rsid w:val="002E3AB9"/>
    <w:rsid w:val="002E415E"/>
    <w:rsid w:val="002E47E5"/>
    <w:rsid w:val="002E4B8B"/>
    <w:rsid w:val="002E4C15"/>
    <w:rsid w:val="002E4CC5"/>
    <w:rsid w:val="002E4FF4"/>
    <w:rsid w:val="002E53D4"/>
    <w:rsid w:val="002E54C0"/>
    <w:rsid w:val="002E5B13"/>
    <w:rsid w:val="002E77FC"/>
    <w:rsid w:val="002F09E3"/>
    <w:rsid w:val="002F0DBC"/>
    <w:rsid w:val="002F0E72"/>
    <w:rsid w:val="002F199C"/>
    <w:rsid w:val="002F30A4"/>
    <w:rsid w:val="002F401A"/>
    <w:rsid w:val="002F626E"/>
    <w:rsid w:val="002F69BE"/>
    <w:rsid w:val="002F731B"/>
    <w:rsid w:val="002F7706"/>
    <w:rsid w:val="00300709"/>
    <w:rsid w:val="003013A9"/>
    <w:rsid w:val="00301E7D"/>
    <w:rsid w:val="003044AE"/>
    <w:rsid w:val="0030544E"/>
    <w:rsid w:val="00305B42"/>
    <w:rsid w:val="00305D3C"/>
    <w:rsid w:val="003064D9"/>
    <w:rsid w:val="00306EFE"/>
    <w:rsid w:val="00306F84"/>
    <w:rsid w:val="003074D7"/>
    <w:rsid w:val="0031008D"/>
    <w:rsid w:val="0031019A"/>
    <w:rsid w:val="00311600"/>
    <w:rsid w:val="00311DA9"/>
    <w:rsid w:val="00312033"/>
    <w:rsid w:val="00313019"/>
    <w:rsid w:val="003131B6"/>
    <w:rsid w:val="00313BE3"/>
    <w:rsid w:val="003141CA"/>
    <w:rsid w:val="003149DB"/>
    <w:rsid w:val="00314A2F"/>
    <w:rsid w:val="00315F34"/>
    <w:rsid w:val="003161B2"/>
    <w:rsid w:val="00317C82"/>
    <w:rsid w:val="00320202"/>
    <w:rsid w:val="0032280E"/>
    <w:rsid w:val="00322F02"/>
    <w:rsid w:val="00324428"/>
    <w:rsid w:val="003244B5"/>
    <w:rsid w:val="0032471C"/>
    <w:rsid w:val="00324BC4"/>
    <w:rsid w:val="003250F7"/>
    <w:rsid w:val="00326C51"/>
    <w:rsid w:val="00327CDE"/>
    <w:rsid w:val="00330871"/>
    <w:rsid w:val="00330D39"/>
    <w:rsid w:val="00331365"/>
    <w:rsid w:val="003314A4"/>
    <w:rsid w:val="00331BFE"/>
    <w:rsid w:val="00333744"/>
    <w:rsid w:val="00333A08"/>
    <w:rsid w:val="003356A6"/>
    <w:rsid w:val="0033663A"/>
    <w:rsid w:val="00337BD2"/>
    <w:rsid w:val="003401BD"/>
    <w:rsid w:val="00340840"/>
    <w:rsid w:val="00342619"/>
    <w:rsid w:val="003426F3"/>
    <w:rsid w:val="0034440C"/>
    <w:rsid w:val="003445E1"/>
    <w:rsid w:val="003461D3"/>
    <w:rsid w:val="003465F3"/>
    <w:rsid w:val="00346601"/>
    <w:rsid w:val="00346E23"/>
    <w:rsid w:val="00347074"/>
    <w:rsid w:val="003470FF"/>
    <w:rsid w:val="00347D8F"/>
    <w:rsid w:val="0035040C"/>
    <w:rsid w:val="003514B9"/>
    <w:rsid w:val="0035167C"/>
    <w:rsid w:val="00351819"/>
    <w:rsid w:val="003518F7"/>
    <w:rsid w:val="00353534"/>
    <w:rsid w:val="00354750"/>
    <w:rsid w:val="00354C50"/>
    <w:rsid w:val="00354F33"/>
    <w:rsid w:val="0035673A"/>
    <w:rsid w:val="003567A1"/>
    <w:rsid w:val="00356CEA"/>
    <w:rsid w:val="00357153"/>
    <w:rsid w:val="003602A4"/>
    <w:rsid w:val="00361B96"/>
    <w:rsid w:val="00361E85"/>
    <w:rsid w:val="00362015"/>
    <w:rsid w:val="00362865"/>
    <w:rsid w:val="00362C0F"/>
    <w:rsid w:val="00362D45"/>
    <w:rsid w:val="00363203"/>
    <w:rsid w:val="00364D19"/>
    <w:rsid w:val="003659F2"/>
    <w:rsid w:val="00365E11"/>
    <w:rsid w:val="003667A6"/>
    <w:rsid w:val="003671FA"/>
    <w:rsid w:val="0036746B"/>
    <w:rsid w:val="003709F8"/>
    <w:rsid w:val="00370BB5"/>
    <w:rsid w:val="003712F4"/>
    <w:rsid w:val="00371DE1"/>
    <w:rsid w:val="003731BB"/>
    <w:rsid w:val="003733BE"/>
    <w:rsid w:val="00374093"/>
    <w:rsid w:val="00374E07"/>
    <w:rsid w:val="0037501F"/>
    <w:rsid w:val="0037525E"/>
    <w:rsid w:val="00375581"/>
    <w:rsid w:val="0037558E"/>
    <w:rsid w:val="00375593"/>
    <w:rsid w:val="00375629"/>
    <w:rsid w:val="0037567D"/>
    <w:rsid w:val="0037637D"/>
    <w:rsid w:val="003769F2"/>
    <w:rsid w:val="00376D38"/>
    <w:rsid w:val="00377255"/>
    <w:rsid w:val="00377BD2"/>
    <w:rsid w:val="0038031E"/>
    <w:rsid w:val="00380732"/>
    <w:rsid w:val="00380979"/>
    <w:rsid w:val="00381348"/>
    <w:rsid w:val="00381698"/>
    <w:rsid w:val="003816FB"/>
    <w:rsid w:val="00381C1B"/>
    <w:rsid w:val="0038223F"/>
    <w:rsid w:val="00382E23"/>
    <w:rsid w:val="00383B98"/>
    <w:rsid w:val="00387EF3"/>
    <w:rsid w:val="00391329"/>
    <w:rsid w:val="003914D9"/>
    <w:rsid w:val="00391708"/>
    <w:rsid w:val="00391C23"/>
    <w:rsid w:val="00391D7C"/>
    <w:rsid w:val="00392952"/>
    <w:rsid w:val="00392B0F"/>
    <w:rsid w:val="00392CE4"/>
    <w:rsid w:val="00393658"/>
    <w:rsid w:val="00393A4D"/>
    <w:rsid w:val="00393AFD"/>
    <w:rsid w:val="00393F57"/>
    <w:rsid w:val="00394E18"/>
    <w:rsid w:val="003955D6"/>
    <w:rsid w:val="00395E3E"/>
    <w:rsid w:val="00397688"/>
    <w:rsid w:val="00397B49"/>
    <w:rsid w:val="00397E45"/>
    <w:rsid w:val="00397F0A"/>
    <w:rsid w:val="003A14C2"/>
    <w:rsid w:val="003A151A"/>
    <w:rsid w:val="003A15C9"/>
    <w:rsid w:val="003A1E8A"/>
    <w:rsid w:val="003A21CD"/>
    <w:rsid w:val="003A2D2B"/>
    <w:rsid w:val="003A375E"/>
    <w:rsid w:val="003A44A0"/>
    <w:rsid w:val="003A4874"/>
    <w:rsid w:val="003A48F9"/>
    <w:rsid w:val="003A4E42"/>
    <w:rsid w:val="003A52E2"/>
    <w:rsid w:val="003A5A60"/>
    <w:rsid w:val="003A6C19"/>
    <w:rsid w:val="003A74A2"/>
    <w:rsid w:val="003A7B32"/>
    <w:rsid w:val="003A7D54"/>
    <w:rsid w:val="003B0123"/>
    <w:rsid w:val="003B0361"/>
    <w:rsid w:val="003B099D"/>
    <w:rsid w:val="003B1499"/>
    <w:rsid w:val="003B1E6E"/>
    <w:rsid w:val="003B2906"/>
    <w:rsid w:val="003B321A"/>
    <w:rsid w:val="003B4011"/>
    <w:rsid w:val="003B4F2A"/>
    <w:rsid w:val="003B5630"/>
    <w:rsid w:val="003B7772"/>
    <w:rsid w:val="003B7F8F"/>
    <w:rsid w:val="003C04E6"/>
    <w:rsid w:val="003C0B57"/>
    <w:rsid w:val="003C1974"/>
    <w:rsid w:val="003C1F82"/>
    <w:rsid w:val="003C3FA9"/>
    <w:rsid w:val="003C479D"/>
    <w:rsid w:val="003C4E36"/>
    <w:rsid w:val="003C5000"/>
    <w:rsid w:val="003C661F"/>
    <w:rsid w:val="003C6D0A"/>
    <w:rsid w:val="003C7C36"/>
    <w:rsid w:val="003D01FD"/>
    <w:rsid w:val="003D035E"/>
    <w:rsid w:val="003D04DA"/>
    <w:rsid w:val="003D05CC"/>
    <w:rsid w:val="003D0D23"/>
    <w:rsid w:val="003D1B82"/>
    <w:rsid w:val="003D315C"/>
    <w:rsid w:val="003D32ED"/>
    <w:rsid w:val="003D32FF"/>
    <w:rsid w:val="003D349B"/>
    <w:rsid w:val="003D4429"/>
    <w:rsid w:val="003D4D45"/>
    <w:rsid w:val="003D4F20"/>
    <w:rsid w:val="003D6146"/>
    <w:rsid w:val="003D6267"/>
    <w:rsid w:val="003D6E9F"/>
    <w:rsid w:val="003D7A71"/>
    <w:rsid w:val="003E012B"/>
    <w:rsid w:val="003E0E2F"/>
    <w:rsid w:val="003E0F4E"/>
    <w:rsid w:val="003E1DDD"/>
    <w:rsid w:val="003E24BE"/>
    <w:rsid w:val="003E257A"/>
    <w:rsid w:val="003E4641"/>
    <w:rsid w:val="003E4F88"/>
    <w:rsid w:val="003E5DEC"/>
    <w:rsid w:val="003E5ED7"/>
    <w:rsid w:val="003F0124"/>
    <w:rsid w:val="003F038F"/>
    <w:rsid w:val="003F101A"/>
    <w:rsid w:val="003F19FB"/>
    <w:rsid w:val="003F1A2E"/>
    <w:rsid w:val="003F1CE2"/>
    <w:rsid w:val="003F23CE"/>
    <w:rsid w:val="003F248C"/>
    <w:rsid w:val="003F28BE"/>
    <w:rsid w:val="003F31E2"/>
    <w:rsid w:val="003F36D0"/>
    <w:rsid w:val="003F491F"/>
    <w:rsid w:val="003F497D"/>
    <w:rsid w:val="003F497F"/>
    <w:rsid w:val="003F59A6"/>
    <w:rsid w:val="003F5C82"/>
    <w:rsid w:val="003F69EA"/>
    <w:rsid w:val="003F6A48"/>
    <w:rsid w:val="003F7659"/>
    <w:rsid w:val="003F7B4F"/>
    <w:rsid w:val="00400A50"/>
    <w:rsid w:val="00400AFA"/>
    <w:rsid w:val="00401E43"/>
    <w:rsid w:val="0040246D"/>
    <w:rsid w:val="00402AD5"/>
    <w:rsid w:val="00402C95"/>
    <w:rsid w:val="00403AC6"/>
    <w:rsid w:val="004041DF"/>
    <w:rsid w:val="0041054D"/>
    <w:rsid w:val="00410D7C"/>
    <w:rsid w:val="004117E6"/>
    <w:rsid w:val="00411A4C"/>
    <w:rsid w:val="00411DDA"/>
    <w:rsid w:val="00412486"/>
    <w:rsid w:val="00413AF0"/>
    <w:rsid w:val="00413DDE"/>
    <w:rsid w:val="004147D7"/>
    <w:rsid w:val="00414F7F"/>
    <w:rsid w:val="00416D0A"/>
    <w:rsid w:val="004203F8"/>
    <w:rsid w:val="004207C0"/>
    <w:rsid w:val="00420BF2"/>
    <w:rsid w:val="00420E3D"/>
    <w:rsid w:val="00421462"/>
    <w:rsid w:val="0042198C"/>
    <w:rsid w:val="00422249"/>
    <w:rsid w:val="004225A7"/>
    <w:rsid w:val="00423642"/>
    <w:rsid w:val="00424B2A"/>
    <w:rsid w:val="00426946"/>
    <w:rsid w:val="004271ED"/>
    <w:rsid w:val="004272B6"/>
    <w:rsid w:val="00427568"/>
    <w:rsid w:val="00427916"/>
    <w:rsid w:val="00432AD8"/>
    <w:rsid w:val="00433225"/>
    <w:rsid w:val="00435210"/>
    <w:rsid w:val="0043565C"/>
    <w:rsid w:val="0043575B"/>
    <w:rsid w:val="00436A49"/>
    <w:rsid w:val="00436E66"/>
    <w:rsid w:val="00437345"/>
    <w:rsid w:val="00440621"/>
    <w:rsid w:val="00440A40"/>
    <w:rsid w:val="00441315"/>
    <w:rsid w:val="00441AF4"/>
    <w:rsid w:val="00442538"/>
    <w:rsid w:val="004426E3"/>
    <w:rsid w:val="00442CE6"/>
    <w:rsid w:val="00442F3D"/>
    <w:rsid w:val="00444649"/>
    <w:rsid w:val="00446505"/>
    <w:rsid w:val="0044663F"/>
    <w:rsid w:val="00446D73"/>
    <w:rsid w:val="00447295"/>
    <w:rsid w:val="004472CA"/>
    <w:rsid w:val="00447A0D"/>
    <w:rsid w:val="00447F9D"/>
    <w:rsid w:val="0045176B"/>
    <w:rsid w:val="00451D11"/>
    <w:rsid w:val="00451E2D"/>
    <w:rsid w:val="00452609"/>
    <w:rsid w:val="004527DD"/>
    <w:rsid w:val="00452FAE"/>
    <w:rsid w:val="0045441E"/>
    <w:rsid w:val="00454845"/>
    <w:rsid w:val="00454AE6"/>
    <w:rsid w:val="00455267"/>
    <w:rsid w:val="00456F13"/>
    <w:rsid w:val="0046005C"/>
    <w:rsid w:val="00460A96"/>
    <w:rsid w:val="00460FEE"/>
    <w:rsid w:val="00462C0B"/>
    <w:rsid w:val="0046587D"/>
    <w:rsid w:val="00466B0F"/>
    <w:rsid w:val="004670E3"/>
    <w:rsid w:val="0046711E"/>
    <w:rsid w:val="004673B5"/>
    <w:rsid w:val="00467AFC"/>
    <w:rsid w:val="004702D4"/>
    <w:rsid w:val="004708FE"/>
    <w:rsid w:val="00472E4A"/>
    <w:rsid w:val="004746DD"/>
    <w:rsid w:val="004754C7"/>
    <w:rsid w:val="004757FB"/>
    <w:rsid w:val="00477D49"/>
    <w:rsid w:val="00481F5B"/>
    <w:rsid w:val="004821DF"/>
    <w:rsid w:val="0048224B"/>
    <w:rsid w:val="0048256A"/>
    <w:rsid w:val="00482C38"/>
    <w:rsid w:val="00482DBD"/>
    <w:rsid w:val="00482FDD"/>
    <w:rsid w:val="004839F2"/>
    <w:rsid w:val="004848BF"/>
    <w:rsid w:val="004851A3"/>
    <w:rsid w:val="00486E7C"/>
    <w:rsid w:val="00486EEC"/>
    <w:rsid w:val="004903B6"/>
    <w:rsid w:val="00490D59"/>
    <w:rsid w:val="004911D6"/>
    <w:rsid w:val="0049128E"/>
    <w:rsid w:val="004923FD"/>
    <w:rsid w:val="00493BE3"/>
    <w:rsid w:val="00494DDB"/>
    <w:rsid w:val="00494DFC"/>
    <w:rsid w:val="00495F3C"/>
    <w:rsid w:val="0049640C"/>
    <w:rsid w:val="00496CD0"/>
    <w:rsid w:val="00497CAB"/>
    <w:rsid w:val="004A05BA"/>
    <w:rsid w:val="004A0C53"/>
    <w:rsid w:val="004A1372"/>
    <w:rsid w:val="004A147A"/>
    <w:rsid w:val="004A235E"/>
    <w:rsid w:val="004A29A5"/>
    <w:rsid w:val="004A3F2C"/>
    <w:rsid w:val="004A4470"/>
    <w:rsid w:val="004A4EAA"/>
    <w:rsid w:val="004A5262"/>
    <w:rsid w:val="004A5459"/>
    <w:rsid w:val="004A5989"/>
    <w:rsid w:val="004A7603"/>
    <w:rsid w:val="004A7AEC"/>
    <w:rsid w:val="004B0E21"/>
    <w:rsid w:val="004B1DD1"/>
    <w:rsid w:val="004B2632"/>
    <w:rsid w:val="004B31E7"/>
    <w:rsid w:val="004B4656"/>
    <w:rsid w:val="004B4BAD"/>
    <w:rsid w:val="004B62D6"/>
    <w:rsid w:val="004B6804"/>
    <w:rsid w:val="004B7A63"/>
    <w:rsid w:val="004C004F"/>
    <w:rsid w:val="004C00A0"/>
    <w:rsid w:val="004C0FDC"/>
    <w:rsid w:val="004C1252"/>
    <w:rsid w:val="004C1914"/>
    <w:rsid w:val="004C1CC1"/>
    <w:rsid w:val="004C2056"/>
    <w:rsid w:val="004C3AFC"/>
    <w:rsid w:val="004C4E08"/>
    <w:rsid w:val="004C4EB7"/>
    <w:rsid w:val="004C501B"/>
    <w:rsid w:val="004C5312"/>
    <w:rsid w:val="004C535B"/>
    <w:rsid w:val="004C5B07"/>
    <w:rsid w:val="004C5C0F"/>
    <w:rsid w:val="004C5DEA"/>
    <w:rsid w:val="004C691A"/>
    <w:rsid w:val="004C6D1F"/>
    <w:rsid w:val="004C7A3E"/>
    <w:rsid w:val="004C7E0F"/>
    <w:rsid w:val="004D09C6"/>
    <w:rsid w:val="004D118B"/>
    <w:rsid w:val="004D139E"/>
    <w:rsid w:val="004D1A47"/>
    <w:rsid w:val="004D205C"/>
    <w:rsid w:val="004D2725"/>
    <w:rsid w:val="004D29D9"/>
    <w:rsid w:val="004D3016"/>
    <w:rsid w:val="004D3196"/>
    <w:rsid w:val="004D414A"/>
    <w:rsid w:val="004D6BE5"/>
    <w:rsid w:val="004E051A"/>
    <w:rsid w:val="004E2056"/>
    <w:rsid w:val="004E415F"/>
    <w:rsid w:val="004E64AB"/>
    <w:rsid w:val="004E6991"/>
    <w:rsid w:val="004E6F9A"/>
    <w:rsid w:val="004E70E3"/>
    <w:rsid w:val="004E7415"/>
    <w:rsid w:val="004E7DA3"/>
    <w:rsid w:val="004F018B"/>
    <w:rsid w:val="004F04E6"/>
    <w:rsid w:val="004F0587"/>
    <w:rsid w:val="004F10D0"/>
    <w:rsid w:val="004F207A"/>
    <w:rsid w:val="004F28FF"/>
    <w:rsid w:val="004F2D47"/>
    <w:rsid w:val="004F2DF8"/>
    <w:rsid w:val="004F2E30"/>
    <w:rsid w:val="004F324F"/>
    <w:rsid w:val="004F4118"/>
    <w:rsid w:val="004F42CD"/>
    <w:rsid w:val="004F4764"/>
    <w:rsid w:val="004F6A96"/>
    <w:rsid w:val="004F6F21"/>
    <w:rsid w:val="004F6F52"/>
    <w:rsid w:val="00500947"/>
    <w:rsid w:val="00500AEA"/>
    <w:rsid w:val="00500DD6"/>
    <w:rsid w:val="00501658"/>
    <w:rsid w:val="00502CCC"/>
    <w:rsid w:val="00503DB6"/>
    <w:rsid w:val="00504005"/>
    <w:rsid w:val="005051D4"/>
    <w:rsid w:val="0050544D"/>
    <w:rsid w:val="0050567D"/>
    <w:rsid w:val="0050599E"/>
    <w:rsid w:val="005064DD"/>
    <w:rsid w:val="0050756F"/>
    <w:rsid w:val="00510257"/>
    <w:rsid w:val="00512AA9"/>
    <w:rsid w:val="00513E0C"/>
    <w:rsid w:val="00514710"/>
    <w:rsid w:val="00514E3F"/>
    <w:rsid w:val="0051510D"/>
    <w:rsid w:val="005158D2"/>
    <w:rsid w:val="00516B8C"/>
    <w:rsid w:val="00516DDB"/>
    <w:rsid w:val="005174E3"/>
    <w:rsid w:val="005178B0"/>
    <w:rsid w:val="005217B4"/>
    <w:rsid w:val="005224B6"/>
    <w:rsid w:val="00522970"/>
    <w:rsid w:val="00523B52"/>
    <w:rsid w:val="00524B6B"/>
    <w:rsid w:val="00525675"/>
    <w:rsid w:val="00525C90"/>
    <w:rsid w:val="0052700B"/>
    <w:rsid w:val="0052787E"/>
    <w:rsid w:val="005278FE"/>
    <w:rsid w:val="005302BF"/>
    <w:rsid w:val="0053105A"/>
    <w:rsid w:val="0053108E"/>
    <w:rsid w:val="0053276F"/>
    <w:rsid w:val="00532D3A"/>
    <w:rsid w:val="00532F40"/>
    <w:rsid w:val="00534079"/>
    <w:rsid w:val="00534688"/>
    <w:rsid w:val="00534BDB"/>
    <w:rsid w:val="00535125"/>
    <w:rsid w:val="005352FC"/>
    <w:rsid w:val="0053531F"/>
    <w:rsid w:val="00535DC5"/>
    <w:rsid w:val="00537277"/>
    <w:rsid w:val="0053790A"/>
    <w:rsid w:val="00537C29"/>
    <w:rsid w:val="00537E37"/>
    <w:rsid w:val="00537E9B"/>
    <w:rsid w:val="0054041D"/>
    <w:rsid w:val="005406A8"/>
    <w:rsid w:val="005414A2"/>
    <w:rsid w:val="00541E71"/>
    <w:rsid w:val="005445C4"/>
    <w:rsid w:val="00544EBD"/>
    <w:rsid w:val="00545C9F"/>
    <w:rsid w:val="00547395"/>
    <w:rsid w:val="005476C3"/>
    <w:rsid w:val="00547F89"/>
    <w:rsid w:val="0055004D"/>
    <w:rsid w:val="00550132"/>
    <w:rsid w:val="00550DAB"/>
    <w:rsid w:val="00550DEB"/>
    <w:rsid w:val="0055104C"/>
    <w:rsid w:val="0055168A"/>
    <w:rsid w:val="005525D8"/>
    <w:rsid w:val="00552BE4"/>
    <w:rsid w:val="00552FA4"/>
    <w:rsid w:val="00553554"/>
    <w:rsid w:val="005568A2"/>
    <w:rsid w:val="0056096B"/>
    <w:rsid w:val="00560B1D"/>
    <w:rsid w:val="00560E93"/>
    <w:rsid w:val="0056104D"/>
    <w:rsid w:val="0056118C"/>
    <w:rsid w:val="005613FA"/>
    <w:rsid w:val="00561728"/>
    <w:rsid w:val="00562332"/>
    <w:rsid w:val="005634D1"/>
    <w:rsid w:val="00564B2E"/>
    <w:rsid w:val="00564E89"/>
    <w:rsid w:val="005659C7"/>
    <w:rsid w:val="00565C1B"/>
    <w:rsid w:val="00565C49"/>
    <w:rsid w:val="005664A5"/>
    <w:rsid w:val="005665A8"/>
    <w:rsid w:val="005665BF"/>
    <w:rsid w:val="00566E45"/>
    <w:rsid w:val="00567491"/>
    <w:rsid w:val="00567CCE"/>
    <w:rsid w:val="00567D83"/>
    <w:rsid w:val="005709CC"/>
    <w:rsid w:val="00570AB0"/>
    <w:rsid w:val="005718D5"/>
    <w:rsid w:val="005718FE"/>
    <w:rsid w:val="0057191D"/>
    <w:rsid w:val="00571A80"/>
    <w:rsid w:val="0057351D"/>
    <w:rsid w:val="00573DFA"/>
    <w:rsid w:val="005752DC"/>
    <w:rsid w:val="00580018"/>
    <w:rsid w:val="00580986"/>
    <w:rsid w:val="00582A6C"/>
    <w:rsid w:val="00582CD7"/>
    <w:rsid w:val="0058481E"/>
    <w:rsid w:val="00584854"/>
    <w:rsid w:val="005852A6"/>
    <w:rsid w:val="00585A84"/>
    <w:rsid w:val="00585F1C"/>
    <w:rsid w:val="0058652C"/>
    <w:rsid w:val="005870DD"/>
    <w:rsid w:val="00587DF9"/>
    <w:rsid w:val="00590B0F"/>
    <w:rsid w:val="00590EDF"/>
    <w:rsid w:val="0059100C"/>
    <w:rsid w:val="00591083"/>
    <w:rsid w:val="0059120A"/>
    <w:rsid w:val="00591408"/>
    <w:rsid w:val="0059169C"/>
    <w:rsid w:val="00591A64"/>
    <w:rsid w:val="00591C59"/>
    <w:rsid w:val="00592162"/>
    <w:rsid w:val="00592C4B"/>
    <w:rsid w:val="00593B17"/>
    <w:rsid w:val="00593D0A"/>
    <w:rsid w:val="0059495F"/>
    <w:rsid w:val="00595289"/>
    <w:rsid w:val="005961A9"/>
    <w:rsid w:val="00596F88"/>
    <w:rsid w:val="00597B17"/>
    <w:rsid w:val="005A0044"/>
    <w:rsid w:val="005A0304"/>
    <w:rsid w:val="005A09F3"/>
    <w:rsid w:val="005A0CC1"/>
    <w:rsid w:val="005A1B77"/>
    <w:rsid w:val="005A2EF4"/>
    <w:rsid w:val="005A4C1A"/>
    <w:rsid w:val="005A5364"/>
    <w:rsid w:val="005A6AB0"/>
    <w:rsid w:val="005A6C71"/>
    <w:rsid w:val="005A7563"/>
    <w:rsid w:val="005B0A15"/>
    <w:rsid w:val="005B0ED7"/>
    <w:rsid w:val="005B144E"/>
    <w:rsid w:val="005B1FEF"/>
    <w:rsid w:val="005B214C"/>
    <w:rsid w:val="005B253E"/>
    <w:rsid w:val="005B257E"/>
    <w:rsid w:val="005B34E4"/>
    <w:rsid w:val="005B35A5"/>
    <w:rsid w:val="005B3CF9"/>
    <w:rsid w:val="005B47CF"/>
    <w:rsid w:val="005B513E"/>
    <w:rsid w:val="005B56E7"/>
    <w:rsid w:val="005B6B04"/>
    <w:rsid w:val="005B7CF2"/>
    <w:rsid w:val="005C008D"/>
    <w:rsid w:val="005C0F36"/>
    <w:rsid w:val="005C18D1"/>
    <w:rsid w:val="005C1FD3"/>
    <w:rsid w:val="005C21AB"/>
    <w:rsid w:val="005C21B6"/>
    <w:rsid w:val="005C28F3"/>
    <w:rsid w:val="005C3B91"/>
    <w:rsid w:val="005C4E49"/>
    <w:rsid w:val="005C5249"/>
    <w:rsid w:val="005C557C"/>
    <w:rsid w:val="005C55A0"/>
    <w:rsid w:val="005C61DD"/>
    <w:rsid w:val="005C70B5"/>
    <w:rsid w:val="005C7289"/>
    <w:rsid w:val="005D0892"/>
    <w:rsid w:val="005D090C"/>
    <w:rsid w:val="005D0B91"/>
    <w:rsid w:val="005D0DAE"/>
    <w:rsid w:val="005D1FF1"/>
    <w:rsid w:val="005D2701"/>
    <w:rsid w:val="005D2F17"/>
    <w:rsid w:val="005D3868"/>
    <w:rsid w:val="005D3AAF"/>
    <w:rsid w:val="005D3DC8"/>
    <w:rsid w:val="005D4BF2"/>
    <w:rsid w:val="005D5D96"/>
    <w:rsid w:val="005D5F55"/>
    <w:rsid w:val="005D7577"/>
    <w:rsid w:val="005D7C5F"/>
    <w:rsid w:val="005E114C"/>
    <w:rsid w:val="005E1FFA"/>
    <w:rsid w:val="005E276B"/>
    <w:rsid w:val="005E2D27"/>
    <w:rsid w:val="005E312A"/>
    <w:rsid w:val="005E35D9"/>
    <w:rsid w:val="005E3614"/>
    <w:rsid w:val="005E3AEA"/>
    <w:rsid w:val="005E3E18"/>
    <w:rsid w:val="005E582F"/>
    <w:rsid w:val="005E58BC"/>
    <w:rsid w:val="005E5EBA"/>
    <w:rsid w:val="005E6A4E"/>
    <w:rsid w:val="005E7D60"/>
    <w:rsid w:val="005F000B"/>
    <w:rsid w:val="005F0391"/>
    <w:rsid w:val="005F03C1"/>
    <w:rsid w:val="005F050A"/>
    <w:rsid w:val="005F0F5B"/>
    <w:rsid w:val="005F1C3A"/>
    <w:rsid w:val="005F20E3"/>
    <w:rsid w:val="005F2380"/>
    <w:rsid w:val="005F2AE9"/>
    <w:rsid w:val="005F2BDE"/>
    <w:rsid w:val="005F3517"/>
    <w:rsid w:val="005F383C"/>
    <w:rsid w:val="005F41CF"/>
    <w:rsid w:val="005F560A"/>
    <w:rsid w:val="005F5E3D"/>
    <w:rsid w:val="005F64E6"/>
    <w:rsid w:val="005F768F"/>
    <w:rsid w:val="00600AD2"/>
    <w:rsid w:val="006018EF"/>
    <w:rsid w:val="00601C5B"/>
    <w:rsid w:val="006023A2"/>
    <w:rsid w:val="00602CB9"/>
    <w:rsid w:val="006032B6"/>
    <w:rsid w:val="00604AA9"/>
    <w:rsid w:val="00604F76"/>
    <w:rsid w:val="006052DE"/>
    <w:rsid w:val="006056E7"/>
    <w:rsid w:val="00606B1C"/>
    <w:rsid w:val="00606C83"/>
    <w:rsid w:val="00607CF9"/>
    <w:rsid w:val="00607D51"/>
    <w:rsid w:val="00607ED0"/>
    <w:rsid w:val="00610070"/>
    <w:rsid w:val="00611403"/>
    <w:rsid w:val="006114A9"/>
    <w:rsid w:val="0061190B"/>
    <w:rsid w:val="006119C0"/>
    <w:rsid w:val="006119CF"/>
    <w:rsid w:val="00611CE8"/>
    <w:rsid w:val="00612131"/>
    <w:rsid w:val="006125F4"/>
    <w:rsid w:val="00612D23"/>
    <w:rsid w:val="00613118"/>
    <w:rsid w:val="006139F5"/>
    <w:rsid w:val="00613D4B"/>
    <w:rsid w:val="00614192"/>
    <w:rsid w:val="00614590"/>
    <w:rsid w:val="006147D5"/>
    <w:rsid w:val="006153F7"/>
    <w:rsid w:val="0061744A"/>
    <w:rsid w:val="006176FF"/>
    <w:rsid w:val="006209A5"/>
    <w:rsid w:val="00621100"/>
    <w:rsid w:val="006232DE"/>
    <w:rsid w:val="006242E6"/>
    <w:rsid w:val="00624D25"/>
    <w:rsid w:val="00624D44"/>
    <w:rsid w:val="006254DE"/>
    <w:rsid w:val="006257C9"/>
    <w:rsid w:val="006263C8"/>
    <w:rsid w:val="00626C5D"/>
    <w:rsid w:val="00626D05"/>
    <w:rsid w:val="00627604"/>
    <w:rsid w:val="00627AE8"/>
    <w:rsid w:val="006306C7"/>
    <w:rsid w:val="00630BD8"/>
    <w:rsid w:val="00631C44"/>
    <w:rsid w:val="00631CEE"/>
    <w:rsid w:val="00631E66"/>
    <w:rsid w:val="006323F2"/>
    <w:rsid w:val="00633464"/>
    <w:rsid w:val="00633D92"/>
    <w:rsid w:val="00633EEC"/>
    <w:rsid w:val="006343B6"/>
    <w:rsid w:val="00634A7F"/>
    <w:rsid w:val="00635F0B"/>
    <w:rsid w:val="00635FF4"/>
    <w:rsid w:val="006373BB"/>
    <w:rsid w:val="00640000"/>
    <w:rsid w:val="00640152"/>
    <w:rsid w:val="00640A47"/>
    <w:rsid w:val="00640ABF"/>
    <w:rsid w:val="006410B6"/>
    <w:rsid w:val="0064125B"/>
    <w:rsid w:val="006422DB"/>
    <w:rsid w:val="006424FC"/>
    <w:rsid w:val="00644022"/>
    <w:rsid w:val="006443FB"/>
    <w:rsid w:val="00645469"/>
    <w:rsid w:val="00645557"/>
    <w:rsid w:val="006458B4"/>
    <w:rsid w:val="00645D2D"/>
    <w:rsid w:val="006509D9"/>
    <w:rsid w:val="00650EAB"/>
    <w:rsid w:val="0065185F"/>
    <w:rsid w:val="00651A11"/>
    <w:rsid w:val="00651C67"/>
    <w:rsid w:val="0065340D"/>
    <w:rsid w:val="00653496"/>
    <w:rsid w:val="00654191"/>
    <w:rsid w:val="006541BE"/>
    <w:rsid w:val="00654270"/>
    <w:rsid w:val="00654A4C"/>
    <w:rsid w:val="006557A3"/>
    <w:rsid w:val="006559F8"/>
    <w:rsid w:val="00655B10"/>
    <w:rsid w:val="00655B94"/>
    <w:rsid w:val="0065645A"/>
    <w:rsid w:val="00656788"/>
    <w:rsid w:val="00656939"/>
    <w:rsid w:val="00657FA6"/>
    <w:rsid w:val="006637A8"/>
    <w:rsid w:val="00664675"/>
    <w:rsid w:val="00664B90"/>
    <w:rsid w:val="00664F43"/>
    <w:rsid w:val="00664F4D"/>
    <w:rsid w:val="0066520B"/>
    <w:rsid w:val="006652C5"/>
    <w:rsid w:val="006665B6"/>
    <w:rsid w:val="00666EFE"/>
    <w:rsid w:val="00666FA8"/>
    <w:rsid w:val="00667150"/>
    <w:rsid w:val="00670189"/>
    <w:rsid w:val="00670DBE"/>
    <w:rsid w:val="00671411"/>
    <w:rsid w:val="00672640"/>
    <w:rsid w:val="00672C38"/>
    <w:rsid w:val="00673170"/>
    <w:rsid w:val="00673E85"/>
    <w:rsid w:val="006749BB"/>
    <w:rsid w:val="00676399"/>
    <w:rsid w:val="006766B6"/>
    <w:rsid w:val="00677008"/>
    <w:rsid w:val="006800A5"/>
    <w:rsid w:val="00680454"/>
    <w:rsid w:val="006804E0"/>
    <w:rsid w:val="0068192D"/>
    <w:rsid w:val="006827E6"/>
    <w:rsid w:val="00682EB7"/>
    <w:rsid w:val="00684647"/>
    <w:rsid w:val="00684F50"/>
    <w:rsid w:val="00686D80"/>
    <w:rsid w:val="00687394"/>
    <w:rsid w:val="00691B67"/>
    <w:rsid w:val="00691C61"/>
    <w:rsid w:val="00691E3F"/>
    <w:rsid w:val="00693499"/>
    <w:rsid w:val="00694846"/>
    <w:rsid w:val="00694E0B"/>
    <w:rsid w:val="00694F30"/>
    <w:rsid w:val="0069544E"/>
    <w:rsid w:val="00695476"/>
    <w:rsid w:val="006954F2"/>
    <w:rsid w:val="00696621"/>
    <w:rsid w:val="0069672A"/>
    <w:rsid w:val="006968A4"/>
    <w:rsid w:val="00697049"/>
    <w:rsid w:val="0069712F"/>
    <w:rsid w:val="006971B4"/>
    <w:rsid w:val="006A01C8"/>
    <w:rsid w:val="006A0462"/>
    <w:rsid w:val="006A1006"/>
    <w:rsid w:val="006A1463"/>
    <w:rsid w:val="006A2BFC"/>
    <w:rsid w:val="006A68F3"/>
    <w:rsid w:val="006A6CD1"/>
    <w:rsid w:val="006B0082"/>
    <w:rsid w:val="006B077E"/>
    <w:rsid w:val="006B12CD"/>
    <w:rsid w:val="006B137C"/>
    <w:rsid w:val="006B152B"/>
    <w:rsid w:val="006B1E23"/>
    <w:rsid w:val="006B1F61"/>
    <w:rsid w:val="006B1F90"/>
    <w:rsid w:val="006B262B"/>
    <w:rsid w:val="006B2B93"/>
    <w:rsid w:val="006B2BB0"/>
    <w:rsid w:val="006B3A80"/>
    <w:rsid w:val="006B62C1"/>
    <w:rsid w:val="006B6959"/>
    <w:rsid w:val="006B7F0D"/>
    <w:rsid w:val="006C0A47"/>
    <w:rsid w:val="006C0C30"/>
    <w:rsid w:val="006C0F36"/>
    <w:rsid w:val="006C125B"/>
    <w:rsid w:val="006C202A"/>
    <w:rsid w:val="006C2234"/>
    <w:rsid w:val="006C2FCA"/>
    <w:rsid w:val="006C378D"/>
    <w:rsid w:val="006C42EB"/>
    <w:rsid w:val="006C47F4"/>
    <w:rsid w:val="006C54B2"/>
    <w:rsid w:val="006C557F"/>
    <w:rsid w:val="006C6266"/>
    <w:rsid w:val="006C78E6"/>
    <w:rsid w:val="006D0283"/>
    <w:rsid w:val="006D02DE"/>
    <w:rsid w:val="006D053A"/>
    <w:rsid w:val="006D094C"/>
    <w:rsid w:val="006D0FAD"/>
    <w:rsid w:val="006D16ED"/>
    <w:rsid w:val="006D19B9"/>
    <w:rsid w:val="006D2563"/>
    <w:rsid w:val="006D2B49"/>
    <w:rsid w:val="006D40BF"/>
    <w:rsid w:val="006D5BCC"/>
    <w:rsid w:val="006D5E21"/>
    <w:rsid w:val="006D5ECF"/>
    <w:rsid w:val="006D6F6D"/>
    <w:rsid w:val="006D7DF9"/>
    <w:rsid w:val="006E064F"/>
    <w:rsid w:val="006E077F"/>
    <w:rsid w:val="006E0B99"/>
    <w:rsid w:val="006E0FA9"/>
    <w:rsid w:val="006E1936"/>
    <w:rsid w:val="006E1CA2"/>
    <w:rsid w:val="006E4D9B"/>
    <w:rsid w:val="006E4E45"/>
    <w:rsid w:val="006E5253"/>
    <w:rsid w:val="006E7072"/>
    <w:rsid w:val="006E7157"/>
    <w:rsid w:val="006F27D7"/>
    <w:rsid w:val="006F2B5B"/>
    <w:rsid w:val="006F2D0A"/>
    <w:rsid w:val="006F2D60"/>
    <w:rsid w:val="006F2F8A"/>
    <w:rsid w:val="006F3595"/>
    <w:rsid w:val="006F3C69"/>
    <w:rsid w:val="006F418A"/>
    <w:rsid w:val="006F50B6"/>
    <w:rsid w:val="006F529C"/>
    <w:rsid w:val="006F7254"/>
    <w:rsid w:val="006F7935"/>
    <w:rsid w:val="006F7B4A"/>
    <w:rsid w:val="00700055"/>
    <w:rsid w:val="0070009E"/>
    <w:rsid w:val="00700277"/>
    <w:rsid w:val="0070093B"/>
    <w:rsid w:val="00700E5A"/>
    <w:rsid w:val="00701274"/>
    <w:rsid w:val="007019E2"/>
    <w:rsid w:val="00701ECE"/>
    <w:rsid w:val="00702095"/>
    <w:rsid w:val="0070227B"/>
    <w:rsid w:val="007033E5"/>
    <w:rsid w:val="0070456C"/>
    <w:rsid w:val="007045DF"/>
    <w:rsid w:val="0070595E"/>
    <w:rsid w:val="00705B40"/>
    <w:rsid w:val="0070716C"/>
    <w:rsid w:val="007077C6"/>
    <w:rsid w:val="00707D97"/>
    <w:rsid w:val="00707E45"/>
    <w:rsid w:val="00710648"/>
    <w:rsid w:val="00711042"/>
    <w:rsid w:val="00711374"/>
    <w:rsid w:val="00711BAD"/>
    <w:rsid w:val="00711C19"/>
    <w:rsid w:val="00711C4E"/>
    <w:rsid w:val="00712049"/>
    <w:rsid w:val="00712A2B"/>
    <w:rsid w:val="00712B22"/>
    <w:rsid w:val="00714465"/>
    <w:rsid w:val="00714741"/>
    <w:rsid w:val="00714AE1"/>
    <w:rsid w:val="00715454"/>
    <w:rsid w:val="007158C8"/>
    <w:rsid w:val="007178AD"/>
    <w:rsid w:val="00721698"/>
    <w:rsid w:val="00722849"/>
    <w:rsid w:val="007254BB"/>
    <w:rsid w:val="00725BC0"/>
    <w:rsid w:val="00726CEA"/>
    <w:rsid w:val="00731289"/>
    <w:rsid w:val="00731839"/>
    <w:rsid w:val="0073304A"/>
    <w:rsid w:val="00733AFC"/>
    <w:rsid w:val="00733B01"/>
    <w:rsid w:val="00733BFD"/>
    <w:rsid w:val="00733EC0"/>
    <w:rsid w:val="00735C7A"/>
    <w:rsid w:val="00736DD3"/>
    <w:rsid w:val="007370E9"/>
    <w:rsid w:val="0074064C"/>
    <w:rsid w:val="0074093B"/>
    <w:rsid w:val="00741B19"/>
    <w:rsid w:val="00742360"/>
    <w:rsid w:val="007428CF"/>
    <w:rsid w:val="00743F57"/>
    <w:rsid w:val="007445CE"/>
    <w:rsid w:val="0074488F"/>
    <w:rsid w:val="00744BBA"/>
    <w:rsid w:val="00744CE7"/>
    <w:rsid w:val="00744E13"/>
    <w:rsid w:val="00744FAC"/>
    <w:rsid w:val="00745B03"/>
    <w:rsid w:val="00747364"/>
    <w:rsid w:val="007475AC"/>
    <w:rsid w:val="00747710"/>
    <w:rsid w:val="0074779A"/>
    <w:rsid w:val="00751DA8"/>
    <w:rsid w:val="00752628"/>
    <w:rsid w:val="007526B4"/>
    <w:rsid w:val="00752C16"/>
    <w:rsid w:val="007531A1"/>
    <w:rsid w:val="00753778"/>
    <w:rsid w:val="00753F30"/>
    <w:rsid w:val="00754BE1"/>
    <w:rsid w:val="00754C09"/>
    <w:rsid w:val="00754FE3"/>
    <w:rsid w:val="007550B4"/>
    <w:rsid w:val="00755939"/>
    <w:rsid w:val="00757117"/>
    <w:rsid w:val="00760850"/>
    <w:rsid w:val="0076187E"/>
    <w:rsid w:val="0076259D"/>
    <w:rsid w:val="00762FF2"/>
    <w:rsid w:val="00764881"/>
    <w:rsid w:val="007653C3"/>
    <w:rsid w:val="00771BA7"/>
    <w:rsid w:val="0077201B"/>
    <w:rsid w:val="00772CF4"/>
    <w:rsid w:val="00773459"/>
    <w:rsid w:val="00773D17"/>
    <w:rsid w:val="00773FB8"/>
    <w:rsid w:val="007757CE"/>
    <w:rsid w:val="00775C02"/>
    <w:rsid w:val="00776050"/>
    <w:rsid w:val="0077629D"/>
    <w:rsid w:val="00776847"/>
    <w:rsid w:val="007769A0"/>
    <w:rsid w:val="00776B34"/>
    <w:rsid w:val="00777F73"/>
    <w:rsid w:val="00781997"/>
    <w:rsid w:val="00781A79"/>
    <w:rsid w:val="00781EE3"/>
    <w:rsid w:val="00782207"/>
    <w:rsid w:val="00782251"/>
    <w:rsid w:val="00782636"/>
    <w:rsid w:val="00783E97"/>
    <w:rsid w:val="0078469F"/>
    <w:rsid w:val="00786E19"/>
    <w:rsid w:val="0078751F"/>
    <w:rsid w:val="00787720"/>
    <w:rsid w:val="00787EEF"/>
    <w:rsid w:val="00790590"/>
    <w:rsid w:val="00790C32"/>
    <w:rsid w:val="007910E0"/>
    <w:rsid w:val="00791C71"/>
    <w:rsid w:val="00792174"/>
    <w:rsid w:val="0079289C"/>
    <w:rsid w:val="00792AE6"/>
    <w:rsid w:val="00792BFF"/>
    <w:rsid w:val="00792C08"/>
    <w:rsid w:val="00793A21"/>
    <w:rsid w:val="00794092"/>
    <w:rsid w:val="00794792"/>
    <w:rsid w:val="00794A50"/>
    <w:rsid w:val="00794C2F"/>
    <w:rsid w:val="00795A4C"/>
    <w:rsid w:val="00795EEC"/>
    <w:rsid w:val="00796113"/>
    <w:rsid w:val="0079734D"/>
    <w:rsid w:val="00797376"/>
    <w:rsid w:val="007A031A"/>
    <w:rsid w:val="007A0C9E"/>
    <w:rsid w:val="007A35C9"/>
    <w:rsid w:val="007A3A37"/>
    <w:rsid w:val="007A3FEB"/>
    <w:rsid w:val="007A4609"/>
    <w:rsid w:val="007A512A"/>
    <w:rsid w:val="007A52B2"/>
    <w:rsid w:val="007A5E7C"/>
    <w:rsid w:val="007A7169"/>
    <w:rsid w:val="007A742F"/>
    <w:rsid w:val="007A7B30"/>
    <w:rsid w:val="007A7D70"/>
    <w:rsid w:val="007B003F"/>
    <w:rsid w:val="007B01D4"/>
    <w:rsid w:val="007B045C"/>
    <w:rsid w:val="007B1BC7"/>
    <w:rsid w:val="007B1C9F"/>
    <w:rsid w:val="007B2491"/>
    <w:rsid w:val="007B43D6"/>
    <w:rsid w:val="007B596A"/>
    <w:rsid w:val="007B6665"/>
    <w:rsid w:val="007B6C86"/>
    <w:rsid w:val="007B7996"/>
    <w:rsid w:val="007B7DCB"/>
    <w:rsid w:val="007C0EB6"/>
    <w:rsid w:val="007C165D"/>
    <w:rsid w:val="007C219E"/>
    <w:rsid w:val="007C274A"/>
    <w:rsid w:val="007C2DB1"/>
    <w:rsid w:val="007C2EB4"/>
    <w:rsid w:val="007C3C74"/>
    <w:rsid w:val="007C4702"/>
    <w:rsid w:val="007C4E07"/>
    <w:rsid w:val="007C536C"/>
    <w:rsid w:val="007C5FEF"/>
    <w:rsid w:val="007C62A2"/>
    <w:rsid w:val="007C6B88"/>
    <w:rsid w:val="007C76B3"/>
    <w:rsid w:val="007C79EE"/>
    <w:rsid w:val="007C7C30"/>
    <w:rsid w:val="007D02D8"/>
    <w:rsid w:val="007D1156"/>
    <w:rsid w:val="007D1251"/>
    <w:rsid w:val="007D180C"/>
    <w:rsid w:val="007D18C8"/>
    <w:rsid w:val="007D2232"/>
    <w:rsid w:val="007D2809"/>
    <w:rsid w:val="007D2C59"/>
    <w:rsid w:val="007D2CB8"/>
    <w:rsid w:val="007D3F24"/>
    <w:rsid w:val="007D4A41"/>
    <w:rsid w:val="007D4E66"/>
    <w:rsid w:val="007D50A9"/>
    <w:rsid w:val="007D53EF"/>
    <w:rsid w:val="007D6309"/>
    <w:rsid w:val="007D6635"/>
    <w:rsid w:val="007D69D4"/>
    <w:rsid w:val="007E0146"/>
    <w:rsid w:val="007E10B2"/>
    <w:rsid w:val="007E17E1"/>
    <w:rsid w:val="007E1F23"/>
    <w:rsid w:val="007E234C"/>
    <w:rsid w:val="007E40DE"/>
    <w:rsid w:val="007E485B"/>
    <w:rsid w:val="007E51E3"/>
    <w:rsid w:val="007E52BF"/>
    <w:rsid w:val="007E597A"/>
    <w:rsid w:val="007E5AAA"/>
    <w:rsid w:val="007E626D"/>
    <w:rsid w:val="007E630A"/>
    <w:rsid w:val="007E6D39"/>
    <w:rsid w:val="007E7567"/>
    <w:rsid w:val="007F0B66"/>
    <w:rsid w:val="007F0BFE"/>
    <w:rsid w:val="007F0D96"/>
    <w:rsid w:val="007F13D4"/>
    <w:rsid w:val="007F213E"/>
    <w:rsid w:val="007F21CD"/>
    <w:rsid w:val="007F267B"/>
    <w:rsid w:val="007F3C5A"/>
    <w:rsid w:val="007F4ACB"/>
    <w:rsid w:val="007F4C04"/>
    <w:rsid w:val="007F50B2"/>
    <w:rsid w:val="007F5310"/>
    <w:rsid w:val="007F5482"/>
    <w:rsid w:val="007F5B8E"/>
    <w:rsid w:val="007F6CCC"/>
    <w:rsid w:val="007F704A"/>
    <w:rsid w:val="007F7294"/>
    <w:rsid w:val="00800226"/>
    <w:rsid w:val="00800895"/>
    <w:rsid w:val="00800CD1"/>
    <w:rsid w:val="00800E63"/>
    <w:rsid w:val="008012FB"/>
    <w:rsid w:val="008044E9"/>
    <w:rsid w:val="0080486C"/>
    <w:rsid w:val="00804E2E"/>
    <w:rsid w:val="00804EE7"/>
    <w:rsid w:val="008054BC"/>
    <w:rsid w:val="008055E4"/>
    <w:rsid w:val="008059CB"/>
    <w:rsid w:val="0080666B"/>
    <w:rsid w:val="00806701"/>
    <w:rsid w:val="0081000B"/>
    <w:rsid w:val="00810083"/>
    <w:rsid w:val="00810195"/>
    <w:rsid w:val="008104C1"/>
    <w:rsid w:val="00810E79"/>
    <w:rsid w:val="008122BD"/>
    <w:rsid w:val="00812F37"/>
    <w:rsid w:val="008139BC"/>
    <w:rsid w:val="00813E8F"/>
    <w:rsid w:val="008148FD"/>
    <w:rsid w:val="00814EA5"/>
    <w:rsid w:val="00814EC4"/>
    <w:rsid w:val="008150DC"/>
    <w:rsid w:val="0081600D"/>
    <w:rsid w:val="00816F82"/>
    <w:rsid w:val="00817039"/>
    <w:rsid w:val="00817383"/>
    <w:rsid w:val="008203E1"/>
    <w:rsid w:val="008203E3"/>
    <w:rsid w:val="00821497"/>
    <w:rsid w:val="008215D0"/>
    <w:rsid w:val="00821822"/>
    <w:rsid w:val="00821911"/>
    <w:rsid w:val="00821C6A"/>
    <w:rsid w:val="00821FBA"/>
    <w:rsid w:val="00823184"/>
    <w:rsid w:val="008235CA"/>
    <w:rsid w:val="0082528D"/>
    <w:rsid w:val="00825872"/>
    <w:rsid w:val="008277B0"/>
    <w:rsid w:val="00831DD2"/>
    <w:rsid w:val="00831EA0"/>
    <w:rsid w:val="008323C1"/>
    <w:rsid w:val="00832A16"/>
    <w:rsid w:val="00832FC1"/>
    <w:rsid w:val="0083302A"/>
    <w:rsid w:val="0083385B"/>
    <w:rsid w:val="00833CD5"/>
    <w:rsid w:val="00834E54"/>
    <w:rsid w:val="00835DF6"/>
    <w:rsid w:val="00836590"/>
    <w:rsid w:val="0083748A"/>
    <w:rsid w:val="0083753F"/>
    <w:rsid w:val="00837624"/>
    <w:rsid w:val="00837638"/>
    <w:rsid w:val="00841610"/>
    <w:rsid w:val="0084186B"/>
    <w:rsid w:val="00841E06"/>
    <w:rsid w:val="00842928"/>
    <w:rsid w:val="00843078"/>
    <w:rsid w:val="00843815"/>
    <w:rsid w:val="00843A10"/>
    <w:rsid w:val="00843A1C"/>
    <w:rsid w:val="00844FCB"/>
    <w:rsid w:val="00846047"/>
    <w:rsid w:val="0084722A"/>
    <w:rsid w:val="00847B9D"/>
    <w:rsid w:val="00850F7D"/>
    <w:rsid w:val="00851B35"/>
    <w:rsid w:val="0085401E"/>
    <w:rsid w:val="00854747"/>
    <w:rsid w:val="00854887"/>
    <w:rsid w:val="00854E51"/>
    <w:rsid w:val="008551B6"/>
    <w:rsid w:val="0085659E"/>
    <w:rsid w:val="00856AB5"/>
    <w:rsid w:val="00857CB1"/>
    <w:rsid w:val="00857E67"/>
    <w:rsid w:val="00857EDE"/>
    <w:rsid w:val="00860420"/>
    <w:rsid w:val="00861694"/>
    <w:rsid w:val="00861C37"/>
    <w:rsid w:val="00862D4B"/>
    <w:rsid w:val="00863154"/>
    <w:rsid w:val="0086387D"/>
    <w:rsid w:val="008640B0"/>
    <w:rsid w:val="008647C7"/>
    <w:rsid w:val="00864EAB"/>
    <w:rsid w:val="00865D0E"/>
    <w:rsid w:val="00865FDC"/>
    <w:rsid w:val="0086676A"/>
    <w:rsid w:val="00866B05"/>
    <w:rsid w:val="00866E83"/>
    <w:rsid w:val="008700C7"/>
    <w:rsid w:val="008713BA"/>
    <w:rsid w:val="00872A92"/>
    <w:rsid w:val="00872DFD"/>
    <w:rsid w:val="008749D2"/>
    <w:rsid w:val="00874A9B"/>
    <w:rsid w:val="008753ED"/>
    <w:rsid w:val="00875512"/>
    <w:rsid w:val="008755BA"/>
    <w:rsid w:val="008757F2"/>
    <w:rsid w:val="008764FC"/>
    <w:rsid w:val="0087651D"/>
    <w:rsid w:val="0087652F"/>
    <w:rsid w:val="00877720"/>
    <w:rsid w:val="00877B40"/>
    <w:rsid w:val="008801B5"/>
    <w:rsid w:val="00880466"/>
    <w:rsid w:val="00880694"/>
    <w:rsid w:val="008807A4"/>
    <w:rsid w:val="00881650"/>
    <w:rsid w:val="00881A3E"/>
    <w:rsid w:val="00882721"/>
    <w:rsid w:val="00883792"/>
    <w:rsid w:val="00883C7D"/>
    <w:rsid w:val="00884FB4"/>
    <w:rsid w:val="00885631"/>
    <w:rsid w:val="00885BA3"/>
    <w:rsid w:val="00886A48"/>
    <w:rsid w:val="00886E13"/>
    <w:rsid w:val="008873C7"/>
    <w:rsid w:val="008876BA"/>
    <w:rsid w:val="008877BF"/>
    <w:rsid w:val="00887AA2"/>
    <w:rsid w:val="00887C94"/>
    <w:rsid w:val="00890E78"/>
    <w:rsid w:val="0089102A"/>
    <w:rsid w:val="00891069"/>
    <w:rsid w:val="00891D90"/>
    <w:rsid w:val="00891DC2"/>
    <w:rsid w:val="008924D3"/>
    <w:rsid w:val="00892C57"/>
    <w:rsid w:val="00893235"/>
    <w:rsid w:val="008938B3"/>
    <w:rsid w:val="00893902"/>
    <w:rsid w:val="00893A9B"/>
    <w:rsid w:val="00893D44"/>
    <w:rsid w:val="00893E45"/>
    <w:rsid w:val="00893E88"/>
    <w:rsid w:val="0089430D"/>
    <w:rsid w:val="00894E07"/>
    <w:rsid w:val="00895007"/>
    <w:rsid w:val="00895A30"/>
    <w:rsid w:val="00895ABD"/>
    <w:rsid w:val="0089621C"/>
    <w:rsid w:val="0089676B"/>
    <w:rsid w:val="00896C07"/>
    <w:rsid w:val="00897AFC"/>
    <w:rsid w:val="00897EA6"/>
    <w:rsid w:val="008A116D"/>
    <w:rsid w:val="008A27DD"/>
    <w:rsid w:val="008A38CD"/>
    <w:rsid w:val="008A4882"/>
    <w:rsid w:val="008A4CE4"/>
    <w:rsid w:val="008A506A"/>
    <w:rsid w:val="008A6DDA"/>
    <w:rsid w:val="008B0167"/>
    <w:rsid w:val="008B18F4"/>
    <w:rsid w:val="008B1906"/>
    <w:rsid w:val="008B1AB7"/>
    <w:rsid w:val="008B1C9A"/>
    <w:rsid w:val="008B2092"/>
    <w:rsid w:val="008B24E4"/>
    <w:rsid w:val="008B304A"/>
    <w:rsid w:val="008B3812"/>
    <w:rsid w:val="008B3C14"/>
    <w:rsid w:val="008B3C58"/>
    <w:rsid w:val="008B3F92"/>
    <w:rsid w:val="008B487F"/>
    <w:rsid w:val="008B5ACB"/>
    <w:rsid w:val="008B63FB"/>
    <w:rsid w:val="008B71C1"/>
    <w:rsid w:val="008C06AD"/>
    <w:rsid w:val="008C1BD5"/>
    <w:rsid w:val="008C1C1E"/>
    <w:rsid w:val="008C2695"/>
    <w:rsid w:val="008C27A1"/>
    <w:rsid w:val="008C2BDF"/>
    <w:rsid w:val="008C3570"/>
    <w:rsid w:val="008C38C1"/>
    <w:rsid w:val="008C3B43"/>
    <w:rsid w:val="008C3C44"/>
    <w:rsid w:val="008C54F9"/>
    <w:rsid w:val="008C6BA0"/>
    <w:rsid w:val="008C6D0D"/>
    <w:rsid w:val="008C738B"/>
    <w:rsid w:val="008C76F7"/>
    <w:rsid w:val="008D0B8F"/>
    <w:rsid w:val="008D1B17"/>
    <w:rsid w:val="008D1FDD"/>
    <w:rsid w:val="008D4A7B"/>
    <w:rsid w:val="008D4E5A"/>
    <w:rsid w:val="008D5146"/>
    <w:rsid w:val="008E0CEC"/>
    <w:rsid w:val="008E22D6"/>
    <w:rsid w:val="008E22DB"/>
    <w:rsid w:val="008E3125"/>
    <w:rsid w:val="008E3920"/>
    <w:rsid w:val="008E48C8"/>
    <w:rsid w:val="008E5EE3"/>
    <w:rsid w:val="008E5FC6"/>
    <w:rsid w:val="008E65AC"/>
    <w:rsid w:val="008E6998"/>
    <w:rsid w:val="008F011D"/>
    <w:rsid w:val="008F0416"/>
    <w:rsid w:val="008F0A84"/>
    <w:rsid w:val="008F0BDB"/>
    <w:rsid w:val="008F10EE"/>
    <w:rsid w:val="008F1659"/>
    <w:rsid w:val="008F16D1"/>
    <w:rsid w:val="008F2232"/>
    <w:rsid w:val="008F2824"/>
    <w:rsid w:val="008F2E45"/>
    <w:rsid w:val="008F35B4"/>
    <w:rsid w:val="008F4D2D"/>
    <w:rsid w:val="008F4E7C"/>
    <w:rsid w:val="008F527D"/>
    <w:rsid w:val="008F56C4"/>
    <w:rsid w:val="008F5D28"/>
    <w:rsid w:val="008F6668"/>
    <w:rsid w:val="008F6B2B"/>
    <w:rsid w:val="008F6CAB"/>
    <w:rsid w:val="008F6D87"/>
    <w:rsid w:val="008F7084"/>
    <w:rsid w:val="008F7241"/>
    <w:rsid w:val="008F7413"/>
    <w:rsid w:val="008F7902"/>
    <w:rsid w:val="008F7A52"/>
    <w:rsid w:val="008F7CA4"/>
    <w:rsid w:val="0090003A"/>
    <w:rsid w:val="00900E47"/>
    <w:rsid w:val="00901F08"/>
    <w:rsid w:val="00902062"/>
    <w:rsid w:val="009021B1"/>
    <w:rsid w:val="009048B9"/>
    <w:rsid w:val="00904C41"/>
    <w:rsid w:val="00905423"/>
    <w:rsid w:val="0090686A"/>
    <w:rsid w:val="00906A59"/>
    <w:rsid w:val="0090760F"/>
    <w:rsid w:val="00907A54"/>
    <w:rsid w:val="009104BE"/>
    <w:rsid w:val="00911056"/>
    <w:rsid w:val="0091328B"/>
    <w:rsid w:val="00913EB0"/>
    <w:rsid w:val="00913F84"/>
    <w:rsid w:val="00914FB9"/>
    <w:rsid w:val="00915019"/>
    <w:rsid w:val="00915BC4"/>
    <w:rsid w:val="0091611C"/>
    <w:rsid w:val="0091614C"/>
    <w:rsid w:val="009165B2"/>
    <w:rsid w:val="009169C3"/>
    <w:rsid w:val="009169F2"/>
    <w:rsid w:val="00916D76"/>
    <w:rsid w:val="009175A7"/>
    <w:rsid w:val="009178E0"/>
    <w:rsid w:val="0092004C"/>
    <w:rsid w:val="00920424"/>
    <w:rsid w:val="00920E14"/>
    <w:rsid w:val="0092408B"/>
    <w:rsid w:val="00924A72"/>
    <w:rsid w:val="009251C1"/>
    <w:rsid w:val="00925527"/>
    <w:rsid w:val="00925A5F"/>
    <w:rsid w:val="00925F79"/>
    <w:rsid w:val="00926A63"/>
    <w:rsid w:val="00926AB3"/>
    <w:rsid w:val="00926E61"/>
    <w:rsid w:val="00927A04"/>
    <w:rsid w:val="00927EE0"/>
    <w:rsid w:val="00930451"/>
    <w:rsid w:val="009309A9"/>
    <w:rsid w:val="0093110C"/>
    <w:rsid w:val="00932082"/>
    <w:rsid w:val="0093244D"/>
    <w:rsid w:val="0093260F"/>
    <w:rsid w:val="00933176"/>
    <w:rsid w:val="009339AA"/>
    <w:rsid w:val="00933C10"/>
    <w:rsid w:val="00933C9F"/>
    <w:rsid w:val="00933D73"/>
    <w:rsid w:val="00934E0A"/>
    <w:rsid w:val="0093511F"/>
    <w:rsid w:val="0093516A"/>
    <w:rsid w:val="009352DE"/>
    <w:rsid w:val="0093532B"/>
    <w:rsid w:val="00935F78"/>
    <w:rsid w:val="00936DDB"/>
    <w:rsid w:val="009375B5"/>
    <w:rsid w:val="00941158"/>
    <w:rsid w:val="00941459"/>
    <w:rsid w:val="00941766"/>
    <w:rsid w:val="00941FED"/>
    <w:rsid w:val="00942375"/>
    <w:rsid w:val="009427CC"/>
    <w:rsid w:val="00942986"/>
    <w:rsid w:val="00945C32"/>
    <w:rsid w:val="00945D8A"/>
    <w:rsid w:val="00950563"/>
    <w:rsid w:val="00951230"/>
    <w:rsid w:val="00952260"/>
    <w:rsid w:val="00952768"/>
    <w:rsid w:val="00953212"/>
    <w:rsid w:val="0095388D"/>
    <w:rsid w:val="00953CFC"/>
    <w:rsid w:val="00953E7C"/>
    <w:rsid w:val="009545CC"/>
    <w:rsid w:val="00954B34"/>
    <w:rsid w:val="00955742"/>
    <w:rsid w:val="009571B1"/>
    <w:rsid w:val="00957C35"/>
    <w:rsid w:val="009608BE"/>
    <w:rsid w:val="00960A11"/>
    <w:rsid w:val="00960CD6"/>
    <w:rsid w:val="00961651"/>
    <w:rsid w:val="00962E3F"/>
    <w:rsid w:val="00962F36"/>
    <w:rsid w:val="009638AA"/>
    <w:rsid w:val="009644B0"/>
    <w:rsid w:val="009651FF"/>
    <w:rsid w:val="00965AED"/>
    <w:rsid w:val="00965B5C"/>
    <w:rsid w:val="00966191"/>
    <w:rsid w:val="009664BB"/>
    <w:rsid w:val="00966501"/>
    <w:rsid w:val="00966EF9"/>
    <w:rsid w:val="00970996"/>
    <w:rsid w:val="00970B6E"/>
    <w:rsid w:val="00970B7D"/>
    <w:rsid w:val="009711B5"/>
    <w:rsid w:val="009724F7"/>
    <w:rsid w:val="009729A0"/>
    <w:rsid w:val="00972D87"/>
    <w:rsid w:val="00973297"/>
    <w:rsid w:val="0097353B"/>
    <w:rsid w:val="00974D21"/>
    <w:rsid w:val="009757BD"/>
    <w:rsid w:val="009758C7"/>
    <w:rsid w:val="00975A03"/>
    <w:rsid w:val="00976CCA"/>
    <w:rsid w:val="00977205"/>
    <w:rsid w:val="00980D71"/>
    <w:rsid w:val="00982066"/>
    <w:rsid w:val="009822C4"/>
    <w:rsid w:val="00983F05"/>
    <w:rsid w:val="0098517E"/>
    <w:rsid w:val="0098596E"/>
    <w:rsid w:val="00986474"/>
    <w:rsid w:val="009869CE"/>
    <w:rsid w:val="009873BD"/>
    <w:rsid w:val="00987966"/>
    <w:rsid w:val="00987D5D"/>
    <w:rsid w:val="00987EB8"/>
    <w:rsid w:val="0099091E"/>
    <w:rsid w:val="00990D2E"/>
    <w:rsid w:val="0099131C"/>
    <w:rsid w:val="00991A07"/>
    <w:rsid w:val="00991D2E"/>
    <w:rsid w:val="009923EB"/>
    <w:rsid w:val="00993B2E"/>
    <w:rsid w:val="00993E8C"/>
    <w:rsid w:val="009950D0"/>
    <w:rsid w:val="00995B3F"/>
    <w:rsid w:val="00995E45"/>
    <w:rsid w:val="009971E5"/>
    <w:rsid w:val="009A05BC"/>
    <w:rsid w:val="009A075A"/>
    <w:rsid w:val="009A0B30"/>
    <w:rsid w:val="009A1090"/>
    <w:rsid w:val="009A14AE"/>
    <w:rsid w:val="009A1F55"/>
    <w:rsid w:val="009A3E75"/>
    <w:rsid w:val="009A57EB"/>
    <w:rsid w:val="009A5DA2"/>
    <w:rsid w:val="009A6463"/>
    <w:rsid w:val="009A64E6"/>
    <w:rsid w:val="009A67A5"/>
    <w:rsid w:val="009A6975"/>
    <w:rsid w:val="009A6D48"/>
    <w:rsid w:val="009A7C35"/>
    <w:rsid w:val="009B1894"/>
    <w:rsid w:val="009B27D8"/>
    <w:rsid w:val="009B2F5D"/>
    <w:rsid w:val="009B3001"/>
    <w:rsid w:val="009B3608"/>
    <w:rsid w:val="009B3AD0"/>
    <w:rsid w:val="009B3C56"/>
    <w:rsid w:val="009B540B"/>
    <w:rsid w:val="009B66D6"/>
    <w:rsid w:val="009C3CB5"/>
    <w:rsid w:val="009C3E77"/>
    <w:rsid w:val="009C4829"/>
    <w:rsid w:val="009C4845"/>
    <w:rsid w:val="009C5336"/>
    <w:rsid w:val="009C5B24"/>
    <w:rsid w:val="009C7DA1"/>
    <w:rsid w:val="009D046F"/>
    <w:rsid w:val="009D0D58"/>
    <w:rsid w:val="009D23BE"/>
    <w:rsid w:val="009D2CB9"/>
    <w:rsid w:val="009D3F12"/>
    <w:rsid w:val="009D3FFB"/>
    <w:rsid w:val="009D56A6"/>
    <w:rsid w:val="009D576B"/>
    <w:rsid w:val="009D6E3B"/>
    <w:rsid w:val="009E0940"/>
    <w:rsid w:val="009E166C"/>
    <w:rsid w:val="009E2744"/>
    <w:rsid w:val="009E2BD5"/>
    <w:rsid w:val="009E3651"/>
    <w:rsid w:val="009E4BE6"/>
    <w:rsid w:val="009E5068"/>
    <w:rsid w:val="009E58F8"/>
    <w:rsid w:val="009E60BB"/>
    <w:rsid w:val="009E62FF"/>
    <w:rsid w:val="009E6D7B"/>
    <w:rsid w:val="009E6EE5"/>
    <w:rsid w:val="009E736A"/>
    <w:rsid w:val="009E7408"/>
    <w:rsid w:val="009E7411"/>
    <w:rsid w:val="009E7E3C"/>
    <w:rsid w:val="009F1410"/>
    <w:rsid w:val="009F1596"/>
    <w:rsid w:val="009F2CC0"/>
    <w:rsid w:val="009F2FCD"/>
    <w:rsid w:val="009F301C"/>
    <w:rsid w:val="009F31AA"/>
    <w:rsid w:val="009F393A"/>
    <w:rsid w:val="009F480F"/>
    <w:rsid w:val="009F5772"/>
    <w:rsid w:val="009F5B70"/>
    <w:rsid w:val="009F5BFC"/>
    <w:rsid w:val="009F7A40"/>
    <w:rsid w:val="009F7DAC"/>
    <w:rsid w:val="00A00127"/>
    <w:rsid w:val="00A001BC"/>
    <w:rsid w:val="00A00FAB"/>
    <w:rsid w:val="00A01814"/>
    <w:rsid w:val="00A022AF"/>
    <w:rsid w:val="00A02B78"/>
    <w:rsid w:val="00A02DD1"/>
    <w:rsid w:val="00A03256"/>
    <w:rsid w:val="00A036D5"/>
    <w:rsid w:val="00A03BA1"/>
    <w:rsid w:val="00A03C6B"/>
    <w:rsid w:val="00A0443D"/>
    <w:rsid w:val="00A04C25"/>
    <w:rsid w:val="00A04CC6"/>
    <w:rsid w:val="00A05026"/>
    <w:rsid w:val="00A0570B"/>
    <w:rsid w:val="00A05891"/>
    <w:rsid w:val="00A05EA1"/>
    <w:rsid w:val="00A066A9"/>
    <w:rsid w:val="00A10A3A"/>
    <w:rsid w:val="00A1162D"/>
    <w:rsid w:val="00A11960"/>
    <w:rsid w:val="00A1212A"/>
    <w:rsid w:val="00A1276B"/>
    <w:rsid w:val="00A1300A"/>
    <w:rsid w:val="00A13B95"/>
    <w:rsid w:val="00A13CE0"/>
    <w:rsid w:val="00A142F5"/>
    <w:rsid w:val="00A14FB7"/>
    <w:rsid w:val="00A1512E"/>
    <w:rsid w:val="00A15561"/>
    <w:rsid w:val="00A156B7"/>
    <w:rsid w:val="00A167A1"/>
    <w:rsid w:val="00A17602"/>
    <w:rsid w:val="00A20C21"/>
    <w:rsid w:val="00A20E05"/>
    <w:rsid w:val="00A20EAE"/>
    <w:rsid w:val="00A20FB3"/>
    <w:rsid w:val="00A21157"/>
    <w:rsid w:val="00A212A0"/>
    <w:rsid w:val="00A213FC"/>
    <w:rsid w:val="00A21420"/>
    <w:rsid w:val="00A21668"/>
    <w:rsid w:val="00A2196D"/>
    <w:rsid w:val="00A21B50"/>
    <w:rsid w:val="00A222CE"/>
    <w:rsid w:val="00A226E5"/>
    <w:rsid w:val="00A22825"/>
    <w:rsid w:val="00A23310"/>
    <w:rsid w:val="00A23583"/>
    <w:rsid w:val="00A2393C"/>
    <w:rsid w:val="00A23D74"/>
    <w:rsid w:val="00A2696A"/>
    <w:rsid w:val="00A30888"/>
    <w:rsid w:val="00A309C6"/>
    <w:rsid w:val="00A30B4A"/>
    <w:rsid w:val="00A30F6A"/>
    <w:rsid w:val="00A31055"/>
    <w:rsid w:val="00A32690"/>
    <w:rsid w:val="00A33FD6"/>
    <w:rsid w:val="00A3462A"/>
    <w:rsid w:val="00A3675A"/>
    <w:rsid w:val="00A37240"/>
    <w:rsid w:val="00A375CD"/>
    <w:rsid w:val="00A378B9"/>
    <w:rsid w:val="00A401BB"/>
    <w:rsid w:val="00A40DDA"/>
    <w:rsid w:val="00A42016"/>
    <w:rsid w:val="00A421EE"/>
    <w:rsid w:val="00A424C8"/>
    <w:rsid w:val="00A42EAA"/>
    <w:rsid w:val="00A4416F"/>
    <w:rsid w:val="00A44DD7"/>
    <w:rsid w:val="00A44E78"/>
    <w:rsid w:val="00A45F0F"/>
    <w:rsid w:val="00A46532"/>
    <w:rsid w:val="00A46E21"/>
    <w:rsid w:val="00A4753C"/>
    <w:rsid w:val="00A47CB6"/>
    <w:rsid w:val="00A5085D"/>
    <w:rsid w:val="00A5183A"/>
    <w:rsid w:val="00A51D9E"/>
    <w:rsid w:val="00A527E5"/>
    <w:rsid w:val="00A52A05"/>
    <w:rsid w:val="00A52D04"/>
    <w:rsid w:val="00A53C6F"/>
    <w:rsid w:val="00A53D2F"/>
    <w:rsid w:val="00A54EC8"/>
    <w:rsid w:val="00A54F7D"/>
    <w:rsid w:val="00A550E4"/>
    <w:rsid w:val="00A55614"/>
    <w:rsid w:val="00A55D5D"/>
    <w:rsid w:val="00A56AAF"/>
    <w:rsid w:val="00A605C7"/>
    <w:rsid w:val="00A60706"/>
    <w:rsid w:val="00A60F3D"/>
    <w:rsid w:val="00A61913"/>
    <w:rsid w:val="00A61CC5"/>
    <w:rsid w:val="00A62E97"/>
    <w:rsid w:val="00A633BF"/>
    <w:rsid w:val="00A63A5C"/>
    <w:rsid w:val="00A63F4A"/>
    <w:rsid w:val="00A64606"/>
    <w:rsid w:val="00A667E1"/>
    <w:rsid w:val="00A67CCA"/>
    <w:rsid w:val="00A701B1"/>
    <w:rsid w:val="00A7075F"/>
    <w:rsid w:val="00A713A5"/>
    <w:rsid w:val="00A723B6"/>
    <w:rsid w:val="00A72886"/>
    <w:rsid w:val="00A729F9"/>
    <w:rsid w:val="00A74BC0"/>
    <w:rsid w:val="00A7563F"/>
    <w:rsid w:val="00A76674"/>
    <w:rsid w:val="00A77D98"/>
    <w:rsid w:val="00A806B9"/>
    <w:rsid w:val="00A817A6"/>
    <w:rsid w:val="00A81E22"/>
    <w:rsid w:val="00A820AA"/>
    <w:rsid w:val="00A825AB"/>
    <w:rsid w:val="00A8284A"/>
    <w:rsid w:val="00A8324D"/>
    <w:rsid w:val="00A833A7"/>
    <w:rsid w:val="00A83D2C"/>
    <w:rsid w:val="00A83DC1"/>
    <w:rsid w:val="00A84655"/>
    <w:rsid w:val="00A84DEF"/>
    <w:rsid w:val="00A85169"/>
    <w:rsid w:val="00A8666E"/>
    <w:rsid w:val="00A86E05"/>
    <w:rsid w:val="00A905D1"/>
    <w:rsid w:val="00A9155E"/>
    <w:rsid w:val="00A9175D"/>
    <w:rsid w:val="00A921AB"/>
    <w:rsid w:val="00A9226D"/>
    <w:rsid w:val="00A923B2"/>
    <w:rsid w:val="00A923E7"/>
    <w:rsid w:val="00A92E80"/>
    <w:rsid w:val="00A934C2"/>
    <w:rsid w:val="00A934D2"/>
    <w:rsid w:val="00A93D2D"/>
    <w:rsid w:val="00A97F58"/>
    <w:rsid w:val="00AA01EB"/>
    <w:rsid w:val="00AA0263"/>
    <w:rsid w:val="00AA12CA"/>
    <w:rsid w:val="00AA2063"/>
    <w:rsid w:val="00AA2882"/>
    <w:rsid w:val="00AA2A3B"/>
    <w:rsid w:val="00AA2E4C"/>
    <w:rsid w:val="00AA364E"/>
    <w:rsid w:val="00AA3773"/>
    <w:rsid w:val="00AA4788"/>
    <w:rsid w:val="00AA5909"/>
    <w:rsid w:val="00AA75AB"/>
    <w:rsid w:val="00AA78EA"/>
    <w:rsid w:val="00AA7F29"/>
    <w:rsid w:val="00AB068E"/>
    <w:rsid w:val="00AB0D9A"/>
    <w:rsid w:val="00AB10BC"/>
    <w:rsid w:val="00AB27A4"/>
    <w:rsid w:val="00AB2CC2"/>
    <w:rsid w:val="00AB2ED7"/>
    <w:rsid w:val="00AB2FCD"/>
    <w:rsid w:val="00AB4331"/>
    <w:rsid w:val="00AB4ACB"/>
    <w:rsid w:val="00AB4E8E"/>
    <w:rsid w:val="00AB4EAD"/>
    <w:rsid w:val="00AB534D"/>
    <w:rsid w:val="00AB5CD5"/>
    <w:rsid w:val="00AB60BA"/>
    <w:rsid w:val="00AB6457"/>
    <w:rsid w:val="00AB6B3C"/>
    <w:rsid w:val="00AB6CA8"/>
    <w:rsid w:val="00AB6FD9"/>
    <w:rsid w:val="00AB7AB6"/>
    <w:rsid w:val="00AC012C"/>
    <w:rsid w:val="00AC0985"/>
    <w:rsid w:val="00AC1187"/>
    <w:rsid w:val="00AC21AF"/>
    <w:rsid w:val="00AC2555"/>
    <w:rsid w:val="00AC2FEA"/>
    <w:rsid w:val="00AC40A8"/>
    <w:rsid w:val="00AC50D5"/>
    <w:rsid w:val="00AC5375"/>
    <w:rsid w:val="00AC6179"/>
    <w:rsid w:val="00AC6430"/>
    <w:rsid w:val="00AC70F6"/>
    <w:rsid w:val="00AC79D1"/>
    <w:rsid w:val="00AD186F"/>
    <w:rsid w:val="00AD2356"/>
    <w:rsid w:val="00AD357D"/>
    <w:rsid w:val="00AD3A60"/>
    <w:rsid w:val="00AD40A9"/>
    <w:rsid w:val="00AD40BD"/>
    <w:rsid w:val="00AD4386"/>
    <w:rsid w:val="00AD631E"/>
    <w:rsid w:val="00AD7720"/>
    <w:rsid w:val="00AD7F03"/>
    <w:rsid w:val="00AE01AE"/>
    <w:rsid w:val="00AE05AC"/>
    <w:rsid w:val="00AE064B"/>
    <w:rsid w:val="00AE0A59"/>
    <w:rsid w:val="00AE105C"/>
    <w:rsid w:val="00AE14BC"/>
    <w:rsid w:val="00AE234A"/>
    <w:rsid w:val="00AE2AB7"/>
    <w:rsid w:val="00AE514F"/>
    <w:rsid w:val="00AE5CB3"/>
    <w:rsid w:val="00AE5EF2"/>
    <w:rsid w:val="00AE64E9"/>
    <w:rsid w:val="00AE70F2"/>
    <w:rsid w:val="00AE716B"/>
    <w:rsid w:val="00AE73C4"/>
    <w:rsid w:val="00AE75ED"/>
    <w:rsid w:val="00AF0505"/>
    <w:rsid w:val="00AF09AC"/>
    <w:rsid w:val="00AF0BA0"/>
    <w:rsid w:val="00AF0D25"/>
    <w:rsid w:val="00AF102F"/>
    <w:rsid w:val="00AF238C"/>
    <w:rsid w:val="00AF2AE6"/>
    <w:rsid w:val="00AF4218"/>
    <w:rsid w:val="00AF4350"/>
    <w:rsid w:val="00AF4B0A"/>
    <w:rsid w:val="00AF4B86"/>
    <w:rsid w:val="00AF5095"/>
    <w:rsid w:val="00AF6740"/>
    <w:rsid w:val="00AF6742"/>
    <w:rsid w:val="00AF6F30"/>
    <w:rsid w:val="00AF75BF"/>
    <w:rsid w:val="00AF7A57"/>
    <w:rsid w:val="00AF7D7E"/>
    <w:rsid w:val="00B012D1"/>
    <w:rsid w:val="00B021DA"/>
    <w:rsid w:val="00B027B6"/>
    <w:rsid w:val="00B028F9"/>
    <w:rsid w:val="00B02C7C"/>
    <w:rsid w:val="00B0325D"/>
    <w:rsid w:val="00B03865"/>
    <w:rsid w:val="00B04209"/>
    <w:rsid w:val="00B04584"/>
    <w:rsid w:val="00B050C0"/>
    <w:rsid w:val="00B05343"/>
    <w:rsid w:val="00B055DB"/>
    <w:rsid w:val="00B06D48"/>
    <w:rsid w:val="00B06D88"/>
    <w:rsid w:val="00B07042"/>
    <w:rsid w:val="00B074FF"/>
    <w:rsid w:val="00B07608"/>
    <w:rsid w:val="00B07DCA"/>
    <w:rsid w:val="00B102F8"/>
    <w:rsid w:val="00B10463"/>
    <w:rsid w:val="00B107F5"/>
    <w:rsid w:val="00B10EC5"/>
    <w:rsid w:val="00B1101A"/>
    <w:rsid w:val="00B11907"/>
    <w:rsid w:val="00B11BCB"/>
    <w:rsid w:val="00B11C94"/>
    <w:rsid w:val="00B121C8"/>
    <w:rsid w:val="00B12B30"/>
    <w:rsid w:val="00B13837"/>
    <w:rsid w:val="00B14A82"/>
    <w:rsid w:val="00B14EAD"/>
    <w:rsid w:val="00B16B2F"/>
    <w:rsid w:val="00B16C6C"/>
    <w:rsid w:val="00B16D30"/>
    <w:rsid w:val="00B16DAB"/>
    <w:rsid w:val="00B20767"/>
    <w:rsid w:val="00B2121F"/>
    <w:rsid w:val="00B2231D"/>
    <w:rsid w:val="00B22423"/>
    <w:rsid w:val="00B22A82"/>
    <w:rsid w:val="00B23016"/>
    <w:rsid w:val="00B2398D"/>
    <w:rsid w:val="00B2494E"/>
    <w:rsid w:val="00B25A0B"/>
    <w:rsid w:val="00B25A1A"/>
    <w:rsid w:val="00B25F59"/>
    <w:rsid w:val="00B26EBA"/>
    <w:rsid w:val="00B27F6C"/>
    <w:rsid w:val="00B302E9"/>
    <w:rsid w:val="00B315E2"/>
    <w:rsid w:val="00B3196A"/>
    <w:rsid w:val="00B31B3D"/>
    <w:rsid w:val="00B3241E"/>
    <w:rsid w:val="00B333AC"/>
    <w:rsid w:val="00B33F88"/>
    <w:rsid w:val="00B34C75"/>
    <w:rsid w:val="00B351E9"/>
    <w:rsid w:val="00B366DF"/>
    <w:rsid w:val="00B367FC"/>
    <w:rsid w:val="00B37142"/>
    <w:rsid w:val="00B37945"/>
    <w:rsid w:val="00B37CA4"/>
    <w:rsid w:val="00B40115"/>
    <w:rsid w:val="00B40476"/>
    <w:rsid w:val="00B41DF2"/>
    <w:rsid w:val="00B42065"/>
    <w:rsid w:val="00B427B7"/>
    <w:rsid w:val="00B45069"/>
    <w:rsid w:val="00B45EA9"/>
    <w:rsid w:val="00B46316"/>
    <w:rsid w:val="00B46458"/>
    <w:rsid w:val="00B464BA"/>
    <w:rsid w:val="00B4666E"/>
    <w:rsid w:val="00B466F1"/>
    <w:rsid w:val="00B475EA"/>
    <w:rsid w:val="00B47D3A"/>
    <w:rsid w:val="00B505D4"/>
    <w:rsid w:val="00B52098"/>
    <w:rsid w:val="00B53533"/>
    <w:rsid w:val="00B5522E"/>
    <w:rsid w:val="00B55645"/>
    <w:rsid w:val="00B559C2"/>
    <w:rsid w:val="00B5674A"/>
    <w:rsid w:val="00B567DB"/>
    <w:rsid w:val="00B571E8"/>
    <w:rsid w:val="00B57B74"/>
    <w:rsid w:val="00B57EEC"/>
    <w:rsid w:val="00B60600"/>
    <w:rsid w:val="00B60ABD"/>
    <w:rsid w:val="00B60B53"/>
    <w:rsid w:val="00B615AC"/>
    <w:rsid w:val="00B61C21"/>
    <w:rsid w:val="00B62F20"/>
    <w:rsid w:val="00B63F9F"/>
    <w:rsid w:val="00B6447E"/>
    <w:rsid w:val="00B66757"/>
    <w:rsid w:val="00B66BC7"/>
    <w:rsid w:val="00B67205"/>
    <w:rsid w:val="00B67AB0"/>
    <w:rsid w:val="00B67D8E"/>
    <w:rsid w:val="00B70CA3"/>
    <w:rsid w:val="00B7158D"/>
    <w:rsid w:val="00B73C34"/>
    <w:rsid w:val="00B74166"/>
    <w:rsid w:val="00B7436F"/>
    <w:rsid w:val="00B7480F"/>
    <w:rsid w:val="00B74D4A"/>
    <w:rsid w:val="00B75197"/>
    <w:rsid w:val="00B751D4"/>
    <w:rsid w:val="00B769B1"/>
    <w:rsid w:val="00B772C9"/>
    <w:rsid w:val="00B77FBA"/>
    <w:rsid w:val="00B80484"/>
    <w:rsid w:val="00B80596"/>
    <w:rsid w:val="00B80ABA"/>
    <w:rsid w:val="00B80C5D"/>
    <w:rsid w:val="00B822DA"/>
    <w:rsid w:val="00B829E1"/>
    <w:rsid w:val="00B82D9D"/>
    <w:rsid w:val="00B83113"/>
    <w:rsid w:val="00B83E42"/>
    <w:rsid w:val="00B84766"/>
    <w:rsid w:val="00B85504"/>
    <w:rsid w:val="00B8575F"/>
    <w:rsid w:val="00B86B08"/>
    <w:rsid w:val="00B86F8F"/>
    <w:rsid w:val="00B86FF0"/>
    <w:rsid w:val="00B90479"/>
    <w:rsid w:val="00B90837"/>
    <w:rsid w:val="00B910C5"/>
    <w:rsid w:val="00B91688"/>
    <w:rsid w:val="00B91955"/>
    <w:rsid w:val="00B926A0"/>
    <w:rsid w:val="00B92A44"/>
    <w:rsid w:val="00B9405C"/>
    <w:rsid w:val="00B943C6"/>
    <w:rsid w:val="00B94A96"/>
    <w:rsid w:val="00B95B3A"/>
    <w:rsid w:val="00B96B56"/>
    <w:rsid w:val="00B96B6C"/>
    <w:rsid w:val="00B96FE4"/>
    <w:rsid w:val="00B970E2"/>
    <w:rsid w:val="00B975C1"/>
    <w:rsid w:val="00B976B6"/>
    <w:rsid w:val="00BA01A6"/>
    <w:rsid w:val="00BA02BB"/>
    <w:rsid w:val="00BA0CB9"/>
    <w:rsid w:val="00BA10B2"/>
    <w:rsid w:val="00BA127D"/>
    <w:rsid w:val="00BA1310"/>
    <w:rsid w:val="00BA173B"/>
    <w:rsid w:val="00BA1967"/>
    <w:rsid w:val="00BA3510"/>
    <w:rsid w:val="00BA3865"/>
    <w:rsid w:val="00BA4E6C"/>
    <w:rsid w:val="00BA4F62"/>
    <w:rsid w:val="00BA64EF"/>
    <w:rsid w:val="00BA6B9B"/>
    <w:rsid w:val="00BA6E74"/>
    <w:rsid w:val="00BA6F05"/>
    <w:rsid w:val="00BA7479"/>
    <w:rsid w:val="00BA7DD9"/>
    <w:rsid w:val="00BB0010"/>
    <w:rsid w:val="00BB06AD"/>
    <w:rsid w:val="00BB184A"/>
    <w:rsid w:val="00BB1B27"/>
    <w:rsid w:val="00BB1D0F"/>
    <w:rsid w:val="00BB1EAF"/>
    <w:rsid w:val="00BB3058"/>
    <w:rsid w:val="00BB43CD"/>
    <w:rsid w:val="00BB6815"/>
    <w:rsid w:val="00BB78E6"/>
    <w:rsid w:val="00BB7970"/>
    <w:rsid w:val="00BC05B0"/>
    <w:rsid w:val="00BC1349"/>
    <w:rsid w:val="00BC1375"/>
    <w:rsid w:val="00BC1677"/>
    <w:rsid w:val="00BC39F9"/>
    <w:rsid w:val="00BC3C75"/>
    <w:rsid w:val="00BC3CA3"/>
    <w:rsid w:val="00BC4AB9"/>
    <w:rsid w:val="00BC4FAB"/>
    <w:rsid w:val="00BC6CED"/>
    <w:rsid w:val="00BD0A4F"/>
    <w:rsid w:val="00BD1073"/>
    <w:rsid w:val="00BD2E2C"/>
    <w:rsid w:val="00BD2F76"/>
    <w:rsid w:val="00BD3507"/>
    <w:rsid w:val="00BD3551"/>
    <w:rsid w:val="00BD3AA3"/>
    <w:rsid w:val="00BD3AA8"/>
    <w:rsid w:val="00BD40AF"/>
    <w:rsid w:val="00BD4DD4"/>
    <w:rsid w:val="00BD4DE1"/>
    <w:rsid w:val="00BD5792"/>
    <w:rsid w:val="00BD661E"/>
    <w:rsid w:val="00BD6851"/>
    <w:rsid w:val="00BD6A07"/>
    <w:rsid w:val="00BD7057"/>
    <w:rsid w:val="00BD72E0"/>
    <w:rsid w:val="00BE0BD6"/>
    <w:rsid w:val="00BE13A9"/>
    <w:rsid w:val="00BE1B44"/>
    <w:rsid w:val="00BE1E50"/>
    <w:rsid w:val="00BE1FDB"/>
    <w:rsid w:val="00BE312F"/>
    <w:rsid w:val="00BE321C"/>
    <w:rsid w:val="00BE3D51"/>
    <w:rsid w:val="00BE3DAC"/>
    <w:rsid w:val="00BE3E7F"/>
    <w:rsid w:val="00BE49F7"/>
    <w:rsid w:val="00BE4CFE"/>
    <w:rsid w:val="00BE5600"/>
    <w:rsid w:val="00BE5A0E"/>
    <w:rsid w:val="00BE76AF"/>
    <w:rsid w:val="00BE7E9E"/>
    <w:rsid w:val="00BF12C9"/>
    <w:rsid w:val="00BF1620"/>
    <w:rsid w:val="00BF18F0"/>
    <w:rsid w:val="00BF1907"/>
    <w:rsid w:val="00BF2818"/>
    <w:rsid w:val="00BF2B01"/>
    <w:rsid w:val="00BF2BBC"/>
    <w:rsid w:val="00BF2C6E"/>
    <w:rsid w:val="00BF2E2A"/>
    <w:rsid w:val="00BF305C"/>
    <w:rsid w:val="00BF354C"/>
    <w:rsid w:val="00BF44C0"/>
    <w:rsid w:val="00BF486D"/>
    <w:rsid w:val="00BF516F"/>
    <w:rsid w:val="00BF545F"/>
    <w:rsid w:val="00BF55A1"/>
    <w:rsid w:val="00BF573B"/>
    <w:rsid w:val="00BF5742"/>
    <w:rsid w:val="00BF7921"/>
    <w:rsid w:val="00BF794E"/>
    <w:rsid w:val="00C00543"/>
    <w:rsid w:val="00C00930"/>
    <w:rsid w:val="00C014CF"/>
    <w:rsid w:val="00C021DA"/>
    <w:rsid w:val="00C02EFF"/>
    <w:rsid w:val="00C031E5"/>
    <w:rsid w:val="00C03A34"/>
    <w:rsid w:val="00C03B92"/>
    <w:rsid w:val="00C04999"/>
    <w:rsid w:val="00C054EF"/>
    <w:rsid w:val="00C0557A"/>
    <w:rsid w:val="00C0649D"/>
    <w:rsid w:val="00C070D8"/>
    <w:rsid w:val="00C07838"/>
    <w:rsid w:val="00C0783B"/>
    <w:rsid w:val="00C108E6"/>
    <w:rsid w:val="00C12043"/>
    <w:rsid w:val="00C14AC2"/>
    <w:rsid w:val="00C154CE"/>
    <w:rsid w:val="00C15618"/>
    <w:rsid w:val="00C156DF"/>
    <w:rsid w:val="00C1596D"/>
    <w:rsid w:val="00C16C2A"/>
    <w:rsid w:val="00C1712A"/>
    <w:rsid w:val="00C17156"/>
    <w:rsid w:val="00C17B4B"/>
    <w:rsid w:val="00C20BD7"/>
    <w:rsid w:val="00C20ED1"/>
    <w:rsid w:val="00C21458"/>
    <w:rsid w:val="00C216FC"/>
    <w:rsid w:val="00C22131"/>
    <w:rsid w:val="00C2223D"/>
    <w:rsid w:val="00C22493"/>
    <w:rsid w:val="00C23B7D"/>
    <w:rsid w:val="00C24EDC"/>
    <w:rsid w:val="00C264AE"/>
    <w:rsid w:val="00C264C6"/>
    <w:rsid w:val="00C27040"/>
    <w:rsid w:val="00C277BC"/>
    <w:rsid w:val="00C30CC5"/>
    <w:rsid w:val="00C31E3C"/>
    <w:rsid w:val="00C3271C"/>
    <w:rsid w:val="00C338CD"/>
    <w:rsid w:val="00C33950"/>
    <w:rsid w:val="00C34D88"/>
    <w:rsid w:val="00C35563"/>
    <w:rsid w:val="00C358B4"/>
    <w:rsid w:val="00C3651C"/>
    <w:rsid w:val="00C3688C"/>
    <w:rsid w:val="00C37123"/>
    <w:rsid w:val="00C40A27"/>
    <w:rsid w:val="00C40D35"/>
    <w:rsid w:val="00C414D4"/>
    <w:rsid w:val="00C4150B"/>
    <w:rsid w:val="00C41F32"/>
    <w:rsid w:val="00C425FA"/>
    <w:rsid w:val="00C42616"/>
    <w:rsid w:val="00C43244"/>
    <w:rsid w:val="00C445C0"/>
    <w:rsid w:val="00C45B18"/>
    <w:rsid w:val="00C45E9B"/>
    <w:rsid w:val="00C46476"/>
    <w:rsid w:val="00C46921"/>
    <w:rsid w:val="00C47440"/>
    <w:rsid w:val="00C478C4"/>
    <w:rsid w:val="00C5012A"/>
    <w:rsid w:val="00C52498"/>
    <w:rsid w:val="00C5329C"/>
    <w:rsid w:val="00C53AC3"/>
    <w:rsid w:val="00C542D7"/>
    <w:rsid w:val="00C54CE0"/>
    <w:rsid w:val="00C55A9C"/>
    <w:rsid w:val="00C55C5A"/>
    <w:rsid w:val="00C56102"/>
    <w:rsid w:val="00C57C50"/>
    <w:rsid w:val="00C61DA3"/>
    <w:rsid w:val="00C6214B"/>
    <w:rsid w:val="00C6282F"/>
    <w:rsid w:val="00C64169"/>
    <w:rsid w:val="00C64408"/>
    <w:rsid w:val="00C645AA"/>
    <w:rsid w:val="00C658CE"/>
    <w:rsid w:val="00C65BA1"/>
    <w:rsid w:val="00C65D96"/>
    <w:rsid w:val="00C66343"/>
    <w:rsid w:val="00C66502"/>
    <w:rsid w:val="00C66897"/>
    <w:rsid w:val="00C669C6"/>
    <w:rsid w:val="00C66E3C"/>
    <w:rsid w:val="00C67E18"/>
    <w:rsid w:val="00C7020E"/>
    <w:rsid w:val="00C71065"/>
    <w:rsid w:val="00C7172A"/>
    <w:rsid w:val="00C71A19"/>
    <w:rsid w:val="00C71AEF"/>
    <w:rsid w:val="00C72B95"/>
    <w:rsid w:val="00C76DB9"/>
    <w:rsid w:val="00C77A5A"/>
    <w:rsid w:val="00C77C93"/>
    <w:rsid w:val="00C80036"/>
    <w:rsid w:val="00C804BE"/>
    <w:rsid w:val="00C809F6"/>
    <w:rsid w:val="00C8132D"/>
    <w:rsid w:val="00C81486"/>
    <w:rsid w:val="00C819ED"/>
    <w:rsid w:val="00C824C8"/>
    <w:rsid w:val="00C82E31"/>
    <w:rsid w:val="00C8313A"/>
    <w:rsid w:val="00C8360F"/>
    <w:rsid w:val="00C83E98"/>
    <w:rsid w:val="00C85355"/>
    <w:rsid w:val="00C877E7"/>
    <w:rsid w:val="00C87CF4"/>
    <w:rsid w:val="00C91BD4"/>
    <w:rsid w:val="00C9200D"/>
    <w:rsid w:val="00C931D2"/>
    <w:rsid w:val="00C94AB9"/>
    <w:rsid w:val="00C9567A"/>
    <w:rsid w:val="00C95B1D"/>
    <w:rsid w:val="00C9693B"/>
    <w:rsid w:val="00C96FC7"/>
    <w:rsid w:val="00C970A6"/>
    <w:rsid w:val="00CA000D"/>
    <w:rsid w:val="00CA024B"/>
    <w:rsid w:val="00CA0DCC"/>
    <w:rsid w:val="00CA12EF"/>
    <w:rsid w:val="00CA14F0"/>
    <w:rsid w:val="00CA1767"/>
    <w:rsid w:val="00CA19B2"/>
    <w:rsid w:val="00CA1B6B"/>
    <w:rsid w:val="00CA2FEA"/>
    <w:rsid w:val="00CA3405"/>
    <w:rsid w:val="00CA4E76"/>
    <w:rsid w:val="00CA5C8F"/>
    <w:rsid w:val="00CA703E"/>
    <w:rsid w:val="00CA7B78"/>
    <w:rsid w:val="00CA7C77"/>
    <w:rsid w:val="00CA7D0E"/>
    <w:rsid w:val="00CB0C68"/>
    <w:rsid w:val="00CB26E6"/>
    <w:rsid w:val="00CB30A2"/>
    <w:rsid w:val="00CB3FC9"/>
    <w:rsid w:val="00CB40A2"/>
    <w:rsid w:val="00CB4B00"/>
    <w:rsid w:val="00CB6759"/>
    <w:rsid w:val="00CB79D0"/>
    <w:rsid w:val="00CC017D"/>
    <w:rsid w:val="00CC180B"/>
    <w:rsid w:val="00CC1B95"/>
    <w:rsid w:val="00CC1C5C"/>
    <w:rsid w:val="00CC22ED"/>
    <w:rsid w:val="00CC29D2"/>
    <w:rsid w:val="00CC29F6"/>
    <w:rsid w:val="00CC2DFA"/>
    <w:rsid w:val="00CC3260"/>
    <w:rsid w:val="00CC3352"/>
    <w:rsid w:val="00CC3433"/>
    <w:rsid w:val="00CC35DE"/>
    <w:rsid w:val="00CC4C44"/>
    <w:rsid w:val="00CC51D2"/>
    <w:rsid w:val="00CC530E"/>
    <w:rsid w:val="00CC53B9"/>
    <w:rsid w:val="00CC5E93"/>
    <w:rsid w:val="00CC62B5"/>
    <w:rsid w:val="00CC77BB"/>
    <w:rsid w:val="00CD06D4"/>
    <w:rsid w:val="00CD09C0"/>
    <w:rsid w:val="00CD1070"/>
    <w:rsid w:val="00CD108B"/>
    <w:rsid w:val="00CD109C"/>
    <w:rsid w:val="00CD1C80"/>
    <w:rsid w:val="00CD2C07"/>
    <w:rsid w:val="00CD64D6"/>
    <w:rsid w:val="00CD6676"/>
    <w:rsid w:val="00CD6D2A"/>
    <w:rsid w:val="00CD7042"/>
    <w:rsid w:val="00CE1EEE"/>
    <w:rsid w:val="00CE20EB"/>
    <w:rsid w:val="00CE2956"/>
    <w:rsid w:val="00CE2E1E"/>
    <w:rsid w:val="00CE3628"/>
    <w:rsid w:val="00CE3F71"/>
    <w:rsid w:val="00CE4599"/>
    <w:rsid w:val="00CE49EB"/>
    <w:rsid w:val="00CE4E84"/>
    <w:rsid w:val="00CE50AC"/>
    <w:rsid w:val="00CE514E"/>
    <w:rsid w:val="00CE55ED"/>
    <w:rsid w:val="00CE6200"/>
    <w:rsid w:val="00CE7129"/>
    <w:rsid w:val="00CE730E"/>
    <w:rsid w:val="00CE7ACF"/>
    <w:rsid w:val="00CE7BB5"/>
    <w:rsid w:val="00CF0A3C"/>
    <w:rsid w:val="00CF1535"/>
    <w:rsid w:val="00CF1FD3"/>
    <w:rsid w:val="00CF2012"/>
    <w:rsid w:val="00CF2EDC"/>
    <w:rsid w:val="00CF3536"/>
    <w:rsid w:val="00CF360C"/>
    <w:rsid w:val="00CF46E9"/>
    <w:rsid w:val="00CF700C"/>
    <w:rsid w:val="00CF788C"/>
    <w:rsid w:val="00CF79E4"/>
    <w:rsid w:val="00D00D08"/>
    <w:rsid w:val="00D045A6"/>
    <w:rsid w:val="00D04740"/>
    <w:rsid w:val="00D04D24"/>
    <w:rsid w:val="00D05E33"/>
    <w:rsid w:val="00D06487"/>
    <w:rsid w:val="00D076CB"/>
    <w:rsid w:val="00D07A4C"/>
    <w:rsid w:val="00D1081E"/>
    <w:rsid w:val="00D11398"/>
    <w:rsid w:val="00D11E84"/>
    <w:rsid w:val="00D133BC"/>
    <w:rsid w:val="00D13D5E"/>
    <w:rsid w:val="00D143AE"/>
    <w:rsid w:val="00D14772"/>
    <w:rsid w:val="00D1478F"/>
    <w:rsid w:val="00D148FE"/>
    <w:rsid w:val="00D14A4E"/>
    <w:rsid w:val="00D203FB"/>
    <w:rsid w:val="00D20668"/>
    <w:rsid w:val="00D20A30"/>
    <w:rsid w:val="00D21A62"/>
    <w:rsid w:val="00D224D3"/>
    <w:rsid w:val="00D2276B"/>
    <w:rsid w:val="00D22B6B"/>
    <w:rsid w:val="00D2530C"/>
    <w:rsid w:val="00D259F0"/>
    <w:rsid w:val="00D26F30"/>
    <w:rsid w:val="00D27779"/>
    <w:rsid w:val="00D277E1"/>
    <w:rsid w:val="00D27D29"/>
    <w:rsid w:val="00D30CD5"/>
    <w:rsid w:val="00D3118D"/>
    <w:rsid w:val="00D31DB4"/>
    <w:rsid w:val="00D31E03"/>
    <w:rsid w:val="00D32A67"/>
    <w:rsid w:val="00D33606"/>
    <w:rsid w:val="00D33A80"/>
    <w:rsid w:val="00D33E0E"/>
    <w:rsid w:val="00D33F73"/>
    <w:rsid w:val="00D34389"/>
    <w:rsid w:val="00D34443"/>
    <w:rsid w:val="00D34BC0"/>
    <w:rsid w:val="00D34F87"/>
    <w:rsid w:val="00D34F96"/>
    <w:rsid w:val="00D3599C"/>
    <w:rsid w:val="00D35B6D"/>
    <w:rsid w:val="00D35C9A"/>
    <w:rsid w:val="00D368ED"/>
    <w:rsid w:val="00D36A7B"/>
    <w:rsid w:val="00D36B99"/>
    <w:rsid w:val="00D37117"/>
    <w:rsid w:val="00D401EF"/>
    <w:rsid w:val="00D40834"/>
    <w:rsid w:val="00D40AB4"/>
    <w:rsid w:val="00D4150D"/>
    <w:rsid w:val="00D41BA4"/>
    <w:rsid w:val="00D43117"/>
    <w:rsid w:val="00D43160"/>
    <w:rsid w:val="00D43A46"/>
    <w:rsid w:val="00D45473"/>
    <w:rsid w:val="00D46050"/>
    <w:rsid w:val="00D46617"/>
    <w:rsid w:val="00D4697D"/>
    <w:rsid w:val="00D46B51"/>
    <w:rsid w:val="00D47662"/>
    <w:rsid w:val="00D47C8F"/>
    <w:rsid w:val="00D5008A"/>
    <w:rsid w:val="00D50530"/>
    <w:rsid w:val="00D5188C"/>
    <w:rsid w:val="00D52361"/>
    <w:rsid w:val="00D5291F"/>
    <w:rsid w:val="00D52F05"/>
    <w:rsid w:val="00D53DA0"/>
    <w:rsid w:val="00D54FC4"/>
    <w:rsid w:val="00D5534E"/>
    <w:rsid w:val="00D55B59"/>
    <w:rsid w:val="00D5616D"/>
    <w:rsid w:val="00D56617"/>
    <w:rsid w:val="00D60605"/>
    <w:rsid w:val="00D612BC"/>
    <w:rsid w:val="00D61BD6"/>
    <w:rsid w:val="00D64618"/>
    <w:rsid w:val="00D64632"/>
    <w:rsid w:val="00D6464C"/>
    <w:rsid w:val="00D65D01"/>
    <w:rsid w:val="00D65FAE"/>
    <w:rsid w:val="00D6671C"/>
    <w:rsid w:val="00D66A7C"/>
    <w:rsid w:val="00D66A89"/>
    <w:rsid w:val="00D67541"/>
    <w:rsid w:val="00D6774D"/>
    <w:rsid w:val="00D7052E"/>
    <w:rsid w:val="00D711EE"/>
    <w:rsid w:val="00D7158C"/>
    <w:rsid w:val="00D71961"/>
    <w:rsid w:val="00D72E1C"/>
    <w:rsid w:val="00D7417D"/>
    <w:rsid w:val="00D74B6A"/>
    <w:rsid w:val="00D74FF6"/>
    <w:rsid w:val="00D76213"/>
    <w:rsid w:val="00D76914"/>
    <w:rsid w:val="00D769B9"/>
    <w:rsid w:val="00D76A57"/>
    <w:rsid w:val="00D76BB0"/>
    <w:rsid w:val="00D77CAE"/>
    <w:rsid w:val="00D77EE6"/>
    <w:rsid w:val="00D81534"/>
    <w:rsid w:val="00D81742"/>
    <w:rsid w:val="00D82056"/>
    <w:rsid w:val="00D82783"/>
    <w:rsid w:val="00D82839"/>
    <w:rsid w:val="00D83DB2"/>
    <w:rsid w:val="00D83E5D"/>
    <w:rsid w:val="00D84C1F"/>
    <w:rsid w:val="00D86321"/>
    <w:rsid w:val="00D86D31"/>
    <w:rsid w:val="00D86DC7"/>
    <w:rsid w:val="00D91297"/>
    <w:rsid w:val="00D9335F"/>
    <w:rsid w:val="00D940FE"/>
    <w:rsid w:val="00D953D5"/>
    <w:rsid w:val="00D95554"/>
    <w:rsid w:val="00D95F7A"/>
    <w:rsid w:val="00D95FB8"/>
    <w:rsid w:val="00D975EC"/>
    <w:rsid w:val="00DA1658"/>
    <w:rsid w:val="00DA19C7"/>
    <w:rsid w:val="00DA201B"/>
    <w:rsid w:val="00DA2D01"/>
    <w:rsid w:val="00DA335D"/>
    <w:rsid w:val="00DA34DE"/>
    <w:rsid w:val="00DA35DC"/>
    <w:rsid w:val="00DA405A"/>
    <w:rsid w:val="00DA437A"/>
    <w:rsid w:val="00DA5021"/>
    <w:rsid w:val="00DA5689"/>
    <w:rsid w:val="00DA65F4"/>
    <w:rsid w:val="00DA66B5"/>
    <w:rsid w:val="00DA6F5B"/>
    <w:rsid w:val="00DA711B"/>
    <w:rsid w:val="00DA7A8D"/>
    <w:rsid w:val="00DA7BD3"/>
    <w:rsid w:val="00DB03BE"/>
    <w:rsid w:val="00DB0CEC"/>
    <w:rsid w:val="00DB1289"/>
    <w:rsid w:val="00DB1343"/>
    <w:rsid w:val="00DB192A"/>
    <w:rsid w:val="00DB3893"/>
    <w:rsid w:val="00DB4754"/>
    <w:rsid w:val="00DB536C"/>
    <w:rsid w:val="00DB6278"/>
    <w:rsid w:val="00DB668F"/>
    <w:rsid w:val="00DB6960"/>
    <w:rsid w:val="00DB6CEF"/>
    <w:rsid w:val="00DB793A"/>
    <w:rsid w:val="00DC0175"/>
    <w:rsid w:val="00DC09B4"/>
    <w:rsid w:val="00DC0C84"/>
    <w:rsid w:val="00DC0E4E"/>
    <w:rsid w:val="00DC0EAE"/>
    <w:rsid w:val="00DC13CA"/>
    <w:rsid w:val="00DC1FE8"/>
    <w:rsid w:val="00DC2BCA"/>
    <w:rsid w:val="00DC34B7"/>
    <w:rsid w:val="00DC38D7"/>
    <w:rsid w:val="00DC475B"/>
    <w:rsid w:val="00DC5C39"/>
    <w:rsid w:val="00DC5DDE"/>
    <w:rsid w:val="00DC70CB"/>
    <w:rsid w:val="00DC7133"/>
    <w:rsid w:val="00DC7527"/>
    <w:rsid w:val="00DC7B96"/>
    <w:rsid w:val="00DD041D"/>
    <w:rsid w:val="00DD07DF"/>
    <w:rsid w:val="00DD0A0B"/>
    <w:rsid w:val="00DD2450"/>
    <w:rsid w:val="00DD2A3B"/>
    <w:rsid w:val="00DD2BFD"/>
    <w:rsid w:val="00DD47ED"/>
    <w:rsid w:val="00DD5AFD"/>
    <w:rsid w:val="00DD6817"/>
    <w:rsid w:val="00DD78CB"/>
    <w:rsid w:val="00DD7E8C"/>
    <w:rsid w:val="00DD7F99"/>
    <w:rsid w:val="00DE029B"/>
    <w:rsid w:val="00DE0BB0"/>
    <w:rsid w:val="00DE19F7"/>
    <w:rsid w:val="00DE1C0A"/>
    <w:rsid w:val="00DE1FCD"/>
    <w:rsid w:val="00DE2D26"/>
    <w:rsid w:val="00DE3AF1"/>
    <w:rsid w:val="00DE3D2F"/>
    <w:rsid w:val="00DE425E"/>
    <w:rsid w:val="00DE4F28"/>
    <w:rsid w:val="00DE5690"/>
    <w:rsid w:val="00DE6643"/>
    <w:rsid w:val="00DE7892"/>
    <w:rsid w:val="00DF0672"/>
    <w:rsid w:val="00DF068C"/>
    <w:rsid w:val="00DF07E9"/>
    <w:rsid w:val="00DF0DAE"/>
    <w:rsid w:val="00DF0EDE"/>
    <w:rsid w:val="00DF10EB"/>
    <w:rsid w:val="00DF11BE"/>
    <w:rsid w:val="00DF1FBE"/>
    <w:rsid w:val="00DF32F4"/>
    <w:rsid w:val="00DF3338"/>
    <w:rsid w:val="00DF5D4E"/>
    <w:rsid w:val="00DF600C"/>
    <w:rsid w:val="00DF6599"/>
    <w:rsid w:val="00DF6672"/>
    <w:rsid w:val="00E0008D"/>
    <w:rsid w:val="00E003AF"/>
    <w:rsid w:val="00E020B2"/>
    <w:rsid w:val="00E0250C"/>
    <w:rsid w:val="00E02AC9"/>
    <w:rsid w:val="00E02FD4"/>
    <w:rsid w:val="00E035CE"/>
    <w:rsid w:val="00E036A1"/>
    <w:rsid w:val="00E055D4"/>
    <w:rsid w:val="00E05800"/>
    <w:rsid w:val="00E058A7"/>
    <w:rsid w:val="00E065CE"/>
    <w:rsid w:val="00E068D4"/>
    <w:rsid w:val="00E07C0C"/>
    <w:rsid w:val="00E1074F"/>
    <w:rsid w:val="00E11670"/>
    <w:rsid w:val="00E11826"/>
    <w:rsid w:val="00E119E5"/>
    <w:rsid w:val="00E11CAC"/>
    <w:rsid w:val="00E126DF"/>
    <w:rsid w:val="00E1284F"/>
    <w:rsid w:val="00E12F8F"/>
    <w:rsid w:val="00E1328A"/>
    <w:rsid w:val="00E140A7"/>
    <w:rsid w:val="00E145F6"/>
    <w:rsid w:val="00E1474D"/>
    <w:rsid w:val="00E14B4F"/>
    <w:rsid w:val="00E16669"/>
    <w:rsid w:val="00E17FB4"/>
    <w:rsid w:val="00E20209"/>
    <w:rsid w:val="00E20790"/>
    <w:rsid w:val="00E20A2D"/>
    <w:rsid w:val="00E20E1C"/>
    <w:rsid w:val="00E225A5"/>
    <w:rsid w:val="00E22681"/>
    <w:rsid w:val="00E23C61"/>
    <w:rsid w:val="00E23E0D"/>
    <w:rsid w:val="00E24773"/>
    <w:rsid w:val="00E249DB"/>
    <w:rsid w:val="00E24BE7"/>
    <w:rsid w:val="00E25133"/>
    <w:rsid w:val="00E251CA"/>
    <w:rsid w:val="00E252A3"/>
    <w:rsid w:val="00E25E31"/>
    <w:rsid w:val="00E25FBC"/>
    <w:rsid w:val="00E264F4"/>
    <w:rsid w:val="00E26693"/>
    <w:rsid w:val="00E2702C"/>
    <w:rsid w:val="00E27B25"/>
    <w:rsid w:val="00E306F7"/>
    <w:rsid w:val="00E3117F"/>
    <w:rsid w:val="00E315EB"/>
    <w:rsid w:val="00E32DAA"/>
    <w:rsid w:val="00E33317"/>
    <w:rsid w:val="00E34126"/>
    <w:rsid w:val="00E34BBA"/>
    <w:rsid w:val="00E359D3"/>
    <w:rsid w:val="00E35BDE"/>
    <w:rsid w:val="00E35C48"/>
    <w:rsid w:val="00E364A3"/>
    <w:rsid w:val="00E36EBB"/>
    <w:rsid w:val="00E379FA"/>
    <w:rsid w:val="00E37DC8"/>
    <w:rsid w:val="00E407CC"/>
    <w:rsid w:val="00E40AE8"/>
    <w:rsid w:val="00E410DB"/>
    <w:rsid w:val="00E42B38"/>
    <w:rsid w:val="00E42E2A"/>
    <w:rsid w:val="00E430DE"/>
    <w:rsid w:val="00E43C88"/>
    <w:rsid w:val="00E44248"/>
    <w:rsid w:val="00E447B7"/>
    <w:rsid w:val="00E449CB"/>
    <w:rsid w:val="00E44A45"/>
    <w:rsid w:val="00E44F57"/>
    <w:rsid w:val="00E45C76"/>
    <w:rsid w:val="00E45E2A"/>
    <w:rsid w:val="00E45E54"/>
    <w:rsid w:val="00E460B8"/>
    <w:rsid w:val="00E46FF9"/>
    <w:rsid w:val="00E476D1"/>
    <w:rsid w:val="00E5141C"/>
    <w:rsid w:val="00E51DC9"/>
    <w:rsid w:val="00E52107"/>
    <w:rsid w:val="00E531F8"/>
    <w:rsid w:val="00E53658"/>
    <w:rsid w:val="00E536AD"/>
    <w:rsid w:val="00E54797"/>
    <w:rsid w:val="00E548E6"/>
    <w:rsid w:val="00E5500B"/>
    <w:rsid w:val="00E554DD"/>
    <w:rsid w:val="00E5565F"/>
    <w:rsid w:val="00E55DF7"/>
    <w:rsid w:val="00E56181"/>
    <w:rsid w:val="00E562FC"/>
    <w:rsid w:val="00E565B3"/>
    <w:rsid w:val="00E57C32"/>
    <w:rsid w:val="00E610A7"/>
    <w:rsid w:val="00E62C50"/>
    <w:rsid w:val="00E63A22"/>
    <w:rsid w:val="00E64381"/>
    <w:rsid w:val="00E648E7"/>
    <w:rsid w:val="00E648FC"/>
    <w:rsid w:val="00E653FC"/>
    <w:rsid w:val="00E65596"/>
    <w:rsid w:val="00E66178"/>
    <w:rsid w:val="00E667F2"/>
    <w:rsid w:val="00E704FC"/>
    <w:rsid w:val="00E705E3"/>
    <w:rsid w:val="00E71943"/>
    <w:rsid w:val="00E71A03"/>
    <w:rsid w:val="00E722EE"/>
    <w:rsid w:val="00E72605"/>
    <w:rsid w:val="00E72F3B"/>
    <w:rsid w:val="00E73153"/>
    <w:rsid w:val="00E7348F"/>
    <w:rsid w:val="00E73CFF"/>
    <w:rsid w:val="00E7469F"/>
    <w:rsid w:val="00E74FAF"/>
    <w:rsid w:val="00E74FB2"/>
    <w:rsid w:val="00E75137"/>
    <w:rsid w:val="00E755C9"/>
    <w:rsid w:val="00E75B1E"/>
    <w:rsid w:val="00E761BF"/>
    <w:rsid w:val="00E76A71"/>
    <w:rsid w:val="00E7761D"/>
    <w:rsid w:val="00E77943"/>
    <w:rsid w:val="00E77A6D"/>
    <w:rsid w:val="00E77C4D"/>
    <w:rsid w:val="00E804C0"/>
    <w:rsid w:val="00E80877"/>
    <w:rsid w:val="00E81962"/>
    <w:rsid w:val="00E81967"/>
    <w:rsid w:val="00E82415"/>
    <w:rsid w:val="00E82B4A"/>
    <w:rsid w:val="00E83EE0"/>
    <w:rsid w:val="00E84927"/>
    <w:rsid w:val="00E84C20"/>
    <w:rsid w:val="00E85485"/>
    <w:rsid w:val="00E8552A"/>
    <w:rsid w:val="00E8769A"/>
    <w:rsid w:val="00E91430"/>
    <w:rsid w:val="00E91724"/>
    <w:rsid w:val="00E91732"/>
    <w:rsid w:val="00E91876"/>
    <w:rsid w:val="00E921B5"/>
    <w:rsid w:val="00E9301A"/>
    <w:rsid w:val="00E938AE"/>
    <w:rsid w:val="00E940D9"/>
    <w:rsid w:val="00E94A2D"/>
    <w:rsid w:val="00E95E41"/>
    <w:rsid w:val="00E96016"/>
    <w:rsid w:val="00E962EA"/>
    <w:rsid w:val="00E9760B"/>
    <w:rsid w:val="00E97CF6"/>
    <w:rsid w:val="00EA1261"/>
    <w:rsid w:val="00EA16ED"/>
    <w:rsid w:val="00EA2795"/>
    <w:rsid w:val="00EA2E18"/>
    <w:rsid w:val="00EA30E4"/>
    <w:rsid w:val="00EA34BB"/>
    <w:rsid w:val="00EA36B5"/>
    <w:rsid w:val="00EA3814"/>
    <w:rsid w:val="00EA3918"/>
    <w:rsid w:val="00EA3AF2"/>
    <w:rsid w:val="00EA3BCA"/>
    <w:rsid w:val="00EA466F"/>
    <w:rsid w:val="00EA4F45"/>
    <w:rsid w:val="00EA551B"/>
    <w:rsid w:val="00EA55EB"/>
    <w:rsid w:val="00EA58FA"/>
    <w:rsid w:val="00EA5C12"/>
    <w:rsid w:val="00EA6FD3"/>
    <w:rsid w:val="00EA78CD"/>
    <w:rsid w:val="00EB04A6"/>
    <w:rsid w:val="00EB08B3"/>
    <w:rsid w:val="00EB0E74"/>
    <w:rsid w:val="00EB15DF"/>
    <w:rsid w:val="00EB23DD"/>
    <w:rsid w:val="00EB26D2"/>
    <w:rsid w:val="00EB378D"/>
    <w:rsid w:val="00EB3F29"/>
    <w:rsid w:val="00EB3FBB"/>
    <w:rsid w:val="00EB4071"/>
    <w:rsid w:val="00EB5039"/>
    <w:rsid w:val="00EB5831"/>
    <w:rsid w:val="00EB59F7"/>
    <w:rsid w:val="00EB6518"/>
    <w:rsid w:val="00EB6588"/>
    <w:rsid w:val="00EB7629"/>
    <w:rsid w:val="00EC0919"/>
    <w:rsid w:val="00EC09B7"/>
    <w:rsid w:val="00EC16EB"/>
    <w:rsid w:val="00EC22D2"/>
    <w:rsid w:val="00EC236F"/>
    <w:rsid w:val="00EC3685"/>
    <w:rsid w:val="00EC3F72"/>
    <w:rsid w:val="00EC5412"/>
    <w:rsid w:val="00EC563F"/>
    <w:rsid w:val="00EC6BE2"/>
    <w:rsid w:val="00EC6F47"/>
    <w:rsid w:val="00EC78B0"/>
    <w:rsid w:val="00EC7D1F"/>
    <w:rsid w:val="00ED02EC"/>
    <w:rsid w:val="00ED06D6"/>
    <w:rsid w:val="00ED0EBB"/>
    <w:rsid w:val="00ED1AC3"/>
    <w:rsid w:val="00ED1EE8"/>
    <w:rsid w:val="00ED2BAE"/>
    <w:rsid w:val="00ED4013"/>
    <w:rsid w:val="00ED422A"/>
    <w:rsid w:val="00ED4D4C"/>
    <w:rsid w:val="00ED5106"/>
    <w:rsid w:val="00ED524D"/>
    <w:rsid w:val="00ED5C50"/>
    <w:rsid w:val="00ED6472"/>
    <w:rsid w:val="00ED6CD0"/>
    <w:rsid w:val="00ED76F3"/>
    <w:rsid w:val="00ED78A9"/>
    <w:rsid w:val="00EE08FE"/>
    <w:rsid w:val="00EE1318"/>
    <w:rsid w:val="00EE17DE"/>
    <w:rsid w:val="00EE1B54"/>
    <w:rsid w:val="00EE1C17"/>
    <w:rsid w:val="00EE1CA6"/>
    <w:rsid w:val="00EE20CC"/>
    <w:rsid w:val="00EE25D3"/>
    <w:rsid w:val="00EE2D19"/>
    <w:rsid w:val="00EE3F0C"/>
    <w:rsid w:val="00EE480F"/>
    <w:rsid w:val="00EE6942"/>
    <w:rsid w:val="00EE784B"/>
    <w:rsid w:val="00EE7B95"/>
    <w:rsid w:val="00EF02A4"/>
    <w:rsid w:val="00EF1030"/>
    <w:rsid w:val="00EF1C9C"/>
    <w:rsid w:val="00EF1F22"/>
    <w:rsid w:val="00EF210B"/>
    <w:rsid w:val="00EF21A1"/>
    <w:rsid w:val="00EF22CA"/>
    <w:rsid w:val="00EF25D4"/>
    <w:rsid w:val="00EF26CF"/>
    <w:rsid w:val="00EF2A81"/>
    <w:rsid w:val="00EF32DC"/>
    <w:rsid w:val="00EF3355"/>
    <w:rsid w:val="00EF3973"/>
    <w:rsid w:val="00EF3CE7"/>
    <w:rsid w:val="00EF44E7"/>
    <w:rsid w:val="00EF49EA"/>
    <w:rsid w:val="00EF5648"/>
    <w:rsid w:val="00EF59AC"/>
    <w:rsid w:val="00EF5ABD"/>
    <w:rsid w:val="00EF5F31"/>
    <w:rsid w:val="00EF66F7"/>
    <w:rsid w:val="00EF6C45"/>
    <w:rsid w:val="00EF7A27"/>
    <w:rsid w:val="00F0230E"/>
    <w:rsid w:val="00F02528"/>
    <w:rsid w:val="00F0317B"/>
    <w:rsid w:val="00F0353B"/>
    <w:rsid w:val="00F04382"/>
    <w:rsid w:val="00F043AC"/>
    <w:rsid w:val="00F043DE"/>
    <w:rsid w:val="00F045F9"/>
    <w:rsid w:val="00F05471"/>
    <w:rsid w:val="00F057A5"/>
    <w:rsid w:val="00F05A30"/>
    <w:rsid w:val="00F05A52"/>
    <w:rsid w:val="00F060AD"/>
    <w:rsid w:val="00F06180"/>
    <w:rsid w:val="00F06714"/>
    <w:rsid w:val="00F0689C"/>
    <w:rsid w:val="00F071B7"/>
    <w:rsid w:val="00F075DC"/>
    <w:rsid w:val="00F07BFB"/>
    <w:rsid w:val="00F07C02"/>
    <w:rsid w:val="00F102F5"/>
    <w:rsid w:val="00F10A2D"/>
    <w:rsid w:val="00F11D70"/>
    <w:rsid w:val="00F1202E"/>
    <w:rsid w:val="00F13B40"/>
    <w:rsid w:val="00F15088"/>
    <w:rsid w:val="00F158F7"/>
    <w:rsid w:val="00F17978"/>
    <w:rsid w:val="00F2026C"/>
    <w:rsid w:val="00F20331"/>
    <w:rsid w:val="00F20A36"/>
    <w:rsid w:val="00F2127D"/>
    <w:rsid w:val="00F21943"/>
    <w:rsid w:val="00F21A1B"/>
    <w:rsid w:val="00F22D63"/>
    <w:rsid w:val="00F22F8C"/>
    <w:rsid w:val="00F2349C"/>
    <w:rsid w:val="00F23772"/>
    <w:rsid w:val="00F23965"/>
    <w:rsid w:val="00F2455E"/>
    <w:rsid w:val="00F2647B"/>
    <w:rsid w:val="00F26771"/>
    <w:rsid w:val="00F2766C"/>
    <w:rsid w:val="00F312A9"/>
    <w:rsid w:val="00F3147F"/>
    <w:rsid w:val="00F32162"/>
    <w:rsid w:val="00F333AD"/>
    <w:rsid w:val="00F33626"/>
    <w:rsid w:val="00F34CA1"/>
    <w:rsid w:val="00F350AE"/>
    <w:rsid w:val="00F3666D"/>
    <w:rsid w:val="00F36F51"/>
    <w:rsid w:val="00F37C80"/>
    <w:rsid w:val="00F37DF6"/>
    <w:rsid w:val="00F4000A"/>
    <w:rsid w:val="00F40071"/>
    <w:rsid w:val="00F40721"/>
    <w:rsid w:val="00F41AB7"/>
    <w:rsid w:val="00F41E7D"/>
    <w:rsid w:val="00F4222D"/>
    <w:rsid w:val="00F42833"/>
    <w:rsid w:val="00F43F1B"/>
    <w:rsid w:val="00F444C0"/>
    <w:rsid w:val="00F44E84"/>
    <w:rsid w:val="00F46313"/>
    <w:rsid w:val="00F4638D"/>
    <w:rsid w:val="00F46D0D"/>
    <w:rsid w:val="00F471DB"/>
    <w:rsid w:val="00F47310"/>
    <w:rsid w:val="00F47564"/>
    <w:rsid w:val="00F50F0D"/>
    <w:rsid w:val="00F51BB8"/>
    <w:rsid w:val="00F51D0D"/>
    <w:rsid w:val="00F521AD"/>
    <w:rsid w:val="00F52552"/>
    <w:rsid w:val="00F52935"/>
    <w:rsid w:val="00F53795"/>
    <w:rsid w:val="00F53824"/>
    <w:rsid w:val="00F539EB"/>
    <w:rsid w:val="00F5438D"/>
    <w:rsid w:val="00F5498A"/>
    <w:rsid w:val="00F57DA9"/>
    <w:rsid w:val="00F600A4"/>
    <w:rsid w:val="00F60AB0"/>
    <w:rsid w:val="00F61656"/>
    <w:rsid w:val="00F61FAF"/>
    <w:rsid w:val="00F6204D"/>
    <w:rsid w:val="00F6210B"/>
    <w:rsid w:val="00F6263A"/>
    <w:rsid w:val="00F639C6"/>
    <w:rsid w:val="00F63B8F"/>
    <w:rsid w:val="00F641D4"/>
    <w:rsid w:val="00F66052"/>
    <w:rsid w:val="00F6689C"/>
    <w:rsid w:val="00F66EC7"/>
    <w:rsid w:val="00F678D2"/>
    <w:rsid w:val="00F70AC8"/>
    <w:rsid w:val="00F73C62"/>
    <w:rsid w:val="00F73CA4"/>
    <w:rsid w:val="00F74312"/>
    <w:rsid w:val="00F7526C"/>
    <w:rsid w:val="00F752DF"/>
    <w:rsid w:val="00F76D3A"/>
    <w:rsid w:val="00F77128"/>
    <w:rsid w:val="00F77423"/>
    <w:rsid w:val="00F77AF5"/>
    <w:rsid w:val="00F77E21"/>
    <w:rsid w:val="00F80233"/>
    <w:rsid w:val="00F80B8E"/>
    <w:rsid w:val="00F81151"/>
    <w:rsid w:val="00F81F8D"/>
    <w:rsid w:val="00F8213D"/>
    <w:rsid w:val="00F834B2"/>
    <w:rsid w:val="00F8358C"/>
    <w:rsid w:val="00F83DAA"/>
    <w:rsid w:val="00F83DDE"/>
    <w:rsid w:val="00F8413C"/>
    <w:rsid w:val="00F84C88"/>
    <w:rsid w:val="00F85AF9"/>
    <w:rsid w:val="00F85DAA"/>
    <w:rsid w:val="00F9012C"/>
    <w:rsid w:val="00F90AF5"/>
    <w:rsid w:val="00F92556"/>
    <w:rsid w:val="00F92886"/>
    <w:rsid w:val="00F93715"/>
    <w:rsid w:val="00F9378C"/>
    <w:rsid w:val="00F93880"/>
    <w:rsid w:val="00F94437"/>
    <w:rsid w:val="00F95A5E"/>
    <w:rsid w:val="00F969E3"/>
    <w:rsid w:val="00F96EFF"/>
    <w:rsid w:val="00F9774E"/>
    <w:rsid w:val="00FA0F60"/>
    <w:rsid w:val="00FA1775"/>
    <w:rsid w:val="00FA1AEB"/>
    <w:rsid w:val="00FA1E9C"/>
    <w:rsid w:val="00FA25E9"/>
    <w:rsid w:val="00FA3668"/>
    <w:rsid w:val="00FA418D"/>
    <w:rsid w:val="00FA4826"/>
    <w:rsid w:val="00FA498D"/>
    <w:rsid w:val="00FA5403"/>
    <w:rsid w:val="00FA5744"/>
    <w:rsid w:val="00FA6E2A"/>
    <w:rsid w:val="00FA7077"/>
    <w:rsid w:val="00FB14A5"/>
    <w:rsid w:val="00FB18D3"/>
    <w:rsid w:val="00FB1982"/>
    <w:rsid w:val="00FB1BBD"/>
    <w:rsid w:val="00FB2288"/>
    <w:rsid w:val="00FB32B7"/>
    <w:rsid w:val="00FB3A40"/>
    <w:rsid w:val="00FB3B46"/>
    <w:rsid w:val="00FB44D2"/>
    <w:rsid w:val="00FB5A49"/>
    <w:rsid w:val="00FB5C1B"/>
    <w:rsid w:val="00FB610B"/>
    <w:rsid w:val="00FB63E6"/>
    <w:rsid w:val="00FB6475"/>
    <w:rsid w:val="00FB6C3A"/>
    <w:rsid w:val="00FB72FF"/>
    <w:rsid w:val="00FB742A"/>
    <w:rsid w:val="00FC0617"/>
    <w:rsid w:val="00FC0EDA"/>
    <w:rsid w:val="00FC11A1"/>
    <w:rsid w:val="00FC1C48"/>
    <w:rsid w:val="00FC25FE"/>
    <w:rsid w:val="00FC3317"/>
    <w:rsid w:val="00FC3E8B"/>
    <w:rsid w:val="00FC495E"/>
    <w:rsid w:val="00FC5AAF"/>
    <w:rsid w:val="00FC7636"/>
    <w:rsid w:val="00FC7CF9"/>
    <w:rsid w:val="00FC7DBA"/>
    <w:rsid w:val="00FD0207"/>
    <w:rsid w:val="00FD0412"/>
    <w:rsid w:val="00FD071A"/>
    <w:rsid w:val="00FD15C2"/>
    <w:rsid w:val="00FD1647"/>
    <w:rsid w:val="00FD1941"/>
    <w:rsid w:val="00FD1D12"/>
    <w:rsid w:val="00FD1E1F"/>
    <w:rsid w:val="00FD21F9"/>
    <w:rsid w:val="00FD4639"/>
    <w:rsid w:val="00FD46C6"/>
    <w:rsid w:val="00FD4A08"/>
    <w:rsid w:val="00FD5A3F"/>
    <w:rsid w:val="00FD5E10"/>
    <w:rsid w:val="00FD70AA"/>
    <w:rsid w:val="00FD7460"/>
    <w:rsid w:val="00FD75C8"/>
    <w:rsid w:val="00FD7EC8"/>
    <w:rsid w:val="00FD7F1F"/>
    <w:rsid w:val="00FE013E"/>
    <w:rsid w:val="00FE0380"/>
    <w:rsid w:val="00FE04D1"/>
    <w:rsid w:val="00FE0DC3"/>
    <w:rsid w:val="00FE1A63"/>
    <w:rsid w:val="00FE1AB8"/>
    <w:rsid w:val="00FE1BB2"/>
    <w:rsid w:val="00FE241D"/>
    <w:rsid w:val="00FE2501"/>
    <w:rsid w:val="00FE2FD9"/>
    <w:rsid w:val="00FE3ABE"/>
    <w:rsid w:val="00FE41A4"/>
    <w:rsid w:val="00FE4775"/>
    <w:rsid w:val="00FE4CD9"/>
    <w:rsid w:val="00FE55C8"/>
    <w:rsid w:val="00FE5698"/>
    <w:rsid w:val="00FE6086"/>
    <w:rsid w:val="00FE615F"/>
    <w:rsid w:val="00FE66DC"/>
    <w:rsid w:val="00FF0B97"/>
    <w:rsid w:val="00FF0BD2"/>
    <w:rsid w:val="00FF21EE"/>
    <w:rsid w:val="00FF2CEA"/>
    <w:rsid w:val="00FF325C"/>
    <w:rsid w:val="00FF3CAA"/>
    <w:rsid w:val="00FF42B5"/>
    <w:rsid w:val="00FF4CB2"/>
    <w:rsid w:val="00FF5DA3"/>
    <w:rsid w:val="00FF697A"/>
    <w:rsid w:val="00FF7648"/>
    <w:rsid w:val="00FF7F8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FDFCE0"/>
  <w15:chartTrackingRefBased/>
  <w15:docId w15:val="{06CE96BB-E470-42DD-91AF-A0EF22FBF0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Narrow" w:eastAsiaTheme="minorHAnsi" w:hAnsi="Arial Narrow"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313019"/>
    <w:pPr>
      <w:spacing w:after="120" w:line="276" w:lineRule="auto"/>
      <w:jc w:val="both"/>
    </w:pPr>
    <w:rPr>
      <w:rFonts w:ascii="Segoe UI" w:hAnsi="Segoe UI"/>
      <w:sz w:val="20"/>
    </w:rPr>
  </w:style>
  <w:style w:type="paragraph" w:styleId="Nadpis1">
    <w:name w:val="heading 1"/>
    <w:basedOn w:val="Normlny"/>
    <w:next w:val="Normlny"/>
    <w:link w:val="Nadpis1Char"/>
    <w:uiPriority w:val="9"/>
    <w:qFormat/>
    <w:rsid w:val="000E5B51"/>
    <w:pPr>
      <w:keepNext/>
      <w:keepLines/>
      <w:numPr>
        <w:numId w:val="2"/>
      </w:numPr>
      <w:spacing w:before="120"/>
      <w:ind w:left="357" w:hanging="357"/>
      <w:outlineLvl w:val="0"/>
    </w:pPr>
    <w:rPr>
      <w:rFonts w:eastAsiaTheme="majorEastAsia" w:cstheme="majorBidi"/>
      <w:b/>
      <w:color w:val="314364"/>
      <w:position w:val="10"/>
      <w:sz w:val="32"/>
      <w:szCs w:val="32"/>
    </w:rPr>
  </w:style>
  <w:style w:type="paragraph" w:styleId="Nadpis2">
    <w:name w:val="heading 2"/>
    <w:basedOn w:val="Normlny"/>
    <w:next w:val="Normlny"/>
    <w:link w:val="Nadpis2Char"/>
    <w:uiPriority w:val="9"/>
    <w:unhideWhenUsed/>
    <w:qFormat/>
    <w:rsid w:val="00440621"/>
    <w:pPr>
      <w:keepNext/>
      <w:keepLines/>
      <w:numPr>
        <w:ilvl w:val="1"/>
        <w:numId w:val="2"/>
      </w:numPr>
      <w:spacing w:before="120"/>
      <w:ind w:left="998" w:hanging="431"/>
      <w:outlineLvl w:val="1"/>
    </w:pPr>
    <w:rPr>
      <w:rFonts w:eastAsiaTheme="majorEastAsia" w:cstheme="majorBidi"/>
      <w:color w:val="314364"/>
      <w:sz w:val="28"/>
      <w:szCs w:val="26"/>
    </w:rPr>
  </w:style>
  <w:style w:type="paragraph" w:styleId="Nadpis3">
    <w:name w:val="heading 3"/>
    <w:basedOn w:val="Normlny"/>
    <w:next w:val="Normlny"/>
    <w:link w:val="Nadpis3Char"/>
    <w:uiPriority w:val="9"/>
    <w:unhideWhenUsed/>
    <w:qFormat/>
    <w:rsid w:val="00C0783B"/>
    <w:pPr>
      <w:keepNext/>
      <w:keepLines/>
      <w:numPr>
        <w:ilvl w:val="2"/>
        <w:numId w:val="2"/>
      </w:numPr>
      <w:spacing w:before="40"/>
      <w:ind w:left="1225" w:hanging="505"/>
      <w:outlineLvl w:val="2"/>
    </w:pPr>
    <w:rPr>
      <w:rFonts w:eastAsiaTheme="majorEastAsia" w:cstheme="majorBidi"/>
      <w:color w:val="314364"/>
      <w:sz w:val="24"/>
      <w:szCs w:val="24"/>
    </w:rPr>
  </w:style>
  <w:style w:type="paragraph" w:styleId="Nadpis4">
    <w:name w:val="heading 4"/>
    <w:basedOn w:val="Normlny"/>
    <w:next w:val="Normlny"/>
    <w:link w:val="Nadpis4Char"/>
    <w:uiPriority w:val="9"/>
    <w:unhideWhenUsed/>
    <w:qFormat/>
    <w:rsid w:val="002A599C"/>
    <w:pPr>
      <w:keepNext/>
      <w:keepLines/>
      <w:spacing w:before="40" w:after="0"/>
      <w:outlineLvl w:val="3"/>
    </w:pPr>
    <w:rPr>
      <w:rFonts w:asciiTheme="majorHAnsi" w:eastAsiaTheme="majorEastAsia" w:hAnsiTheme="majorHAnsi" w:cstheme="majorBidi"/>
      <w:i/>
      <w:iCs/>
      <w:color w:val="24324A" w:themeColor="accent1" w:themeShade="BF"/>
    </w:rPr>
  </w:style>
  <w:style w:type="paragraph" w:styleId="Nadpis5">
    <w:name w:val="heading 5"/>
    <w:basedOn w:val="Normlny"/>
    <w:next w:val="Normlny"/>
    <w:link w:val="Nadpis5Char"/>
    <w:uiPriority w:val="9"/>
    <w:unhideWhenUsed/>
    <w:qFormat/>
    <w:rsid w:val="00AC6430"/>
    <w:pPr>
      <w:keepNext/>
      <w:keepLines/>
      <w:spacing w:before="40" w:after="0"/>
      <w:outlineLvl w:val="4"/>
    </w:pPr>
    <w:rPr>
      <w:rFonts w:asciiTheme="majorHAnsi" w:eastAsiaTheme="majorEastAsia" w:hAnsiTheme="majorHAnsi" w:cstheme="majorBidi"/>
      <w:color w:val="24324A" w:themeColor="accent1" w:themeShade="BF"/>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0E5B51"/>
    <w:rPr>
      <w:rFonts w:ascii="Segoe UI" w:eastAsiaTheme="majorEastAsia" w:hAnsi="Segoe UI" w:cstheme="majorBidi"/>
      <w:b/>
      <w:color w:val="314364"/>
      <w:position w:val="10"/>
      <w:sz w:val="32"/>
      <w:szCs w:val="32"/>
    </w:rPr>
  </w:style>
  <w:style w:type="character" w:customStyle="1" w:styleId="Nadpis2Char">
    <w:name w:val="Nadpis 2 Char"/>
    <w:basedOn w:val="Predvolenpsmoodseku"/>
    <w:link w:val="Nadpis2"/>
    <w:uiPriority w:val="9"/>
    <w:rsid w:val="00440621"/>
    <w:rPr>
      <w:rFonts w:ascii="Segoe UI" w:eastAsiaTheme="majorEastAsia" w:hAnsi="Segoe UI" w:cstheme="majorBidi"/>
      <w:color w:val="314364"/>
      <w:sz w:val="28"/>
      <w:szCs w:val="26"/>
    </w:rPr>
  </w:style>
  <w:style w:type="paragraph" w:styleId="Hlavika">
    <w:name w:val="header"/>
    <w:basedOn w:val="Normlny"/>
    <w:link w:val="HlavikaChar"/>
    <w:uiPriority w:val="99"/>
    <w:unhideWhenUsed/>
    <w:rsid w:val="004F10D0"/>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F10D0"/>
  </w:style>
  <w:style w:type="paragraph" w:styleId="Pta">
    <w:name w:val="footer"/>
    <w:basedOn w:val="Normlny"/>
    <w:link w:val="PtaChar"/>
    <w:uiPriority w:val="99"/>
    <w:unhideWhenUsed/>
    <w:rsid w:val="004F10D0"/>
    <w:pPr>
      <w:tabs>
        <w:tab w:val="center" w:pos="4536"/>
        <w:tab w:val="right" w:pos="9072"/>
      </w:tabs>
      <w:spacing w:after="0" w:line="240" w:lineRule="auto"/>
    </w:pPr>
  </w:style>
  <w:style w:type="character" w:customStyle="1" w:styleId="PtaChar">
    <w:name w:val="Päta Char"/>
    <w:basedOn w:val="Predvolenpsmoodseku"/>
    <w:link w:val="Pta"/>
    <w:uiPriority w:val="99"/>
    <w:rsid w:val="004F10D0"/>
  </w:style>
  <w:style w:type="character" w:styleId="Zstupntext">
    <w:name w:val="Placeholder Text"/>
    <w:basedOn w:val="Predvolenpsmoodseku"/>
    <w:uiPriority w:val="99"/>
    <w:semiHidden/>
    <w:rsid w:val="00F539EB"/>
    <w:rPr>
      <w:color w:val="808080"/>
    </w:rPr>
  </w:style>
  <w:style w:type="paragraph" w:styleId="Nzov">
    <w:name w:val="Title"/>
    <w:basedOn w:val="Normlny"/>
    <w:next w:val="Normlny"/>
    <w:link w:val="NzovChar"/>
    <w:uiPriority w:val="10"/>
    <w:qFormat/>
    <w:rsid w:val="00FF5DA3"/>
    <w:pPr>
      <w:spacing w:before="240" w:after="240" w:line="240" w:lineRule="auto"/>
      <w:contextualSpacing/>
      <w:jc w:val="center"/>
    </w:pPr>
    <w:rPr>
      <w:rFonts w:eastAsiaTheme="majorEastAsia" w:cstheme="majorBidi"/>
      <w:b/>
      <w:smallCaps/>
      <w:color w:val="314364"/>
      <w:spacing w:val="-10"/>
      <w:kern w:val="28"/>
      <w:sz w:val="44"/>
      <w:szCs w:val="56"/>
    </w:rPr>
  </w:style>
  <w:style w:type="character" w:customStyle="1" w:styleId="NzovChar">
    <w:name w:val="Názov Char"/>
    <w:basedOn w:val="Predvolenpsmoodseku"/>
    <w:link w:val="Nzov"/>
    <w:uiPriority w:val="10"/>
    <w:rsid w:val="00FF5DA3"/>
    <w:rPr>
      <w:rFonts w:ascii="Segoe UI" w:eastAsiaTheme="majorEastAsia" w:hAnsi="Segoe UI" w:cstheme="majorBidi"/>
      <w:b/>
      <w:smallCaps/>
      <w:color w:val="314364"/>
      <w:spacing w:val="-10"/>
      <w:kern w:val="28"/>
      <w:sz w:val="44"/>
      <w:szCs w:val="56"/>
    </w:rPr>
  </w:style>
  <w:style w:type="paragraph" w:styleId="Podtitul">
    <w:name w:val="Subtitle"/>
    <w:basedOn w:val="Normlny"/>
    <w:next w:val="Normlny"/>
    <w:link w:val="PodtitulChar"/>
    <w:uiPriority w:val="11"/>
    <w:qFormat/>
    <w:rsid w:val="001778A6"/>
    <w:pPr>
      <w:numPr>
        <w:ilvl w:val="1"/>
      </w:numPr>
      <w:spacing w:before="240" w:after="240"/>
      <w:jc w:val="center"/>
    </w:pPr>
    <w:rPr>
      <w:rFonts w:eastAsiaTheme="minorEastAsia"/>
      <w:color w:val="314364"/>
      <w:spacing w:val="15"/>
      <w:sz w:val="28"/>
    </w:rPr>
  </w:style>
  <w:style w:type="character" w:customStyle="1" w:styleId="PodtitulChar">
    <w:name w:val="Podtitul Char"/>
    <w:basedOn w:val="Predvolenpsmoodseku"/>
    <w:link w:val="Podtitul"/>
    <w:uiPriority w:val="11"/>
    <w:rsid w:val="001778A6"/>
    <w:rPr>
      <w:rFonts w:ascii="Segoe UI" w:eastAsiaTheme="minorEastAsia" w:hAnsi="Segoe UI"/>
      <w:color w:val="314364"/>
      <w:spacing w:val="15"/>
      <w:sz w:val="28"/>
    </w:rPr>
  </w:style>
  <w:style w:type="paragraph" w:customStyle="1" w:styleId="Zhrnutie">
    <w:name w:val="Zhrnutie"/>
    <w:basedOn w:val="Normlny"/>
    <w:qFormat/>
    <w:rsid w:val="001778A6"/>
    <w:pPr>
      <w:spacing w:before="120"/>
      <w:jc w:val="left"/>
    </w:pPr>
    <w:rPr>
      <w:b/>
      <w:color w:val="314364"/>
      <w:sz w:val="32"/>
    </w:rPr>
  </w:style>
  <w:style w:type="paragraph" w:styleId="Odsekzoznamu">
    <w:name w:val="List Paragraph"/>
    <w:aliases w:val="body,Odsek zoznamu2,Odsek,Odsek zoznamu1,Dot pt,No Spacing1,List Paragraph Char Char Char,Indicator Text,Numbered Para 1,List Paragraph à moi,Odsek zoznamu4,LISTA,Listaszerű bekezdés2,Listaszerű bekezdés3,Listaszerű bekezdés1,Bullet 1,3"/>
    <w:basedOn w:val="Normlny"/>
    <w:link w:val="OdsekzoznamuChar"/>
    <w:uiPriority w:val="34"/>
    <w:qFormat/>
    <w:rsid w:val="0015153D"/>
    <w:pPr>
      <w:ind w:left="720"/>
      <w:contextualSpacing/>
    </w:pPr>
  </w:style>
  <w:style w:type="paragraph" w:customStyle="1" w:styleId="Poakovanie">
    <w:name w:val="Poďakovanie"/>
    <w:basedOn w:val="Normlny"/>
    <w:qFormat/>
    <w:rsid w:val="00BD3507"/>
    <w:pPr>
      <w:spacing w:before="120"/>
      <w:jc w:val="left"/>
    </w:pPr>
    <w:rPr>
      <w:color w:val="314364"/>
      <w:sz w:val="28"/>
    </w:rPr>
  </w:style>
  <w:style w:type="character" w:styleId="Hypertextovprepojenie">
    <w:name w:val="Hyperlink"/>
    <w:basedOn w:val="Predvolenpsmoodseku"/>
    <w:uiPriority w:val="99"/>
    <w:unhideWhenUsed/>
    <w:rsid w:val="00C824C8"/>
    <w:rPr>
      <w:rFonts w:ascii="Segoe UI" w:hAnsi="Segoe UI"/>
      <w:color w:val="314364" w:themeColor="hyperlink"/>
      <w:sz w:val="20"/>
      <w:u w:val="single"/>
    </w:rPr>
  </w:style>
  <w:style w:type="paragraph" w:styleId="Textpoznmkypodiarou">
    <w:name w:val="footnote text"/>
    <w:aliases w:val="Footnote Text Char2,Footnote Text Char1 Char,Footnote Text Char2 Char Char,Footnote Text Char1 Char Char Char,Footnote Text Char2 Char Char Char Char,Footnote Text Char Char1 Char Char Char Char,Footnote Text Char1,f,Plonk"/>
    <w:basedOn w:val="Normlny"/>
    <w:link w:val="TextpoznmkypodiarouChar"/>
    <w:uiPriority w:val="99"/>
    <w:qFormat/>
    <w:rsid w:val="00110271"/>
    <w:pPr>
      <w:spacing w:after="0" w:line="240" w:lineRule="auto"/>
    </w:pPr>
    <w:rPr>
      <w:sz w:val="16"/>
      <w:szCs w:val="20"/>
    </w:rPr>
  </w:style>
  <w:style w:type="character" w:customStyle="1" w:styleId="TextpoznmkypodiarouChar">
    <w:name w:val="Text poznámky pod čiarou Char"/>
    <w:aliases w:val="Footnote Text Char2 Char,Footnote Text Char1 Char Char,Footnote Text Char2 Char Char Char,Footnote Text Char1 Char Char Char Char,Footnote Text Char2 Char Char Char Char Char,Footnote Text Char1 Char1,f Char,Plonk Char"/>
    <w:basedOn w:val="Predvolenpsmoodseku"/>
    <w:link w:val="Textpoznmkypodiarou"/>
    <w:uiPriority w:val="99"/>
    <w:qFormat/>
    <w:rsid w:val="008148FD"/>
    <w:rPr>
      <w:rFonts w:ascii="Segoe UI" w:hAnsi="Segoe UI"/>
      <w:sz w:val="16"/>
      <w:szCs w:val="20"/>
    </w:rPr>
  </w:style>
  <w:style w:type="character" w:styleId="Odkaznapoznmkupodiarou">
    <w:name w:val="footnote reference"/>
    <w:aliases w:val="16 Point,Superscript 6 Point,Footnote Reference Number,Footnote Reference_LVL6,Footnote Reference_LVL61,Footnote Reference_LVL62,Footnote Reference_LVL63,Footnote Reference_LVL64,Footnote call,BVI fnr,SUPERS,Footnote symbol"/>
    <w:basedOn w:val="Predvolenpsmoodseku"/>
    <w:link w:val="Char2"/>
    <w:uiPriority w:val="99"/>
    <w:unhideWhenUsed/>
    <w:qFormat/>
    <w:rsid w:val="002407D6"/>
    <w:rPr>
      <w:vertAlign w:val="superscript"/>
    </w:rPr>
  </w:style>
  <w:style w:type="paragraph" w:customStyle="1" w:styleId="vodZverZhrnutie">
    <w:name w:val="Úvod/Záver/Zhrnutie"/>
    <w:basedOn w:val="Nadpis1"/>
    <w:next w:val="Textpoznmkypodiarou"/>
    <w:rsid w:val="00277C8B"/>
    <w:pPr>
      <w:numPr>
        <w:numId w:val="0"/>
      </w:numPr>
    </w:pPr>
  </w:style>
  <w:style w:type="paragraph" w:customStyle="1" w:styleId="Zdroj">
    <w:name w:val="Zdroj"/>
    <w:basedOn w:val="Normlny"/>
    <w:qFormat/>
    <w:rsid w:val="00C71065"/>
    <w:pPr>
      <w:spacing w:line="240" w:lineRule="auto"/>
      <w:jc w:val="left"/>
    </w:pPr>
    <w:rPr>
      <w:i/>
      <w:color w:val="314364" w:themeColor="text2"/>
      <w:sz w:val="16"/>
    </w:rPr>
  </w:style>
  <w:style w:type="paragraph" w:styleId="Popis">
    <w:name w:val="caption"/>
    <w:basedOn w:val="Normlny"/>
    <w:next w:val="Normlny"/>
    <w:uiPriority w:val="35"/>
    <w:unhideWhenUsed/>
    <w:qFormat/>
    <w:rsid w:val="002407D6"/>
    <w:pPr>
      <w:spacing w:after="0" w:line="240" w:lineRule="auto"/>
    </w:pPr>
    <w:rPr>
      <w:b/>
      <w:iCs/>
      <w:color w:val="314364" w:themeColor="text2"/>
      <w:szCs w:val="18"/>
    </w:rPr>
  </w:style>
  <w:style w:type="table" w:styleId="Mriekatabuky">
    <w:name w:val="Table Grid"/>
    <w:basedOn w:val="Normlnatabuka"/>
    <w:uiPriority w:val="59"/>
    <w:rsid w:val="00664B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riadkovania">
    <w:name w:val="No Spacing"/>
    <w:link w:val="BezriadkovaniaChar"/>
    <w:uiPriority w:val="1"/>
    <w:qFormat/>
    <w:rsid w:val="00664B90"/>
    <w:pPr>
      <w:spacing w:after="0" w:line="240" w:lineRule="auto"/>
    </w:pPr>
    <w:rPr>
      <w:rFonts w:asciiTheme="minorHAnsi" w:eastAsiaTheme="minorEastAsia" w:hAnsiTheme="minorHAnsi"/>
      <w:lang w:eastAsia="sk-SK"/>
    </w:rPr>
  </w:style>
  <w:style w:type="character" w:customStyle="1" w:styleId="BezriadkovaniaChar">
    <w:name w:val="Bez riadkovania Char"/>
    <w:basedOn w:val="Predvolenpsmoodseku"/>
    <w:link w:val="Bezriadkovania"/>
    <w:uiPriority w:val="1"/>
    <w:locked/>
    <w:rsid w:val="00664B90"/>
    <w:rPr>
      <w:rFonts w:asciiTheme="minorHAnsi" w:eastAsiaTheme="minorEastAsia" w:hAnsiTheme="minorHAnsi"/>
      <w:lang w:eastAsia="sk-SK"/>
    </w:rPr>
  </w:style>
  <w:style w:type="paragraph" w:customStyle="1" w:styleId="Pouitliteratra">
    <w:name w:val="Použitá literatúra"/>
    <w:basedOn w:val="Odsekzoznamu"/>
    <w:qFormat/>
    <w:rsid w:val="0070595E"/>
    <w:pPr>
      <w:numPr>
        <w:numId w:val="1"/>
      </w:numPr>
      <w:ind w:left="357" w:hanging="357"/>
    </w:pPr>
  </w:style>
  <w:style w:type="paragraph" w:styleId="Hlavikaobsahu">
    <w:name w:val="TOC Heading"/>
    <w:basedOn w:val="Nadpis1"/>
    <w:next w:val="Normlny"/>
    <w:uiPriority w:val="39"/>
    <w:unhideWhenUsed/>
    <w:qFormat/>
    <w:rsid w:val="00277C8B"/>
    <w:pPr>
      <w:numPr>
        <w:numId w:val="0"/>
      </w:numPr>
      <w:spacing w:before="240" w:after="0" w:line="259" w:lineRule="auto"/>
      <w:jc w:val="left"/>
      <w:outlineLvl w:val="9"/>
    </w:pPr>
    <w:rPr>
      <w:b w:val="0"/>
      <w:position w:val="0"/>
      <w:lang w:eastAsia="sk-SK"/>
    </w:rPr>
  </w:style>
  <w:style w:type="paragraph" w:styleId="Obsah1">
    <w:name w:val="toc 1"/>
    <w:basedOn w:val="Normlny"/>
    <w:next w:val="Normlny"/>
    <w:autoRedefine/>
    <w:uiPriority w:val="39"/>
    <w:unhideWhenUsed/>
    <w:rsid w:val="006C125B"/>
    <w:pPr>
      <w:tabs>
        <w:tab w:val="left" w:pos="400"/>
        <w:tab w:val="right" w:leader="dot" w:pos="9060"/>
      </w:tabs>
      <w:spacing w:before="120"/>
      <w:jc w:val="left"/>
    </w:pPr>
    <w:rPr>
      <w:rFonts w:asciiTheme="minorHAnsi" w:hAnsiTheme="minorHAnsi" w:cstheme="minorHAnsi"/>
      <w:b/>
      <w:bCs/>
      <w:caps/>
      <w:noProof/>
      <w:color w:val="314364" w:themeColor="text2"/>
      <w:szCs w:val="20"/>
    </w:rPr>
  </w:style>
  <w:style w:type="paragraph" w:styleId="Obsah2">
    <w:name w:val="toc 2"/>
    <w:basedOn w:val="Normlny"/>
    <w:next w:val="Normlny"/>
    <w:autoRedefine/>
    <w:uiPriority w:val="39"/>
    <w:unhideWhenUsed/>
    <w:rsid w:val="00004033"/>
    <w:pPr>
      <w:spacing w:after="0"/>
      <w:ind w:left="200"/>
      <w:jc w:val="left"/>
    </w:pPr>
    <w:rPr>
      <w:rFonts w:asciiTheme="minorHAnsi" w:hAnsiTheme="minorHAnsi" w:cstheme="minorHAnsi"/>
      <w:smallCaps/>
      <w:szCs w:val="20"/>
    </w:rPr>
  </w:style>
  <w:style w:type="paragraph" w:styleId="Obsah3">
    <w:name w:val="toc 3"/>
    <w:basedOn w:val="Normlny"/>
    <w:next w:val="Normlny"/>
    <w:autoRedefine/>
    <w:uiPriority w:val="39"/>
    <w:unhideWhenUsed/>
    <w:rsid w:val="00004033"/>
    <w:pPr>
      <w:spacing w:after="0"/>
      <w:ind w:left="400"/>
      <w:jc w:val="left"/>
    </w:pPr>
    <w:rPr>
      <w:rFonts w:asciiTheme="minorHAnsi" w:hAnsiTheme="minorHAnsi" w:cstheme="minorHAnsi"/>
      <w:i/>
      <w:iCs/>
      <w:szCs w:val="20"/>
    </w:rPr>
  </w:style>
  <w:style w:type="character" w:customStyle="1" w:styleId="Nadpis3Char">
    <w:name w:val="Nadpis 3 Char"/>
    <w:basedOn w:val="Predvolenpsmoodseku"/>
    <w:link w:val="Nadpis3"/>
    <w:uiPriority w:val="9"/>
    <w:rsid w:val="00C0783B"/>
    <w:rPr>
      <w:rFonts w:ascii="Segoe UI" w:eastAsiaTheme="majorEastAsia" w:hAnsi="Segoe UI" w:cstheme="majorBidi"/>
      <w:color w:val="314364"/>
      <w:sz w:val="24"/>
      <w:szCs w:val="24"/>
    </w:rPr>
  </w:style>
  <w:style w:type="paragraph" w:styleId="Textbubliny">
    <w:name w:val="Balloon Text"/>
    <w:basedOn w:val="Normlny"/>
    <w:link w:val="TextbublinyChar"/>
    <w:uiPriority w:val="99"/>
    <w:semiHidden/>
    <w:unhideWhenUsed/>
    <w:rsid w:val="00442CE6"/>
    <w:pPr>
      <w:spacing w:after="0" w:line="240" w:lineRule="auto"/>
    </w:pPr>
    <w:rPr>
      <w:rFonts w:cs="Segoe UI"/>
      <w:sz w:val="18"/>
      <w:szCs w:val="18"/>
    </w:rPr>
  </w:style>
  <w:style w:type="character" w:customStyle="1" w:styleId="TextbublinyChar">
    <w:name w:val="Text bubliny Char"/>
    <w:basedOn w:val="Predvolenpsmoodseku"/>
    <w:link w:val="Textbubliny"/>
    <w:uiPriority w:val="99"/>
    <w:semiHidden/>
    <w:rsid w:val="00442CE6"/>
    <w:rPr>
      <w:rFonts w:ascii="Segoe UI" w:hAnsi="Segoe UI" w:cs="Segoe UI"/>
      <w:sz w:val="18"/>
      <w:szCs w:val="18"/>
    </w:rPr>
  </w:style>
  <w:style w:type="character" w:styleId="Odkaznakomentr">
    <w:name w:val="annotation reference"/>
    <w:basedOn w:val="Predvolenpsmoodseku"/>
    <w:uiPriority w:val="99"/>
    <w:semiHidden/>
    <w:unhideWhenUsed/>
    <w:rsid w:val="003733BE"/>
    <w:rPr>
      <w:sz w:val="16"/>
      <w:szCs w:val="16"/>
    </w:rPr>
  </w:style>
  <w:style w:type="paragraph" w:styleId="Textkomentra">
    <w:name w:val="annotation text"/>
    <w:basedOn w:val="Normlny"/>
    <w:link w:val="TextkomentraChar"/>
    <w:uiPriority w:val="99"/>
    <w:unhideWhenUsed/>
    <w:rsid w:val="003733BE"/>
    <w:pPr>
      <w:spacing w:line="240" w:lineRule="auto"/>
    </w:pPr>
    <w:rPr>
      <w:szCs w:val="20"/>
    </w:rPr>
  </w:style>
  <w:style w:type="character" w:customStyle="1" w:styleId="TextkomentraChar">
    <w:name w:val="Text komentára Char"/>
    <w:basedOn w:val="Predvolenpsmoodseku"/>
    <w:link w:val="Textkomentra"/>
    <w:uiPriority w:val="99"/>
    <w:rsid w:val="003733BE"/>
    <w:rPr>
      <w:rFonts w:ascii="Segoe UI" w:hAnsi="Segoe UI"/>
      <w:sz w:val="20"/>
      <w:szCs w:val="20"/>
    </w:rPr>
  </w:style>
  <w:style w:type="paragraph" w:styleId="Predmetkomentra">
    <w:name w:val="annotation subject"/>
    <w:basedOn w:val="Textkomentra"/>
    <w:next w:val="Textkomentra"/>
    <w:link w:val="PredmetkomentraChar"/>
    <w:uiPriority w:val="99"/>
    <w:semiHidden/>
    <w:unhideWhenUsed/>
    <w:rsid w:val="002D4645"/>
    <w:rPr>
      <w:b/>
      <w:bCs/>
    </w:rPr>
  </w:style>
  <w:style w:type="character" w:customStyle="1" w:styleId="PredmetkomentraChar">
    <w:name w:val="Predmet komentára Char"/>
    <w:basedOn w:val="TextkomentraChar"/>
    <w:link w:val="Predmetkomentra"/>
    <w:uiPriority w:val="99"/>
    <w:semiHidden/>
    <w:rsid w:val="002D4645"/>
    <w:rPr>
      <w:rFonts w:ascii="Segoe UI" w:hAnsi="Segoe UI"/>
      <w:b/>
      <w:bCs/>
      <w:sz w:val="20"/>
      <w:szCs w:val="20"/>
    </w:rPr>
  </w:style>
  <w:style w:type="character" w:customStyle="1" w:styleId="In">
    <w:name w:val="Iné_"/>
    <w:basedOn w:val="Predvolenpsmoodseku"/>
    <w:link w:val="In0"/>
    <w:rsid w:val="0070456C"/>
    <w:rPr>
      <w:rFonts w:ascii="Times New Roman" w:eastAsia="Times New Roman" w:hAnsi="Times New Roman" w:cs="Times New Roman"/>
      <w:shd w:val="clear" w:color="auto" w:fill="FFFFFF"/>
    </w:rPr>
  </w:style>
  <w:style w:type="paragraph" w:customStyle="1" w:styleId="In0">
    <w:name w:val="Iné"/>
    <w:basedOn w:val="Normlny"/>
    <w:link w:val="In"/>
    <w:rsid w:val="0070456C"/>
    <w:pPr>
      <w:widowControl w:val="0"/>
      <w:shd w:val="clear" w:color="auto" w:fill="FFFFFF"/>
      <w:spacing w:after="260" w:line="240" w:lineRule="auto"/>
    </w:pPr>
    <w:rPr>
      <w:rFonts w:ascii="Times New Roman" w:eastAsia="Times New Roman" w:hAnsi="Times New Roman" w:cs="Times New Roman"/>
      <w:sz w:val="22"/>
    </w:rPr>
  </w:style>
  <w:style w:type="table" w:customStyle="1" w:styleId="Mriekatabuky1">
    <w:name w:val="Mriežka tabuľky1"/>
    <w:basedOn w:val="Normlnatabuka"/>
    <w:next w:val="Mriekatabuky"/>
    <w:uiPriority w:val="59"/>
    <w:rsid w:val="00422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2">
    <w:name w:val="Mriežka tabuľky2"/>
    <w:basedOn w:val="Normlnatabuka"/>
    <w:next w:val="Mriekatabuky"/>
    <w:uiPriority w:val="59"/>
    <w:rsid w:val="00422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3">
    <w:name w:val="Mriežka tabuľky3"/>
    <w:basedOn w:val="Normlnatabuka"/>
    <w:next w:val="Mriekatabuky"/>
    <w:uiPriority w:val="39"/>
    <w:rsid w:val="00422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4">
    <w:name w:val="Mriežka tabuľky4"/>
    <w:basedOn w:val="Normlnatabuka"/>
    <w:next w:val="Mriekatabuky"/>
    <w:uiPriority w:val="59"/>
    <w:rsid w:val="00422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kladntext">
    <w:name w:val="Základný text_"/>
    <w:basedOn w:val="Predvolenpsmoodseku"/>
    <w:link w:val="Zkladntext1"/>
    <w:rsid w:val="00422249"/>
    <w:rPr>
      <w:rFonts w:ascii="Times New Roman" w:eastAsia="Times New Roman" w:hAnsi="Times New Roman" w:cs="Times New Roman"/>
      <w:shd w:val="clear" w:color="auto" w:fill="FFFFFF"/>
    </w:rPr>
  </w:style>
  <w:style w:type="paragraph" w:customStyle="1" w:styleId="Zkladntext1">
    <w:name w:val="Základný text1"/>
    <w:basedOn w:val="Normlny"/>
    <w:link w:val="Zkladntext"/>
    <w:rsid w:val="00422249"/>
    <w:pPr>
      <w:widowControl w:val="0"/>
      <w:shd w:val="clear" w:color="auto" w:fill="FFFFFF"/>
      <w:spacing w:after="260" w:line="240" w:lineRule="auto"/>
    </w:pPr>
    <w:rPr>
      <w:rFonts w:ascii="Times New Roman" w:eastAsia="Times New Roman" w:hAnsi="Times New Roman" w:cs="Times New Roman"/>
      <w:sz w:val="22"/>
    </w:rPr>
  </w:style>
  <w:style w:type="character" w:customStyle="1" w:styleId="OdsekzoznamuChar">
    <w:name w:val="Odsek zoznamu Char"/>
    <w:aliases w:val="body Char,Odsek zoznamu2 Char,Odsek Char,Odsek zoznamu1 Char,Dot pt Char,No Spacing1 Char,List Paragraph Char Char Char Char,Indicator Text Char,Numbered Para 1 Char,List Paragraph à moi Char,Odsek zoznamu4 Char,LISTA Char,3 Char"/>
    <w:basedOn w:val="Predvolenpsmoodseku"/>
    <w:link w:val="Odsekzoznamu"/>
    <w:uiPriority w:val="34"/>
    <w:qFormat/>
    <w:locked/>
    <w:rsid w:val="00571A80"/>
    <w:rPr>
      <w:rFonts w:ascii="Segoe UI" w:hAnsi="Segoe UI"/>
      <w:sz w:val="20"/>
    </w:rPr>
  </w:style>
  <w:style w:type="paragraph" w:customStyle="1" w:styleId="2stlpce">
    <w:name w:val="2 stlpce"/>
    <w:basedOn w:val="Normlny"/>
    <w:link w:val="2stlpceChar"/>
    <w:qFormat/>
    <w:rsid w:val="00A33FD6"/>
    <w:pPr>
      <w:spacing w:line="240" w:lineRule="auto"/>
    </w:pPr>
    <w:rPr>
      <w:rFonts w:ascii="Calibri" w:hAnsi="Calibri"/>
      <w:sz w:val="22"/>
    </w:rPr>
  </w:style>
  <w:style w:type="character" w:customStyle="1" w:styleId="2stlpceChar">
    <w:name w:val="2 stlpce Char"/>
    <w:basedOn w:val="Predvolenpsmoodseku"/>
    <w:link w:val="2stlpce"/>
    <w:rsid w:val="00A33FD6"/>
    <w:rPr>
      <w:rFonts w:ascii="Calibri" w:hAnsi="Calibri"/>
    </w:rPr>
  </w:style>
  <w:style w:type="character" w:styleId="PouitHypertextovPrepojenie">
    <w:name w:val="FollowedHyperlink"/>
    <w:basedOn w:val="Predvolenpsmoodseku"/>
    <w:uiPriority w:val="99"/>
    <w:semiHidden/>
    <w:unhideWhenUsed/>
    <w:rsid w:val="00582A6C"/>
    <w:rPr>
      <w:color w:val="314364" w:themeColor="followedHyperlink"/>
      <w:u w:val="single"/>
    </w:rPr>
  </w:style>
  <w:style w:type="paragraph" w:customStyle="1" w:styleId="Default">
    <w:name w:val="Default"/>
    <w:rsid w:val="00DC0C8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dpis4Char">
    <w:name w:val="Nadpis 4 Char"/>
    <w:basedOn w:val="Predvolenpsmoodseku"/>
    <w:link w:val="Nadpis4"/>
    <w:uiPriority w:val="9"/>
    <w:rsid w:val="002A599C"/>
    <w:rPr>
      <w:rFonts w:asciiTheme="majorHAnsi" w:eastAsiaTheme="majorEastAsia" w:hAnsiTheme="majorHAnsi" w:cstheme="majorBidi"/>
      <w:i/>
      <w:iCs/>
      <w:color w:val="24324A" w:themeColor="accent1" w:themeShade="BF"/>
      <w:sz w:val="20"/>
    </w:rPr>
  </w:style>
  <w:style w:type="character" w:customStyle="1" w:styleId="Nadpis5Char">
    <w:name w:val="Nadpis 5 Char"/>
    <w:basedOn w:val="Predvolenpsmoodseku"/>
    <w:link w:val="Nadpis5"/>
    <w:uiPriority w:val="9"/>
    <w:rsid w:val="00AC6430"/>
    <w:rPr>
      <w:rFonts w:asciiTheme="majorHAnsi" w:eastAsiaTheme="majorEastAsia" w:hAnsiTheme="majorHAnsi" w:cstheme="majorBidi"/>
      <w:color w:val="24324A" w:themeColor="accent1" w:themeShade="BF"/>
      <w:sz w:val="20"/>
    </w:rPr>
  </w:style>
  <w:style w:type="character" w:styleId="Zvraznenie">
    <w:name w:val="Emphasis"/>
    <w:basedOn w:val="Predvolenpsmoodseku"/>
    <w:uiPriority w:val="20"/>
    <w:qFormat/>
    <w:rsid w:val="00AC6430"/>
    <w:rPr>
      <w:i/>
      <w:iCs/>
    </w:rPr>
  </w:style>
  <w:style w:type="character" w:styleId="Vrazn">
    <w:name w:val="Strong"/>
    <w:basedOn w:val="Predvolenpsmoodseku"/>
    <w:uiPriority w:val="22"/>
    <w:qFormat/>
    <w:rsid w:val="00AC6430"/>
    <w:rPr>
      <w:b/>
      <w:bCs/>
    </w:rPr>
  </w:style>
  <w:style w:type="character" w:styleId="Nzovknihy">
    <w:name w:val="Book Title"/>
    <w:basedOn w:val="Predvolenpsmoodseku"/>
    <w:uiPriority w:val="33"/>
    <w:qFormat/>
    <w:rsid w:val="00AC6430"/>
    <w:rPr>
      <w:b/>
      <w:bCs/>
      <w:i/>
      <w:iCs/>
      <w:spacing w:val="5"/>
    </w:rPr>
  </w:style>
  <w:style w:type="table" w:customStyle="1" w:styleId="Mriekatabuky5">
    <w:name w:val="Mriežka tabuľky5"/>
    <w:basedOn w:val="Normlnatabuka"/>
    <w:next w:val="Mriekatabuky"/>
    <w:uiPriority w:val="39"/>
    <w:rsid w:val="004275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Predvolenpsmoodseku"/>
    <w:rsid w:val="005F0F5B"/>
  </w:style>
  <w:style w:type="paragraph" w:styleId="Obsah4">
    <w:name w:val="toc 4"/>
    <w:basedOn w:val="Normlny"/>
    <w:next w:val="Normlny"/>
    <w:autoRedefine/>
    <w:uiPriority w:val="39"/>
    <w:unhideWhenUsed/>
    <w:rsid w:val="006C125B"/>
    <w:pPr>
      <w:spacing w:after="0"/>
      <w:ind w:left="600"/>
      <w:jc w:val="left"/>
    </w:pPr>
    <w:rPr>
      <w:rFonts w:asciiTheme="minorHAnsi" w:hAnsiTheme="minorHAnsi" w:cstheme="minorHAnsi"/>
      <w:sz w:val="18"/>
      <w:szCs w:val="18"/>
    </w:rPr>
  </w:style>
  <w:style w:type="paragraph" w:styleId="Obsah5">
    <w:name w:val="toc 5"/>
    <w:basedOn w:val="Normlny"/>
    <w:next w:val="Normlny"/>
    <w:autoRedefine/>
    <w:uiPriority w:val="39"/>
    <w:unhideWhenUsed/>
    <w:rsid w:val="006C125B"/>
    <w:pPr>
      <w:spacing w:after="0"/>
      <w:ind w:left="800"/>
      <w:jc w:val="left"/>
    </w:pPr>
    <w:rPr>
      <w:rFonts w:asciiTheme="minorHAnsi" w:hAnsiTheme="minorHAnsi" w:cstheme="minorHAnsi"/>
      <w:sz w:val="18"/>
      <w:szCs w:val="18"/>
    </w:rPr>
  </w:style>
  <w:style w:type="paragraph" w:styleId="Obsah6">
    <w:name w:val="toc 6"/>
    <w:basedOn w:val="Normlny"/>
    <w:next w:val="Normlny"/>
    <w:autoRedefine/>
    <w:uiPriority w:val="39"/>
    <w:unhideWhenUsed/>
    <w:rsid w:val="006C125B"/>
    <w:pPr>
      <w:spacing w:after="0"/>
      <w:ind w:left="1000"/>
      <w:jc w:val="left"/>
    </w:pPr>
    <w:rPr>
      <w:rFonts w:asciiTheme="minorHAnsi" w:hAnsiTheme="minorHAnsi" w:cstheme="minorHAnsi"/>
      <w:sz w:val="18"/>
      <w:szCs w:val="18"/>
    </w:rPr>
  </w:style>
  <w:style w:type="paragraph" w:styleId="Obsah7">
    <w:name w:val="toc 7"/>
    <w:basedOn w:val="Normlny"/>
    <w:next w:val="Normlny"/>
    <w:autoRedefine/>
    <w:uiPriority w:val="39"/>
    <w:unhideWhenUsed/>
    <w:rsid w:val="006C125B"/>
    <w:pPr>
      <w:spacing w:after="0"/>
      <w:ind w:left="1200"/>
      <w:jc w:val="left"/>
    </w:pPr>
    <w:rPr>
      <w:rFonts w:asciiTheme="minorHAnsi" w:hAnsiTheme="minorHAnsi" w:cstheme="minorHAnsi"/>
      <w:sz w:val="18"/>
      <w:szCs w:val="18"/>
    </w:rPr>
  </w:style>
  <w:style w:type="paragraph" w:styleId="Obsah8">
    <w:name w:val="toc 8"/>
    <w:basedOn w:val="Normlny"/>
    <w:next w:val="Normlny"/>
    <w:autoRedefine/>
    <w:uiPriority w:val="39"/>
    <w:unhideWhenUsed/>
    <w:rsid w:val="006C125B"/>
    <w:pPr>
      <w:spacing w:after="0"/>
      <w:ind w:left="1400"/>
      <w:jc w:val="left"/>
    </w:pPr>
    <w:rPr>
      <w:rFonts w:asciiTheme="minorHAnsi" w:hAnsiTheme="minorHAnsi" w:cstheme="minorHAnsi"/>
      <w:sz w:val="18"/>
      <w:szCs w:val="18"/>
    </w:rPr>
  </w:style>
  <w:style w:type="paragraph" w:styleId="Obsah9">
    <w:name w:val="toc 9"/>
    <w:basedOn w:val="Normlny"/>
    <w:next w:val="Normlny"/>
    <w:autoRedefine/>
    <w:uiPriority w:val="39"/>
    <w:unhideWhenUsed/>
    <w:rsid w:val="006C125B"/>
    <w:pPr>
      <w:spacing w:after="0"/>
      <w:ind w:left="1600"/>
      <w:jc w:val="left"/>
    </w:pPr>
    <w:rPr>
      <w:rFonts w:asciiTheme="minorHAnsi" w:hAnsiTheme="minorHAnsi" w:cstheme="minorHAnsi"/>
      <w:sz w:val="18"/>
      <w:szCs w:val="18"/>
    </w:rPr>
  </w:style>
  <w:style w:type="table" w:customStyle="1" w:styleId="Mriekatabuky6">
    <w:name w:val="Mriežka tabuľky6"/>
    <w:basedOn w:val="Normlnatabuka"/>
    <w:next w:val="Mriekatabuky"/>
    <w:uiPriority w:val="39"/>
    <w:rsid w:val="00CE7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2">
    <w:name w:val="Char2"/>
    <w:basedOn w:val="Normlny"/>
    <w:link w:val="Odkaznapoznmkupodiarou"/>
    <w:uiPriority w:val="99"/>
    <w:rsid w:val="00D36B99"/>
    <w:pPr>
      <w:spacing w:after="0" w:line="240" w:lineRule="exact"/>
      <w:jc w:val="left"/>
    </w:pPr>
    <w:rPr>
      <w:rFonts w:ascii="Arial Narrow" w:hAnsi="Arial Narrow"/>
      <w:sz w:val="22"/>
      <w:vertAlign w:val="superscript"/>
    </w:rPr>
  </w:style>
  <w:style w:type="paragraph" w:styleId="Zkladntext0">
    <w:name w:val="Body Text"/>
    <w:basedOn w:val="Normlny"/>
    <w:link w:val="ZkladntextChar"/>
    <w:uiPriority w:val="99"/>
    <w:rsid w:val="002858A0"/>
    <w:pPr>
      <w:spacing w:line="240" w:lineRule="auto"/>
      <w:jc w:val="left"/>
    </w:pPr>
    <w:rPr>
      <w:rFonts w:ascii="Times New Roman" w:eastAsia="Times New Roman" w:hAnsi="Times New Roman" w:cs="Times New Roman"/>
      <w:szCs w:val="20"/>
      <w:lang w:eastAsia="cs-CZ"/>
    </w:rPr>
  </w:style>
  <w:style w:type="character" w:customStyle="1" w:styleId="ZkladntextChar">
    <w:name w:val="Základný text Char"/>
    <w:basedOn w:val="Predvolenpsmoodseku"/>
    <w:link w:val="Zkladntext0"/>
    <w:uiPriority w:val="99"/>
    <w:rsid w:val="002858A0"/>
    <w:rPr>
      <w:rFonts w:ascii="Times New Roman" w:eastAsia="Times New Roman" w:hAnsi="Times New Roman" w:cs="Times New Roman"/>
      <w:sz w:val="20"/>
      <w:szCs w:val="20"/>
      <w:lang w:eastAsia="cs-CZ"/>
    </w:rPr>
  </w:style>
  <w:style w:type="paragraph" w:styleId="Normlnywebov">
    <w:name w:val="Normal (Web)"/>
    <w:basedOn w:val="Normlny"/>
    <w:uiPriority w:val="99"/>
    <w:unhideWhenUsed/>
    <w:rsid w:val="00D6774D"/>
    <w:pPr>
      <w:spacing w:before="100" w:beforeAutospacing="1" w:after="100" w:afterAutospacing="1" w:line="240" w:lineRule="auto"/>
      <w:jc w:val="left"/>
    </w:pPr>
    <w:rPr>
      <w:rFonts w:ascii="Times New Roman" w:eastAsia="Times New Roman" w:hAnsi="Times New Roman" w:cs="Times New Roman"/>
      <w:sz w:val="24"/>
      <w:szCs w:val="24"/>
      <w:lang w:eastAsia="sk-SK"/>
    </w:rPr>
  </w:style>
  <w:style w:type="table" w:customStyle="1" w:styleId="Mriekatabuky7">
    <w:name w:val="Mriežka tabuľky7"/>
    <w:basedOn w:val="Normlnatabuka"/>
    <w:next w:val="Mriekatabuky"/>
    <w:uiPriority w:val="39"/>
    <w:rsid w:val="00330D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omentraChar1">
    <w:name w:val="Text komentára Char1"/>
    <w:basedOn w:val="Predvolenpsmoodseku"/>
    <w:uiPriority w:val="99"/>
    <w:semiHidden/>
    <w:rsid w:val="005C7289"/>
    <w:rPr>
      <w:sz w:val="20"/>
      <w:szCs w:val="20"/>
    </w:rPr>
  </w:style>
  <w:style w:type="character" w:customStyle="1" w:styleId="awspan">
    <w:name w:val="awspan"/>
    <w:basedOn w:val="Predvolenpsmoodseku"/>
    <w:rsid w:val="00990D2E"/>
  </w:style>
  <w:style w:type="character" w:customStyle="1" w:styleId="Nevyrieenzmienka1">
    <w:name w:val="Nevyriešená zmienka1"/>
    <w:basedOn w:val="Predvolenpsmoodseku"/>
    <w:uiPriority w:val="99"/>
    <w:semiHidden/>
    <w:unhideWhenUsed/>
    <w:rsid w:val="00D34F87"/>
    <w:rPr>
      <w:color w:val="605E5C"/>
      <w:shd w:val="clear" w:color="auto" w:fill="E1DFDD"/>
    </w:rPr>
  </w:style>
  <w:style w:type="table" w:customStyle="1" w:styleId="Mriekatabuky11">
    <w:name w:val="Mriežka tabuľky11"/>
    <w:basedOn w:val="Normlnatabuka"/>
    <w:next w:val="Mriekatabuky"/>
    <w:uiPriority w:val="59"/>
    <w:rsid w:val="00FB2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zia">
    <w:name w:val="Revision"/>
    <w:hidden/>
    <w:uiPriority w:val="99"/>
    <w:semiHidden/>
    <w:rsid w:val="001A5615"/>
    <w:pPr>
      <w:spacing w:after="0" w:line="240" w:lineRule="auto"/>
    </w:pPr>
    <w:rPr>
      <w:rFonts w:ascii="Segoe UI" w:hAnsi="Segoe UI"/>
      <w:sz w:val="20"/>
    </w:rPr>
  </w:style>
  <w:style w:type="table" w:customStyle="1" w:styleId="Mriekatabuky8">
    <w:name w:val="Mriežka tabuľky8"/>
    <w:basedOn w:val="Normlnatabuka"/>
    <w:next w:val="Mriekatabuky"/>
    <w:uiPriority w:val="59"/>
    <w:rsid w:val="00AE23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Predvolenpsmoodseku"/>
    <w:uiPriority w:val="99"/>
    <w:semiHidden/>
    <w:unhideWhenUsed/>
    <w:rsid w:val="003074D7"/>
    <w:rPr>
      <w:color w:val="605E5C"/>
      <w:shd w:val="clear" w:color="auto" w:fill="E1DFDD"/>
    </w:rPr>
  </w:style>
  <w:style w:type="paragraph" w:customStyle="1" w:styleId="Plonk1">
    <w:name w:val="Plonk1"/>
    <w:basedOn w:val="Normlny"/>
    <w:next w:val="Textpoznmkypodiarou"/>
    <w:uiPriority w:val="99"/>
    <w:unhideWhenUsed/>
    <w:qFormat/>
    <w:rsid w:val="00AC2FEA"/>
    <w:pPr>
      <w:spacing w:after="0" w:line="240" w:lineRule="auto"/>
      <w:jc w:val="left"/>
    </w:pPr>
    <w:rPr>
      <w:rFonts w:ascii="Times New Roman" w:eastAsia="Calibri" w:hAnsi="Times New Roman"/>
      <w:kern w:val="2"/>
      <w:szCs w:val="20"/>
      <w14:ligatures w14:val="standardContextual"/>
    </w:rPr>
  </w:style>
  <w:style w:type="character" w:customStyle="1" w:styleId="Hypertextovprepojenie1">
    <w:name w:val="Hypertextové prepojenie1"/>
    <w:basedOn w:val="Predvolenpsmoodseku"/>
    <w:uiPriority w:val="99"/>
    <w:unhideWhenUsed/>
    <w:rsid w:val="00AC2FE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607033">
      <w:bodyDiv w:val="1"/>
      <w:marLeft w:val="0"/>
      <w:marRight w:val="0"/>
      <w:marTop w:val="0"/>
      <w:marBottom w:val="0"/>
      <w:divBdr>
        <w:top w:val="none" w:sz="0" w:space="0" w:color="auto"/>
        <w:left w:val="none" w:sz="0" w:space="0" w:color="auto"/>
        <w:bottom w:val="none" w:sz="0" w:space="0" w:color="auto"/>
        <w:right w:val="none" w:sz="0" w:space="0" w:color="auto"/>
      </w:divBdr>
    </w:div>
    <w:div w:id="459346066">
      <w:bodyDiv w:val="1"/>
      <w:marLeft w:val="0"/>
      <w:marRight w:val="0"/>
      <w:marTop w:val="0"/>
      <w:marBottom w:val="0"/>
      <w:divBdr>
        <w:top w:val="none" w:sz="0" w:space="0" w:color="auto"/>
        <w:left w:val="none" w:sz="0" w:space="0" w:color="auto"/>
        <w:bottom w:val="none" w:sz="0" w:space="0" w:color="auto"/>
        <w:right w:val="none" w:sz="0" w:space="0" w:color="auto"/>
      </w:divBdr>
    </w:div>
    <w:div w:id="901328519">
      <w:bodyDiv w:val="1"/>
      <w:marLeft w:val="0"/>
      <w:marRight w:val="0"/>
      <w:marTop w:val="0"/>
      <w:marBottom w:val="0"/>
      <w:divBdr>
        <w:top w:val="none" w:sz="0" w:space="0" w:color="auto"/>
        <w:left w:val="none" w:sz="0" w:space="0" w:color="auto"/>
        <w:bottom w:val="none" w:sz="0" w:space="0" w:color="auto"/>
        <w:right w:val="none" w:sz="0" w:space="0" w:color="auto"/>
      </w:divBdr>
    </w:div>
    <w:div w:id="1159155295">
      <w:bodyDiv w:val="1"/>
      <w:marLeft w:val="0"/>
      <w:marRight w:val="0"/>
      <w:marTop w:val="0"/>
      <w:marBottom w:val="0"/>
      <w:divBdr>
        <w:top w:val="none" w:sz="0" w:space="0" w:color="auto"/>
        <w:left w:val="none" w:sz="0" w:space="0" w:color="auto"/>
        <w:bottom w:val="none" w:sz="0" w:space="0" w:color="auto"/>
        <w:right w:val="none" w:sz="0" w:space="0" w:color="auto"/>
      </w:divBdr>
    </w:div>
    <w:div w:id="1553465787">
      <w:bodyDiv w:val="1"/>
      <w:marLeft w:val="0"/>
      <w:marRight w:val="0"/>
      <w:marTop w:val="0"/>
      <w:marBottom w:val="0"/>
      <w:divBdr>
        <w:top w:val="none" w:sz="0" w:space="0" w:color="auto"/>
        <w:left w:val="none" w:sz="0" w:space="0" w:color="auto"/>
        <w:bottom w:val="none" w:sz="0" w:space="0" w:color="auto"/>
        <w:right w:val="none" w:sz="0" w:space="0" w:color="auto"/>
      </w:divBdr>
    </w:div>
    <w:div w:id="1626697887">
      <w:bodyDiv w:val="1"/>
      <w:marLeft w:val="0"/>
      <w:marRight w:val="0"/>
      <w:marTop w:val="0"/>
      <w:marBottom w:val="0"/>
      <w:divBdr>
        <w:top w:val="none" w:sz="0" w:space="0" w:color="auto"/>
        <w:left w:val="none" w:sz="0" w:space="0" w:color="auto"/>
        <w:bottom w:val="none" w:sz="0" w:space="0" w:color="auto"/>
        <w:right w:val="none" w:sz="0" w:space="0" w:color="auto"/>
      </w:divBdr>
    </w:div>
    <w:div w:id="165382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7.xml"/><Relationship Id="rId26" Type="http://schemas.openxmlformats.org/officeDocument/2006/relationships/chart" Target="charts/chart14.xml"/><Relationship Id="rId39" Type="http://schemas.openxmlformats.org/officeDocument/2006/relationships/chart" Target="charts/chart25.xml"/><Relationship Id="rId21" Type="http://schemas.openxmlformats.org/officeDocument/2006/relationships/chart" Target="charts/chart9.xml"/><Relationship Id="rId34" Type="http://schemas.openxmlformats.org/officeDocument/2006/relationships/chart" Target="charts/chart22.xml"/><Relationship Id="rId42" Type="http://schemas.openxmlformats.org/officeDocument/2006/relationships/chart" Target="charts/chart27.xml"/><Relationship Id="rId47" Type="http://schemas.openxmlformats.org/officeDocument/2006/relationships/chart" Target="charts/chart32.xml"/><Relationship Id="rId50" Type="http://schemas.openxmlformats.org/officeDocument/2006/relationships/chart" Target="charts/chart35.xml"/><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vzp.cz/platci/informace/stat/vymerovaci-zaklad-a-vypocet-pojistneho" TargetMode="External"/><Relationship Id="rId29" Type="http://schemas.openxmlformats.org/officeDocument/2006/relationships/chart" Target="charts/chart17.xml"/><Relationship Id="rId11" Type="http://schemas.openxmlformats.org/officeDocument/2006/relationships/chart" Target="charts/chart1.xml"/><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hyperlink" Target="https://ec.europa.eu/economy_finance/recovery-and-resilience-scoreboard/disbursements.html" TargetMode="External"/><Relationship Id="rId40" Type="http://schemas.openxmlformats.org/officeDocument/2006/relationships/hyperlink" Target="https://ec.europa.eu/economy_finance/recovery-and-resilience-scoreboard/milestones_and_targets.html" TargetMode="External"/><Relationship Id="rId45" Type="http://schemas.openxmlformats.org/officeDocument/2006/relationships/chart" Target="charts/chart30.xml"/><Relationship Id="rId53" Type="http://schemas.openxmlformats.org/officeDocument/2006/relationships/chart" Target="charts/chart38.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4.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chart" Target="charts/chart28.xml"/><Relationship Id="rId48" Type="http://schemas.openxmlformats.org/officeDocument/2006/relationships/chart" Target="charts/chart33.xml"/><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chart" Target="charts/chart36.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6.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hyperlink" Target="https://ec.europa.eu/economy_finance/recovery-and-resilience-scoreboard/disbursements.html" TargetMode="External"/><Relationship Id="rId46" Type="http://schemas.openxmlformats.org/officeDocument/2006/relationships/chart" Target="charts/chart31.xml"/><Relationship Id="rId20" Type="http://schemas.openxmlformats.org/officeDocument/2006/relationships/hyperlink" Target="https://www.nku.gov.sk/documents/d/nku/v-praci-dobre-na-dochodku-najlepsie" TargetMode="External"/><Relationship Id="rId41" Type="http://schemas.openxmlformats.org/officeDocument/2006/relationships/chart" Target="charts/chart26.xm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chart" Target="charts/chart34.xml"/><Relationship Id="rId57" Type="http://schemas.openxmlformats.org/officeDocument/2006/relationships/glossaryDocument" Target="glossary/document.xml"/><Relationship Id="rId10" Type="http://schemas.openxmlformats.org/officeDocument/2006/relationships/image" Target="media/image2.png"/><Relationship Id="rId31" Type="http://schemas.openxmlformats.org/officeDocument/2006/relationships/chart" Target="charts/chart19.xml"/><Relationship Id="rId44" Type="http://schemas.openxmlformats.org/officeDocument/2006/relationships/chart" Target="charts/chart29.xml"/><Relationship Id="rId52" Type="http://schemas.openxmlformats.org/officeDocument/2006/relationships/chart" Target="charts/chart37.xml"/></Relationships>
</file>

<file path=word/_rels/footnotes.xml.rels><?xml version="1.0" encoding="UTF-8" standalone="yes"?>
<Relationships xmlns="http://schemas.openxmlformats.org/package/2006/relationships"><Relationship Id="rId13" Type="http://schemas.openxmlformats.org/officeDocument/2006/relationships/hyperlink" Target="https://rokovania.gov.sk/RVL/Material/31156/1" TargetMode="External"/><Relationship Id="rId18" Type="http://schemas.openxmlformats.org/officeDocument/2006/relationships/hyperlink" Target="https://www.rrz.sk/strednodoby-fiskalny-vyhlad-na-roky-2025-az-2029-hodnotenie-vyrocnej-spravy-o-pokroku-2025/" TargetMode="External"/><Relationship Id="rId26" Type="http://schemas.openxmlformats.org/officeDocument/2006/relationships/hyperlink" Target="https://www.nrsr.sk/web/Default.aspx?sid=zakony/zakon&amp;MasterID=10480" TargetMode="External"/><Relationship Id="rId39" Type="http://schemas.openxmlformats.org/officeDocument/2006/relationships/hyperlink" Target="https://ssad.statistics.sk/SSaD/index.php/miera-chudoby-alebo-socialneho-vylucenia-v-slovenskych-domacnostiach/" TargetMode="External"/><Relationship Id="rId21" Type="http://schemas.openxmlformats.org/officeDocument/2006/relationships/hyperlink" Target="https://eur-lex.europa.eu/legal-content/SK/TXT/PDF/?uri=OJ:L_202501914" TargetMode="External"/><Relationship Id="rId34" Type="http://schemas.openxmlformats.org/officeDocument/2006/relationships/hyperlink" Target="https://www.slov-lex.sk/ezbierky/pravne-predpisy/SK/ZZ/2024/197/vyhlasene_znenie.html" TargetMode="External"/><Relationship Id="rId42" Type="http://schemas.openxmlformats.org/officeDocument/2006/relationships/hyperlink" Target="https://nbs.sk/publikacie/strukturalne-vyzvy/strukturalne-vyzvy-2025/" TargetMode="External"/><Relationship Id="rId47" Type="http://schemas.openxmlformats.org/officeDocument/2006/relationships/hyperlink" Target="https://strategic-technologies.europa.eu/index_en?prefLang=sk" TargetMode="External"/><Relationship Id="rId50" Type="http://schemas.openxmlformats.org/officeDocument/2006/relationships/hyperlink" Target="https://eur-lex.europa.eu/legal-content/SK/TXT/PDF/?uri=CELEX:52025SC0225" TargetMode="External"/><Relationship Id="rId7" Type="http://schemas.openxmlformats.org/officeDocument/2006/relationships/hyperlink" Target="https://www.nku.gov.sk/sk/-/nelichotive-vysvedcenie-kazdy-druhy-most-v-zlom-stave-dialnice-staviame-pomaly?fbclid=IwY2xjawNQk1pleHRuA2FlbQIxMABicmlkETFCZVZPTGEzVEltenNCOXExAR5Zfe4j7AfKVsMMjfXPHZqgJkreXcRDzuFbaGGnx6Z4n9L1lV0Ir8sndC8kCg_aem_tRL-hlg69ozjhdFMkmUJzg" TargetMode="External"/><Relationship Id="rId2" Type="http://schemas.openxmlformats.org/officeDocument/2006/relationships/hyperlink" Target="https://legalinstruments.oecd.org/en/instruments/OECD-LEGAL-0410" TargetMode="External"/><Relationship Id="rId16" Type="http://schemas.openxmlformats.org/officeDocument/2006/relationships/hyperlink" Target="https://www.mfsr.sk/sk/financie/institut-financnej-politiky/strategicke-materialy/narodny-fiskalno-strukturalny-plan/" TargetMode="External"/><Relationship Id="rId29" Type="http://schemas.openxmlformats.org/officeDocument/2006/relationships/hyperlink" Target="https://eur-lex.europa.eu/legal-content/SK/TXT/PDF/?uri=CELEX:32021R0241&amp;qid=1759777483604" TargetMode="External"/><Relationship Id="rId11" Type="http://schemas.openxmlformats.org/officeDocument/2006/relationships/hyperlink" Target="https://economy-finance.ec.europa.eu/document/download/e16a9875-800f-4472-ab93-cf80087e28e4_sk?filename=SK_SWD_2025_225_1_SK_autre_document_travail_service_part1_v2.pdf" TargetMode="External"/><Relationship Id="rId24" Type="http://schemas.openxmlformats.org/officeDocument/2006/relationships/hyperlink" Target="https://eur-lex.europa.eu/legal-content/EN/TXT/?uri=OJ:L_202501914" TargetMode="External"/><Relationship Id="rId32" Type="http://schemas.openxmlformats.org/officeDocument/2006/relationships/hyperlink" Target="https://ec.europa.eu/economy_finance/recovery-and-resilience-scoreboard/timeline.html" TargetMode="External"/><Relationship Id="rId37" Type="http://schemas.openxmlformats.org/officeDocument/2006/relationships/hyperlink" Target="file:///D:\SYST%25C3%2589MOV%25C3%2589%20PRIE%25C4%258CINKY\Downloads\Programove%20vyhlasenie%20vlady%20SR.pdf" TargetMode="External"/><Relationship Id="rId40" Type="http://schemas.openxmlformats.org/officeDocument/2006/relationships/hyperlink" Target="https://www.mfsr.sk/files/archiv/29/Aktualizacia-revizie_zdravotnictvo_final.pdf" TargetMode="External"/><Relationship Id="rId45" Type="http://schemas.openxmlformats.org/officeDocument/2006/relationships/hyperlink" Target="https://defence-industry-space.ec.europa.eu/eu-defence-industry/introducing-white-paper-european-defence-and-rearm-europe-plan-readiness-2030_en?prefLang=sk" TargetMode="External"/><Relationship Id="rId53" Type="http://schemas.openxmlformats.org/officeDocument/2006/relationships/hyperlink" Target="https://eur-lex.europa.eu/legal-content/SK/TXT/PDF/?uri=CELEX:52025SC0225" TargetMode="External"/><Relationship Id="rId5" Type="http://schemas.openxmlformats.org/officeDocument/2006/relationships/hyperlink" Target="https://www.mfsr.sk/sk/financie/institut-financnej-politiky/strategicke-materialy/ine-strategicke-materialy/" TargetMode="External"/><Relationship Id="rId10" Type="http://schemas.openxmlformats.org/officeDocument/2006/relationships/hyperlink" Target="https://databank.worldbank.org/source/worldwide-governance-indicators/Series/GE.EST" TargetMode="External"/><Relationship Id="rId19" Type="http://schemas.openxmlformats.org/officeDocument/2006/relationships/hyperlink" Target="https://www.nrsr.sk/web/Dynamic/Download.aspx?DocID=556389" TargetMode="External"/><Relationship Id="rId31" Type="http://schemas.openxmlformats.org/officeDocument/2006/relationships/hyperlink" Target="https://rokovania.gov.sk/RVL/Material/31206/1" TargetMode="External"/><Relationship Id="rId44" Type="http://schemas.openxmlformats.org/officeDocument/2006/relationships/hyperlink" Target="https://www.healthdata.org/research-analysis/library/global-regional-and-national-health-care-inefficiency-and-associated" TargetMode="External"/><Relationship Id="rId52" Type="http://schemas.openxmlformats.org/officeDocument/2006/relationships/hyperlink" Target="https://www.eea.europa.eu/en/analysis/publications/the-costs-to-health-and-the-environment-from-industrial-air-pollution-in-europe-2024-update" TargetMode="External"/><Relationship Id="rId4" Type="http://schemas.openxmlformats.org/officeDocument/2006/relationships/hyperlink" Target="https://economy-finance.ec.europa.eu/publications/2025-european-semester-country-reports_en" TargetMode="External"/><Relationship Id="rId9" Type="http://schemas.openxmlformats.org/officeDocument/2006/relationships/hyperlink" Target="https://www.cssz.cz/web/cz/duchodova-statistika" TargetMode="External"/><Relationship Id="rId14" Type="http://schemas.openxmlformats.org/officeDocument/2006/relationships/hyperlink" Target="https://nbs.sk/dokument/4ce3a3b9-f2f3-42b7-9407-5c996eb59292/stiahnut?force=false" TargetMode="External"/><Relationship Id="rId22" Type="http://schemas.openxmlformats.org/officeDocument/2006/relationships/hyperlink" Target="https://portal.itms21.sk/vyhlasene-vyzvy/?program=402000&amp;ajUkoncene=1" TargetMode="External"/><Relationship Id="rId27" Type="http://schemas.openxmlformats.org/officeDocument/2006/relationships/hyperlink" Target="https://eur-lex.europa.eu/legal-content/SK/TXT/PDF/?uri=CELEX:32021R1060&amp;qid=1759770370297" TargetMode="External"/><Relationship Id="rId30" Type="http://schemas.openxmlformats.org/officeDocument/2006/relationships/hyperlink" Target="https://commission.europa.eu/document/download/ad5f00c9-4101-41a0-9d8f-e78f06c0c7ed_en?filename=COM_2025_310_1_EN_ACT_part1_v6.pdf" TargetMode="External"/><Relationship Id="rId35" Type="http://schemas.openxmlformats.org/officeDocument/2006/relationships/hyperlink" Target="https://www.slov-lex.sk/ezbierky/pravne-predpisy/SK/ZZ/2024/339/" TargetMode="External"/><Relationship Id="rId43" Type="http://schemas.openxmlformats.org/officeDocument/2006/relationships/hyperlink" Target="file:///D:\SYSTEMOVE%20PRIECINKY\Downloads\Sprava-strategicky-ramec-starostlivosti-o-zdravie-2014-2030_2024%20(1).pdf" TargetMode="External"/><Relationship Id="rId48" Type="http://schemas.openxmlformats.org/officeDocument/2006/relationships/hyperlink" Target="https://eur-lex.europa.eu/legal-content/SK/TXT/?uri=COM%3A2025%3A188%3AFIN&amp;qid=1745318664372" TargetMode="External"/><Relationship Id="rId8" Type="http://schemas.openxmlformats.org/officeDocument/2006/relationships/hyperlink" Target="https://www.mfsr.sk/sk/financie/institut-financnej-politiky/ekonomicke-prognozy/danove-prognozy/84-zasadnutie-vyboru-danove-prognozy-september-2025.html" TargetMode="External"/><Relationship Id="rId51" Type="http://schemas.openxmlformats.org/officeDocument/2006/relationships/hyperlink" Target="https://cdr.eionet.europa.eu/mt/eu/aqd/g/" TargetMode="External"/><Relationship Id="rId3" Type="http://schemas.openxmlformats.org/officeDocument/2006/relationships/hyperlink" Target="https://www.mfsr.sk/sk/financie/institut-financnej-politiky/ekonomicke-prognozy/makroekonomicke-prognozy/73-zasadnutie-vyboru-makroekonomicke-prognozy-september-2025.html" TargetMode="External"/><Relationship Id="rId12" Type="http://schemas.openxmlformats.org/officeDocument/2006/relationships/hyperlink" Target="https://www.nrsr.sk/web/Dynamic/DocumentPreview.aspx?DocID=535376" TargetMode="External"/><Relationship Id="rId17" Type="http://schemas.openxmlformats.org/officeDocument/2006/relationships/hyperlink" Target="https://www.mfsr.sk/sk/financie/institut-financnej-politiky/strategicke-materialy/vyrocna-sprava-pokroku/" TargetMode="External"/><Relationship Id="rId25" Type="http://schemas.openxmlformats.org/officeDocument/2006/relationships/hyperlink" Target="https://eur-lex.europa.eu/legal-content/SK/TXT/PDF/?uri=OJ:L_202501914" TargetMode="External"/><Relationship Id="rId33" Type="http://schemas.openxmlformats.org/officeDocument/2006/relationships/hyperlink" Target="https://ec.europa.eu/transparency/documents-register/detail?ref=C(2025)2940&amp;lang=en" TargetMode="External"/><Relationship Id="rId38" Type="http://schemas.openxmlformats.org/officeDocument/2006/relationships/hyperlink" Target="https://www.nrsr.sk/web/Dynamic/DocumentPreview.aspx?DocID=535376" TargetMode="External"/><Relationship Id="rId46" Type="http://schemas.openxmlformats.org/officeDocument/2006/relationships/hyperlink" Target="https://defence-industry-space.ec.europa.eu/eu-defence-industry/introducing-white-paper-european-defence-and-rearm-europe-plan-readiness-2030_en?prefLang=sk" TargetMode="External"/><Relationship Id="rId20" Type="http://schemas.openxmlformats.org/officeDocument/2006/relationships/hyperlink" Target="https://www.planobnovy.sk/site/assets/files/1236/sipoo_verzia_1_2.pdf" TargetMode="External"/><Relationship Id="rId41" Type="http://schemas.openxmlformats.org/officeDocument/2006/relationships/hyperlink" Target="https://www.health.gov.sk/?Rada-tvorba-rozpoctu-zdravotnictvo" TargetMode="External"/><Relationship Id="rId1" Type="http://schemas.openxmlformats.org/officeDocument/2006/relationships/hyperlink" Target="https://www.nrsr.sk/web/Dynamic/Download.aspx?DocID=492921" TargetMode="External"/><Relationship Id="rId6" Type="http://schemas.openxmlformats.org/officeDocument/2006/relationships/hyperlink" Target="https://nbs.sk/dokument/5ff9ca50-6015-455a-abf1-135442ae29ed/stiahnut?force=false" TargetMode="External"/><Relationship Id="rId15" Type="http://schemas.openxmlformats.org/officeDocument/2006/relationships/hyperlink" Target="https://www.mfsr.sk/files/archiv/3/Statne-najmy_analyza_final.pdf" TargetMode="External"/><Relationship Id="rId23" Type="http://schemas.openxmlformats.org/officeDocument/2006/relationships/hyperlink" Target="https://rokovania.gov.sk/RVL/Material/31004/1" TargetMode="External"/><Relationship Id="rId28" Type="http://schemas.openxmlformats.org/officeDocument/2006/relationships/hyperlink" Target="https://mapapartnerstva.gov.sk/?p=1993" TargetMode="External"/><Relationship Id="rId36" Type="http://schemas.openxmlformats.org/officeDocument/2006/relationships/hyperlink" Target="https://www.slov-lex.sk/ezbierky-fe/pravne-predpisy/SK/ZZ/2011/493/20150101" TargetMode="External"/><Relationship Id="rId49" Type="http://schemas.openxmlformats.org/officeDocument/2006/relationships/hyperlink" Target="https://ec.europa.eu/regional_policy/information-sources/publications/communications/2025/a-modernised-cohesion-policy-the-mid-term-review_en?etrans=s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Stanovisk&#225;\Stanovisko%20k%20n&#225;vrhu%20&#352;R%202021\Stanovisko%20OS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SYSTEMOVE%20PRIECINKY\Downloads\STANOVISKO\Stanovisko%20k%20RVS%202026\Stanovisko_NK&#218;%20SR_k_n&#225;vrhu_&#352;R_na_rok_2026.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BAOA1220\analyticky%20odbor\STANOVISK&#193;\Stanovisko%20k%20n&#225;vrhu%20&#352;R%202026\grafy.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H_rok_programu_Microsoft_Excel.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BAOA1220\analyticky%20odbor\STANOVISK&#193;\Stanovisko%20k%20n&#225;vrhu%20&#352;R%202026\grafy.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H_rok_programu_Microsoft_Excel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BAOA1220\analyticky%20odbor\STANOVISK&#193;\Stanovisko%20k%20n&#225;vrhu%20&#352;R%202026\grafy.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D:\MOJE%20DOKUMENTY\stanovisko%20k%20navrhu%20rozpo&#269;tu%202026\v&#253;davky%20rozpo&#269;tu.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H_rok_programu_Microsoft_Excel2.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D:\MOJE%20DOKUMENTY\stanovisko%20k%20navrhu%20rozpo&#269;tu%202026\finalne%20grafy.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H_rok_programu_Microsoft_Excel3.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H_rok_programu_Microsoft_Excel4.xlsx"/></Relationships>
</file>

<file path=word/charts/_rels/chart2.xml.rels><?xml version="1.0" encoding="UTF-8" standalone="yes"?>
<Relationships xmlns="http://schemas.openxmlformats.org/package/2006/relationships"><Relationship Id="rId3" Type="http://schemas.openxmlformats.org/officeDocument/2006/relationships/oleObject" Target="file:///D:\SYSTEMOVE%20PRIECINKY\Downloads\STANOVISKO\Stanovisko%20k%20RVS%202026\Stanovisko_NK&#218;%20SR_k_n&#225;vrhu_&#352;R_na_rok_2026.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oleObject" Target="file:///D:\MOJE%20DOKUMENTY\SZU%202024\IT\vydavky%200EK%202025.xlsx" TargetMode="External"/></Relationships>
</file>

<file path=word/charts/_rels/chart21.xml.rels><?xml version="1.0" encoding="UTF-8" standalone="yes"?>
<Relationships xmlns="http://schemas.openxmlformats.org/package/2006/relationships"><Relationship Id="rId3" Type="http://schemas.openxmlformats.org/officeDocument/2006/relationships/oleObject" Target="file:///D:\SYSTEMOVE%20PRIECINKY\Downloads\STANOVISKO\Stanovisko%20k%20RVS%202026\Stanovisko_NK&#218;%20SR_k_n&#225;vrhu_&#352;R_na_rok_2026.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H_rok_programu_Microsoft_Excel5.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H_rok_programu_Microsoft_Excel6.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H_rok_programu_Microsoft_Excel7.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H_rok_programu_Microsoft_Excel8.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H_rok_programu_Microsoft_Excel9.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H_rok_programu_Microsoft_Excel10.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H_rok_programu_Microsoft_Excel11.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H_rok_programu_Microsoft_Excel12.xlsx"/></Relationships>
</file>

<file path=word/charts/_rels/chart3.xml.rels><?xml version="1.0" encoding="UTF-8" standalone="yes"?>
<Relationships xmlns="http://schemas.openxmlformats.org/package/2006/relationships"><Relationship Id="rId3" Type="http://schemas.openxmlformats.org/officeDocument/2006/relationships/oleObject" Target="file:///D:\SYSTEMOVE%20PRIECINKY\Downloads\STANOVISKO\Stanovisko%20k%20RVS%202026\Stanovisko_NK&#218;%20SR_k_n&#225;vrhu_&#352;R_na_rok_2026.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H_rok_programu_Microsoft_Excel13.xlsx"/></Relationships>
</file>

<file path=word/charts/_rels/chart31.xml.rels><?xml version="1.0" encoding="UTF-8" standalone="yes"?>
<Relationships xmlns="http://schemas.openxmlformats.org/package/2006/relationships"><Relationship Id="rId3" Type="http://schemas.openxmlformats.org/officeDocument/2006/relationships/oleObject" Target="file:///\\analytickyodbor\Analyticky%20Odbor\STANOVISK&#193;\Stanovisko%20k%20n&#225;vrhu%20&#352;R%202026\grafy.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analytickyodbor\Analyticky%20Odbor\STANOVISK&#193;\Stanovisko%20k%20n&#225;vrhu%20&#352;R%202026\grafy.xlsx" TargetMode="External"/></Relationships>
</file>

<file path=word/charts/_rels/chart33.xml.rels><?xml version="1.0" encoding="UTF-8" standalone="yes"?>
<Relationships xmlns="http://schemas.openxmlformats.org/package/2006/relationships"><Relationship Id="rId3" Type="http://schemas.openxmlformats.org/officeDocument/2006/relationships/oleObject" Target="file:///D:\SYSTEMOVE%20PRIECINKY\Desktop\Stanovisk&#225;\RVS%202026\neefektivita%20pod&#318;a%20GatesovcovLancet.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analytickyodbor\Analyticky%20Odbor\Anal&#253;za%20platov%20lek&#225;rov%20z%20d&#225;t%20SocPoi\V&#221;SLEDKY%20z%20IDEA.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D:\SYST&#201;MOV&#201;%20PRIE&#268;INKY\Desktop\NK&#218;\Stanovisko_RVS2026\graf%20z&#225;vzaky.xlsx" TargetMode="External"/></Relationships>
</file>

<file path=word/charts/_rels/chart36.xml.rels><?xml version="1.0" encoding="UTF-8" standalone="yes"?>
<Relationships xmlns="http://schemas.openxmlformats.org/package/2006/relationships"><Relationship Id="rId3" Type="http://schemas.openxmlformats.org/officeDocument/2006/relationships/oleObject" Target="file:///D:\DATA\OSA\UKAZOVATELE%20-%20INDIKATORY\Ukazovatele%20ISA%2026052025.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BAOA1220\analyticky%20odbor\STANOVISK&#193;\Stanovisko%20k%20n&#225;vrhu%20&#352;R%202026\grafy.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D:\SYST&#201;MOV&#201;%20PRIE&#268;INKY\Desktop\2024\stanovisko%202025\Technick&#225;%20pr&#237;loha.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analytickyodbor\Analyticky%20Odbor\STANOVISK&#193;\Stanovisko%20k%20n&#225;vrhu%20&#352;R%202026\graf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analytickyodbor\Analyticky%20Odbor\STANOVISK&#193;\Stanovisko%20k%20n&#225;vrhu%20&#352;R%202026\grafy.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D:\SYSTEMOVE%20PRIECINKY\Downloads\STANOVISKO\Stanovisko%20k%20RVS%202026\Bilancia%20V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BAOA1220\analyticky%20odbor\STANOVISK&#193;\Stanovisko%20k%20n&#225;vrhu%20&#352;R%202026\grafy.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BAOA1220\analyticky%20odbor\STANOVISK&#193;\Stanovisko%20k%20n&#225;vrhu%20&#352;R%202026\grafy.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BAOA1220\analyticky%20odbor\STANOVISK&#193;\Stanovisko%20k%20n&#225;vrhu%20&#352;R%202026\grafy.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'Graf 1'!$C$2</c:f>
              <c:strCache>
                <c:ptCount val="1"/>
                <c:pt idx="0">
                  <c:v>Prognóza z júna 2025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1'!$B$3:$B$9</c:f>
              <c:strCache>
                <c:ptCount val="7"/>
                <c:pt idx="0">
                  <c:v>HDP, s. c. </c:v>
                </c:pt>
                <c:pt idx="1">
                  <c:v>Súkromná spotreba, s. c.</c:v>
                </c:pt>
                <c:pt idx="2">
                  <c:v>Vládna spotreba</c:v>
                </c:pt>
                <c:pt idx="3">
                  <c:v>Fixné investície</c:v>
                </c:pt>
                <c:pt idx="4">
                  <c:v>Zamestnanosť</c:v>
                </c:pt>
                <c:pt idx="5">
                  <c:v>Miera nezamestnanosti</c:v>
                </c:pt>
                <c:pt idx="6">
                  <c:v>Spotrebiteľská inflácia (CPI)</c:v>
                </c:pt>
              </c:strCache>
            </c:strRef>
          </c:cat>
          <c:val>
            <c:numRef>
              <c:f>'Graf 1'!$C$3:$C$9</c:f>
              <c:numCache>
                <c:formatCode>0.0</c:formatCode>
                <c:ptCount val="7"/>
                <c:pt idx="0">
                  <c:v>1.6</c:v>
                </c:pt>
                <c:pt idx="1">
                  <c:v>1.3</c:v>
                </c:pt>
                <c:pt idx="2">
                  <c:v>1.3</c:v>
                </c:pt>
                <c:pt idx="3">
                  <c:v>1.2</c:v>
                </c:pt>
                <c:pt idx="4">
                  <c:v>0</c:v>
                </c:pt>
                <c:pt idx="5">
                  <c:v>5.5</c:v>
                </c:pt>
                <c:pt idx="6">
                  <c:v>3.4</c:v>
                </c:pt>
              </c:numCache>
            </c:numRef>
          </c:val>
          <c:extLst>
            <c:ext xmlns:c16="http://schemas.microsoft.com/office/drawing/2014/chart" uri="{C3380CC4-5D6E-409C-BE32-E72D297353CC}">
              <c16:uniqueId val="{00000000-82C7-4B96-BF89-5AAD85D4163B}"/>
            </c:ext>
          </c:extLst>
        </c:ser>
        <c:ser>
          <c:idx val="1"/>
          <c:order val="1"/>
          <c:tx>
            <c:strRef>
              <c:f>'Graf 1'!$D$2</c:f>
              <c:strCache>
                <c:ptCount val="1"/>
                <c:pt idx="0">
                  <c:v>Prognóza zo septembra 2025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1'!$B$3:$B$9</c:f>
              <c:strCache>
                <c:ptCount val="7"/>
                <c:pt idx="0">
                  <c:v>HDP, s. c. </c:v>
                </c:pt>
                <c:pt idx="1">
                  <c:v>Súkromná spotreba, s. c.</c:v>
                </c:pt>
                <c:pt idx="2">
                  <c:v>Vládna spotreba</c:v>
                </c:pt>
                <c:pt idx="3">
                  <c:v>Fixné investície</c:v>
                </c:pt>
                <c:pt idx="4">
                  <c:v>Zamestnanosť</c:v>
                </c:pt>
                <c:pt idx="5">
                  <c:v>Miera nezamestnanosti</c:v>
                </c:pt>
                <c:pt idx="6">
                  <c:v>Spotrebiteľská inflácia (CPI)</c:v>
                </c:pt>
              </c:strCache>
            </c:strRef>
          </c:cat>
          <c:val>
            <c:numRef>
              <c:f>'Graf 1'!$D$3:$D$9</c:f>
              <c:numCache>
                <c:formatCode>0.0</c:formatCode>
                <c:ptCount val="7"/>
                <c:pt idx="0">
                  <c:v>1.3</c:v>
                </c:pt>
                <c:pt idx="1">
                  <c:v>0.9</c:v>
                </c:pt>
                <c:pt idx="2">
                  <c:v>-0.8</c:v>
                </c:pt>
                <c:pt idx="3">
                  <c:v>2.7</c:v>
                </c:pt>
                <c:pt idx="4">
                  <c:v>-0.2</c:v>
                </c:pt>
                <c:pt idx="5">
                  <c:v>5.6</c:v>
                </c:pt>
                <c:pt idx="6">
                  <c:v>4.4000000000000004</c:v>
                </c:pt>
              </c:numCache>
            </c:numRef>
          </c:val>
          <c:extLst>
            <c:ext xmlns:c16="http://schemas.microsoft.com/office/drawing/2014/chart" uri="{C3380CC4-5D6E-409C-BE32-E72D297353CC}">
              <c16:uniqueId val="{00000001-82C7-4B96-BF89-5AAD85D4163B}"/>
            </c:ext>
          </c:extLst>
        </c:ser>
        <c:dLbls>
          <c:showLegendKey val="0"/>
          <c:showVal val="0"/>
          <c:showCatName val="0"/>
          <c:showSerName val="0"/>
          <c:showPercent val="0"/>
          <c:showBubbleSize val="0"/>
        </c:dLbls>
        <c:gapWidth val="100"/>
        <c:axId val="123189072"/>
        <c:axId val="123201968"/>
      </c:barChart>
      <c:catAx>
        <c:axId val="123189072"/>
        <c:scaling>
          <c:orientation val="maxMin"/>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tx2"/>
                  </a:gs>
                </a:gsLst>
                <a:lin ang="10800000" scaled="0"/>
              </a:gra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3201968"/>
        <c:crosses val="autoZero"/>
        <c:auto val="1"/>
        <c:lblAlgn val="ctr"/>
        <c:lblOffset val="100"/>
        <c:noMultiLvlLbl val="0"/>
      </c:catAx>
      <c:valAx>
        <c:axId val="123201968"/>
        <c:scaling>
          <c:orientation val="minMax"/>
        </c:scaling>
        <c:delete val="1"/>
        <c:axPos val="t"/>
        <c:numFmt formatCode="0" sourceLinked="0"/>
        <c:majorTickMark val="none"/>
        <c:minorTickMark val="none"/>
        <c:tickLblPos val="high"/>
        <c:crossAx val="12318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'graf miera náhrady príjmu V4'!$A$10</c:f>
              <c:strCache>
                <c:ptCount val="1"/>
                <c:pt idx="0">
                  <c:v>EÚ27</c:v>
                </c:pt>
              </c:strCache>
            </c:strRef>
          </c:tx>
          <c:spPr>
            <a:ln w="25400" cap="rnd">
              <a:solidFill>
                <a:schemeClr val="accent1"/>
              </a:solidFill>
              <a:round/>
            </a:ln>
            <a:effectLst/>
          </c:spPr>
          <c:marker>
            <c:symbol val="circle"/>
            <c:size val="5"/>
            <c:spPr>
              <a:solidFill>
                <a:schemeClr val="accent1"/>
              </a:solidFill>
              <a:ln w="12700">
                <a:solidFill>
                  <a:schemeClr val="bg1"/>
                </a:solidFill>
              </a:ln>
              <a:effectLst/>
            </c:spPr>
          </c:marker>
          <c:cat>
            <c:strRef>
              <c:f>'graf miera náhrady príjmu V4'!$B$9:$P$9</c:f>
              <c:strCach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strCache>
            </c:strRef>
          </c:cat>
          <c:val>
            <c:numRef>
              <c:f>'graf miera náhrady príjmu V4'!$B$10:$P$10</c:f>
              <c:numCache>
                <c:formatCode>#\ ##0.##########</c:formatCode>
                <c:ptCount val="15"/>
                <c:pt idx="0">
                  <c:v>0.55000000000000004</c:v>
                </c:pt>
                <c:pt idx="1">
                  <c:v>0.56000000000000005</c:v>
                </c:pt>
                <c:pt idx="2">
                  <c:v>0.56000000000000005</c:v>
                </c:pt>
                <c:pt idx="3">
                  <c:v>0.57999999999999996</c:v>
                </c:pt>
                <c:pt idx="4">
                  <c:v>0.57999999999999996</c:v>
                </c:pt>
                <c:pt idx="5">
                  <c:v>0.59</c:v>
                </c:pt>
                <c:pt idx="6">
                  <c:v>0.59</c:v>
                </c:pt>
                <c:pt idx="7" formatCode="#,##0.00">
                  <c:v>0.6</c:v>
                </c:pt>
                <c:pt idx="8">
                  <c:v>0.59</c:v>
                </c:pt>
                <c:pt idx="9">
                  <c:v>0.56999999999999995</c:v>
                </c:pt>
                <c:pt idx="10">
                  <c:v>0.56999999999999995</c:v>
                </c:pt>
                <c:pt idx="11">
                  <c:v>0.57999999999999996</c:v>
                </c:pt>
                <c:pt idx="12">
                  <c:v>0.57999999999999996</c:v>
                </c:pt>
                <c:pt idx="13">
                  <c:v>0.57999999999999996</c:v>
                </c:pt>
                <c:pt idx="14" formatCode="#,##0.00">
                  <c:v>0.6</c:v>
                </c:pt>
              </c:numCache>
            </c:numRef>
          </c:val>
          <c:smooth val="0"/>
          <c:extLst>
            <c:ext xmlns:c16="http://schemas.microsoft.com/office/drawing/2014/chart" uri="{C3380CC4-5D6E-409C-BE32-E72D297353CC}">
              <c16:uniqueId val="{00000000-0482-463D-91B5-D6854044394B}"/>
            </c:ext>
          </c:extLst>
        </c:ser>
        <c:ser>
          <c:idx val="1"/>
          <c:order val="1"/>
          <c:tx>
            <c:strRef>
              <c:f>'graf miera náhrady príjmu V4'!$A$11</c:f>
              <c:strCache>
                <c:ptCount val="1"/>
                <c:pt idx="0">
                  <c:v>ČR</c:v>
                </c:pt>
              </c:strCache>
            </c:strRef>
          </c:tx>
          <c:spPr>
            <a:ln w="25400" cap="rnd">
              <a:solidFill>
                <a:schemeClr val="accent2"/>
              </a:solidFill>
              <a:round/>
            </a:ln>
            <a:effectLst/>
          </c:spPr>
          <c:marker>
            <c:symbol val="circle"/>
            <c:size val="5"/>
            <c:spPr>
              <a:solidFill>
                <a:schemeClr val="accent2"/>
              </a:solidFill>
              <a:ln w="12700">
                <a:solidFill>
                  <a:schemeClr val="bg1"/>
                </a:solidFill>
              </a:ln>
              <a:effectLst/>
            </c:spPr>
          </c:marker>
          <c:cat>
            <c:strRef>
              <c:f>'graf miera náhrady príjmu V4'!$B$9:$P$9</c:f>
              <c:strCach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strCache>
            </c:strRef>
          </c:cat>
          <c:val>
            <c:numRef>
              <c:f>'graf miera náhrady príjmu V4'!$B$11:$P$11</c:f>
              <c:numCache>
                <c:formatCode>#\ ##0.##########</c:formatCode>
                <c:ptCount val="15"/>
                <c:pt idx="0">
                  <c:v>0.54</c:v>
                </c:pt>
                <c:pt idx="1">
                  <c:v>0.53</c:v>
                </c:pt>
                <c:pt idx="2">
                  <c:v>0.55000000000000004</c:v>
                </c:pt>
                <c:pt idx="3">
                  <c:v>0.56999999999999995</c:v>
                </c:pt>
                <c:pt idx="4">
                  <c:v>0.55000000000000004</c:v>
                </c:pt>
                <c:pt idx="5">
                  <c:v>0.52</c:v>
                </c:pt>
                <c:pt idx="6">
                  <c:v>0.51</c:v>
                </c:pt>
                <c:pt idx="7">
                  <c:v>0.51</c:v>
                </c:pt>
                <c:pt idx="8" formatCode="#,##0.00">
                  <c:v>0.5</c:v>
                </c:pt>
                <c:pt idx="9" formatCode="#,##0.00">
                  <c:v>0.5</c:v>
                </c:pt>
                <c:pt idx="10">
                  <c:v>0.49</c:v>
                </c:pt>
                <c:pt idx="11">
                  <c:v>0.51</c:v>
                </c:pt>
                <c:pt idx="12">
                  <c:v>0.49</c:v>
                </c:pt>
                <c:pt idx="13">
                  <c:v>0.52</c:v>
                </c:pt>
                <c:pt idx="14">
                  <c:v>0.56000000000000005</c:v>
                </c:pt>
              </c:numCache>
            </c:numRef>
          </c:val>
          <c:smooth val="0"/>
          <c:extLst>
            <c:ext xmlns:c16="http://schemas.microsoft.com/office/drawing/2014/chart" uri="{C3380CC4-5D6E-409C-BE32-E72D297353CC}">
              <c16:uniqueId val="{00000001-0482-463D-91B5-D6854044394B}"/>
            </c:ext>
          </c:extLst>
        </c:ser>
        <c:ser>
          <c:idx val="2"/>
          <c:order val="2"/>
          <c:tx>
            <c:strRef>
              <c:f>'graf miera náhrady príjmu V4'!$A$12</c:f>
              <c:strCache>
                <c:ptCount val="1"/>
                <c:pt idx="0">
                  <c:v>Maďarsko</c:v>
                </c:pt>
              </c:strCache>
            </c:strRef>
          </c:tx>
          <c:spPr>
            <a:ln w="25400" cap="rnd">
              <a:solidFill>
                <a:schemeClr val="accent3"/>
              </a:solidFill>
              <a:round/>
            </a:ln>
            <a:effectLst/>
          </c:spPr>
          <c:marker>
            <c:symbol val="circle"/>
            <c:size val="5"/>
            <c:spPr>
              <a:solidFill>
                <a:schemeClr val="accent3"/>
              </a:solidFill>
              <a:ln w="9525">
                <a:solidFill>
                  <a:sysClr val="window" lastClr="FFFFFF"/>
                </a:solidFill>
              </a:ln>
              <a:effectLst/>
            </c:spPr>
          </c:marker>
          <c:cat>
            <c:strRef>
              <c:f>'graf miera náhrady príjmu V4'!$B$9:$P$9</c:f>
              <c:strCach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strCache>
            </c:strRef>
          </c:cat>
          <c:val>
            <c:numRef>
              <c:f>'graf miera náhrady príjmu V4'!$B$12:$P$12</c:f>
              <c:numCache>
                <c:formatCode>#,##0.00</c:formatCode>
                <c:ptCount val="15"/>
                <c:pt idx="0" formatCode="#\ ##0.##########">
                  <c:v>0.59</c:v>
                </c:pt>
                <c:pt idx="1">
                  <c:v>0.6</c:v>
                </c:pt>
                <c:pt idx="2" formatCode="#\ ##0.##########">
                  <c:v>0.59</c:v>
                </c:pt>
                <c:pt idx="3">
                  <c:v>0.6</c:v>
                </c:pt>
                <c:pt idx="4" formatCode="#\ ##0.##########">
                  <c:v>0.63</c:v>
                </c:pt>
                <c:pt idx="5" formatCode="#\ ##0.##########">
                  <c:v>0.64</c:v>
                </c:pt>
                <c:pt idx="6" formatCode="#\ ##0.##########">
                  <c:v>0.69</c:v>
                </c:pt>
                <c:pt idx="7" formatCode="#\ ##0.##########">
                  <c:v>0.68</c:v>
                </c:pt>
                <c:pt idx="8" formatCode="#\ ##0.##########">
                  <c:v>0.62</c:v>
                </c:pt>
                <c:pt idx="9" formatCode="#\ ##0.##########">
                  <c:v>0.56999999999999995</c:v>
                </c:pt>
                <c:pt idx="10" formatCode="#\ ##0.##########">
                  <c:v>0.53</c:v>
                </c:pt>
                <c:pt idx="11" formatCode="#\ ##0.##########">
                  <c:v>0.55000000000000004</c:v>
                </c:pt>
                <c:pt idx="12" formatCode="#\ ##0.##########">
                  <c:v>0.53</c:v>
                </c:pt>
                <c:pt idx="13" formatCode="#\ ##0.##########">
                  <c:v>0.51</c:v>
                </c:pt>
                <c:pt idx="14" formatCode="#\ ##0.##########">
                  <c:v>0.77</c:v>
                </c:pt>
              </c:numCache>
            </c:numRef>
          </c:val>
          <c:smooth val="0"/>
          <c:extLst>
            <c:ext xmlns:c16="http://schemas.microsoft.com/office/drawing/2014/chart" uri="{C3380CC4-5D6E-409C-BE32-E72D297353CC}">
              <c16:uniqueId val="{00000002-0482-463D-91B5-D6854044394B}"/>
            </c:ext>
          </c:extLst>
        </c:ser>
        <c:ser>
          <c:idx val="3"/>
          <c:order val="3"/>
          <c:tx>
            <c:strRef>
              <c:f>'graf miera náhrady príjmu V4'!$A$13</c:f>
              <c:strCache>
                <c:ptCount val="1"/>
                <c:pt idx="0">
                  <c:v>Poľsko</c:v>
                </c:pt>
              </c:strCache>
            </c:strRef>
          </c:tx>
          <c:spPr>
            <a:ln w="28575" cap="rnd">
              <a:solidFill>
                <a:schemeClr val="accent4"/>
              </a:solidFill>
              <a:round/>
            </a:ln>
            <a:effectLst/>
          </c:spPr>
          <c:marker>
            <c:symbol val="circle"/>
            <c:size val="5"/>
            <c:spPr>
              <a:solidFill>
                <a:schemeClr val="accent4"/>
              </a:solidFill>
              <a:ln w="9525">
                <a:solidFill>
                  <a:sysClr val="window" lastClr="FFFFFF"/>
                </a:solidFill>
              </a:ln>
              <a:effectLst/>
            </c:spPr>
          </c:marker>
          <c:cat>
            <c:strRef>
              <c:f>'graf miera náhrady príjmu V4'!$B$9:$P$9</c:f>
              <c:strCach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strCache>
            </c:strRef>
          </c:cat>
          <c:val>
            <c:numRef>
              <c:f>'graf miera náhrady príjmu V4'!$B$13:$P$13</c:f>
              <c:numCache>
                <c:formatCode>#\ ##0.##########</c:formatCode>
                <c:ptCount val="15"/>
                <c:pt idx="0">
                  <c:v>0.57999999999999996</c:v>
                </c:pt>
                <c:pt idx="1">
                  <c:v>0.56999999999999995</c:v>
                </c:pt>
                <c:pt idx="2">
                  <c:v>0.56000000000000005</c:v>
                </c:pt>
                <c:pt idx="3" formatCode="#,##0.00">
                  <c:v>0.6</c:v>
                </c:pt>
                <c:pt idx="4">
                  <c:v>0.62</c:v>
                </c:pt>
                <c:pt idx="5">
                  <c:v>0.61</c:v>
                </c:pt>
                <c:pt idx="6" formatCode="#,##0.00">
                  <c:v>0.6</c:v>
                </c:pt>
                <c:pt idx="7">
                  <c:v>0.63</c:v>
                </c:pt>
                <c:pt idx="8" formatCode="#,##0.00">
                  <c:v>0.6</c:v>
                </c:pt>
                <c:pt idx="9">
                  <c:v>0.57999999999999996</c:v>
                </c:pt>
                <c:pt idx="10">
                  <c:v>0.57999999999999996</c:v>
                </c:pt>
                <c:pt idx="11">
                  <c:v>0.59</c:v>
                </c:pt>
                <c:pt idx="12">
                  <c:v>0.61</c:v>
                </c:pt>
                <c:pt idx="13">
                  <c:v>0.56999999999999995</c:v>
                </c:pt>
                <c:pt idx="14" formatCode="#,##0.00">
                  <c:v>0.6</c:v>
                </c:pt>
              </c:numCache>
            </c:numRef>
          </c:val>
          <c:smooth val="0"/>
          <c:extLst>
            <c:ext xmlns:c16="http://schemas.microsoft.com/office/drawing/2014/chart" uri="{C3380CC4-5D6E-409C-BE32-E72D297353CC}">
              <c16:uniqueId val="{00000003-0482-463D-91B5-D6854044394B}"/>
            </c:ext>
          </c:extLst>
        </c:ser>
        <c:ser>
          <c:idx val="4"/>
          <c:order val="4"/>
          <c:tx>
            <c:strRef>
              <c:f>'graf miera náhrady príjmu V4'!$A$14</c:f>
              <c:strCache>
                <c:ptCount val="1"/>
                <c:pt idx="0">
                  <c:v>SR</c:v>
                </c:pt>
              </c:strCache>
            </c:strRef>
          </c:tx>
          <c:spPr>
            <a:ln w="28575" cap="rnd">
              <a:solidFill>
                <a:schemeClr val="accent5"/>
              </a:solidFill>
              <a:round/>
            </a:ln>
            <a:effectLst/>
          </c:spPr>
          <c:marker>
            <c:symbol val="circle"/>
            <c:size val="5"/>
            <c:spPr>
              <a:solidFill>
                <a:schemeClr val="accent5"/>
              </a:solidFill>
              <a:ln w="9525">
                <a:solidFill>
                  <a:sysClr val="window" lastClr="FFFFFF"/>
                </a:solidFill>
              </a:ln>
              <a:effectLst/>
            </c:spPr>
          </c:marker>
          <c:cat>
            <c:strRef>
              <c:f>'graf miera náhrady príjmu V4'!$B$9:$P$9</c:f>
              <c:strCach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strCache>
            </c:strRef>
          </c:cat>
          <c:val>
            <c:numRef>
              <c:f>'graf miera náhrady príjmu V4'!$B$14:$P$14</c:f>
              <c:numCache>
                <c:formatCode>#\ ##0.##########</c:formatCode>
                <c:ptCount val="15"/>
                <c:pt idx="0">
                  <c:v>0.61</c:v>
                </c:pt>
                <c:pt idx="1">
                  <c:v>0.62</c:v>
                </c:pt>
                <c:pt idx="2">
                  <c:v>0.57999999999999996</c:v>
                </c:pt>
                <c:pt idx="3">
                  <c:v>0.62</c:v>
                </c:pt>
                <c:pt idx="4">
                  <c:v>0.62</c:v>
                </c:pt>
                <c:pt idx="5">
                  <c:v>0.63</c:v>
                </c:pt>
                <c:pt idx="6">
                  <c:v>0.61</c:v>
                </c:pt>
                <c:pt idx="7">
                  <c:v>0.62</c:v>
                </c:pt>
                <c:pt idx="8">
                  <c:v>0.61</c:v>
                </c:pt>
                <c:pt idx="9">
                  <c:v>0.53</c:v>
                </c:pt>
                <c:pt idx="10">
                  <c:v>0.54</c:v>
                </c:pt>
                <c:pt idx="11">
                  <c:v>0.57999999999999996</c:v>
                </c:pt>
                <c:pt idx="12">
                  <c:v>0.62</c:v>
                </c:pt>
                <c:pt idx="13">
                  <c:v>0.62</c:v>
                </c:pt>
                <c:pt idx="14">
                  <c:v>0.77</c:v>
                </c:pt>
              </c:numCache>
            </c:numRef>
          </c:val>
          <c:smooth val="0"/>
          <c:extLst>
            <c:ext xmlns:c16="http://schemas.microsoft.com/office/drawing/2014/chart" uri="{C3380CC4-5D6E-409C-BE32-E72D297353CC}">
              <c16:uniqueId val="{00000004-0482-463D-91B5-D6854044394B}"/>
            </c:ext>
          </c:extLst>
        </c:ser>
        <c:dLbls>
          <c:showLegendKey val="0"/>
          <c:showVal val="0"/>
          <c:showCatName val="0"/>
          <c:showSerName val="0"/>
          <c:showPercent val="0"/>
          <c:showBubbleSize val="0"/>
        </c:dLbls>
        <c:marker val="1"/>
        <c:smooth val="0"/>
        <c:axId val="1252035695"/>
        <c:axId val="1252032367"/>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min val="0.4"/>
        </c:scaling>
        <c:delete val="0"/>
        <c:axPos val="l"/>
        <c:majorGridlines>
          <c:spPr>
            <a:ln w="9525" cap="flat" cmpd="sng" algn="ctr">
              <a:solidFill>
                <a:schemeClr val="tx1">
                  <a:lumMod val="15000"/>
                  <a:lumOff val="85000"/>
                </a:schemeClr>
              </a:solidFill>
              <a:round/>
            </a:ln>
            <a:effectLst/>
          </c:spPr>
        </c:majorGridlines>
        <c:numFmt formatCode="#\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'české dôchodky graf'!$E$72</c:f>
              <c:strCache>
                <c:ptCount val="1"/>
                <c:pt idx="0">
                  <c:v>Starobný sólo dôchodok v ČR (eur)</c:v>
                </c:pt>
              </c:strCache>
            </c:strRef>
          </c:tx>
          <c:spPr>
            <a:ln w="25400" cap="rnd">
              <a:solidFill>
                <a:schemeClr val="accent1"/>
              </a:solidFill>
              <a:round/>
            </a:ln>
            <a:effectLst/>
          </c:spPr>
          <c:marker>
            <c:symbol val="circle"/>
            <c:size val="5"/>
            <c:spPr>
              <a:solidFill>
                <a:schemeClr val="accent1"/>
              </a:solidFill>
              <a:ln w="12700">
                <a:solidFill>
                  <a:schemeClr val="bg1"/>
                </a:solidFill>
              </a:ln>
              <a:effectLst/>
            </c:spPr>
          </c:marker>
          <c:cat>
            <c:strRef>
              <c:f>'české dôchodky graf'!$B$73:$B$85</c:f>
              <c:strCache>
                <c:ptCount val="13"/>
                <c:pt idx="0">
                  <c:v>12/2012</c:v>
                </c:pt>
                <c:pt idx="1">
                  <c:v>12/2013</c:v>
                </c:pt>
                <c:pt idx="2">
                  <c:v>12/2014</c:v>
                </c:pt>
                <c:pt idx="3">
                  <c:v>12/2015</c:v>
                </c:pt>
                <c:pt idx="4">
                  <c:v>12/2016</c:v>
                </c:pt>
                <c:pt idx="5">
                  <c:v>12/2017</c:v>
                </c:pt>
                <c:pt idx="6">
                  <c:v>12/2018</c:v>
                </c:pt>
                <c:pt idx="7">
                  <c:v>12/2019</c:v>
                </c:pt>
                <c:pt idx="8">
                  <c:v>12/2020</c:v>
                </c:pt>
                <c:pt idx="9">
                  <c:v>12/2021</c:v>
                </c:pt>
                <c:pt idx="10">
                  <c:v>12/2022</c:v>
                </c:pt>
                <c:pt idx="11">
                  <c:v>12/2023</c:v>
                </c:pt>
                <c:pt idx="12">
                  <c:v>12/2024</c:v>
                </c:pt>
              </c:strCache>
            </c:strRef>
          </c:cat>
          <c:val>
            <c:numRef>
              <c:f>'české dôchodky graf'!$E$73:$E$85</c:f>
              <c:numCache>
                <c:formatCode>#,##0.00</c:formatCode>
                <c:ptCount val="13"/>
                <c:pt idx="0">
                  <c:v>428.53166872092561</c:v>
                </c:pt>
                <c:pt idx="1">
                  <c:v>399.97083166223064</c:v>
                </c:pt>
                <c:pt idx="2">
                  <c:v>399.31494501532359</c:v>
                </c:pt>
                <c:pt idx="3">
                  <c:v>419.93857084705621</c:v>
                </c:pt>
                <c:pt idx="4">
                  <c:v>424.1145775507938</c:v>
                </c:pt>
                <c:pt idx="5">
                  <c:v>464.06892500489522</c:v>
                </c:pt>
                <c:pt idx="6">
                  <c:v>482.7398538329964</c:v>
                </c:pt>
                <c:pt idx="7">
                  <c:v>530.06926952141055</c:v>
                </c:pt>
                <c:pt idx="8">
                  <c:v>551.74910448898709</c:v>
                </c:pt>
                <c:pt idx="9">
                  <c:v>620.52457961219727</c:v>
                </c:pt>
                <c:pt idx="10">
                  <c:v>748.9218775916404</c:v>
                </c:pt>
                <c:pt idx="11">
                  <c:v>819.60847759262253</c:v>
                </c:pt>
                <c:pt idx="12">
                  <c:v>821.12368473297602</c:v>
                </c:pt>
              </c:numCache>
            </c:numRef>
          </c:val>
          <c:smooth val="0"/>
          <c:extLst>
            <c:ext xmlns:c16="http://schemas.microsoft.com/office/drawing/2014/chart" uri="{C3380CC4-5D6E-409C-BE32-E72D297353CC}">
              <c16:uniqueId val="{00000000-A73A-4D01-BAE7-2A9F8493AC4A}"/>
            </c:ext>
          </c:extLst>
        </c:ser>
        <c:ser>
          <c:idx val="1"/>
          <c:order val="1"/>
          <c:tx>
            <c:strRef>
              <c:f>'české dôchodky graf'!$F$72</c:f>
              <c:strCache>
                <c:ptCount val="1"/>
                <c:pt idx="0">
                  <c:v>Starobný sólo dôchodok v SR (eur)</c:v>
                </c:pt>
              </c:strCache>
            </c:strRef>
          </c:tx>
          <c:spPr>
            <a:ln w="25400" cap="rnd">
              <a:solidFill>
                <a:schemeClr val="accent2"/>
              </a:solidFill>
              <a:round/>
            </a:ln>
            <a:effectLst/>
          </c:spPr>
          <c:marker>
            <c:symbol val="circle"/>
            <c:size val="5"/>
            <c:spPr>
              <a:solidFill>
                <a:schemeClr val="accent2"/>
              </a:solidFill>
              <a:ln w="12700">
                <a:solidFill>
                  <a:schemeClr val="bg1"/>
                </a:solidFill>
              </a:ln>
              <a:effectLst/>
            </c:spPr>
          </c:marker>
          <c:cat>
            <c:strRef>
              <c:f>'české dôchodky graf'!$B$73:$B$85</c:f>
              <c:strCache>
                <c:ptCount val="13"/>
                <c:pt idx="0">
                  <c:v>12/2012</c:v>
                </c:pt>
                <c:pt idx="1">
                  <c:v>12/2013</c:v>
                </c:pt>
                <c:pt idx="2">
                  <c:v>12/2014</c:v>
                </c:pt>
                <c:pt idx="3">
                  <c:v>12/2015</c:v>
                </c:pt>
                <c:pt idx="4">
                  <c:v>12/2016</c:v>
                </c:pt>
                <c:pt idx="5">
                  <c:v>12/2017</c:v>
                </c:pt>
                <c:pt idx="6">
                  <c:v>12/2018</c:v>
                </c:pt>
                <c:pt idx="7">
                  <c:v>12/2019</c:v>
                </c:pt>
                <c:pt idx="8">
                  <c:v>12/2020</c:v>
                </c:pt>
                <c:pt idx="9">
                  <c:v>12/2021</c:v>
                </c:pt>
                <c:pt idx="10">
                  <c:v>12/2022</c:v>
                </c:pt>
                <c:pt idx="11">
                  <c:v>12/2023</c:v>
                </c:pt>
                <c:pt idx="12">
                  <c:v>12/2024</c:v>
                </c:pt>
              </c:strCache>
            </c:strRef>
          </c:cat>
          <c:val>
            <c:numRef>
              <c:f>'české dôchodky graf'!$F$73:$F$85</c:f>
              <c:numCache>
                <c:formatCode>#,##0.00</c:formatCode>
                <c:ptCount val="13"/>
                <c:pt idx="0">
                  <c:v>375.89</c:v>
                </c:pt>
                <c:pt idx="1">
                  <c:v>390.51</c:v>
                </c:pt>
                <c:pt idx="2">
                  <c:v>400.18</c:v>
                </c:pt>
                <c:pt idx="3">
                  <c:v>411.06</c:v>
                </c:pt>
                <c:pt idx="4">
                  <c:v>417.46</c:v>
                </c:pt>
                <c:pt idx="5">
                  <c:v>428.31</c:v>
                </c:pt>
                <c:pt idx="6">
                  <c:v>444.26</c:v>
                </c:pt>
                <c:pt idx="7">
                  <c:v>460.39</c:v>
                </c:pt>
                <c:pt idx="8">
                  <c:v>487.37</c:v>
                </c:pt>
                <c:pt idx="9" formatCode="General">
                  <c:v>505.68</c:v>
                </c:pt>
                <c:pt idx="10" formatCode="General">
                  <c:v>518.76</c:v>
                </c:pt>
                <c:pt idx="11" formatCode="General">
                  <c:v>648.83000000000004</c:v>
                </c:pt>
                <c:pt idx="12" formatCode="0.00">
                  <c:v>683.1</c:v>
                </c:pt>
              </c:numCache>
            </c:numRef>
          </c:val>
          <c:smooth val="0"/>
          <c:extLst>
            <c:ext xmlns:c16="http://schemas.microsoft.com/office/drawing/2014/chart" uri="{C3380CC4-5D6E-409C-BE32-E72D297353CC}">
              <c16:uniqueId val="{00000001-A73A-4D01-BAE7-2A9F8493AC4A}"/>
            </c:ext>
          </c:extLst>
        </c:ser>
        <c:dLbls>
          <c:showLegendKey val="0"/>
          <c:showVal val="0"/>
          <c:showCatName val="0"/>
          <c:showSerName val="0"/>
          <c:showPercent val="0"/>
          <c:showBubbleSize val="0"/>
        </c:dLbls>
        <c:marker val="1"/>
        <c:smooth val="0"/>
        <c:axId val="1252035695"/>
        <c:axId val="1252032367"/>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min val="3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'Graf 13  vykonnost VS'!$A$4</c:f>
              <c:strCache>
                <c:ptCount val="1"/>
                <c:pt idx="0">
                  <c:v>Česká republika</c:v>
                </c:pt>
              </c:strCache>
            </c:strRef>
          </c:tx>
          <c:spPr>
            <a:ln w="28575" cap="rnd">
              <a:solidFill>
                <a:schemeClr val="accent1"/>
              </a:solidFill>
              <a:round/>
            </a:ln>
            <a:effectLst/>
          </c:spPr>
          <c:marker>
            <c:symbol val="circle"/>
            <c:size val="5"/>
            <c:spPr>
              <a:solidFill>
                <a:schemeClr val="accent1"/>
              </a:solidFill>
              <a:ln w="12700">
                <a:solidFill>
                  <a:schemeClr val="bg1"/>
                </a:solidFill>
              </a:ln>
              <a:effectLst/>
            </c:spPr>
          </c:marker>
          <c:cat>
            <c:numRef>
              <c:f>'Graf 13  vykonnost VS'!$B$2:$K$2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'Graf 13  vykonnost VS'!$B$4:$K$4</c:f>
              <c:numCache>
                <c:formatCode>General</c:formatCode>
                <c:ptCount val="10"/>
                <c:pt idx="0">
                  <c:v>1.03113341331482</c:v>
                </c:pt>
                <c:pt idx="1">
                  <c:v>1.02559614181519</c:v>
                </c:pt>
                <c:pt idx="2">
                  <c:v>1.0081157684326201</c:v>
                </c:pt>
                <c:pt idx="3">
                  <c:v>1.03059422969818</c:v>
                </c:pt>
                <c:pt idx="4">
                  <c:v>0.95115417242050204</c:v>
                </c:pt>
                <c:pt idx="5">
                  <c:v>0.91964274644851696</c:v>
                </c:pt>
                <c:pt idx="6">
                  <c:v>0.91096490621566795</c:v>
                </c:pt>
                <c:pt idx="7">
                  <c:v>1.06974017620087</c:v>
                </c:pt>
                <c:pt idx="8">
                  <c:v>1.0934188365936299</c:v>
                </c:pt>
                <c:pt idx="9">
                  <c:v>1.1140114068985001</c:v>
                </c:pt>
              </c:numCache>
            </c:numRef>
          </c:val>
          <c:smooth val="0"/>
          <c:extLst>
            <c:ext xmlns:c16="http://schemas.microsoft.com/office/drawing/2014/chart" uri="{C3380CC4-5D6E-409C-BE32-E72D297353CC}">
              <c16:uniqueId val="{00000000-36E1-425F-8C2F-A6AEEEB722AC}"/>
            </c:ext>
          </c:extLst>
        </c:ser>
        <c:ser>
          <c:idx val="1"/>
          <c:order val="1"/>
          <c:tx>
            <c:strRef>
              <c:f>'Graf 13  vykonnost VS'!$A$5</c:f>
              <c:strCache>
                <c:ptCount val="1"/>
                <c:pt idx="0">
                  <c:v>Maďarsko</c:v>
                </c:pt>
              </c:strCache>
            </c:strRef>
          </c:tx>
          <c:spPr>
            <a:ln w="28575" cap="rnd">
              <a:solidFill>
                <a:schemeClr val="accent2"/>
              </a:solidFill>
              <a:round/>
            </a:ln>
            <a:effectLst/>
          </c:spPr>
          <c:marker>
            <c:symbol val="circle"/>
            <c:size val="5"/>
            <c:spPr>
              <a:solidFill>
                <a:schemeClr val="accent2"/>
              </a:solidFill>
              <a:ln w="9525">
                <a:solidFill>
                  <a:sysClr val="window" lastClr="FFFFFF"/>
                </a:solidFill>
              </a:ln>
              <a:effectLst/>
            </c:spPr>
          </c:marker>
          <c:cat>
            <c:numRef>
              <c:f>'Graf 13  vykonnost VS'!$B$2:$K$2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'Graf 13  vykonnost VS'!$B$5:$K$5</c:f>
              <c:numCache>
                <c:formatCode>General</c:formatCode>
                <c:ptCount val="10"/>
                <c:pt idx="0">
                  <c:v>0.58289563655853305</c:v>
                </c:pt>
                <c:pt idx="1">
                  <c:v>0.50973695516586304</c:v>
                </c:pt>
                <c:pt idx="2">
                  <c:v>0.457127034664154</c:v>
                </c:pt>
                <c:pt idx="3">
                  <c:v>0.481280267238617</c:v>
                </c:pt>
                <c:pt idx="4">
                  <c:v>0.443152636289597</c:v>
                </c:pt>
                <c:pt idx="5">
                  <c:v>0.45047891139984098</c:v>
                </c:pt>
                <c:pt idx="6">
                  <c:v>0.53853559494018599</c:v>
                </c:pt>
                <c:pt idx="7">
                  <c:v>0.596821069717407</c:v>
                </c:pt>
                <c:pt idx="8">
                  <c:v>0.53386992216110196</c:v>
                </c:pt>
                <c:pt idx="9">
                  <c:v>0.37275889515876798</c:v>
                </c:pt>
              </c:numCache>
            </c:numRef>
          </c:val>
          <c:smooth val="0"/>
          <c:extLst>
            <c:ext xmlns:c16="http://schemas.microsoft.com/office/drawing/2014/chart" uri="{C3380CC4-5D6E-409C-BE32-E72D297353CC}">
              <c16:uniqueId val="{00000001-36E1-425F-8C2F-A6AEEEB722AC}"/>
            </c:ext>
          </c:extLst>
        </c:ser>
        <c:ser>
          <c:idx val="2"/>
          <c:order val="2"/>
          <c:tx>
            <c:strRef>
              <c:f>'Graf 13  vykonnost VS'!$A$6</c:f>
              <c:strCache>
                <c:ptCount val="1"/>
                <c:pt idx="0">
                  <c:v>Poľsko</c:v>
                </c:pt>
              </c:strCache>
            </c:strRef>
          </c:tx>
          <c:spPr>
            <a:ln w="28575" cap="rnd">
              <a:solidFill>
                <a:schemeClr val="accent3"/>
              </a:solidFill>
              <a:round/>
            </a:ln>
            <a:effectLst/>
          </c:spPr>
          <c:marker>
            <c:symbol val="circle"/>
            <c:size val="5"/>
            <c:spPr>
              <a:solidFill>
                <a:schemeClr val="accent3"/>
              </a:solidFill>
              <a:ln w="9525">
                <a:solidFill>
                  <a:sysClr val="window" lastClr="FFFFFF"/>
                </a:solidFill>
              </a:ln>
              <a:effectLst/>
            </c:spPr>
          </c:marker>
          <c:cat>
            <c:numRef>
              <c:f>'Graf 13  vykonnost VS'!$B$2:$K$2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'Graf 13  vykonnost VS'!$B$6:$K$6</c:f>
              <c:numCache>
                <c:formatCode>General</c:formatCode>
                <c:ptCount val="10"/>
                <c:pt idx="0">
                  <c:v>0.76898372173309304</c:v>
                </c:pt>
                <c:pt idx="1">
                  <c:v>0.74108874797821001</c:v>
                </c:pt>
                <c:pt idx="2">
                  <c:v>0.65150606632232699</c:v>
                </c:pt>
                <c:pt idx="3">
                  <c:v>0.55077677965164196</c:v>
                </c:pt>
                <c:pt idx="4">
                  <c:v>0.54689252376556396</c:v>
                </c:pt>
                <c:pt idx="5">
                  <c:v>0.51282483339309703</c:v>
                </c:pt>
                <c:pt idx="6">
                  <c:v>0.324195116758347</c:v>
                </c:pt>
                <c:pt idx="7">
                  <c:v>0.25430637598037698</c:v>
                </c:pt>
                <c:pt idx="8">
                  <c:v>0.258881956338882</c:v>
                </c:pt>
                <c:pt idx="9">
                  <c:v>0.42143779993057301</c:v>
                </c:pt>
              </c:numCache>
            </c:numRef>
          </c:val>
          <c:smooth val="0"/>
          <c:extLst>
            <c:ext xmlns:c16="http://schemas.microsoft.com/office/drawing/2014/chart" uri="{C3380CC4-5D6E-409C-BE32-E72D297353CC}">
              <c16:uniqueId val="{00000002-36E1-425F-8C2F-A6AEEEB722AC}"/>
            </c:ext>
          </c:extLst>
        </c:ser>
        <c:ser>
          <c:idx val="3"/>
          <c:order val="3"/>
          <c:tx>
            <c:strRef>
              <c:f>'Graf 13  vykonnost VS'!$A$7</c:f>
              <c:strCache>
                <c:ptCount val="1"/>
                <c:pt idx="0">
                  <c:v>Slovensko</c:v>
                </c:pt>
              </c:strCache>
            </c:strRef>
          </c:tx>
          <c:spPr>
            <a:ln w="28575" cap="rnd">
              <a:solidFill>
                <a:schemeClr val="accent4"/>
              </a:solidFill>
              <a:round/>
            </a:ln>
            <a:effectLst/>
          </c:spPr>
          <c:marker>
            <c:symbol val="circle"/>
            <c:size val="5"/>
            <c:spPr>
              <a:solidFill>
                <a:schemeClr val="accent4"/>
              </a:solidFill>
              <a:ln w="9525">
                <a:solidFill>
                  <a:sysClr val="window" lastClr="FFFFFF"/>
                </a:solidFill>
              </a:ln>
              <a:effectLst/>
            </c:spPr>
          </c:marker>
          <c:cat>
            <c:numRef>
              <c:f>'Graf 13  vykonnost VS'!$B$2:$K$2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'Graf 13  vykonnost VS'!$B$7:$K$7</c:f>
              <c:numCache>
                <c:formatCode>General</c:formatCode>
                <c:ptCount val="10"/>
                <c:pt idx="0">
                  <c:v>0.79342287778854403</c:v>
                </c:pt>
                <c:pt idx="1">
                  <c:v>0.73697715997695901</c:v>
                </c:pt>
                <c:pt idx="2">
                  <c:v>0.79348284006118797</c:v>
                </c:pt>
                <c:pt idx="3">
                  <c:v>0.66643911600112904</c:v>
                </c:pt>
                <c:pt idx="4">
                  <c:v>0.58132147789001498</c:v>
                </c:pt>
                <c:pt idx="5">
                  <c:v>0.54965877532958995</c:v>
                </c:pt>
                <c:pt idx="6">
                  <c:v>0.50214582681655895</c:v>
                </c:pt>
                <c:pt idx="7">
                  <c:v>0.49065583944320701</c:v>
                </c:pt>
                <c:pt idx="8">
                  <c:v>0.37813466787338301</c:v>
                </c:pt>
                <c:pt idx="9">
                  <c:v>0.229512304067612</c:v>
                </c:pt>
              </c:numCache>
            </c:numRef>
          </c:val>
          <c:smooth val="0"/>
          <c:extLst>
            <c:ext xmlns:c16="http://schemas.microsoft.com/office/drawing/2014/chart" uri="{C3380CC4-5D6E-409C-BE32-E72D297353CC}">
              <c16:uniqueId val="{00000003-36E1-425F-8C2F-A6AEEEB722AC}"/>
            </c:ext>
          </c:extLst>
        </c:ser>
        <c:ser>
          <c:idx val="4"/>
          <c:order val="4"/>
          <c:tx>
            <c:strRef>
              <c:f>'Graf 13  vykonnost VS'!$A$8</c:f>
              <c:strCache>
                <c:ptCount val="1"/>
                <c:pt idx="0">
                  <c:v>Priemer EU</c:v>
                </c:pt>
              </c:strCache>
            </c:strRef>
          </c:tx>
          <c:spPr>
            <a:ln w="25400" cap="rnd">
              <a:solidFill>
                <a:schemeClr val="accent5"/>
              </a:solidFill>
              <a:round/>
            </a:ln>
            <a:effectLst/>
          </c:spPr>
          <c:marker>
            <c:symbol val="circle"/>
            <c:size val="5"/>
            <c:spPr>
              <a:solidFill>
                <a:schemeClr val="accent5"/>
              </a:solidFill>
              <a:ln w="9525">
                <a:solidFill>
                  <a:sysClr val="window" lastClr="FFFFFF"/>
                </a:solidFill>
              </a:ln>
              <a:effectLst/>
            </c:spPr>
          </c:marker>
          <c:cat>
            <c:numRef>
              <c:f>'Graf 13  vykonnost VS'!$B$2:$K$2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'Graf 13  vykonnost VS'!$B$8:$K$8</c:f>
              <c:numCache>
                <c:formatCode>General</c:formatCode>
                <c:ptCount val="10"/>
                <c:pt idx="0">
                  <c:v>1.1298613344077713</c:v>
                </c:pt>
                <c:pt idx="1">
                  <c:v>1.1094297023352095</c:v>
                </c:pt>
                <c:pt idx="2">
                  <c:v>1.0817994817539502</c:v>
                </c:pt>
                <c:pt idx="3">
                  <c:v>1.0699135799098896</c:v>
                </c:pt>
                <c:pt idx="4">
                  <c:v>1.0676360588382794</c:v>
                </c:pt>
                <c:pt idx="5">
                  <c:v>1.0531095912059145</c:v>
                </c:pt>
                <c:pt idx="6">
                  <c:v>1.0164169056548011</c:v>
                </c:pt>
                <c:pt idx="7">
                  <c:v>1.0195800364017482</c:v>
                </c:pt>
                <c:pt idx="8">
                  <c:v>1.0193727116652387</c:v>
                </c:pt>
                <c:pt idx="9">
                  <c:v>1.0026249249500259</c:v>
                </c:pt>
              </c:numCache>
            </c:numRef>
          </c:val>
          <c:smooth val="0"/>
          <c:extLst>
            <c:ext xmlns:c16="http://schemas.microsoft.com/office/drawing/2014/chart" uri="{C3380CC4-5D6E-409C-BE32-E72D297353CC}">
              <c16:uniqueId val="{00000004-36E1-425F-8C2F-A6AEEEB722AC}"/>
            </c:ext>
          </c:extLst>
        </c:ser>
        <c:dLbls>
          <c:showLegendKey val="0"/>
          <c:showVal val="0"/>
          <c:showCatName val="0"/>
          <c:showSerName val="0"/>
          <c:showPercent val="0"/>
          <c:showBubbleSize val="0"/>
        </c:dLbls>
        <c:marker val="1"/>
        <c:smooth val="0"/>
        <c:axId val="863897952"/>
        <c:axId val="863900832"/>
      </c:lineChart>
      <c:catAx>
        <c:axId val="86389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63900832"/>
        <c:crosses val="autoZero"/>
        <c:auto val="1"/>
        <c:lblAlgn val="ctr"/>
        <c:lblOffset val="100"/>
        <c:noMultiLvlLbl val="0"/>
      </c:catAx>
      <c:valAx>
        <c:axId val="863900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63897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'Tab 1'!$B$18</c:f>
              <c:strCache>
                <c:ptCount val="1"/>
                <c:pt idx="0">
                  <c:v>sociálne transfery</c:v>
                </c:pt>
              </c:strCache>
            </c:strRef>
          </c:tx>
          <c:spPr>
            <a:solidFill>
              <a:schemeClr val="accent1">
                <a:lumMod val="50000"/>
              </a:schemeClr>
            </a:solidFill>
            <a:ln w="25400">
              <a:noFill/>
            </a:ln>
            <a:effectLst/>
          </c:spPr>
          <c:cat>
            <c:strRef>
              <c:f>'Tab 1'!$H$17:$P$17</c:f>
              <c:strCache>
                <c:ptCount val="9"/>
                <c:pt idx="0">
                  <c:v>2020</c:v>
                </c:pt>
                <c:pt idx="1">
                  <c:v>2021</c:v>
                </c:pt>
                <c:pt idx="2">
                  <c:v>2022</c:v>
                </c:pt>
                <c:pt idx="3">
                  <c:v>2023</c:v>
                </c:pt>
                <c:pt idx="4">
                  <c:v>2024</c:v>
                </c:pt>
                <c:pt idx="5">
                  <c:v>2025 OS</c:v>
                </c:pt>
                <c:pt idx="6">
                  <c:v>2026 N</c:v>
                </c:pt>
                <c:pt idx="7">
                  <c:v>2027 N</c:v>
                </c:pt>
                <c:pt idx="8">
                  <c:v>2028 N</c:v>
                </c:pt>
              </c:strCache>
            </c:strRef>
          </c:cat>
          <c:val>
            <c:numRef>
              <c:f>'Tab 1'!$H$18:$P$18</c:f>
              <c:numCache>
                <c:formatCode>_-* #\ ##0_-;\-* #\ ##0_-;_-* "-"??_-;_-@_-</c:formatCode>
                <c:ptCount val="9"/>
                <c:pt idx="0">
                  <c:v>16824.3</c:v>
                </c:pt>
                <c:pt idx="1">
                  <c:v>18456</c:v>
                </c:pt>
                <c:pt idx="2">
                  <c:v>19737.400000000001</c:v>
                </c:pt>
                <c:pt idx="3">
                  <c:v>24445.599999999999</c:v>
                </c:pt>
                <c:pt idx="4">
                  <c:v>27259.699999999997</c:v>
                </c:pt>
                <c:pt idx="5">
                  <c:v>27886.721999999998</c:v>
                </c:pt>
                <c:pt idx="6">
                  <c:v>28250.042999999998</c:v>
                </c:pt>
                <c:pt idx="7">
                  <c:v>29492.263999999999</c:v>
                </c:pt>
                <c:pt idx="8">
                  <c:v>30458</c:v>
                </c:pt>
              </c:numCache>
            </c:numRef>
          </c:val>
          <c:extLst>
            <c:ext xmlns:c16="http://schemas.microsoft.com/office/drawing/2014/chart" uri="{C3380CC4-5D6E-409C-BE32-E72D297353CC}">
              <c16:uniqueId val="{00000000-F002-4E93-A0C7-EA285A34EFD5}"/>
            </c:ext>
          </c:extLst>
        </c:ser>
        <c:ser>
          <c:idx val="1"/>
          <c:order val="1"/>
          <c:tx>
            <c:strRef>
              <c:f>'Tab 1'!$B$19</c:f>
              <c:strCache>
                <c:ptCount val="1"/>
                <c:pt idx="0">
                  <c:v>kompenzácie zamestnancov VS</c:v>
                </c:pt>
              </c:strCache>
            </c:strRef>
          </c:tx>
          <c:spPr>
            <a:solidFill>
              <a:schemeClr val="accent1">
                <a:lumMod val="75000"/>
              </a:schemeClr>
            </a:solidFill>
            <a:ln w="25400">
              <a:noFill/>
            </a:ln>
            <a:effectLst/>
          </c:spPr>
          <c:cat>
            <c:strRef>
              <c:f>'Tab 1'!$H$17:$P$17</c:f>
              <c:strCache>
                <c:ptCount val="9"/>
                <c:pt idx="0">
                  <c:v>2020</c:v>
                </c:pt>
                <c:pt idx="1">
                  <c:v>2021</c:v>
                </c:pt>
                <c:pt idx="2">
                  <c:v>2022</c:v>
                </c:pt>
                <c:pt idx="3">
                  <c:v>2023</c:v>
                </c:pt>
                <c:pt idx="4">
                  <c:v>2024</c:v>
                </c:pt>
                <c:pt idx="5">
                  <c:v>2025 OS</c:v>
                </c:pt>
                <c:pt idx="6">
                  <c:v>2026 N</c:v>
                </c:pt>
                <c:pt idx="7">
                  <c:v>2027 N</c:v>
                </c:pt>
                <c:pt idx="8">
                  <c:v>2028 N</c:v>
                </c:pt>
              </c:strCache>
            </c:strRef>
          </c:cat>
          <c:val>
            <c:numRef>
              <c:f>'Tab 1'!$H$19:$P$19</c:f>
              <c:numCache>
                <c:formatCode>_-* #\ ##0_-;\-* #\ ##0_-;_-* "-"??_-;_-@_-</c:formatCode>
                <c:ptCount val="9"/>
                <c:pt idx="0">
                  <c:v>10620.4</c:v>
                </c:pt>
                <c:pt idx="1">
                  <c:v>11408.6</c:v>
                </c:pt>
                <c:pt idx="2">
                  <c:v>11893.7</c:v>
                </c:pt>
                <c:pt idx="3">
                  <c:v>13551.7</c:v>
                </c:pt>
                <c:pt idx="4">
                  <c:v>14833.3</c:v>
                </c:pt>
                <c:pt idx="5">
                  <c:v>15340.546999999999</c:v>
                </c:pt>
                <c:pt idx="6">
                  <c:v>16029.974999999999</c:v>
                </c:pt>
                <c:pt idx="7">
                  <c:v>16343.931999999999</c:v>
                </c:pt>
                <c:pt idx="8">
                  <c:v>16652</c:v>
                </c:pt>
              </c:numCache>
            </c:numRef>
          </c:val>
          <c:extLst>
            <c:ext xmlns:c16="http://schemas.microsoft.com/office/drawing/2014/chart" uri="{C3380CC4-5D6E-409C-BE32-E72D297353CC}">
              <c16:uniqueId val="{00000001-F002-4E93-A0C7-EA285A34EFD5}"/>
            </c:ext>
          </c:extLst>
        </c:ser>
        <c:ser>
          <c:idx val="2"/>
          <c:order val="2"/>
          <c:tx>
            <c:strRef>
              <c:f>'Tab 1'!$B$20</c:f>
              <c:strCache>
                <c:ptCount val="1"/>
                <c:pt idx="0">
                  <c:v>medzispotreba</c:v>
                </c:pt>
              </c:strCache>
            </c:strRef>
          </c:tx>
          <c:spPr>
            <a:solidFill>
              <a:schemeClr val="accent1">
                <a:lumMod val="60000"/>
                <a:lumOff val="40000"/>
              </a:schemeClr>
            </a:solidFill>
            <a:ln w="25400">
              <a:noFill/>
            </a:ln>
            <a:effectLst/>
          </c:spPr>
          <c:cat>
            <c:strRef>
              <c:f>'Tab 1'!$H$17:$P$17</c:f>
              <c:strCache>
                <c:ptCount val="9"/>
                <c:pt idx="0">
                  <c:v>2020</c:v>
                </c:pt>
                <c:pt idx="1">
                  <c:v>2021</c:v>
                </c:pt>
                <c:pt idx="2">
                  <c:v>2022</c:v>
                </c:pt>
                <c:pt idx="3">
                  <c:v>2023</c:v>
                </c:pt>
                <c:pt idx="4">
                  <c:v>2024</c:v>
                </c:pt>
                <c:pt idx="5">
                  <c:v>2025 OS</c:v>
                </c:pt>
                <c:pt idx="6">
                  <c:v>2026 N</c:v>
                </c:pt>
                <c:pt idx="7">
                  <c:v>2027 N</c:v>
                </c:pt>
                <c:pt idx="8">
                  <c:v>2028 N</c:v>
                </c:pt>
              </c:strCache>
            </c:strRef>
          </c:cat>
          <c:val>
            <c:numRef>
              <c:f>'Tab 1'!$H$20:$P$20</c:f>
              <c:numCache>
                <c:formatCode>_-* #\ ##0_-;\-* #\ ##0_-;_-* "-"??_-;_-@_-</c:formatCode>
                <c:ptCount val="9"/>
                <c:pt idx="0">
                  <c:v>5154.7</c:v>
                </c:pt>
                <c:pt idx="1">
                  <c:v>5716.8</c:v>
                </c:pt>
                <c:pt idx="2">
                  <c:v>6597.8</c:v>
                </c:pt>
                <c:pt idx="3">
                  <c:v>6679.7</c:v>
                </c:pt>
                <c:pt idx="4">
                  <c:v>7463.9</c:v>
                </c:pt>
                <c:pt idx="5">
                  <c:v>8679.9459999999999</c:v>
                </c:pt>
                <c:pt idx="6">
                  <c:v>8789.58</c:v>
                </c:pt>
                <c:pt idx="7">
                  <c:v>8825.6489999999994</c:v>
                </c:pt>
                <c:pt idx="8">
                  <c:v>8962</c:v>
                </c:pt>
              </c:numCache>
            </c:numRef>
          </c:val>
          <c:extLst>
            <c:ext xmlns:c16="http://schemas.microsoft.com/office/drawing/2014/chart" uri="{C3380CC4-5D6E-409C-BE32-E72D297353CC}">
              <c16:uniqueId val="{00000002-F002-4E93-A0C7-EA285A34EFD5}"/>
            </c:ext>
          </c:extLst>
        </c:ser>
        <c:ser>
          <c:idx val="3"/>
          <c:order val="3"/>
          <c:tx>
            <c:strRef>
              <c:f>'Tab 1'!$B$21</c:f>
              <c:strCache>
                <c:ptCount val="1"/>
                <c:pt idx="0">
                  <c:v>kapitálové výdavky</c:v>
                </c:pt>
              </c:strCache>
            </c:strRef>
          </c:tx>
          <c:spPr>
            <a:solidFill>
              <a:schemeClr val="bg1">
                <a:lumMod val="85000"/>
              </a:schemeClr>
            </a:solidFill>
            <a:ln w="25400">
              <a:noFill/>
            </a:ln>
            <a:effectLst/>
          </c:spPr>
          <c:cat>
            <c:strRef>
              <c:f>'Tab 1'!$H$17:$P$17</c:f>
              <c:strCache>
                <c:ptCount val="9"/>
                <c:pt idx="0">
                  <c:v>2020</c:v>
                </c:pt>
                <c:pt idx="1">
                  <c:v>2021</c:v>
                </c:pt>
                <c:pt idx="2">
                  <c:v>2022</c:v>
                </c:pt>
                <c:pt idx="3">
                  <c:v>2023</c:v>
                </c:pt>
                <c:pt idx="4">
                  <c:v>2024</c:v>
                </c:pt>
                <c:pt idx="5">
                  <c:v>2025 OS</c:v>
                </c:pt>
                <c:pt idx="6">
                  <c:v>2026 N</c:v>
                </c:pt>
                <c:pt idx="7">
                  <c:v>2027 N</c:v>
                </c:pt>
                <c:pt idx="8">
                  <c:v>2028 N</c:v>
                </c:pt>
              </c:strCache>
            </c:strRef>
          </c:cat>
          <c:val>
            <c:numRef>
              <c:f>'Tab 1'!$H$21:$P$21</c:f>
              <c:numCache>
                <c:formatCode>_-* #\ ##0_-;\-* #\ ##0_-;_-* "-"??_-;_-@_-</c:formatCode>
                <c:ptCount val="9"/>
                <c:pt idx="0">
                  <c:v>4077.1</c:v>
                </c:pt>
                <c:pt idx="1">
                  <c:v>3795.9</c:v>
                </c:pt>
                <c:pt idx="2">
                  <c:v>4290.7</c:v>
                </c:pt>
                <c:pt idx="3">
                  <c:v>6669.9000000000005</c:v>
                </c:pt>
                <c:pt idx="4">
                  <c:v>5361.0999999999995</c:v>
                </c:pt>
                <c:pt idx="5">
                  <c:v>8693</c:v>
                </c:pt>
                <c:pt idx="6">
                  <c:v>8221.8159999999989</c:v>
                </c:pt>
                <c:pt idx="7">
                  <c:v>6432.9980000000005</c:v>
                </c:pt>
                <c:pt idx="8">
                  <c:v>6405.1850000000004</c:v>
                </c:pt>
              </c:numCache>
            </c:numRef>
          </c:val>
          <c:extLst>
            <c:ext xmlns:c16="http://schemas.microsoft.com/office/drawing/2014/chart" uri="{C3380CC4-5D6E-409C-BE32-E72D297353CC}">
              <c16:uniqueId val="{00000003-F002-4E93-A0C7-EA285A34EFD5}"/>
            </c:ext>
          </c:extLst>
        </c:ser>
        <c:ser>
          <c:idx val="4"/>
          <c:order val="4"/>
          <c:tx>
            <c:strRef>
              <c:f>'Tab 1'!$B$22</c:f>
              <c:strCache>
                <c:ptCount val="1"/>
                <c:pt idx="0">
                  <c:v>ostatné výdavky VS</c:v>
                </c:pt>
              </c:strCache>
            </c:strRef>
          </c:tx>
          <c:spPr>
            <a:solidFill>
              <a:sysClr val="windowText" lastClr="000000">
                <a:lumMod val="50000"/>
                <a:lumOff val="50000"/>
              </a:sysClr>
            </a:solidFill>
            <a:ln w="25400">
              <a:noFill/>
            </a:ln>
            <a:effectLst/>
          </c:spPr>
          <c:cat>
            <c:strRef>
              <c:f>'Tab 1'!$H$17:$P$17</c:f>
              <c:strCache>
                <c:ptCount val="9"/>
                <c:pt idx="0">
                  <c:v>2020</c:v>
                </c:pt>
                <c:pt idx="1">
                  <c:v>2021</c:v>
                </c:pt>
                <c:pt idx="2">
                  <c:v>2022</c:v>
                </c:pt>
                <c:pt idx="3">
                  <c:v>2023</c:v>
                </c:pt>
                <c:pt idx="4">
                  <c:v>2024</c:v>
                </c:pt>
                <c:pt idx="5">
                  <c:v>2025 OS</c:v>
                </c:pt>
                <c:pt idx="6">
                  <c:v>2026 N</c:v>
                </c:pt>
                <c:pt idx="7">
                  <c:v>2027 N</c:v>
                </c:pt>
                <c:pt idx="8">
                  <c:v>2028 N</c:v>
                </c:pt>
              </c:strCache>
            </c:strRef>
          </c:cat>
          <c:val>
            <c:numRef>
              <c:f>'Tab 1'!$H$22:$P$22</c:f>
              <c:numCache>
                <c:formatCode>_-* #\ ##0_-;\-* #\ ##0_-;_-* "-"??_-;_-@_-</c:formatCode>
                <c:ptCount val="9"/>
                <c:pt idx="0">
                  <c:v>5295.8999999999887</c:v>
                </c:pt>
                <c:pt idx="1">
                  <c:v>6389.6</c:v>
                </c:pt>
                <c:pt idx="2">
                  <c:v>4808.8999999999987</c:v>
                </c:pt>
                <c:pt idx="3">
                  <c:v>8080.7999999999965</c:v>
                </c:pt>
                <c:pt idx="4">
                  <c:v>6795.9000000000133</c:v>
                </c:pt>
                <c:pt idx="5">
                  <c:v>6362.8530000000064</c:v>
                </c:pt>
                <c:pt idx="6">
                  <c:v>6584.4430000000084</c:v>
                </c:pt>
                <c:pt idx="7">
                  <c:v>9223.3339999999844</c:v>
                </c:pt>
                <c:pt idx="8">
                  <c:v>8971.8149999999987</c:v>
                </c:pt>
              </c:numCache>
            </c:numRef>
          </c:val>
          <c:extLst>
            <c:ext xmlns:c16="http://schemas.microsoft.com/office/drawing/2014/chart" uri="{C3380CC4-5D6E-409C-BE32-E72D297353CC}">
              <c16:uniqueId val="{00000004-F002-4E93-A0C7-EA285A34EFD5}"/>
            </c:ext>
          </c:extLst>
        </c:ser>
        <c:dLbls>
          <c:showLegendKey val="0"/>
          <c:showVal val="0"/>
          <c:showCatName val="0"/>
          <c:showSerName val="0"/>
          <c:showPercent val="0"/>
          <c:showBubbleSize val="0"/>
        </c:dLbls>
        <c:axId val="1325684160"/>
        <c:axId val="1325686080"/>
      </c:areaChart>
      <c:catAx>
        <c:axId val="132568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ln>
                  <a:noFill/>
                </a:ln>
                <a:solidFill>
                  <a:schemeClr val="tx2"/>
                </a:solidFill>
                <a:latin typeface="Segoe UI" panose="020B0502040204020203" pitchFamily="34" charset="0"/>
                <a:ea typeface="+mn-ea"/>
                <a:cs typeface="Segoe UI" panose="020B0502040204020203" pitchFamily="34" charset="0"/>
              </a:defRPr>
            </a:pPr>
            <a:endParaRPr lang="sk-SK"/>
          </a:p>
        </c:txPr>
        <c:crossAx val="1325686080"/>
        <c:crosses val="autoZero"/>
        <c:auto val="1"/>
        <c:lblAlgn val="ctr"/>
        <c:lblOffset val="100"/>
        <c:noMultiLvlLbl val="0"/>
      </c:catAx>
      <c:valAx>
        <c:axId val="1325686080"/>
        <c:scaling>
          <c:orientation val="minMax"/>
        </c:scaling>
        <c:delete val="0"/>
        <c:axPos val="l"/>
        <c:majorGridlines>
          <c:spPr>
            <a:ln w="9525"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ln>
                  <a:noFill/>
                </a:ln>
                <a:solidFill>
                  <a:schemeClr val="tx2"/>
                </a:solidFill>
                <a:latin typeface="Segoe UI" panose="020B0502040204020203" pitchFamily="34" charset="0"/>
                <a:ea typeface="+mn-ea"/>
                <a:cs typeface="Segoe UI" panose="020B0502040204020203" pitchFamily="34" charset="0"/>
              </a:defRPr>
            </a:pPr>
            <a:endParaRPr lang="sk-SK"/>
          </a:p>
        </c:txPr>
        <c:crossAx val="13256841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ln>
                <a:noFill/>
              </a:ln>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zero"/>
    <c:showDLblsOverMax val="0"/>
  </c:chart>
  <c:spPr>
    <a:noFill/>
    <a:ln w="9525" cap="flat" cmpd="sng" algn="ctr">
      <a:noFill/>
      <a:round/>
    </a:ln>
    <a:effectLst/>
  </c:spPr>
  <c:txPr>
    <a:bodyPr/>
    <a:lstStyle/>
    <a:p>
      <a:pPr>
        <a:defRPr sz="800">
          <a:ln>
            <a:noFill/>
          </a:ln>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63546866454265"/>
          <c:y val="6.8497685185185189E-2"/>
          <c:w val="0.74345206573544353"/>
          <c:h val="0.58697222222222223"/>
        </c:manualLayout>
      </c:layout>
      <c:barChart>
        <c:barDir val="col"/>
        <c:grouping val="stacked"/>
        <c:varyColors val="0"/>
        <c:ser>
          <c:idx val="0"/>
          <c:order val="0"/>
          <c:tx>
            <c:strRef>
              <c:f>'graf 15 zamestnanost vo VS'!$B$4</c:f>
              <c:strCache>
                <c:ptCount val="1"/>
                <c:pt idx="0">
                  <c:v>Ústredná správa spolu (bez SIS)</c:v>
                </c:pt>
              </c:strCache>
            </c:strRef>
          </c:tx>
          <c:spPr>
            <a:solidFill>
              <a:schemeClr val="accent1"/>
            </a:solidFill>
            <a:ln>
              <a:noFill/>
            </a:ln>
            <a:effectLst/>
          </c:spPr>
          <c:invertIfNegative val="0"/>
          <c:cat>
            <c:strRef>
              <c:f>'graf 15 zamestnanost vo VS'!$C$3:$I$3</c:f>
              <c:strCache>
                <c:ptCount val="7"/>
                <c:pt idx="0">
                  <c:v>2023  S</c:v>
                </c:pt>
                <c:pt idx="1">
                  <c:v>2024  S</c:v>
                </c:pt>
                <c:pt idx="2">
                  <c:v>2025  R</c:v>
                </c:pt>
                <c:pt idx="3">
                  <c:v>2025  OS</c:v>
                </c:pt>
                <c:pt idx="4">
                  <c:v>2026  N</c:v>
                </c:pt>
                <c:pt idx="5">
                  <c:v>2027  N</c:v>
                </c:pt>
                <c:pt idx="6">
                  <c:v>2028  N</c:v>
                </c:pt>
              </c:strCache>
            </c:strRef>
          </c:cat>
          <c:val>
            <c:numRef>
              <c:f>'graf 15 zamestnanost vo VS'!$C$4:$I$4</c:f>
              <c:numCache>
                <c:formatCode>#,##0</c:formatCode>
                <c:ptCount val="7"/>
                <c:pt idx="0">
                  <c:v>228043</c:v>
                </c:pt>
                <c:pt idx="1">
                  <c:v>227839</c:v>
                </c:pt>
                <c:pt idx="2">
                  <c:v>234160</c:v>
                </c:pt>
                <c:pt idx="3">
                  <c:v>228855</c:v>
                </c:pt>
                <c:pt idx="4">
                  <c:v>233236</c:v>
                </c:pt>
                <c:pt idx="5">
                  <c:v>231639</c:v>
                </c:pt>
                <c:pt idx="6">
                  <c:v>231602</c:v>
                </c:pt>
              </c:numCache>
            </c:numRef>
          </c:val>
          <c:extLst>
            <c:ext xmlns:c16="http://schemas.microsoft.com/office/drawing/2014/chart" uri="{C3380CC4-5D6E-409C-BE32-E72D297353CC}">
              <c16:uniqueId val="{00000000-DA04-406E-A5BC-6027470C1D5C}"/>
            </c:ext>
          </c:extLst>
        </c:ser>
        <c:ser>
          <c:idx val="1"/>
          <c:order val="1"/>
          <c:tx>
            <c:strRef>
              <c:f>'graf 15 zamestnanost vo VS'!$B$5</c:f>
              <c:strCache>
                <c:ptCount val="1"/>
                <c:pt idx="0">
                  <c:v>Územná samospráva spolu (vr. zdrav. zariadení a DP)</c:v>
                </c:pt>
              </c:strCache>
            </c:strRef>
          </c:tx>
          <c:spPr>
            <a:solidFill>
              <a:schemeClr val="accent2"/>
            </a:solidFill>
            <a:ln>
              <a:noFill/>
            </a:ln>
            <a:effectLst/>
          </c:spPr>
          <c:invertIfNegative val="0"/>
          <c:cat>
            <c:strRef>
              <c:f>'graf 15 zamestnanost vo VS'!$C$3:$I$3</c:f>
              <c:strCache>
                <c:ptCount val="7"/>
                <c:pt idx="0">
                  <c:v>2023  S</c:v>
                </c:pt>
                <c:pt idx="1">
                  <c:v>2024  S</c:v>
                </c:pt>
                <c:pt idx="2">
                  <c:v>2025  R</c:v>
                </c:pt>
                <c:pt idx="3">
                  <c:v>2025  OS</c:v>
                </c:pt>
                <c:pt idx="4">
                  <c:v>2026  N</c:v>
                </c:pt>
                <c:pt idx="5">
                  <c:v>2027  N</c:v>
                </c:pt>
                <c:pt idx="6">
                  <c:v>2028  N</c:v>
                </c:pt>
              </c:strCache>
            </c:strRef>
          </c:cat>
          <c:val>
            <c:numRef>
              <c:f>'graf 15 zamestnanost vo VS'!$C$5:$I$5</c:f>
              <c:numCache>
                <c:formatCode>#,##0</c:formatCode>
                <c:ptCount val="7"/>
                <c:pt idx="0">
                  <c:v>202311</c:v>
                </c:pt>
                <c:pt idx="1">
                  <c:v>205762</c:v>
                </c:pt>
                <c:pt idx="2">
                  <c:v>205784</c:v>
                </c:pt>
                <c:pt idx="3">
                  <c:v>209352</c:v>
                </c:pt>
                <c:pt idx="4">
                  <c:v>209594</c:v>
                </c:pt>
                <c:pt idx="5">
                  <c:v>209567</c:v>
                </c:pt>
                <c:pt idx="6">
                  <c:v>209595</c:v>
                </c:pt>
              </c:numCache>
            </c:numRef>
          </c:val>
          <c:extLst>
            <c:ext xmlns:c16="http://schemas.microsoft.com/office/drawing/2014/chart" uri="{C3380CC4-5D6E-409C-BE32-E72D297353CC}">
              <c16:uniqueId val="{00000001-DA04-406E-A5BC-6027470C1D5C}"/>
            </c:ext>
          </c:extLst>
        </c:ser>
        <c:ser>
          <c:idx val="2"/>
          <c:order val="2"/>
          <c:tx>
            <c:strRef>
              <c:f>'graf 15 zamestnanost vo VS'!$B$6</c:f>
              <c:strCache>
                <c:ptCount val="1"/>
                <c:pt idx="0">
                  <c:v>Fondy sociálneho a zdravotného poistenia spolu</c:v>
                </c:pt>
              </c:strCache>
            </c:strRef>
          </c:tx>
          <c:spPr>
            <a:solidFill>
              <a:schemeClr val="accent3"/>
            </a:solidFill>
            <a:ln w="25400">
              <a:noFill/>
            </a:ln>
            <a:effectLst/>
          </c:spPr>
          <c:invertIfNegative val="0"/>
          <c:cat>
            <c:strRef>
              <c:f>'graf 15 zamestnanost vo VS'!$C$3:$I$3</c:f>
              <c:strCache>
                <c:ptCount val="7"/>
                <c:pt idx="0">
                  <c:v>2023  S</c:v>
                </c:pt>
                <c:pt idx="1">
                  <c:v>2024  S</c:v>
                </c:pt>
                <c:pt idx="2">
                  <c:v>2025  R</c:v>
                </c:pt>
                <c:pt idx="3">
                  <c:v>2025  OS</c:v>
                </c:pt>
                <c:pt idx="4">
                  <c:v>2026  N</c:v>
                </c:pt>
                <c:pt idx="5">
                  <c:v>2027  N</c:v>
                </c:pt>
                <c:pt idx="6">
                  <c:v>2028  N</c:v>
                </c:pt>
              </c:strCache>
            </c:strRef>
          </c:cat>
          <c:val>
            <c:numRef>
              <c:f>'graf 15 zamestnanost vo VS'!$C$6:$I$6</c:f>
              <c:numCache>
                <c:formatCode>#,##0</c:formatCode>
                <c:ptCount val="7"/>
                <c:pt idx="0">
                  <c:v>7279</c:v>
                </c:pt>
                <c:pt idx="1">
                  <c:v>7240</c:v>
                </c:pt>
                <c:pt idx="2">
                  <c:v>7407</c:v>
                </c:pt>
                <c:pt idx="3">
                  <c:v>7253</c:v>
                </c:pt>
                <c:pt idx="4">
                  <c:v>7307</c:v>
                </c:pt>
                <c:pt idx="5">
                  <c:v>7182</c:v>
                </c:pt>
                <c:pt idx="6">
                  <c:v>7182</c:v>
                </c:pt>
              </c:numCache>
            </c:numRef>
          </c:val>
          <c:extLst>
            <c:ext xmlns:c16="http://schemas.microsoft.com/office/drawing/2014/chart" uri="{C3380CC4-5D6E-409C-BE32-E72D297353CC}">
              <c16:uniqueId val="{00000002-DA04-406E-A5BC-6027470C1D5C}"/>
            </c:ext>
          </c:extLst>
        </c:ser>
        <c:dLbls>
          <c:showLegendKey val="0"/>
          <c:showVal val="0"/>
          <c:showCatName val="0"/>
          <c:showSerName val="0"/>
          <c:showPercent val="0"/>
          <c:showBubbleSize val="0"/>
        </c:dLbls>
        <c:gapWidth val="100"/>
        <c:overlap val="100"/>
        <c:axId val="2001356319"/>
        <c:axId val="2001364223"/>
      </c:barChart>
      <c:lineChart>
        <c:grouping val="standard"/>
        <c:varyColors val="0"/>
        <c:ser>
          <c:idx val="3"/>
          <c:order val="3"/>
          <c:tx>
            <c:strRef>
              <c:f>'graf 15 zamestnanost vo VS'!$B$7</c:f>
              <c:strCache>
                <c:ptCount val="1"/>
                <c:pt idx="0">
                  <c:v>Osobné výdavky (pravá os)</c:v>
                </c:pt>
              </c:strCache>
            </c:strRef>
          </c:tx>
          <c:spPr>
            <a:ln w="25400" cap="rnd">
              <a:solidFill>
                <a:srgbClr val="F55647"/>
              </a:solidFill>
              <a:round/>
            </a:ln>
            <a:effectLst/>
          </c:spPr>
          <c:marker>
            <c:symbol val="none"/>
          </c:marker>
          <c:cat>
            <c:strRef>
              <c:f>'graf 15 zamestnanost vo VS'!$C$3:$I$3</c:f>
              <c:strCache>
                <c:ptCount val="7"/>
                <c:pt idx="0">
                  <c:v>2023  S</c:v>
                </c:pt>
                <c:pt idx="1">
                  <c:v>2024  S</c:v>
                </c:pt>
                <c:pt idx="2">
                  <c:v>2025  R</c:v>
                </c:pt>
                <c:pt idx="3">
                  <c:v>2025  OS</c:v>
                </c:pt>
                <c:pt idx="4">
                  <c:v>2026  N</c:v>
                </c:pt>
                <c:pt idx="5">
                  <c:v>2027  N</c:v>
                </c:pt>
                <c:pt idx="6">
                  <c:v>2028  N</c:v>
                </c:pt>
              </c:strCache>
            </c:strRef>
          </c:cat>
          <c:val>
            <c:numRef>
              <c:f>'graf 15 zamestnanost vo VS'!$C$7:$I$7</c:f>
              <c:numCache>
                <c:formatCode>_-* #\ ##0_-;\-* #\ ##0_-;_-* "-"??_-;_-@_-</c:formatCode>
                <c:ptCount val="7"/>
                <c:pt idx="0">
                  <c:v>12141.945</c:v>
                </c:pt>
                <c:pt idx="1">
                  <c:v>13442.061</c:v>
                </c:pt>
                <c:pt idx="2">
                  <c:v>13909.316000000001</c:v>
                </c:pt>
                <c:pt idx="3">
                  <c:v>14158.094999999999</c:v>
                </c:pt>
                <c:pt idx="4">
                  <c:v>14504.365</c:v>
                </c:pt>
                <c:pt idx="5">
                  <c:v>14814.632</c:v>
                </c:pt>
                <c:pt idx="6">
                  <c:v>15111.334000000001</c:v>
                </c:pt>
              </c:numCache>
            </c:numRef>
          </c:val>
          <c:smooth val="0"/>
          <c:extLst>
            <c:ext xmlns:c16="http://schemas.microsoft.com/office/drawing/2014/chart" uri="{C3380CC4-5D6E-409C-BE32-E72D297353CC}">
              <c16:uniqueId val="{00000003-DA04-406E-A5BC-6027470C1D5C}"/>
            </c:ext>
          </c:extLst>
        </c:ser>
        <c:dLbls>
          <c:showLegendKey val="0"/>
          <c:showVal val="0"/>
          <c:showCatName val="0"/>
          <c:showSerName val="0"/>
          <c:showPercent val="0"/>
          <c:showBubbleSize val="0"/>
        </c:dLbls>
        <c:marker val="1"/>
        <c:smooth val="0"/>
        <c:axId val="505214704"/>
        <c:axId val="505218544"/>
      </c:lineChart>
      <c:catAx>
        <c:axId val="2001356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max val="5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r>
                  <a:rPr lang="sk-SK"/>
                  <a:t>počet os§b</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majorUnit val="100000"/>
      </c:valAx>
      <c:valAx>
        <c:axId val="505218544"/>
        <c:scaling>
          <c:orientation val="minMax"/>
          <c:max val="25000"/>
        </c:scaling>
        <c:delete val="0"/>
        <c:axPos val="r"/>
        <c:title>
          <c:tx>
            <c:rich>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r>
                  <a:rPr lang="sk-SK"/>
                  <a:t>mil. eur</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05214704"/>
        <c:crosses val="max"/>
        <c:crossBetween val="between"/>
        <c:majorUnit val="5000"/>
      </c:valAx>
      <c:catAx>
        <c:axId val="505214704"/>
        <c:scaling>
          <c:orientation val="minMax"/>
        </c:scaling>
        <c:delete val="1"/>
        <c:axPos val="b"/>
        <c:numFmt formatCode="General" sourceLinked="1"/>
        <c:majorTickMark val="out"/>
        <c:minorTickMark val="none"/>
        <c:tickLblPos val="nextTo"/>
        <c:crossAx val="505218544"/>
        <c:crosses val="autoZero"/>
        <c:auto val="1"/>
        <c:lblAlgn val="ctr"/>
        <c:lblOffset val="100"/>
        <c:noMultiLvlLbl val="0"/>
      </c:catAx>
      <c:spPr>
        <a:noFill/>
        <a:ln>
          <a:noFill/>
        </a:ln>
        <a:effectLst/>
      </c:spPr>
    </c:plotArea>
    <c:legend>
      <c:legendPos val="b"/>
      <c:layout>
        <c:manualLayout>
          <c:xMode val="edge"/>
          <c:yMode val="edge"/>
          <c:x val="1.2344618055555564E-2"/>
          <c:y val="0.78303611111111104"/>
          <c:w val="0.97531076388888893"/>
          <c:h val="0.181686111111111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501171413975939E-2"/>
          <c:y val="6.8857589984350542E-2"/>
          <c:w val="0.90389032746745579"/>
          <c:h val="0.70064236853950068"/>
        </c:manualLayout>
      </c:layout>
      <c:barChart>
        <c:barDir val="col"/>
        <c:grouping val="clustered"/>
        <c:varyColors val="0"/>
        <c:ser>
          <c:idx val="0"/>
          <c:order val="0"/>
          <c:tx>
            <c:strRef>
              <c:f>'ŠU SR _Mzdy SR_nominalne'!$N$34</c:f>
              <c:strCache>
                <c:ptCount val="1"/>
                <c:pt idx="0">
                  <c:v>Hospodárstvo SR spolu </c:v>
                </c:pt>
              </c:strCache>
            </c:strRef>
          </c:tx>
          <c:spPr>
            <a:solidFill>
              <a:schemeClr val="accent1"/>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'ŠU SR _Mzdy SR_nominalne'!$O$33:$T$33</c:f>
              <c:strCache>
                <c:ptCount val="6"/>
                <c:pt idx="0">
                  <c:v>2020</c:v>
                </c:pt>
                <c:pt idx="1">
                  <c:v>2021</c:v>
                </c:pt>
                <c:pt idx="2">
                  <c:v>2022</c:v>
                </c:pt>
                <c:pt idx="3">
                  <c:v>2023</c:v>
                </c:pt>
                <c:pt idx="4">
                  <c:v>2024</c:v>
                </c:pt>
                <c:pt idx="5">
                  <c:v>2 Q 2025</c:v>
                </c:pt>
              </c:strCache>
            </c:strRef>
          </c:cat>
          <c:val>
            <c:numRef>
              <c:f>'ŠU SR _Mzdy SR_nominalne'!$O$34:$T$34</c:f>
              <c:numCache>
                <c:formatCode>General</c:formatCode>
                <c:ptCount val="6"/>
                <c:pt idx="0">
                  <c:v>1245</c:v>
                </c:pt>
                <c:pt idx="1">
                  <c:v>1331</c:v>
                </c:pt>
                <c:pt idx="2" formatCode="#,##0">
                  <c:v>1418</c:v>
                </c:pt>
                <c:pt idx="3" formatCode="#,##0">
                  <c:v>1569</c:v>
                </c:pt>
                <c:pt idx="4" formatCode="#,##0">
                  <c:v>1643</c:v>
                </c:pt>
                <c:pt idx="5" formatCode="#,##0">
                  <c:v>1654</c:v>
                </c:pt>
              </c:numCache>
            </c:numRef>
          </c:val>
          <c:extLst>
            <c:ext xmlns:c16="http://schemas.microsoft.com/office/drawing/2014/chart" uri="{C3380CC4-5D6E-409C-BE32-E72D297353CC}">
              <c16:uniqueId val="{00000000-BE54-41B0-ACE0-57A05F8C8795}"/>
            </c:ext>
          </c:extLst>
        </c:ser>
        <c:ser>
          <c:idx val="1"/>
          <c:order val="1"/>
          <c:tx>
            <c:strRef>
              <c:f>'ŠU SR _Mzdy SR_nominalne'!$N$35</c:f>
              <c:strCache>
                <c:ptCount val="1"/>
                <c:pt idx="0">
                  <c:v>     Verejná správa a obrana, povin. sociálne zabez.</c:v>
                </c:pt>
              </c:strCache>
            </c:strRef>
          </c:tx>
          <c:spPr>
            <a:solidFill>
              <a:schemeClr val="accent2"/>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'ŠU SR _Mzdy SR_nominalne'!$O$33:$T$33</c:f>
              <c:strCache>
                <c:ptCount val="6"/>
                <c:pt idx="0">
                  <c:v>2020</c:v>
                </c:pt>
                <c:pt idx="1">
                  <c:v>2021</c:v>
                </c:pt>
                <c:pt idx="2">
                  <c:v>2022</c:v>
                </c:pt>
                <c:pt idx="3">
                  <c:v>2023</c:v>
                </c:pt>
                <c:pt idx="4">
                  <c:v>2024</c:v>
                </c:pt>
                <c:pt idx="5">
                  <c:v>2 Q 2025</c:v>
                </c:pt>
              </c:strCache>
            </c:strRef>
          </c:cat>
          <c:val>
            <c:numRef>
              <c:f>'ŠU SR _Mzdy SR_nominalne'!$O$35:$T$35</c:f>
              <c:numCache>
                <c:formatCode>General</c:formatCode>
                <c:ptCount val="6"/>
                <c:pt idx="0">
                  <c:v>1880</c:v>
                </c:pt>
                <c:pt idx="1">
                  <c:v>1967</c:v>
                </c:pt>
                <c:pt idx="2" formatCode="#,##0">
                  <c:v>2019</c:v>
                </c:pt>
                <c:pt idx="3" formatCode="#,##0">
                  <c:v>2282</c:v>
                </c:pt>
                <c:pt idx="4" formatCode="#,##0">
                  <c:v>2340</c:v>
                </c:pt>
                <c:pt idx="5" formatCode="#,##0">
                  <c:v>2383</c:v>
                </c:pt>
              </c:numCache>
            </c:numRef>
          </c:val>
          <c:extLst>
            <c:ext xmlns:c16="http://schemas.microsoft.com/office/drawing/2014/chart" uri="{C3380CC4-5D6E-409C-BE32-E72D297353CC}">
              <c16:uniqueId val="{00000001-BE54-41B0-ACE0-57A05F8C8795}"/>
            </c:ext>
          </c:extLst>
        </c:ser>
        <c:dLbls>
          <c:showLegendKey val="0"/>
          <c:showVal val="1"/>
          <c:showCatName val="0"/>
          <c:showSerName val="0"/>
          <c:showPercent val="0"/>
          <c:showBubbleSize val="0"/>
        </c:dLbls>
        <c:gapWidth val="100"/>
        <c:axId val="1252035695"/>
        <c:axId val="1252032367"/>
      </c:bar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spPr>
        <a:noFill/>
        <a:ln>
          <a:noFill/>
        </a:ln>
        <a:effectLst/>
      </c:spPr>
    </c:plotArea>
    <c:legend>
      <c:legendPos val="b"/>
      <c:layout>
        <c:manualLayout>
          <c:xMode val="edge"/>
          <c:yMode val="edge"/>
          <c:x val="0.1227333579946802"/>
          <c:y val="0.89647258881372227"/>
          <c:w val="0.75005901107999084"/>
          <c:h val="0.1035274111862777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467712665458698E-2"/>
          <c:y val="3.5478148685695855E-2"/>
          <c:w val="0.67190343308192335"/>
          <c:h val="0.81762183511538289"/>
        </c:manualLayout>
      </c:layout>
      <c:barChart>
        <c:barDir val="col"/>
        <c:grouping val="stacked"/>
        <c:varyColors val="0"/>
        <c:ser>
          <c:idx val="0"/>
          <c:order val="0"/>
          <c:tx>
            <c:strRef>
              <c:f>'Tab 2'!$C$25</c:f>
              <c:strCache>
                <c:ptCount val="1"/>
                <c:pt idx="0">
                  <c:v>610 Mzdy, platy, služobné príjmy a ostatné osobné vyrovnania</c:v>
                </c:pt>
              </c:strCache>
            </c:strRef>
          </c:tx>
          <c:spPr>
            <a:solidFill>
              <a:schemeClr val="accent1"/>
            </a:solidFill>
            <a:ln>
              <a:noFill/>
            </a:ln>
            <a:effectLst/>
          </c:spPr>
          <c:invertIfNegative val="0"/>
          <c:cat>
            <c:strRef>
              <c:f>'Tab 2'!$D$24:$L$24</c:f>
              <c:strCache>
                <c:ptCount val="9"/>
                <c:pt idx="0">
                  <c:v>2020</c:v>
                </c:pt>
                <c:pt idx="1">
                  <c:v>2021</c:v>
                </c:pt>
                <c:pt idx="2">
                  <c:v>2022</c:v>
                </c:pt>
                <c:pt idx="3">
                  <c:v>2023</c:v>
                </c:pt>
                <c:pt idx="4">
                  <c:v>2024</c:v>
                </c:pt>
                <c:pt idx="5">
                  <c:v>2025 OS</c:v>
                </c:pt>
                <c:pt idx="6">
                  <c:v>2026 R</c:v>
                </c:pt>
                <c:pt idx="7">
                  <c:v>2027 R</c:v>
                </c:pt>
                <c:pt idx="8">
                  <c:v>2028 R</c:v>
                </c:pt>
              </c:strCache>
            </c:strRef>
          </c:cat>
          <c:val>
            <c:numRef>
              <c:f>'Tab 2'!$D$25:$L$25</c:f>
              <c:numCache>
                <c:formatCode>_-* #\ ##0_-;\-* #\ ##0_-;_-* "-"??_-;_-@_-</c:formatCode>
                <c:ptCount val="9"/>
                <c:pt idx="0">
                  <c:v>2573.6204942300001</c:v>
                </c:pt>
                <c:pt idx="1">
                  <c:v>2623.96065873</c:v>
                </c:pt>
                <c:pt idx="2">
                  <c:v>2701.3390954800002</c:v>
                </c:pt>
                <c:pt idx="3">
                  <c:v>3019.2881580600001</c:v>
                </c:pt>
                <c:pt idx="4">
                  <c:v>3239.6485841899998</c:v>
                </c:pt>
                <c:pt idx="5">
                  <c:v>3197.4605609999999</c:v>
                </c:pt>
                <c:pt idx="6">
                  <c:v>3257.4344129999999</c:v>
                </c:pt>
                <c:pt idx="7">
                  <c:v>3269.5905039999998</c:v>
                </c:pt>
                <c:pt idx="8">
                  <c:v>3285.5316579999999</c:v>
                </c:pt>
              </c:numCache>
            </c:numRef>
          </c:val>
          <c:extLst>
            <c:ext xmlns:c16="http://schemas.microsoft.com/office/drawing/2014/chart" uri="{C3380CC4-5D6E-409C-BE32-E72D297353CC}">
              <c16:uniqueId val="{00000000-C0E6-43C9-81C2-71EF1381426C}"/>
            </c:ext>
          </c:extLst>
        </c:ser>
        <c:ser>
          <c:idx val="1"/>
          <c:order val="1"/>
          <c:tx>
            <c:strRef>
              <c:f>'Tab 2'!$C$26</c:f>
              <c:strCache>
                <c:ptCount val="1"/>
                <c:pt idx="0">
                  <c:v>620 Poistné a príspevok do poisťovní</c:v>
                </c:pt>
              </c:strCache>
            </c:strRef>
          </c:tx>
          <c:spPr>
            <a:solidFill>
              <a:schemeClr val="accent2"/>
            </a:solidFill>
            <a:ln>
              <a:noFill/>
            </a:ln>
            <a:effectLst/>
          </c:spPr>
          <c:invertIfNegative val="0"/>
          <c:cat>
            <c:strRef>
              <c:f>'Tab 2'!$D$24:$L$24</c:f>
              <c:strCache>
                <c:ptCount val="9"/>
                <c:pt idx="0">
                  <c:v>2020</c:v>
                </c:pt>
                <c:pt idx="1">
                  <c:v>2021</c:v>
                </c:pt>
                <c:pt idx="2">
                  <c:v>2022</c:v>
                </c:pt>
                <c:pt idx="3">
                  <c:v>2023</c:v>
                </c:pt>
                <c:pt idx="4">
                  <c:v>2024</c:v>
                </c:pt>
                <c:pt idx="5">
                  <c:v>2025 OS</c:v>
                </c:pt>
                <c:pt idx="6">
                  <c:v>2026 R</c:v>
                </c:pt>
                <c:pt idx="7">
                  <c:v>2027 R</c:v>
                </c:pt>
                <c:pt idx="8">
                  <c:v>2028 R</c:v>
                </c:pt>
              </c:strCache>
            </c:strRef>
          </c:cat>
          <c:val>
            <c:numRef>
              <c:f>'Tab 2'!$D$26:$L$26</c:f>
              <c:numCache>
                <c:formatCode>_-* #\ ##0_-;\-* #\ ##0_-;_-* "-"??_-;_-@_-</c:formatCode>
                <c:ptCount val="9"/>
                <c:pt idx="0">
                  <c:v>928.5613286900001</c:v>
                </c:pt>
                <c:pt idx="1">
                  <c:v>953.73340342999995</c:v>
                </c:pt>
                <c:pt idx="2">
                  <c:v>982.43993949000003</c:v>
                </c:pt>
                <c:pt idx="3">
                  <c:v>1093.5781970399998</c:v>
                </c:pt>
                <c:pt idx="4">
                  <c:v>1204.82389509</c:v>
                </c:pt>
                <c:pt idx="5">
                  <c:v>1174.9090570000001</c:v>
                </c:pt>
                <c:pt idx="6">
                  <c:v>1172.54062</c:v>
                </c:pt>
                <c:pt idx="7">
                  <c:v>1179.3278190000001</c:v>
                </c:pt>
                <c:pt idx="8">
                  <c:v>1185.1647660000001</c:v>
                </c:pt>
              </c:numCache>
            </c:numRef>
          </c:val>
          <c:extLst>
            <c:ext xmlns:c16="http://schemas.microsoft.com/office/drawing/2014/chart" uri="{C3380CC4-5D6E-409C-BE32-E72D297353CC}">
              <c16:uniqueId val="{00000001-C0E6-43C9-81C2-71EF1381426C}"/>
            </c:ext>
          </c:extLst>
        </c:ser>
        <c:ser>
          <c:idx val="2"/>
          <c:order val="2"/>
          <c:tx>
            <c:strRef>
              <c:f>'Tab 2'!$C$27</c:f>
              <c:strCache>
                <c:ptCount val="1"/>
                <c:pt idx="0">
                  <c:v>630 Tovary a služby</c:v>
                </c:pt>
              </c:strCache>
            </c:strRef>
          </c:tx>
          <c:spPr>
            <a:solidFill>
              <a:schemeClr val="accent3"/>
            </a:solidFill>
            <a:ln>
              <a:noFill/>
            </a:ln>
            <a:effectLst/>
          </c:spPr>
          <c:invertIfNegative val="0"/>
          <c:cat>
            <c:strRef>
              <c:f>'Tab 2'!$D$24:$L$24</c:f>
              <c:strCache>
                <c:ptCount val="9"/>
                <c:pt idx="0">
                  <c:v>2020</c:v>
                </c:pt>
                <c:pt idx="1">
                  <c:v>2021</c:v>
                </c:pt>
                <c:pt idx="2">
                  <c:v>2022</c:v>
                </c:pt>
                <c:pt idx="3">
                  <c:v>2023</c:v>
                </c:pt>
                <c:pt idx="4">
                  <c:v>2024</c:v>
                </c:pt>
                <c:pt idx="5">
                  <c:v>2025 OS</c:v>
                </c:pt>
                <c:pt idx="6">
                  <c:v>2026 R</c:v>
                </c:pt>
                <c:pt idx="7">
                  <c:v>2027 R</c:v>
                </c:pt>
                <c:pt idx="8">
                  <c:v>2028 R</c:v>
                </c:pt>
              </c:strCache>
            </c:strRef>
          </c:cat>
          <c:val>
            <c:numRef>
              <c:f>'Tab 2'!$D$27:$L$27</c:f>
              <c:numCache>
                <c:formatCode>_-* #\ ##0_-;\-* #\ ##0_-;_-* "-"??_-;_-@_-</c:formatCode>
                <c:ptCount val="9"/>
                <c:pt idx="0">
                  <c:v>2267.1923399299999</c:v>
                </c:pt>
                <c:pt idx="1">
                  <c:v>2358.2731873600001</c:v>
                </c:pt>
                <c:pt idx="2">
                  <c:v>2340.7232336999996</c:v>
                </c:pt>
                <c:pt idx="3">
                  <c:v>2490.6152067899998</c:v>
                </c:pt>
                <c:pt idx="4">
                  <c:v>2490.2144034499997</c:v>
                </c:pt>
                <c:pt idx="5">
                  <c:v>2723.776304</c:v>
                </c:pt>
                <c:pt idx="6">
                  <c:v>3209.033739</c:v>
                </c:pt>
                <c:pt idx="7">
                  <c:v>3318.4030990000001</c:v>
                </c:pt>
                <c:pt idx="8">
                  <c:v>3357.102926</c:v>
                </c:pt>
              </c:numCache>
            </c:numRef>
          </c:val>
          <c:extLst>
            <c:ext xmlns:c16="http://schemas.microsoft.com/office/drawing/2014/chart" uri="{C3380CC4-5D6E-409C-BE32-E72D297353CC}">
              <c16:uniqueId val="{00000002-C0E6-43C9-81C2-71EF1381426C}"/>
            </c:ext>
          </c:extLst>
        </c:ser>
        <c:ser>
          <c:idx val="3"/>
          <c:order val="3"/>
          <c:tx>
            <c:strRef>
              <c:f>'Tab 2'!$C$28</c:f>
              <c:strCache>
                <c:ptCount val="1"/>
                <c:pt idx="0">
                  <c:v>710 Obstarávanie kapitálových aktív</c:v>
                </c:pt>
              </c:strCache>
            </c:strRef>
          </c:tx>
          <c:spPr>
            <a:solidFill>
              <a:schemeClr val="accent4"/>
            </a:solidFill>
            <a:ln>
              <a:noFill/>
            </a:ln>
            <a:effectLst/>
          </c:spPr>
          <c:invertIfNegative val="0"/>
          <c:cat>
            <c:strRef>
              <c:f>'Tab 2'!$D$24:$L$24</c:f>
              <c:strCache>
                <c:ptCount val="9"/>
                <c:pt idx="0">
                  <c:v>2020</c:v>
                </c:pt>
                <c:pt idx="1">
                  <c:v>2021</c:v>
                </c:pt>
                <c:pt idx="2">
                  <c:v>2022</c:v>
                </c:pt>
                <c:pt idx="3">
                  <c:v>2023</c:v>
                </c:pt>
                <c:pt idx="4">
                  <c:v>2024</c:v>
                </c:pt>
                <c:pt idx="5">
                  <c:v>2025 OS</c:v>
                </c:pt>
                <c:pt idx="6">
                  <c:v>2026 R</c:v>
                </c:pt>
                <c:pt idx="7">
                  <c:v>2027 R</c:v>
                </c:pt>
                <c:pt idx="8">
                  <c:v>2028 R</c:v>
                </c:pt>
              </c:strCache>
            </c:strRef>
          </c:cat>
          <c:val>
            <c:numRef>
              <c:f>'Tab 2'!$D$28:$L$28</c:f>
              <c:numCache>
                <c:formatCode>_-* #\ ##0_-;\-* #\ ##0_-;_-* "-"??_-;_-@_-</c:formatCode>
                <c:ptCount val="9"/>
                <c:pt idx="0">
                  <c:v>1053.9114831499999</c:v>
                </c:pt>
                <c:pt idx="1">
                  <c:v>1025.6080489000001</c:v>
                </c:pt>
                <c:pt idx="2">
                  <c:v>1182.9977732300001</c:v>
                </c:pt>
                <c:pt idx="3">
                  <c:v>1433.1187507</c:v>
                </c:pt>
                <c:pt idx="4">
                  <c:v>1435.5602267899999</c:v>
                </c:pt>
                <c:pt idx="5">
                  <c:v>1367.642008</c:v>
                </c:pt>
                <c:pt idx="6">
                  <c:v>1146.780522</c:v>
                </c:pt>
                <c:pt idx="7">
                  <c:v>1296.8885789999999</c:v>
                </c:pt>
                <c:pt idx="8">
                  <c:v>1655.3272380000001</c:v>
                </c:pt>
              </c:numCache>
            </c:numRef>
          </c:val>
          <c:extLst>
            <c:ext xmlns:c16="http://schemas.microsoft.com/office/drawing/2014/chart" uri="{C3380CC4-5D6E-409C-BE32-E72D297353CC}">
              <c16:uniqueId val="{00000003-C0E6-43C9-81C2-71EF1381426C}"/>
            </c:ext>
          </c:extLst>
        </c:ser>
        <c:dLbls>
          <c:showLegendKey val="0"/>
          <c:showVal val="0"/>
          <c:showCatName val="0"/>
          <c:showSerName val="0"/>
          <c:showPercent val="0"/>
          <c:showBubbleSize val="0"/>
        </c:dLbls>
        <c:gapWidth val="100"/>
        <c:overlap val="100"/>
        <c:axId val="2001356319"/>
        <c:axId val="2001364223"/>
      </c:barChart>
      <c:catAx>
        <c:axId val="2001356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scaling>
        <c:delete val="0"/>
        <c:axPos val="l"/>
        <c:majorGridlines>
          <c:spPr>
            <a:ln w="9525"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valAx>
      <c:spPr>
        <a:noFill/>
        <a:ln>
          <a:noFill/>
        </a:ln>
        <a:effectLst/>
      </c:spPr>
    </c:plotArea>
    <c:legend>
      <c:legendPos val="r"/>
      <c:layout>
        <c:manualLayout>
          <c:xMode val="edge"/>
          <c:yMode val="edge"/>
          <c:x val="0.75618746708794105"/>
          <c:y val="4.4737767720979704E-2"/>
          <c:w val="0.22977005441460419"/>
          <c:h val="0.9008483518660312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056365816070094E-2"/>
          <c:y val="3.7319762510602206E-2"/>
          <c:w val="0.71111666597230905"/>
          <c:h val="0.79375968970709998"/>
        </c:manualLayout>
      </c:layout>
      <c:barChart>
        <c:barDir val="col"/>
        <c:grouping val="stacked"/>
        <c:varyColors val="0"/>
        <c:ser>
          <c:idx val="0"/>
          <c:order val="0"/>
          <c:tx>
            <c:strRef>
              <c:f>'tovary a služby (2)'!$B$115</c:f>
              <c:strCache>
                <c:ptCount val="1"/>
                <c:pt idx="0">
                  <c:v>MO SR</c:v>
                </c:pt>
              </c:strCache>
            </c:strRef>
          </c:tx>
          <c:spPr>
            <a:solidFill>
              <a:schemeClr val="accent1"/>
            </a:solidFill>
            <a:ln>
              <a:noFill/>
            </a:ln>
            <a:effectLst/>
          </c:spPr>
          <c:invertIfNegative val="0"/>
          <c:cat>
            <c:strRef>
              <c:f>'tovary a služby (2)'!$C$114:$K$114</c:f>
              <c:strCache>
                <c:ptCount val="9"/>
                <c:pt idx="0">
                  <c:v>2020</c:v>
                </c:pt>
                <c:pt idx="1">
                  <c:v>2021</c:v>
                </c:pt>
                <c:pt idx="2">
                  <c:v>2022</c:v>
                </c:pt>
                <c:pt idx="3">
                  <c:v>2023</c:v>
                </c:pt>
                <c:pt idx="4">
                  <c:v>2024</c:v>
                </c:pt>
                <c:pt idx="5">
                  <c:v>2025 R</c:v>
                </c:pt>
                <c:pt idx="6">
                  <c:v>2026 N</c:v>
                </c:pt>
                <c:pt idx="7">
                  <c:v>2027 N</c:v>
                </c:pt>
                <c:pt idx="8">
                  <c:v>2028 N</c:v>
                </c:pt>
              </c:strCache>
            </c:strRef>
          </c:cat>
          <c:val>
            <c:numRef>
              <c:f>'tovary a služby (2)'!$C$115:$K$115</c:f>
              <c:numCache>
                <c:formatCode>_-* #\ ##0_-;\-* #\ ##0_-;_-* "-"??_-;_-@_-</c:formatCode>
                <c:ptCount val="9"/>
                <c:pt idx="0">
                  <c:v>481499</c:v>
                </c:pt>
                <c:pt idx="1">
                  <c:v>417250</c:v>
                </c:pt>
                <c:pt idx="2">
                  <c:v>365918</c:v>
                </c:pt>
                <c:pt idx="3">
                  <c:v>555144</c:v>
                </c:pt>
                <c:pt idx="4">
                  <c:v>683963</c:v>
                </c:pt>
                <c:pt idx="5">
                  <c:v>723899</c:v>
                </c:pt>
                <c:pt idx="6">
                  <c:v>750490</c:v>
                </c:pt>
                <c:pt idx="7">
                  <c:v>734345</c:v>
                </c:pt>
                <c:pt idx="8">
                  <c:v>726310</c:v>
                </c:pt>
              </c:numCache>
            </c:numRef>
          </c:val>
          <c:extLst>
            <c:ext xmlns:c16="http://schemas.microsoft.com/office/drawing/2014/chart" uri="{C3380CC4-5D6E-409C-BE32-E72D297353CC}">
              <c16:uniqueId val="{00000000-7075-4D78-8B3A-788A07D5EC09}"/>
            </c:ext>
          </c:extLst>
        </c:ser>
        <c:ser>
          <c:idx val="1"/>
          <c:order val="1"/>
          <c:tx>
            <c:strRef>
              <c:f>'tovary a služby (2)'!$B$116</c:f>
              <c:strCache>
                <c:ptCount val="1"/>
                <c:pt idx="0">
                  <c:v>MV SR</c:v>
                </c:pt>
              </c:strCache>
            </c:strRef>
          </c:tx>
          <c:spPr>
            <a:solidFill>
              <a:schemeClr val="accent2"/>
            </a:solidFill>
            <a:ln>
              <a:noFill/>
            </a:ln>
            <a:effectLst/>
          </c:spPr>
          <c:invertIfNegative val="0"/>
          <c:cat>
            <c:strRef>
              <c:f>'tovary a služby (2)'!$C$114:$K$114</c:f>
              <c:strCache>
                <c:ptCount val="9"/>
                <c:pt idx="0">
                  <c:v>2020</c:v>
                </c:pt>
                <c:pt idx="1">
                  <c:v>2021</c:v>
                </c:pt>
                <c:pt idx="2">
                  <c:v>2022</c:v>
                </c:pt>
                <c:pt idx="3">
                  <c:v>2023</c:v>
                </c:pt>
                <c:pt idx="4">
                  <c:v>2024</c:v>
                </c:pt>
                <c:pt idx="5">
                  <c:v>2025 R</c:v>
                </c:pt>
                <c:pt idx="6">
                  <c:v>2026 N</c:v>
                </c:pt>
                <c:pt idx="7">
                  <c:v>2027 N</c:v>
                </c:pt>
                <c:pt idx="8">
                  <c:v>2028 N</c:v>
                </c:pt>
              </c:strCache>
            </c:strRef>
          </c:cat>
          <c:val>
            <c:numRef>
              <c:f>'tovary a služby (2)'!$C$116:$K$116</c:f>
              <c:numCache>
                <c:formatCode>_-* #\ ##0_-;\-* #\ ##0_-;_-* "-"??_-;_-@_-</c:formatCode>
                <c:ptCount val="9"/>
                <c:pt idx="0">
                  <c:v>436562</c:v>
                </c:pt>
                <c:pt idx="1">
                  <c:v>343379</c:v>
                </c:pt>
                <c:pt idx="2">
                  <c:v>417408</c:v>
                </c:pt>
                <c:pt idx="3">
                  <c:v>426945</c:v>
                </c:pt>
                <c:pt idx="4">
                  <c:v>432707</c:v>
                </c:pt>
                <c:pt idx="5">
                  <c:v>406285</c:v>
                </c:pt>
                <c:pt idx="6">
                  <c:v>444459</c:v>
                </c:pt>
                <c:pt idx="7">
                  <c:v>449279</c:v>
                </c:pt>
                <c:pt idx="8">
                  <c:v>443670</c:v>
                </c:pt>
              </c:numCache>
            </c:numRef>
          </c:val>
          <c:extLst>
            <c:ext xmlns:c16="http://schemas.microsoft.com/office/drawing/2014/chart" uri="{C3380CC4-5D6E-409C-BE32-E72D297353CC}">
              <c16:uniqueId val="{00000001-7075-4D78-8B3A-788A07D5EC09}"/>
            </c:ext>
          </c:extLst>
        </c:ser>
        <c:ser>
          <c:idx val="2"/>
          <c:order val="2"/>
          <c:tx>
            <c:strRef>
              <c:f>'tovary a služby (2)'!$B$117</c:f>
              <c:strCache>
                <c:ptCount val="1"/>
                <c:pt idx="0">
                  <c:v>MDV SR</c:v>
                </c:pt>
              </c:strCache>
            </c:strRef>
          </c:tx>
          <c:spPr>
            <a:solidFill>
              <a:schemeClr val="accent3"/>
            </a:solidFill>
            <a:ln>
              <a:noFill/>
            </a:ln>
            <a:effectLst/>
          </c:spPr>
          <c:invertIfNegative val="0"/>
          <c:cat>
            <c:strRef>
              <c:f>'tovary a služby (2)'!$C$114:$K$114</c:f>
              <c:strCache>
                <c:ptCount val="9"/>
                <c:pt idx="0">
                  <c:v>2020</c:v>
                </c:pt>
                <c:pt idx="1">
                  <c:v>2021</c:v>
                </c:pt>
                <c:pt idx="2">
                  <c:v>2022</c:v>
                </c:pt>
                <c:pt idx="3">
                  <c:v>2023</c:v>
                </c:pt>
                <c:pt idx="4">
                  <c:v>2024</c:v>
                </c:pt>
                <c:pt idx="5">
                  <c:v>2025 R</c:v>
                </c:pt>
                <c:pt idx="6">
                  <c:v>2026 N</c:v>
                </c:pt>
                <c:pt idx="7">
                  <c:v>2027 N</c:v>
                </c:pt>
                <c:pt idx="8">
                  <c:v>2028 N</c:v>
                </c:pt>
              </c:strCache>
            </c:strRef>
          </c:cat>
          <c:val>
            <c:numRef>
              <c:f>'tovary a služby (2)'!$C$117:$K$117</c:f>
              <c:numCache>
                <c:formatCode>_-* #\ ##0_-;\-* #\ ##0_-;_-* "-"??_-;_-@_-</c:formatCode>
                <c:ptCount val="9"/>
                <c:pt idx="0">
                  <c:v>209009</c:v>
                </c:pt>
                <c:pt idx="1">
                  <c:v>370429</c:v>
                </c:pt>
                <c:pt idx="2">
                  <c:v>308688</c:v>
                </c:pt>
                <c:pt idx="3">
                  <c:v>312213</c:v>
                </c:pt>
                <c:pt idx="4">
                  <c:v>306125</c:v>
                </c:pt>
                <c:pt idx="5">
                  <c:v>321551</c:v>
                </c:pt>
                <c:pt idx="6">
                  <c:v>301639</c:v>
                </c:pt>
                <c:pt idx="7">
                  <c:v>302835</c:v>
                </c:pt>
                <c:pt idx="8">
                  <c:v>303843</c:v>
                </c:pt>
              </c:numCache>
            </c:numRef>
          </c:val>
          <c:extLst>
            <c:ext xmlns:c16="http://schemas.microsoft.com/office/drawing/2014/chart" uri="{C3380CC4-5D6E-409C-BE32-E72D297353CC}">
              <c16:uniqueId val="{00000002-7075-4D78-8B3A-788A07D5EC09}"/>
            </c:ext>
          </c:extLst>
        </c:ser>
        <c:ser>
          <c:idx val="3"/>
          <c:order val="3"/>
          <c:tx>
            <c:strRef>
              <c:f>'tovary a služby (2)'!$B$118</c:f>
              <c:strCache>
                <c:ptCount val="1"/>
                <c:pt idx="0">
                  <c:v>MF SR</c:v>
                </c:pt>
              </c:strCache>
            </c:strRef>
          </c:tx>
          <c:spPr>
            <a:solidFill>
              <a:schemeClr val="accent4"/>
            </a:solidFill>
            <a:ln>
              <a:noFill/>
            </a:ln>
            <a:effectLst/>
          </c:spPr>
          <c:invertIfNegative val="0"/>
          <c:cat>
            <c:strRef>
              <c:f>'tovary a služby (2)'!$C$114:$K$114</c:f>
              <c:strCache>
                <c:ptCount val="9"/>
                <c:pt idx="0">
                  <c:v>2020</c:v>
                </c:pt>
                <c:pt idx="1">
                  <c:v>2021</c:v>
                </c:pt>
                <c:pt idx="2">
                  <c:v>2022</c:v>
                </c:pt>
                <c:pt idx="3">
                  <c:v>2023</c:v>
                </c:pt>
                <c:pt idx="4">
                  <c:v>2024</c:v>
                </c:pt>
                <c:pt idx="5">
                  <c:v>2025 R</c:v>
                </c:pt>
                <c:pt idx="6">
                  <c:v>2026 N</c:v>
                </c:pt>
                <c:pt idx="7">
                  <c:v>2027 N</c:v>
                </c:pt>
                <c:pt idx="8">
                  <c:v>2028 N</c:v>
                </c:pt>
              </c:strCache>
            </c:strRef>
          </c:cat>
          <c:val>
            <c:numRef>
              <c:f>'tovary a služby (2)'!$C$118:$K$118</c:f>
              <c:numCache>
                <c:formatCode>_-* #\ ##0_-;\-* #\ ##0_-;_-* "-"??_-;_-@_-</c:formatCode>
                <c:ptCount val="9"/>
                <c:pt idx="0">
                  <c:v>185106</c:v>
                </c:pt>
                <c:pt idx="1">
                  <c:v>155501</c:v>
                </c:pt>
                <c:pt idx="2">
                  <c:v>172668</c:v>
                </c:pt>
                <c:pt idx="3">
                  <c:v>177344</c:v>
                </c:pt>
                <c:pt idx="4">
                  <c:v>155014</c:v>
                </c:pt>
                <c:pt idx="5">
                  <c:v>182688</c:v>
                </c:pt>
                <c:pt idx="6">
                  <c:v>169657</c:v>
                </c:pt>
                <c:pt idx="7">
                  <c:v>168703</c:v>
                </c:pt>
                <c:pt idx="8">
                  <c:v>169110</c:v>
                </c:pt>
              </c:numCache>
            </c:numRef>
          </c:val>
          <c:extLst>
            <c:ext xmlns:c16="http://schemas.microsoft.com/office/drawing/2014/chart" uri="{C3380CC4-5D6E-409C-BE32-E72D297353CC}">
              <c16:uniqueId val="{00000003-7075-4D78-8B3A-788A07D5EC09}"/>
            </c:ext>
          </c:extLst>
        </c:ser>
        <c:ser>
          <c:idx val="4"/>
          <c:order val="4"/>
          <c:tx>
            <c:strRef>
              <c:f>'tovary a služby (2)'!$B$119</c:f>
              <c:strCache>
                <c:ptCount val="1"/>
                <c:pt idx="0">
                  <c:v>ostatné kapitoly spolu vratane VPS</c:v>
                </c:pt>
              </c:strCache>
            </c:strRef>
          </c:tx>
          <c:spPr>
            <a:solidFill>
              <a:schemeClr val="accent5"/>
            </a:solidFill>
            <a:ln>
              <a:noFill/>
            </a:ln>
            <a:effectLst/>
          </c:spPr>
          <c:invertIfNegative val="0"/>
          <c:cat>
            <c:strRef>
              <c:f>'tovary a služby (2)'!$C$114:$K$114</c:f>
              <c:strCache>
                <c:ptCount val="9"/>
                <c:pt idx="0">
                  <c:v>2020</c:v>
                </c:pt>
                <c:pt idx="1">
                  <c:v>2021</c:v>
                </c:pt>
                <c:pt idx="2">
                  <c:v>2022</c:v>
                </c:pt>
                <c:pt idx="3">
                  <c:v>2023</c:v>
                </c:pt>
                <c:pt idx="4">
                  <c:v>2024</c:v>
                </c:pt>
                <c:pt idx="5">
                  <c:v>2025 R</c:v>
                </c:pt>
                <c:pt idx="6">
                  <c:v>2026 N</c:v>
                </c:pt>
                <c:pt idx="7">
                  <c:v>2027 N</c:v>
                </c:pt>
                <c:pt idx="8">
                  <c:v>2028 N</c:v>
                </c:pt>
              </c:strCache>
            </c:strRef>
          </c:cat>
          <c:val>
            <c:numRef>
              <c:f>'tovary a služby (2)'!$C$119:$K$119</c:f>
              <c:numCache>
                <c:formatCode>_-* #\ ##0_-;\-* #\ ##0_-;_-* "-"??_-;_-@_-</c:formatCode>
                <c:ptCount val="9"/>
                <c:pt idx="0">
                  <c:v>954925</c:v>
                </c:pt>
                <c:pt idx="1">
                  <c:v>1071493</c:v>
                </c:pt>
                <c:pt idx="2">
                  <c:v>1073525</c:v>
                </c:pt>
                <c:pt idx="3">
                  <c:v>769460</c:v>
                </c:pt>
                <c:pt idx="4">
                  <c:v>730861</c:v>
                </c:pt>
                <c:pt idx="5">
                  <c:v>1323357</c:v>
                </c:pt>
                <c:pt idx="6">
                  <c:v>1542780</c:v>
                </c:pt>
                <c:pt idx="7">
                  <c:v>1663235</c:v>
                </c:pt>
                <c:pt idx="8">
                  <c:v>1714158</c:v>
                </c:pt>
              </c:numCache>
            </c:numRef>
          </c:val>
          <c:extLst>
            <c:ext xmlns:c16="http://schemas.microsoft.com/office/drawing/2014/chart" uri="{C3380CC4-5D6E-409C-BE32-E72D297353CC}">
              <c16:uniqueId val="{00000004-7075-4D78-8B3A-788A07D5EC09}"/>
            </c:ext>
          </c:extLst>
        </c:ser>
        <c:dLbls>
          <c:showLegendKey val="0"/>
          <c:showVal val="0"/>
          <c:showCatName val="0"/>
          <c:showSerName val="0"/>
          <c:showPercent val="0"/>
          <c:showBubbleSize val="0"/>
        </c:dLbls>
        <c:gapWidth val="100"/>
        <c:overlap val="100"/>
        <c:axId val="2001356319"/>
        <c:axId val="2001364223"/>
      </c:barChart>
      <c:catAx>
        <c:axId val="2001356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valAx>
      <c:spPr>
        <a:noFill/>
        <a:ln>
          <a:noFill/>
        </a:ln>
        <a:effectLst/>
      </c:spPr>
    </c:plotArea>
    <c:legend>
      <c:legendPos val="r"/>
      <c:layout>
        <c:manualLayout>
          <c:xMode val="edge"/>
          <c:yMode val="edge"/>
          <c:x val="0.81278729047757914"/>
          <c:y val="5.7633683227846344E-2"/>
          <c:w val="0.17928019414239887"/>
          <c:h val="0.881200162259181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288852782291096E-2"/>
          <c:y val="7.8014184397163122E-2"/>
          <c:w val="0.63918520601591466"/>
          <c:h val="0.75956218238677609"/>
        </c:manualLayout>
      </c:layout>
      <c:barChart>
        <c:barDir val="col"/>
        <c:grouping val="clustered"/>
        <c:varyColors val="0"/>
        <c:ser>
          <c:idx val="0"/>
          <c:order val="0"/>
          <c:tx>
            <c:strRef>
              <c:f>'tabulky zo SZU'!$B$77</c:f>
              <c:strCache>
                <c:ptCount val="1"/>
                <c:pt idx="0">
                  <c:v>    služby</c:v>
                </c:pt>
              </c:strCache>
            </c:strRef>
          </c:tx>
          <c:spPr>
            <a:solidFill>
              <a:schemeClr val="accent1"/>
            </a:solidFill>
            <a:ln>
              <a:noFill/>
            </a:ln>
            <a:effectLst/>
          </c:spPr>
          <c:invertIfNegative val="0"/>
          <c:cat>
            <c:numRef>
              <c:f>'tabulky zo SZU'!$E$76:$I$76</c:f>
              <c:numCache>
                <c:formatCode>General</c:formatCode>
                <c:ptCount val="5"/>
                <c:pt idx="0">
                  <c:v>2020</c:v>
                </c:pt>
                <c:pt idx="1">
                  <c:v>2021</c:v>
                </c:pt>
                <c:pt idx="2">
                  <c:v>2022</c:v>
                </c:pt>
                <c:pt idx="3">
                  <c:v>2023</c:v>
                </c:pt>
                <c:pt idx="4">
                  <c:v>2024</c:v>
                </c:pt>
              </c:numCache>
            </c:numRef>
          </c:cat>
          <c:val>
            <c:numRef>
              <c:f>'tabulky zo SZU'!$E$77:$I$77</c:f>
              <c:numCache>
                <c:formatCode>#,##0</c:formatCode>
                <c:ptCount val="5"/>
                <c:pt idx="0">
                  <c:v>1085.979</c:v>
                </c:pt>
                <c:pt idx="1">
                  <c:v>918.14700000000005</c:v>
                </c:pt>
                <c:pt idx="2">
                  <c:v>980.62900000000002</c:v>
                </c:pt>
                <c:pt idx="3">
                  <c:v>1036.6369999999999</c:v>
                </c:pt>
                <c:pt idx="4">
                  <c:v>1256.652</c:v>
                </c:pt>
              </c:numCache>
            </c:numRef>
          </c:val>
          <c:extLst>
            <c:ext xmlns:c16="http://schemas.microsoft.com/office/drawing/2014/chart" uri="{C3380CC4-5D6E-409C-BE32-E72D297353CC}">
              <c16:uniqueId val="{00000000-63BB-4C59-9B7F-CBC1360DE094}"/>
            </c:ext>
          </c:extLst>
        </c:ser>
        <c:ser>
          <c:idx val="1"/>
          <c:order val="1"/>
          <c:tx>
            <c:strRef>
              <c:f>'tabulky zo SZU'!$B$78</c:f>
              <c:strCache>
                <c:ptCount val="1"/>
                <c:pt idx="0">
                  <c:v>    rutinná a štandardná údržba</c:v>
                </c:pt>
              </c:strCache>
            </c:strRef>
          </c:tx>
          <c:spPr>
            <a:solidFill>
              <a:schemeClr val="accent2"/>
            </a:solidFill>
            <a:ln>
              <a:noFill/>
            </a:ln>
            <a:effectLst/>
          </c:spPr>
          <c:invertIfNegative val="0"/>
          <c:cat>
            <c:numRef>
              <c:f>'tabulky zo SZU'!$E$76:$I$76</c:f>
              <c:numCache>
                <c:formatCode>General</c:formatCode>
                <c:ptCount val="5"/>
                <c:pt idx="0">
                  <c:v>2020</c:v>
                </c:pt>
                <c:pt idx="1">
                  <c:v>2021</c:v>
                </c:pt>
                <c:pt idx="2">
                  <c:v>2022</c:v>
                </c:pt>
                <c:pt idx="3">
                  <c:v>2023</c:v>
                </c:pt>
                <c:pt idx="4">
                  <c:v>2024</c:v>
                </c:pt>
              </c:numCache>
            </c:numRef>
          </c:cat>
          <c:val>
            <c:numRef>
              <c:f>'tabulky zo SZU'!$E$78:$I$78</c:f>
              <c:numCache>
                <c:formatCode>#,##0</c:formatCode>
                <c:ptCount val="5"/>
                <c:pt idx="0">
                  <c:v>343.07600000000002</c:v>
                </c:pt>
                <c:pt idx="1">
                  <c:v>441.904</c:v>
                </c:pt>
                <c:pt idx="2">
                  <c:v>398.20100000000002</c:v>
                </c:pt>
                <c:pt idx="3">
                  <c:v>431.50200000000001</c:v>
                </c:pt>
                <c:pt idx="4">
                  <c:v>449.18900000000002</c:v>
                </c:pt>
              </c:numCache>
            </c:numRef>
          </c:val>
          <c:extLst>
            <c:ext xmlns:c16="http://schemas.microsoft.com/office/drawing/2014/chart" uri="{C3380CC4-5D6E-409C-BE32-E72D297353CC}">
              <c16:uniqueId val="{00000001-63BB-4C59-9B7F-CBC1360DE094}"/>
            </c:ext>
          </c:extLst>
        </c:ser>
        <c:ser>
          <c:idx val="2"/>
          <c:order val="2"/>
          <c:tx>
            <c:strRef>
              <c:f>'tabulky zo SZU'!$B$79</c:f>
              <c:strCache>
                <c:ptCount val="1"/>
                <c:pt idx="0">
                  <c:v>    materiál</c:v>
                </c:pt>
              </c:strCache>
            </c:strRef>
          </c:tx>
          <c:spPr>
            <a:solidFill>
              <a:schemeClr val="accent3"/>
            </a:solidFill>
            <a:ln>
              <a:noFill/>
            </a:ln>
            <a:effectLst/>
          </c:spPr>
          <c:invertIfNegative val="0"/>
          <c:cat>
            <c:numRef>
              <c:f>'tabulky zo SZU'!$E$76:$I$76</c:f>
              <c:numCache>
                <c:formatCode>General</c:formatCode>
                <c:ptCount val="5"/>
                <c:pt idx="0">
                  <c:v>2020</c:v>
                </c:pt>
                <c:pt idx="1">
                  <c:v>2021</c:v>
                </c:pt>
                <c:pt idx="2">
                  <c:v>2022</c:v>
                </c:pt>
                <c:pt idx="3">
                  <c:v>2023</c:v>
                </c:pt>
                <c:pt idx="4">
                  <c:v>2024</c:v>
                </c:pt>
              </c:numCache>
            </c:numRef>
          </c:cat>
          <c:val>
            <c:numRef>
              <c:f>'tabulky zo SZU'!$E$79:$I$79</c:f>
              <c:numCache>
                <c:formatCode>#,##0</c:formatCode>
                <c:ptCount val="5"/>
                <c:pt idx="0">
                  <c:v>366.31</c:v>
                </c:pt>
                <c:pt idx="1">
                  <c:v>511.92599999999999</c:v>
                </c:pt>
                <c:pt idx="2">
                  <c:v>532.80600000000004</c:v>
                </c:pt>
                <c:pt idx="3">
                  <c:v>513.125</c:v>
                </c:pt>
                <c:pt idx="4">
                  <c:v>304.23399999999998</c:v>
                </c:pt>
              </c:numCache>
            </c:numRef>
          </c:val>
          <c:extLst>
            <c:ext xmlns:c16="http://schemas.microsoft.com/office/drawing/2014/chart" uri="{C3380CC4-5D6E-409C-BE32-E72D297353CC}">
              <c16:uniqueId val="{00000002-63BB-4C59-9B7F-CBC1360DE094}"/>
            </c:ext>
          </c:extLst>
        </c:ser>
        <c:ser>
          <c:idx val="3"/>
          <c:order val="3"/>
          <c:tx>
            <c:strRef>
              <c:f>'tabulky zo SZU'!$B$80</c:f>
              <c:strCache>
                <c:ptCount val="1"/>
                <c:pt idx="0">
                  <c:v>    energie, voda a komunikácie</c:v>
                </c:pt>
              </c:strCache>
            </c:strRef>
          </c:tx>
          <c:spPr>
            <a:solidFill>
              <a:schemeClr val="accent4"/>
            </a:solidFill>
            <a:ln>
              <a:noFill/>
            </a:ln>
            <a:effectLst/>
          </c:spPr>
          <c:invertIfNegative val="0"/>
          <c:cat>
            <c:numRef>
              <c:f>'tabulky zo SZU'!$E$76:$I$76</c:f>
              <c:numCache>
                <c:formatCode>General</c:formatCode>
                <c:ptCount val="5"/>
                <c:pt idx="0">
                  <c:v>2020</c:v>
                </c:pt>
                <c:pt idx="1">
                  <c:v>2021</c:v>
                </c:pt>
                <c:pt idx="2">
                  <c:v>2022</c:v>
                </c:pt>
                <c:pt idx="3">
                  <c:v>2023</c:v>
                </c:pt>
                <c:pt idx="4">
                  <c:v>2024</c:v>
                </c:pt>
              </c:numCache>
            </c:numRef>
          </c:cat>
          <c:val>
            <c:numRef>
              <c:f>'tabulky zo SZU'!$E$80:$I$80</c:f>
              <c:numCache>
                <c:formatCode>#,##0</c:formatCode>
                <c:ptCount val="5"/>
                <c:pt idx="0">
                  <c:v>198.15100000000001</c:v>
                </c:pt>
                <c:pt idx="1">
                  <c:v>180.36500000000001</c:v>
                </c:pt>
                <c:pt idx="2">
                  <c:v>220.19200000000001</c:v>
                </c:pt>
                <c:pt idx="3">
                  <c:v>282.66399999999999</c:v>
                </c:pt>
                <c:pt idx="4">
                  <c:v>231.78100000000001</c:v>
                </c:pt>
              </c:numCache>
            </c:numRef>
          </c:val>
          <c:extLst>
            <c:ext xmlns:c16="http://schemas.microsoft.com/office/drawing/2014/chart" uri="{C3380CC4-5D6E-409C-BE32-E72D297353CC}">
              <c16:uniqueId val="{00000003-63BB-4C59-9B7F-CBC1360DE094}"/>
            </c:ext>
          </c:extLst>
        </c:ser>
        <c:ser>
          <c:idx val="4"/>
          <c:order val="4"/>
          <c:tx>
            <c:strRef>
              <c:f>'tabulky zo SZU'!$B$81</c:f>
              <c:strCache>
                <c:ptCount val="1"/>
                <c:pt idx="0">
                  <c:v>    nájomné za nájom nehnuteľných a hnuteľných vecí</c:v>
                </c:pt>
              </c:strCache>
            </c:strRef>
          </c:tx>
          <c:spPr>
            <a:solidFill>
              <a:schemeClr val="accent5"/>
            </a:solidFill>
            <a:ln>
              <a:noFill/>
            </a:ln>
            <a:effectLst/>
          </c:spPr>
          <c:invertIfNegative val="0"/>
          <c:cat>
            <c:numRef>
              <c:f>'tabulky zo SZU'!$E$76:$I$76</c:f>
              <c:numCache>
                <c:formatCode>General</c:formatCode>
                <c:ptCount val="5"/>
                <c:pt idx="0">
                  <c:v>2020</c:v>
                </c:pt>
                <c:pt idx="1">
                  <c:v>2021</c:v>
                </c:pt>
                <c:pt idx="2">
                  <c:v>2022</c:v>
                </c:pt>
                <c:pt idx="3">
                  <c:v>2023</c:v>
                </c:pt>
                <c:pt idx="4">
                  <c:v>2024</c:v>
                </c:pt>
              </c:numCache>
            </c:numRef>
          </c:cat>
          <c:val>
            <c:numRef>
              <c:f>'tabulky zo SZU'!$E$81:$I$81</c:f>
              <c:numCache>
                <c:formatCode>#,##0</c:formatCode>
                <c:ptCount val="5"/>
                <c:pt idx="0">
                  <c:v>75.78</c:v>
                </c:pt>
                <c:pt idx="1">
                  <c:v>68.983000000000004</c:v>
                </c:pt>
                <c:pt idx="2">
                  <c:v>70.721999999999994</c:v>
                </c:pt>
                <c:pt idx="3">
                  <c:v>87.352000000000004</c:v>
                </c:pt>
                <c:pt idx="4">
                  <c:v>105.86799999999999</c:v>
                </c:pt>
              </c:numCache>
            </c:numRef>
          </c:val>
          <c:extLst>
            <c:ext xmlns:c16="http://schemas.microsoft.com/office/drawing/2014/chart" uri="{C3380CC4-5D6E-409C-BE32-E72D297353CC}">
              <c16:uniqueId val="{00000004-63BB-4C59-9B7F-CBC1360DE094}"/>
            </c:ext>
          </c:extLst>
        </c:ser>
        <c:ser>
          <c:idx val="5"/>
          <c:order val="5"/>
          <c:tx>
            <c:strRef>
              <c:f>'tabulky zo SZU'!$B$82</c:f>
              <c:strCache>
                <c:ptCount val="1"/>
                <c:pt idx="0">
                  <c:v>dopravné a cestovné náhrady</c:v>
                </c:pt>
              </c:strCache>
            </c:strRef>
          </c:tx>
          <c:spPr>
            <a:solidFill>
              <a:schemeClr val="accent6"/>
            </a:solidFill>
            <a:ln>
              <a:noFill/>
            </a:ln>
            <a:effectLst/>
          </c:spPr>
          <c:invertIfNegative val="0"/>
          <c:cat>
            <c:numRef>
              <c:f>'tabulky zo SZU'!$E$76:$I$76</c:f>
              <c:numCache>
                <c:formatCode>General</c:formatCode>
                <c:ptCount val="5"/>
                <c:pt idx="0">
                  <c:v>2020</c:v>
                </c:pt>
                <c:pt idx="1">
                  <c:v>2021</c:v>
                </c:pt>
                <c:pt idx="2">
                  <c:v>2022</c:v>
                </c:pt>
                <c:pt idx="3">
                  <c:v>2023</c:v>
                </c:pt>
                <c:pt idx="4">
                  <c:v>2024</c:v>
                </c:pt>
              </c:numCache>
            </c:numRef>
          </c:cat>
          <c:val>
            <c:numRef>
              <c:f>'tabulky zo SZU'!$E$82:$I$82</c:f>
              <c:numCache>
                <c:formatCode>#,##0</c:formatCode>
                <c:ptCount val="5"/>
                <c:pt idx="0">
                  <c:v>197.80099999999999</c:v>
                </c:pt>
                <c:pt idx="1">
                  <c:v>236.73000000000002</c:v>
                </c:pt>
                <c:pt idx="2">
                  <c:v>138.10500000000002</c:v>
                </c:pt>
                <c:pt idx="3">
                  <c:v>139.102</c:v>
                </c:pt>
                <c:pt idx="4">
                  <c:v>142.476</c:v>
                </c:pt>
              </c:numCache>
            </c:numRef>
          </c:val>
          <c:extLst>
            <c:ext xmlns:c16="http://schemas.microsoft.com/office/drawing/2014/chart" uri="{C3380CC4-5D6E-409C-BE32-E72D297353CC}">
              <c16:uniqueId val="{00000005-63BB-4C59-9B7F-CBC1360DE094}"/>
            </c:ext>
          </c:extLst>
        </c:ser>
        <c:dLbls>
          <c:showLegendKey val="0"/>
          <c:showVal val="0"/>
          <c:showCatName val="0"/>
          <c:showSerName val="0"/>
          <c:showPercent val="0"/>
          <c:showBubbleSize val="0"/>
        </c:dLbls>
        <c:gapWidth val="100"/>
        <c:axId val="2001356319"/>
        <c:axId val="2001364223"/>
      </c:barChart>
      <c:catAx>
        <c:axId val="2001356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valAx>
      <c:spPr>
        <a:noFill/>
        <a:ln>
          <a:noFill/>
        </a:ln>
        <a:effectLst/>
      </c:spPr>
    </c:plotArea>
    <c:legend>
      <c:legendPos val="r"/>
      <c:layout>
        <c:manualLayout>
          <c:xMode val="edge"/>
          <c:yMode val="edge"/>
          <c:x val="0.72212067241594802"/>
          <c:y val="3.968224716591278E-2"/>
          <c:w val="0.26465181435653878"/>
          <c:h val="0.9603177528340872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700068647949412"/>
          <c:y val="0.10476190476190476"/>
          <c:w val="0.66428762705758493"/>
          <c:h val="0.57675965504311966"/>
        </c:manualLayout>
      </c:layout>
      <c:barChart>
        <c:barDir val="bar"/>
        <c:grouping val="clustered"/>
        <c:varyColors val="0"/>
        <c:ser>
          <c:idx val="0"/>
          <c:order val="0"/>
          <c:tx>
            <c:strRef>
              <c:f>'digitalne sluzby'!$C$1</c:f>
              <c:strCache>
                <c:ptCount val="1"/>
                <c:pt idx="0">
                  <c:v>SR</c:v>
                </c:pt>
              </c:strCache>
            </c:strRef>
          </c:tx>
          <c:spPr>
            <a:solidFill>
              <a:schemeClr val="accent1"/>
            </a:solidFill>
            <a:ln>
              <a:noFill/>
            </a:ln>
            <a:effectLst/>
          </c:spPr>
          <c:invertIfNegative val="0"/>
          <c:dPt>
            <c:idx val="0"/>
            <c:invertIfNegative val="0"/>
            <c:bubble3D val="0"/>
            <c:spPr>
              <a:solidFill>
                <a:schemeClr val="tx2"/>
              </a:solidFill>
              <a:ln>
                <a:noFill/>
              </a:ln>
              <a:effectLst/>
            </c:spPr>
            <c:extLst>
              <c:ext xmlns:c16="http://schemas.microsoft.com/office/drawing/2014/chart" uri="{C3380CC4-5D6E-409C-BE32-E72D297353CC}">
                <c16:uniqueId val="{00000001-9F24-4175-9027-FA0DE22843CC}"/>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'digitalne sluzby'!$B$2:$B$4</c:f>
              <c:strCache>
                <c:ptCount val="3"/>
                <c:pt idx="0">
                  <c:v>digitálne služby pre občanov</c:v>
                </c:pt>
                <c:pt idx="1">
                  <c:v>digitálne služby pre podnikateľov</c:v>
                </c:pt>
                <c:pt idx="2">
                  <c:v>prítup k e-zdravotným záznamom</c:v>
                </c:pt>
              </c:strCache>
            </c:strRef>
          </c:cat>
          <c:val>
            <c:numRef>
              <c:f>'digitalne sluzby'!$C$2:$C$4</c:f>
              <c:numCache>
                <c:formatCode>General</c:formatCode>
                <c:ptCount val="3"/>
                <c:pt idx="0">
                  <c:v>73</c:v>
                </c:pt>
                <c:pt idx="1">
                  <c:v>73</c:v>
                </c:pt>
                <c:pt idx="2">
                  <c:v>72</c:v>
                </c:pt>
              </c:numCache>
            </c:numRef>
          </c:val>
          <c:extLst>
            <c:ext xmlns:c16="http://schemas.microsoft.com/office/drawing/2014/chart" uri="{C3380CC4-5D6E-409C-BE32-E72D297353CC}">
              <c16:uniqueId val="{00000002-9F24-4175-9027-FA0DE22843CC}"/>
            </c:ext>
          </c:extLst>
        </c:ser>
        <c:ser>
          <c:idx val="1"/>
          <c:order val="1"/>
          <c:tx>
            <c:strRef>
              <c:f>'digitalne sluzby'!$D$1</c:f>
              <c:strCache>
                <c:ptCount val="1"/>
                <c:pt idx="0">
                  <c:v>EÚ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'digitalne sluzby'!$B$2:$B$4</c:f>
              <c:strCache>
                <c:ptCount val="3"/>
                <c:pt idx="0">
                  <c:v>digitálne služby pre občanov</c:v>
                </c:pt>
                <c:pt idx="1">
                  <c:v>digitálne služby pre podnikateľov</c:v>
                </c:pt>
                <c:pt idx="2">
                  <c:v>prítup k e-zdravotným záznamom</c:v>
                </c:pt>
              </c:strCache>
            </c:strRef>
          </c:cat>
          <c:val>
            <c:numRef>
              <c:f>'digitalne sluzby'!$D$2:$D$4</c:f>
              <c:numCache>
                <c:formatCode>General</c:formatCode>
                <c:ptCount val="3"/>
                <c:pt idx="0">
                  <c:v>82.3</c:v>
                </c:pt>
                <c:pt idx="1">
                  <c:v>86.2</c:v>
                </c:pt>
                <c:pt idx="2">
                  <c:v>82.7</c:v>
                </c:pt>
              </c:numCache>
            </c:numRef>
          </c:val>
          <c:extLst>
            <c:ext xmlns:c16="http://schemas.microsoft.com/office/drawing/2014/chart" uri="{C3380CC4-5D6E-409C-BE32-E72D297353CC}">
              <c16:uniqueId val="{00000003-9F24-4175-9027-FA0DE22843CC}"/>
            </c:ext>
          </c:extLst>
        </c:ser>
        <c:dLbls>
          <c:showLegendKey val="0"/>
          <c:showVal val="0"/>
          <c:showCatName val="0"/>
          <c:showSerName val="0"/>
          <c:showPercent val="0"/>
          <c:showBubbleSize val="0"/>
        </c:dLbls>
        <c:gapWidth val="100"/>
        <c:axId val="1250583951"/>
        <c:axId val="1250585615"/>
      </c:barChart>
      <c:catAx>
        <c:axId val="1250583951"/>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tx2"/>
                  </a:gs>
                </a:gsLst>
                <a:lin ang="10800000" scaled="0"/>
              </a:gra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0585615"/>
        <c:crosses val="autoZero"/>
        <c:auto val="1"/>
        <c:lblAlgn val="ctr"/>
        <c:lblOffset val="100"/>
        <c:noMultiLvlLbl val="0"/>
      </c:catAx>
      <c:valAx>
        <c:axId val="1250585615"/>
        <c:scaling>
          <c:orientation val="minMax"/>
          <c:min val="0"/>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0583951"/>
        <c:crosses val="autoZero"/>
        <c:crossBetween val="between"/>
      </c:valAx>
      <c:spPr>
        <a:noFill/>
        <a:ln>
          <a:noFill/>
        </a:ln>
        <a:effectLst/>
      </c:spPr>
    </c:plotArea>
    <c:legend>
      <c:legendPos val="b"/>
      <c:layout>
        <c:manualLayout>
          <c:xMode val="edge"/>
          <c:yMode val="edge"/>
          <c:x val="0.44983579445390859"/>
          <c:y val="0.80439520059992498"/>
          <c:w val="0.10032841109218277"/>
          <c:h val="0.157509561304836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poly"/>
            <c:order val="2"/>
            <c:dispRSqr val="0"/>
            <c:dispEq val="0"/>
          </c:trendline>
          <c:cat>
            <c:strRef>
              <c:f>EDS!$C$2:$BL$2</c:f>
              <c:strCache>
                <c:ptCount val="62"/>
                <c:pt idx="0">
                  <c:v>2010Q1</c:v>
                </c:pt>
                <c:pt idx="1">
                  <c:v>2010Q2</c:v>
                </c:pt>
                <c:pt idx="2">
                  <c:v>2010Q3</c:v>
                </c:pt>
                <c:pt idx="3">
                  <c:v>2010Q4</c:v>
                </c:pt>
                <c:pt idx="4">
                  <c:v>2011Q1</c:v>
                </c:pt>
                <c:pt idx="5">
                  <c:v>2011Q2</c:v>
                </c:pt>
                <c:pt idx="6">
                  <c:v>2011Q3</c:v>
                </c:pt>
                <c:pt idx="7">
                  <c:v>2011Q4</c:v>
                </c:pt>
                <c:pt idx="8">
                  <c:v>2012Q1</c:v>
                </c:pt>
                <c:pt idx="9">
                  <c:v>2012Q2</c:v>
                </c:pt>
                <c:pt idx="10">
                  <c:v>2012Q3</c:v>
                </c:pt>
                <c:pt idx="11">
                  <c:v>2012Q4</c:v>
                </c:pt>
                <c:pt idx="12">
                  <c:v>2013Q1</c:v>
                </c:pt>
                <c:pt idx="13">
                  <c:v>2013Q2</c:v>
                </c:pt>
                <c:pt idx="14">
                  <c:v>2013Q3</c:v>
                </c:pt>
                <c:pt idx="15">
                  <c:v>2013Q4</c:v>
                </c:pt>
                <c:pt idx="16">
                  <c:v>2014Q1</c:v>
                </c:pt>
                <c:pt idx="17">
                  <c:v>2014Q2</c:v>
                </c:pt>
                <c:pt idx="18">
                  <c:v>2014Q3</c:v>
                </c:pt>
                <c:pt idx="19">
                  <c:v>2014Q4</c:v>
                </c:pt>
                <c:pt idx="20">
                  <c:v>2015Q1</c:v>
                </c:pt>
                <c:pt idx="21">
                  <c:v>2015Q2</c:v>
                </c:pt>
                <c:pt idx="22">
                  <c:v>2015Q3</c:v>
                </c:pt>
                <c:pt idx="23">
                  <c:v>2015Q4</c:v>
                </c:pt>
                <c:pt idx="24">
                  <c:v>2016Q1</c:v>
                </c:pt>
                <c:pt idx="25">
                  <c:v>2016Q2</c:v>
                </c:pt>
                <c:pt idx="26">
                  <c:v>2016Q3</c:v>
                </c:pt>
                <c:pt idx="27">
                  <c:v>2016Q4</c:v>
                </c:pt>
                <c:pt idx="28">
                  <c:v>2017Q1</c:v>
                </c:pt>
                <c:pt idx="29">
                  <c:v>2017Q2</c:v>
                </c:pt>
                <c:pt idx="30">
                  <c:v>2017Q3</c:v>
                </c:pt>
                <c:pt idx="31">
                  <c:v>2017Q4</c:v>
                </c:pt>
                <c:pt idx="32">
                  <c:v>2018Q1</c:v>
                </c:pt>
                <c:pt idx="33">
                  <c:v>2018Q2</c:v>
                </c:pt>
                <c:pt idx="34">
                  <c:v>2018Q3</c:v>
                </c:pt>
                <c:pt idx="35">
                  <c:v>2018Q4</c:v>
                </c:pt>
                <c:pt idx="36">
                  <c:v>2019Q1</c:v>
                </c:pt>
                <c:pt idx="37">
                  <c:v>2019Q2</c:v>
                </c:pt>
                <c:pt idx="38">
                  <c:v>2019Q3</c:v>
                </c:pt>
                <c:pt idx="39">
                  <c:v>2019Q4</c:v>
                </c:pt>
                <c:pt idx="40">
                  <c:v>2020Q1</c:v>
                </c:pt>
                <c:pt idx="41">
                  <c:v>2020Q2</c:v>
                </c:pt>
                <c:pt idx="42">
                  <c:v>2020Q3</c:v>
                </c:pt>
                <c:pt idx="43">
                  <c:v>2020Q4</c:v>
                </c:pt>
                <c:pt idx="44">
                  <c:v>2021Q1</c:v>
                </c:pt>
                <c:pt idx="45">
                  <c:v>2021Q2</c:v>
                </c:pt>
                <c:pt idx="46">
                  <c:v>2021Q3</c:v>
                </c:pt>
                <c:pt idx="47">
                  <c:v>2021Q4</c:v>
                </c:pt>
                <c:pt idx="48">
                  <c:v>2022Q1</c:v>
                </c:pt>
                <c:pt idx="49">
                  <c:v>2022Q2</c:v>
                </c:pt>
                <c:pt idx="50">
                  <c:v>2022Q3</c:v>
                </c:pt>
                <c:pt idx="51">
                  <c:v>2022Q4</c:v>
                </c:pt>
                <c:pt idx="52">
                  <c:v>2023Q1</c:v>
                </c:pt>
                <c:pt idx="53">
                  <c:v>2023Q2</c:v>
                </c:pt>
                <c:pt idx="54">
                  <c:v>2023Q3</c:v>
                </c:pt>
                <c:pt idx="55">
                  <c:v>2023Q4</c:v>
                </c:pt>
                <c:pt idx="56">
                  <c:v>2024Q1</c:v>
                </c:pt>
                <c:pt idx="57">
                  <c:v>2024Q2</c:v>
                </c:pt>
                <c:pt idx="58">
                  <c:v>2024Q3</c:v>
                </c:pt>
                <c:pt idx="59">
                  <c:v>2024Q4</c:v>
                </c:pt>
                <c:pt idx="60">
                  <c:v>2025Q1</c:v>
                </c:pt>
                <c:pt idx="61">
                  <c:v>2025Q2</c:v>
                </c:pt>
              </c:strCache>
            </c:strRef>
          </c:cat>
          <c:val>
            <c:numRef>
              <c:f>EDS!$C$3:$BL$3</c:f>
              <c:numCache>
                <c:formatCode>0.00%</c:formatCode>
                <c:ptCount val="62"/>
                <c:pt idx="0">
                  <c:v>0.14349999999999999</c:v>
                </c:pt>
                <c:pt idx="1">
                  <c:v>0.14760000000000001</c:v>
                </c:pt>
                <c:pt idx="2">
                  <c:v>0.14580000000000001</c:v>
                </c:pt>
                <c:pt idx="3">
                  <c:v>0.13930000000000001</c:v>
                </c:pt>
                <c:pt idx="4">
                  <c:v>0.14680000000000001</c:v>
                </c:pt>
                <c:pt idx="5">
                  <c:v>0.13969999999999999</c:v>
                </c:pt>
                <c:pt idx="6">
                  <c:v>0.1414</c:v>
                </c:pt>
                <c:pt idx="7">
                  <c:v>0.13880000000000001</c:v>
                </c:pt>
                <c:pt idx="8">
                  <c:v>0.1399</c:v>
                </c:pt>
                <c:pt idx="9">
                  <c:v>0.13500000000000001</c:v>
                </c:pt>
                <c:pt idx="10">
                  <c:v>0.1328</c:v>
                </c:pt>
                <c:pt idx="11">
                  <c:v>0.13489999999999999</c:v>
                </c:pt>
                <c:pt idx="12">
                  <c:v>0.13819999999999999</c:v>
                </c:pt>
                <c:pt idx="13">
                  <c:v>0.14660000000000001</c:v>
                </c:pt>
                <c:pt idx="14">
                  <c:v>0.14610000000000001</c:v>
                </c:pt>
                <c:pt idx="15">
                  <c:v>0.14410000000000001</c:v>
                </c:pt>
                <c:pt idx="16">
                  <c:v>0.1517</c:v>
                </c:pt>
                <c:pt idx="17">
                  <c:v>0.14960000000000001</c:v>
                </c:pt>
                <c:pt idx="18">
                  <c:v>0.14860000000000001</c:v>
                </c:pt>
                <c:pt idx="19">
                  <c:v>0.17180000000000001</c:v>
                </c:pt>
                <c:pt idx="20">
                  <c:v>0.15859999999999999</c:v>
                </c:pt>
                <c:pt idx="21">
                  <c:v>0.15559999999999999</c:v>
                </c:pt>
                <c:pt idx="22">
                  <c:v>0.1578</c:v>
                </c:pt>
                <c:pt idx="23">
                  <c:v>0.15179999999999999</c:v>
                </c:pt>
                <c:pt idx="24">
                  <c:v>0.1583</c:v>
                </c:pt>
                <c:pt idx="25">
                  <c:v>0.16350000000000001</c:v>
                </c:pt>
                <c:pt idx="26">
                  <c:v>0.16420000000000001</c:v>
                </c:pt>
                <c:pt idx="27">
                  <c:v>0.16520000000000001</c:v>
                </c:pt>
                <c:pt idx="28">
                  <c:v>0.1615</c:v>
                </c:pt>
                <c:pt idx="29">
                  <c:v>0.1593</c:v>
                </c:pt>
                <c:pt idx="30">
                  <c:v>0.16289999999999999</c:v>
                </c:pt>
                <c:pt idx="31">
                  <c:v>0.1706</c:v>
                </c:pt>
                <c:pt idx="32">
                  <c:v>0.16189999999999999</c:v>
                </c:pt>
                <c:pt idx="33">
                  <c:v>0.16600000000000001</c:v>
                </c:pt>
                <c:pt idx="34">
                  <c:v>0.16320000000000001</c:v>
                </c:pt>
                <c:pt idx="35">
                  <c:v>0.16450000000000001</c:v>
                </c:pt>
                <c:pt idx="36">
                  <c:v>0.1681</c:v>
                </c:pt>
                <c:pt idx="37">
                  <c:v>0.16689999999999999</c:v>
                </c:pt>
                <c:pt idx="38">
                  <c:v>0.17330000000000001</c:v>
                </c:pt>
                <c:pt idx="39">
                  <c:v>0.1741</c:v>
                </c:pt>
                <c:pt idx="40">
                  <c:v>0.16589999999999999</c:v>
                </c:pt>
                <c:pt idx="41">
                  <c:v>0.16039999999999999</c:v>
                </c:pt>
                <c:pt idx="42">
                  <c:v>0.1721</c:v>
                </c:pt>
                <c:pt idx="43">
                  <c:v>0.17080000000000001</c:v>
                </c:pt>
                <c:pt idx="44">
                  <c:v>0.16439999999999999</c:v>
                </c:pt>
                <c:pt idx="45">
                  <c:v>0.1719</c:v>
                </c:pt>
                <c:pt idx="46">
                  <c:v>0.17510000000000001</c:v>
                </c:pt>
                <c:pt idx="47">
                  <c:v>0.17399999999999999</c:v>
                </c:pt>
                <c:pt idx="48">
                  <c:v>0.17180000000000001</c:v>
                </c:pt>
                <c:pt idx="49">
                  <c:v>0.1754</c:v>
                </c:pt>
                <c:pt idx="50">
                  <c:v>0.16839999999999999</c:v>
                </c:pt>
                <c:pt idx="51">
                  <c:v>0.17069999999999999</c:v>
                </c:pt>
                <c:pt idx="52">
                  <c:v>0.18149999999999999</c:v>
                </c:pt>
                <c:pt idx="53">
                  <c:v>0.17910000000000001</c:v>
                </c:pt>
                <c:pt idx="54">
                  <c:v>0.17069999999999999</c:v>
                </c:pt>
                <c:pt idx="55">
                  <c:v>0.1709</c:v>
                </c:pt>
                <c:pt idx="56">
                  <c:v>0.1671</c:v>
                </c:pt>
                <c:pt idx="57">
                  <c:v>0.16669999999999999</c:v>
                </c:pt>
                <c:pt idx="58">
                  <c:v>0.16750000000000001</c:v>
                </c:pt>
                <c:pt idx="59">
                  <c:v>0.1762</c:v>
                </c:pt>
                <c:pt idx="60">
                  <c:v>0.16239999999999999</c:v>
                </c:pt>
                <c:pt idx="61">
                  <c:v>0.16020000000000001</c:v>
                </c:pt>
              </c:numCache>
            </c:numRef>
          </c:val>
          <c:smooth val="0"/>
          <c:extLst>
            <c:ext xmlns:c16="http://schemas.microsoft.com/office/drawing/2014/chart" uri="{C3380CC4-5D6E-409C-BE32-E72D297353CC}">
              <c16:uniqueId val="{00000000-2E64-42A9-BA14-C9DCBD7EE17E}"/>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dPt>
            <c:idx val="10"/>
            <c:marker>
              <c:symbol val="circle"/>
              <c:size val="15"/>
              <c:spPr>
                <a:noFill/>
                <a:ln w="15875">
                  <a:solidFill>
                    <a:schemeClr val="accent6"/>
                  </a:solidFill>
                  <a:prstDash val="sysDash"/>
                </a:ln>
                <a:effectLst/>
              </c:spPr>
            </c:marker>
            <c:bubble3D val="0"/>
            <c:extLst>
              <c:ext xmlns:c16="http://schemas.microsoft.com/office/drawing/2014/chart" uri="{C3380CC4-5D6E-409C-BE32-E72D297353CC}">
                <c16:uniqueId val="{00000001-2E64-42A9-BA14-C9DCBD7EE17E}"/>
              </c:ext>
            </c:extLst>
          </c:dPt>
          <c:dPt>
            <c:idx val="52"/>
            <c:marker>
              <c:symbol val="circle"/>
              <c:size val="15"/>
              <c:spPr>
                <a:noFill/>
                <a:ln w="19050">
                  <a:solidFill>
                    <a:schemeClr val="accent6"/>
                  </a:solidFill>
                  <a:prstDash val="sysDash"/>
                </a:ln>
                <a:effectLst/>
              </c:spPr>
            </c:marker>
            <c:bubble3D val="0"/>
            <c:extLst>
              <c:ext xmlns:c16="http://schemas.microsoft.com/office/drawing/2014/chart" uri="{C3380CC4-5D6E-409C-BE32-E72D297353CC}">
                <c16:uniqueId val="{00000002-2E64-42A9-BA14-C9DCBD7EE17E}"/>
              </c:ext>
            </c:extLst>
          </c:dPt>
          <c:dPt>
            <c:idx val="61"/>
            <c:marker>
              <c:symbol val="circle"/>
              <c:size val="15"/>
              <c:spPr>
                <a:noFill/>
                <a:ln w="19050">
                  <a:solidFill>
                    <a:schemeClr val="accent6"/>
                  </a:solidFill>
                  <a:prstDash val="sysDash"/>
                </a:ln>
                <a:effectLst/>
              </c:spPr>
            </c:marker>
            <c:bubble3D val="0"/>
            <c:extLst>
              <c:ext xmlns:c16="http://schemas.microsoft.com/office/drawing/2014/chart" uri="{C3380CC4-5D6E-409C-BE32-E72D297353CC}">
                <c16:uniqueId val="{00000003-2E64-42A9-BA14-C9DCBD7EE17E}"/>
              </c:ext>
            </c:extLst>
          </c:dPt>
          <c:cat>
            <c:strRef>
              <c:f>EDS!$C$2:$BL$2</c:f>
              <c:strCache>
                <c:ptCount val="62"/>
                <c:pt idx="0">
                  <c:v>2010Q1</c:v>
                </c:pt>
                <c:pt idx="1">
                  <c:v>2010Q2</c:v>
                </c:pt>
                <c:pt idx="2">
                  <c:v>2010Q3</c:v>
                </c:pt>
                <c:pt idx="3">
                  <c:v>2010Q4</c:v>
                </c:pt>
                <c:pt idx="4">
                  <c:v>2011Q1</c:v>
                </c:pt>
                <c:pt idx="5">
                  <c:v>2011Q2</c:v>
                </c:pt>
                <c:pt idx="6">
                  <c:v>2011Q3</c:v>
                </c:pt>
                <c:pt idx="7">
                  <c:v>2011Q4</c:v>
                </c:pt>
                <c:pt idx="8">
                  <c:v>2012Q1</c:v>
                </c:pt>
                <c:pt idx="9">
                  <c:v>2012Q2</c:v>
                </c:pt>
                <c:pt idx="10">
                  <c:v>2012Q3</c:v>
                </c:pt>
                <c:pt idx="11">
                  <c:v>2012Q4</c:v>
                </c:pt>
                <c:pt idx="12">
                  <c:v>2013Q1</c:v>
                </c:pt>
                <c:pt idx="13">
                  <c:v>2013Q2</c:v>
                </c:pt>
                <c:pt idx="14">
                  <c:v>2013Q3</c:v>
                </c:pt>
                <c:pt idx="15">
                  <c:v>2013Q4</c:v>
                </c:pt>
                <c:pt idx="16">
                  <c:v>2014Q1</c:v>
                </c:pt>
                <c:pt idx="17">
                  <c:v>2014Q2</c:v>
                </c:pt>
                <c:pt idx="18">
                  <c:v>2014Q3</c:v>
                </c:pt>
                <c:pt idx="19">
                  <c:v>2014Q4</c:v>
                </c:pt>
                <c:pt idx="20">
                  <c:v>2015Q1</c:v>
                </c:pt>
                <c:pt idx="21">
                  <c:v>2015Q2</c:v>
                </c:pt>
                <c:pt idx="22">
                  <c:v>2015Q3</c:v>
                </c:pt>
                <c:pt idx="23">
                  <c:v>2015Q4</c:v>
                </c:pt>
                <c:pt idx="24">
                  <c:v>2016Q1</c:v>
                </c:pt>
                <c:pt idx="25">
                  <c:v>2016Q2</c:v>
                </c:pt>
                <c:pt idx="26">
                  <c:v>2016Q3</c:v>
                </c:pt>
                <c:pt idx="27">
                  <c:v>2016Q4</c:v>
                </c:pt>
                <c:pt idx="28">
                  <c:v>2017Q1</c:v>
                </c:pt>
                <c:pt idx="29">
                  <c:v>2017Q2</c:v>
                </c:pt>
                <c:pt idx="30">
                  <c:v>2017Q3</c:v>
                </c:pt>
                <c:pt idx="31">
                  <c:v>2017Q4</c:v>
                </c:pt>
                <c:pt idx="32">
                  <c:v>2018Q1</c:v>
                </c:pt>
                <c:pt idx="33">
                  <c:v>2018Q2</c:v>
                </c:pt>
                <c:pt idx="34">
                  <c:v>2018Q3</c:v>
                </c:pt>
                <c:pt idx="35">
                  <c:v>2018Q4</c:v>
                </c:pt>
                <c:pt idx="36">
                  <c:v>2019Q1</c:v>
                </c:pt>
                <c:pt idx="37">
                  <c:v>2019Q2</c:v>
                </c:pt>
                <c:pt idx="38">
                  <c:v>2019Q3</c:v>
                </c:pt>
                <c:pt idx="39">
                  <c:v>2019Q4</c:v>
                </c:pt>
                <c:pt idx="40">
                  <c:v>2020Q1</c:v>
                </c:pt>
                <c:pt idx="41">
                  <c:v>2020Q2</c:v>
                </c:pt>
                <c:pt idx="42">
                  <c:v>2020Q3</c:v>
                </c:pt>
                <c:pt idx="43">
                  <c:v>2020Q4</c:v>
                </c:pt>
                <c:pt idx="44">
                  <c:v>2021Q1</c:v>
                </c:pt>
                <c:pt idx="45">
                  <c:v>2021Q2</c:v>
                </c:pt>
                <c:pt idx="46">
                  <c:v>2021Q3</c:v>
                </c:pt>
                <c:pt idx="47">
                  <c:v>2021Q4</c:v>
                </c:pt>
                <c:pt idx="48">
                  <c:v>2022Q1</c:v>
                </c:pt>
                <c:pt idx="49">
                  <c:v>2022Q2</c:v>
                </c:pt>
                <c:pt idx="50">
                  <c:v>2022Q3</c:v>
                </c:pt>
                <c:pt idx="51">
                  <c:v>2022Q4</c:v>
                </c:pt>
                <c:pt idx="52">
                  <c:v>2023Q1</c:v>
                </c:pt>
                <c:pt idx="53">
                  <c:v>2023Q2</c:v>
                </c:pt>
                <c:pt idx="54">
                  <c:v>2023Q3</c:v>
                </c:pt>
                <c:pt idx="55">
                  <c:v>2023Q4</c:v>
                </c:pt>
                <c:pt idx="56">
                  <c:v>2024Q1</c:v>
                </c:pt>
                <c:pt idx="57">
                  <c:v>2024Q2</c:v>
                </c:pt>
                <c:pt idx="58">
                  <c:v>2024Q3</c:v>
                </c:pt>
                <c:pt idx="59">
                  <c:v>2024Q4</c:v>
                </c:pt>
                <c:pt idx="60">
                  <c:v>2025Q1</c:v>
                </c:pt>
                <c:pt idx="61">
                  <c:v>2025Q2</c:v>
                </c:pt>
              </c:strCache>
            </c:strRef>
          </c:cat>
          <c:val>
            <c:numRef>
              <c:f>EDS!$C$4:$BL$4</c:f>
              <c:numCache>
                <c:formatCode>General</c:formatCode>
                <c:ptCount val="62"/>
                <c:pt idx="10" formatCode="0.00%">
                  <c:v>0.1328</c:v>
                </c:pt>
                <c:pt idx="52" formatCode="0.00%">
                  <c:v>0.18149999999999999</c:v>
                </c:pt>
                <c:pt idx="61" formatCode="0.00%">
                  <c:v>0.16020000000000001</c:v>
                </c:pt>
              </c:numCache>
            </c:numRef>
          </c:val>
          <c:smooth val="0"/>
          <c:extLst>
            <c:ext xmlns:c16="http://schemas.microsoft.com/office/drawing/2014/chart" uri="{C3380CC4-5D6E-409C-BE32-E72D297353CC}">
              <c16:uniqueId val="{00000004-2E64-42A9-BA14-C9DCBD7EE17E}"/>
            </c:ext>
          </c:extLst>
        </c:ser>
        <c:dLbls>
          <c:showLegendKey val="0"/>
          <c:showVal val="0"/>
          <c:showCatName val="0"/>
          <c:showSerName val="0"/>
          <c:showPercent val="0"/>
          <c:showBubbleSize val="0"/>
        </c:dLbls>
        <c:smooth val="0"/>
        <c:axId val="753833984"/>
        <c:axId val="753843968"/>
      </c:lineChart>
      <c:catAx>
        <c:axId val="753833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753843968"/>
        <c:crosses val="autoZero"/>
        <c:auto val="1"/>
        <c:lblAlgn val="ctr"/>
        <c:lblOffset val="100"/>
        <c:noMultiLvlLbl val="0"/>
      </c:catAx>
      <c:valAx>
        <c:axId val="753843968"/>
        <c:scaling>
          <c:orientation val="minMax"/>
          <c:min val="0.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7538339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181578338977051E-2"/>
          <c:y val="4.7945515431260743E-2"/>
          <c:w val="0.90167999588286774"/>
          <c:h val="0.81549008960086888"/>
        </c:manualLayout>
      </c:layout>
      <c:barChart>
        <c:barDir val="col"/>
        <c:grouping val="clustered"/>
        <c:varyColors val="0"/>
        <c:ser>
          <c:idx val="0"/>
          <c:order val="0"/>
          <c:spPr>
            <a:solidFill>
              <a:schemeClr val="accent2"/>
            </a:solidFill>
            <a:ln>
              <a:noFill/>
            </a:ln>
            <a:effectLst/>
          </c:spPr>
          <c:invertIfNegative val="0"/>
          <c:dPt>
            <c:idx val="1"/>
            <c:invertIfNegative val="0"/>
            <c:bubble3D val="0"/>
            <c:spPr>
              <a:solidFill>
                <a:schemeClr val="tx2"/>
              </a:solidFill>
              <a:ln>
                <a:noFill/>
              </a:ln>
              <a:effectLst/>
            </c:spPr>
            <c:extLst>
              <c:ext xmlns:c16="http://schemas.microsoft.com/office/drawing/2014/chart" uri="{C3380CC4-5D6E-409C-BE32-E72D297353CC}">
                <c16:uniqueId val="{00000001-43FE-4305-9F18-84AFFD687AAE}"/>
              </c:ext>
            </c:extLst>
          </c:dPt>
          <c:dPt>
            <c:idx val="4"/>
            <c:invertIfNegative val="0"/>
            <c:bubble3D val="0"/>
            <c:spPr>
              <a:solidFill>
                <a:schemeClr val="tx2"/>
              </a:solidFill>
              <a:ln>
                <a:noFill/>
              </a:ln>
              <a:effectLst/>
            </c:spPr>
            <c:extLst>
              <c:ext xmlns:c16="http://schemas.microsoft.com/office/drawing/2014/chart" uri="{C3380CC4-5D6E-409C-BE32-E72D297353CC}">
                <c16:uniqueId val="{00000003-43FE-4305-9F18-84AFFD687AAE}"/>
              </c:ext>
            </c:extLst>
          </c:dPt>
          <c:dPt>
            <c:idx val="7"/>
            <c:invertIfNegative val="0"/>
            <c:bubble3D val="0"/>
            <c:spPr>
              <a:solidFill>
                <a:schemeClr val="tx2"/>
              </a:solidFill>
              <a:ln>
                <a:noFill/>
              </a:ln>
              <a:effectLst/>
            </c:spPr>
            <c:extLst>
              <c:ext xmlns:c16="http://schemas.microsoft.com/office/drawing/2014/chart" uri="{C3380CC4-5D6E-409C-BE32-E72D297353CC}">
                <c16:uniqueId val="{00000005-43FE-4305-9F18-84AFFD687AAE}"/>
              </c:ext>
            </c:extLst>
          </c:dPt>
          <c:dPt>
            <c:idx val="10"/>
            <c:invertIfNegative val="0"/>
            <c:bubble3D val="0"/>
            <c:spPr>
              <a:solidFill>
                <a:schemeClr val="tx2"/>
              </a:solidFill>
              <a:ln>
                <a:noFill/>
              </a:ln>
              <a:effectLst/>
            </c:spPr>
            <c:extLst>
              <c:ext xmlns:c16="http://schemas.microsoft.com/office/drawing/2014/chart" uri="{C3380CC4-5D6E-409C-BE32-E72D297353CC}">
                <c16:uniqueId val="{00000007-43FE-4305-9F18-84AFFD687AAE}"/>
              </c:ext>
            </c:extLst>
          </c:dPt>
          <c:dPt>
            <c:idx val="13"/>
            <c:invertIfNegative val="0"/>
            <c:bubble3D val="0"/>
            <c:spPr>
              <a:solidFill>
                <a:schemeClr val="tx2"/>
              </a:solidFill>
              <a:ln>
                <a:noFill/>
              </a:ln>
              <a:effectLst/>
            </c:spPr>
            <c:extLst>
              <c:ext xmlns:c16="http://schemas.microsoft.com/office/drawing/2014/chart" uri="{C3380CC4-5D6E-409C-BE32-E72D297353CC}">
                <c16:uniqueId val="{00000009-43FE-4305-9F18-84AFFD687AAE}"/>
              </c:ext>
            </c:extLst>
          </c:dPt>
          <c:dPt>
            <c:idx val="16"/>
            <c:invertIfNegative val="0"/>
            <c:bubble3D val="0"/>
            <c:spPr>
              <a:solidFill>
                <a:schemeClr val="tx2"/>
              </a:solidFill>
              <a:ln>
                <a:noFill/>
              </a:ln>
              <a:effectLst/>
            </c:spPr>
            <c:extLst>
              <c:ext xmlns:c16="http://schemas.microsoft.com/office/drawing/2014/chart" uri="{C3380CC4-5D6E-409C-BE32-E72D297353CC}">
                <c16:uniqueId val="{0000000B-43FE-4305-9F18-84AFFD687AAE}"/>
              </c:ext>
            </c:extLst>
          </c:dPt>
          <c:dLbls>
            <c:dLbl>
              <c:idx val="0"/>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43FE-4305-9F18-84AFFD687AAE}"/>
                </c:ext>
              </c:extLst>
            </c:dLbl>
            <c:dLbl>
              <c:idx val="3"/>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43FE-4305-9F18-84AFFD687AAE}"/>
                </c:ext>
              </c:extLst>
            </c:dLbl>
            <c:dLbl>
              <c:idx val="6"/>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E-43FE-4305-9F18-84AFFD687AAE}"/>
                </c:ext>
              </c:extLst>
            </c:dLbl>
            <c:dLbl>
              <c:idx val="9"/>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43FE-4305-9F18-84AFFD687AAE}"/>
                </c:ext>
              </c:extLst>
            </c:dLbl>
            <c:dLbl>
              <c:idx val="12"/>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0-43FE-4305-9F18-84AFFD687AAE}"/>
                </c:ext>
              </c:extLst>
            </c:dLbl>
            <c:dLbl>
              <c:idx val="15"/>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1-43FE-4305-9F18-84AFFD687AAE}"/>
                </c:ext>
              </c:extLst>
            </c:dLbl>
            <c:dLbl>
              <c:idx val="18"/>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2-43FE-4305-9F18-84AFFD687AAE}"/>
                </c:ext>
              </c:extLst>
            </c:dLbl>
            <c:dLbl>
              <c:idx val="20"/>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3-43FE-4305-9F18-84AFFD687AAE}"/>
                </c:ext>
              </c:extLst>
            </c:dLbl>
            <c:dLbl>
              <c:idx val="22"/>
              <c:spPr>
                <a:noFill/>
                <a:ln>
                  <a:noFill/>
                </a:ln>
                <a:effectLst/>
              </c:spPr>
              <c:txPr>
                <a:bodyPr rot="0" spcFirstLastPara="1" vertOverflow="ellipsis" vert="horz" wrap="square" lIns="36000" rIns="108000"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4-43FE-4305-9F18-84AFFD687AAE}"/>
                </c:ext>
              </c:extLst>
            </c:dLbl>
            <c:spPr>
              <a:noFill/>
              <a:ln>
                <a:noFill/>
              </a:ln>
              <a:effectLst/>
            </c:spPr>
            <c:txPr>
              <a:bodyPr rot="0" spcFirstLastPara="1" vertOverflow="ellipsis" vert="horz" wrap="square" lIns="36000" rIns="108000"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Hárok1!$Q$13:$Q$35</c:f>
              <c:strCache>
                <c:ptCount val="23"/>
                <c:pt idx="0">
                  <c:v>2020 R</c:v>
                </c:pt>
                <c:pt idx="1">
                  <c:v>2020 S</c:v>
                </c:pt>
                <c:pt idx="3">
                  <c:v>2021 R</c:v>
                </c:pt>
                <c:pt idx="4">
                  <c:v>2021 S</c:v>
                </c:pt>
                <c:pt idx="6">
                  <c:v>2022 R</c:v>
                </c:pt>
                <c:pt idx="7">
                  <c:v>2022 S</c:v>
                </c:pt>
                <c:pt idx="9">
                  <c:v>2023 R</c:v>
                </c:pt>
                <c:pt idx="10">
                  <c:v>2023 S</c:v>
                </c:pt>
                <c:pt idx="12">
                  <c:v>2024 R</c:v>
                </c:pt>
                <c:pt idx="13">
                  <c:v>2024 S</c:v>
                </c:pt>
                <c:pt idx="15">
                  <c:v>2025 R</c:v>
                </c:pt>
                <c:pt idx="16">
                  <c:v>2025 OS</c:v>
                </c:pt>
                <c:pt idx="18">
                  <c:v>2026 R</c:v>
                </c:pt>
                <c:pt idx="20">
                  <c:v>2027 R</c:v>
                </c:pt>
                <c:pt idx="22">
                  <c:v>2028 R</c:v>
                </c:pt>
              </c:strCache>
            </c:strRef>
          </c:cat>
          <c:val>
            <c:numRef>
              <c:f>Hárok1!$R$13:$R$35</c:f>
              <c:numCache>
                <c:formatCode>_-* #\ ##0_-;\-* #\ ##0_-;_-* "-"??_-;_-@_-</c:formatCode>
                <c:ptCount val="23"/>
                <c:pt idx="0">
                  <c:v>260</c:v>
                </c:pt>
                <c:pt idx="1">
                  <c:v>436</c:v>
                </c:pt>
                <c:pt idx="3">
                  <c:v>330</c:v>
                </c:pt>
                <c:pt idx="4">
                  <c:v>380</c:v>
                </c:pt>
                <c:pt idx="6">
                  <c:v>417</c:v>
                </c:pt>
                <c:pt idx="7">
                  <c:v>527.88800000000003</c:v>
                </c:pt>
                <c:pt idx="9">
                  <c:v>470.23500000000001</c:v>
                </c:pt>
                <c:pt idx="10">
                  <c:v>534.62400000000002</c:v>
                </c:pt>
                <c:pt idx="12">
                  <c:v>586.79200000000003</c:v>
                </c:pt>
                <c:pt idx="13">
                  <c:v>621.53300000000002</c:v>
                </c:pt>
                <c:pt idx="15">
                  <c:v>550</c:v>
                </c:pt>
                <c:pt idx="16">
                  <c:v>611</c:v>
                </c:pt>
                <c:pt idx="18">
                  <c:v>512</c:v>
                </c:pt>
                <c:pt idx="20">
                  <c:v>515</c:v>
                </c:pt>
                <c:pt idx="22">
                  <c:v>516</c:v>
                </c:pt>
              </c:numCache>
            </c:numRef>
          </c:val>
          <c:extLst>
            <c:ext xmlns:c16="http://schemas.microsoft.com/office/drawing/2014/chart" uri="{C3380CC4-5D6E-409C-BE32-E72D297353CC}">
              <c16:uniqueId val="{00000015-43FE-4305-9F18-84AFFD687AAE}"/>
            </c:ext>
          </c:extLst>
        </c:ser>
        <c:dLbls>
          <c:showLegendKey val="0"/>
          <c:showVal val="0"/>
          <c:showCatName val="0"/>
          <c:showSerName val="0"/>
          <c:showPercent val="0"/>
          <c:showBubbleSize val="0"/>
        </c:dLbls>
        <c:gapWidth val="0"/>
        <c:axId val="1202109503"/>
        <c:axId val="1202100351"/>
      </c:barChart>
      <c:catAx>
        <c:axId val="1202109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02100351"/>
        <c:crosses val="autoZero"/>
        <c:auto val="1"/>
        <c:lblAlgn val="ctr"/>
        <c:lblOffset val="100"/>
        <c:noMultiLvlLbl val="0"/>
      </c:catAx>
      <c:valAx>
        <c:axId val="1202100351"/>
        <c:scaling>
          <c:orientation val="minMax"/>
        </c:scaling>
        <c:delete val="0"/>
        <c:axPos val="l"/>
        <c:majorGridlines>
          <c:spPr>
            <a:ln w="9525"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02109503"/>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Deficit!$B$4</c:f>
              <c:strCache>
                <c:ptCount val="1"/>
                <c:pt idx="0">
                  <c:v>Ciele rozpočtu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Deficit!$C$3:$I$3</c:f>
              <c:strCache>
                <c:ptCount val="7"/>
                <c:pt idx="0">
                  <c:v>2022</c:v>
                </c:pt>
                <c:pt idx="1">
                  <c:v>2023</c:v>
                </c:pt>
                <c:pt idx="2">
                  <c:v>2024</c:v>
                </c:pt>
                <c:pt idx="3">
                  <c:v>2025 OS</c:v>
                </c:pt>
                <c:pt idx="4">
                  <c:v>2026 N</c:v>
                </c:pt>
                <c:pt idx="5">
                  <c:v>2027 N</c:v>
                </c:pt>
                <c:pt idx="6">
                  <c:v>2028 N</c:v>
                </c:pt>
              </c:strCache>
            </c:strRef>
          </c:cat>
          <c:val>
            <c:numRef>
              <c:f>Deficit!$C$4:$I$4</c:f>
              <c:numCache>
                <c:formatCode>0.00</c:formatCode>
                <c:ptCount val="7"/>
                <c:pt idx="0">
                  <c:v>-4.9400000000000004</c:v>
                </c:pt>
                <c:pt idx="1">
                  <c:v>-6.44</c:v>
                </c:pt>
                <c:pt idx="2">
                  <c:v>-5.97</c:v>
                </c:pt>
                <c:pt idx="3">
                  <c:v>-4.72</c:v>
                </c:pt>
                <c:pt idx="4">
                  <c:v>-4.0999999999999996</c:v>
                </c:pt>
                <c:pt idx="5">
                  <c:v>-3.5</c:v>
                </c:pt>
                <c:pt idx="6">
                  <c:v>-2.8</c:v>
                </c:pt>
              </c:numCache>
            </c:numRef>
          </c:val>
          <c:extLst>
            <c:ext xmlns:c16="http://schemas.microsoft.com/office/drawing/2014/chart" uri="{C3380CC4-5D6E-409C-BE32-E72D297353CC}">
              <c16:uniqueId val="{00000000-08A7-4439-8588-0751CFEC6C29}"/>
            </c:ext>
          </c:extLst>
        </c:ser>
        <c:ser>
          <c:idx val="1"/>
          <c:order val="1"/>
          <c:tx>
            <c:strRef>
              <c:f>Deficit!$B$5</c:f>
              <c:strCache>
                <c:ptCount val="1"/>
                <c:pt idx="0">
                  <c:v>Skutočnosť</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Deficit!$C$3:$I$3</c:f>
              <c:strCache>
                <c:ptCount val="7"/>
                <c:pt idx="0">
                  <c:v>2022</c:v>
                </c:pt>
                <c:pt idx="1">
                  <c:v>2023</c:v>
                </c:pt>
                <c:pt idx="2">
                  <c:v>2024</c:v>
                </c:pt>
                <c:pt idx="3">
                  <c:v>2025 OS</c:v>
                </c:pt>
                <c:pt idx="4">
                  <c:v>2026 N</c:v>
                </c:pt>
                <c:pt idx="5">
                  <c:v>2027 N</c:v>
                </c:pt>
                <c:pt idx="6">
                  <c:v>2028 N</c:v>
                </c:pt>
              </c:strCache>
            </c:strRef>
          </c:cat>
          <c:val>
            <c:numRef>
              <c:f>Deficit!$C$5:$I$5</c:f>
              <c:numCache>
                <c:formatCode>0.00</c:formatCode>
                <c:ptCount val="7"/>
                <c:pt idx="0">
                  <c:v>-1.67</c:v>
                </c:pt>
                <c:pt idx="1">
                  <c:v>-5.19</c:v>
                </c:pt>
                <c:pt idx="2">
                  <c:v>-5.27</c:v>
                </c:pt>
                <c:pt idx="3">
                  <c:v>-5.01</c:v>
                </c:pt>
                <c:pt idx="4">
                  <c:v>-4.0999999999999996</c:v>
                </c:pt>
                <c:pt idx="5">
                  <c:v>-5.05</c:v>
                </c:pt>
                <c:pt idx="6">
                  <c:v>-4.59</c:v>
                </c:pt>
              </c:numCache>
            </c:numRef>
          </c:val>
          <c:extLst>
            <c:ext xmlns:c16="http://schemas.microsoft.com/office/drawing/2014/chart" uri="{C3380CC4-5D6E-409C-BE32-E72D297353CC}">
              <c16:uniqueId val="{00000001-08A7-4439-8588-0751CFEC6C29}"/>
            </c:ext>
          </c:extLst>
        </c:ser>
        <c:dLbls>
          <c:showLegendKey val="0"/>
          <c:showVal val="0"/>
          <c:showCatName val="0"/>
          <c:showSerName val="0"/>
          <c:showPercent val="0"/>
          <c:showBubbleSize val="0"/>
        </c:dLbls>
        <c:gapWidth val="100"/>
        <c:axId val="824064431"/>
        <c:axId val="824059439"/>
      </c:barChart>
      <c:lineChart>
        <c:grouping val="standard"/>
        <c:varyColors val="0"/>
        <c:ser>
          <c:idx val="2"/>
          <c:order val="2"/>
          <c:tx>
            <c:strRef>
              <c:f>Deficit!$B$6</c:f>
              <c:strCache>
                <c:ptCount val="1"/>
                <c:pt idx="0">
                  <c:v>Referenčná hodnota</c:v>
                </c:pt>
              </c:strCache>
            </c:strRef>
          </c:tx>
          <c:spPr>
            <a:ln w="25400" cap="rnd">
              <a:solidFill>
                <a:schemeClr val="accent6"/>
              </a:solidFill>
              <a:prstDash val="sysDash"/>
              <a:round/>
            </a:ln>
            <a:effectLst/>
          </c:spPr>
          <c:marker>
            <c:symbol val="none"/>
          </c:marker>
          <c:cat>
            <c:strRef>
              <c:f>Deficit!$C$3:$I$3</c:f>
              <c:strCache>
                <c:ptCount val="7"/>
                <c:pt idx="0">
                  <c:v>2022</c:v>
                </c:pt>
                <c:pt idx="1">
                  <c:v>2023</c:v>
                </c:pt>
                <c:pt idx="2">
                  <c:v>2024</c:v>
                </c:pt>
                <c:pt idx="3">
                  <c:v>2025 OS</c:v>
                </c:pt>
                <c:pt idx="4">
                  <c:v>2026 N</c:v>
                </c:pt>
                <c:pt idx="5">
                  <c:v>2027 N</c:v>
                </c:pt>
                <c:pt idx="6">
                  <c:v>2028 N</c:v>
                </c:pt>
              </c:strCache>
            </c:strRef>
          </c:cat>
          <c:val>
            <c:numRef>
              <c:f>Deficit!$C$6:$I$6</c:f>
              <c:numCache>
                <c:formatCode>0.00</c:formatCode>
                <c:ptCount val="7"/>
                <c:pt idx="0">
                  <c:v>-3</c:v>
                </c:pt>
                <c:pt idx="1">
                  <c:v>-3</c:v>
                </c:pt>
                <c:pt idx="2">
                  <c:v>-3</c:v>
                </c:pt>
                <c:pt idx="3">
                  <c:v>-3</c:v>
                </c:pt>
                <c:pt idx="4">
                  <c:v>-3</c:v>
                </c:pt>
                <c:pt idx="5">
                  <c:v>-3</c:v>
                </c:pt>
                <c:pt idx="6">
                  <c:v>-3</c:v>
                </c:pt>
              </c:numCache>
            </c:numRef>
          </c:val>
          <c:smooth val="0"/>
          <c:extLst>
            <c:ext xmlns:c16="http://schemas.microsoft.com/office/drawing/2014/chart" uri="{C3380CC4-5D6E-409C-BE32-E72D297353CC}">
              <c16:uniqueId val="{00000002-08A7-4439-8588-0751CFEC6C29}"/>
            </c:ext>
          </c:extLst>
        </c:ser>
        <c:dLbls>
          <c:showLegendKey val="0"/>
          <c:showVal val="0"/>
          <c:showCatName val="0"/>
          <c:showSerName val="0"/>
          <c:showPercent val="0"/>
          <c:showBubbleSize val="0"/>
        </c:dLbls>
        <c:marker val="1"/>
        <c:smooth val="0"/>
        <c:axId val="824064431"/>
        <c:axId val="824059439"/>
      </c:lineChart>
      <c:catAx>
        <c:axId val="824064431"/>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24059439"/>
        <c:crosses val="autoZero"/>
        <c:auto val="1"/>
        <c:lblAlgn val="ctr"/>
        <c:lblOffset val="100"/>
        <c:noMultiLvlLbl val="0"/>
      </c:catAx>
      <c:valAx>
        <c:axId val="8240594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24064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026171496546327E-2"/>
          <c:y val="4.1943368746062075E-2"/>
          <c:w val="0.87871360165051549"/>
          <c:h val="0.73696737334331952"/>
        </c:manualLayout>
      </c:layout>
      <c:barChart>
        <c:barDir val="col"/>
        <c:grouping val="clustered"/>
        <c:varyColors val="0"/>
        <c:ser>
          <c:idx val="0"/>
          <c:order val="0"/>
          <c:tx>
            <c:strRef>
              <c:f>'Graf DLH'!$B$3</c:f>
              <c:strCache>
                <c:ptCount val="1"/>
                <c:pt idx="0">
                  <c:v>Dlh (v mil. eur)</c:v>
                </c:pt>
              </c:strCache>
            </c:strRef>
          </c:tx>
          <c:spPr>
            <a:solidFill>
              <a:schemeClr val="accent1">
                <a:lumMod val="60000"/>
                <a:lumOff val="40000"/>
              </a:schemeClr>
            </a:solidFill>
            <a:ln>
              <a:solidFill>
                <a:schemeClr val="accent1">
                  <a:lumMod val="60000"/>
                  <a:lumOff val="40000"/>
                </a:schemeClr>
              </a:solidFill>
            </a:ln>
            <a:effectLst/>
          </c:spPr>
          <c:invertIfNegative val="0"/>
          <c:dLbls>
            <c:numFmt formatCode="#,##0" sourceLinked="0"/>
            <c:spPr>
              <a:noFill/>
              <a:ln>
                <a:noFill/>
              </a:ln>
              <a:effectLst/>
            </c:spPr>
            <c:txPr>
              <a:bodyPr rot="0" spcFirstLastPara="1" vertOverflow="ellipsis" vert="horz" wrap="square" anchor="ctr" anchorCtr="1"/>
              <a:lstStyle/>
              <a:p>
                <a:pPr>
                  <a:defRPr sz="7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DLH'!$C$2:$K$2</c:f>
              <c:strCache>
                <c:ptCount val="9"/>
                <c:pt idx="0">
                  <c:v>2020</c:v>
                </c:pt>
                <c:pt idx="1">
                  <c:v>2021</c:v>
                </c:pt>
                <c:pt idx="2">
                  <c:v>2022</c:v>
                </c:pt>
                <c:pt idx="3">
                  <c:v>2023</c:v>
                </c:pt>
                <c:pt idx="4">
                  <c:v>2024</c:v>
                </c:pt>
                <c:pt idx="5">
                  <c:v>2025*</c:v>
                </c:pt>
                <c:pt idx="6">
                  <c:v>2026**</c:v>
                </c:pt>
                <c:pt idx="7">
                  <c:v>2027**</c:v>
                </c:pt>
                <c:pt idx="8">
                  <c:v>2028**</c:v>
                </c:pt>
              </c:strCache>
            </c:strRef>
          </c:cat>
          <c:val>
            <c:numRef>
              <c:f>'Graf DLH'!$C$3:$K$3</c:f>
              <c:numCache>
                <c:formatCode>#\ ##0_ ;\-#\ ##0\ </c:formatCode>
                <c:ptCount val="9"/>
                <c:pt idx="0">
                  <c:v>55090.908000000003</c:v>
                </c:pt>
                <c:pt idx="1">
                  <c:v>61346.330000000009</c:v>
                </c:pt>
                <c:pt idx="2">
                  <c:v>63498.969999999987</c:v>
                </c:pt>
                <c:pt idx="3">
                  <c:v>68896.208999999988</c:v>
                </c:pt>
                <c:pt idx="4">
                  <c:v>77648.308999999994</c:v>
                </c:pt>
                <c:pt idx="5">
                  <c:v>84305</c:v>
                </c:pt>
                <c:pt idx="6">
                  <c:v>90520</c:v>
                </c:pt>
                <c:pt idx="7">
                  <c:v>96022</c:v>
                </c:pt>
                <c:pt idx="8">
                  <c:v>99539</c:v>
                </c:pt>
              </c:numCache>
            </c:numRef>
          </c:val>
          <c:extLst>
            <c:ext xmlns:c16="http://schemas.microsoft.com/office/drawing/2014/chart" uri="{C3380CC4-5D6E-409C-BE32-E72D297353CC}">
              <c16:uniqueId val="{00000000-9946-47F1-8866-DE5E4EFC8929}"/>
            </c:ext>
          </c:extLst>
        </c:ser>
        <c:dLbls>
          <c:showLegendKey val="0"/>
          <c:showVal val="0"/>
          <c:showCatName val="0"/>
          <c:showSerName val="0"/>
          <c:showPercent val="0"/>
          <c:showBubbleSize val="0"/>
        </c:dLbls>
        <c:gapWidth val="100"/>
        <c:axId val="336928079"/>
        <c:axId val="336923503"/>
      </c:barChart>
      <c:lineChart>
        <c:grouping val="standard"/>
        <c:varyColors val="0"/>
        <c:ser>
          <c:idx val="1"/>
          <c:order val="1"/>
          <c:tx>
            <c:strRef>
              <c:f>'Graf DLH'!$B$4</c:f>
              <c:strCache>
                <c:ptCount val="1"/>
                <c:pt idx="0">
                  <c:v>Dlh (v % z HDP)</c:v>
                </c:pt>
              </c:strCache>
            </c:strRef>
          </c:tx>
          <c:spPr>
            <a:ln w="25400" cap="rnd">
              <a:solidFill>
                <a:srgbClr val="314364"/>
              </a:solidFill>
              <a:round/>
            </a:ln>
            <a:effectLst/>
          </c:spPr>
          <c:marker>
            <c:symbol val="circle"/>
            <c:size val="5"/>
            <c:spPr>
              <a:solidFill>
                <a:srgbClr val="314364"/>
              </a:solidFill>
              <a:ln w="9525">
                <a:solidFill>
                  <a:sysClr val="window" lastClr="FFFFFF"/>
                </a:solid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DLH'!$C$2:$K$2</c:f>
              <c:strCache>
                <c:ptCount val="9"/>
                <c:pt idx="0">
                  <c:v>2020</c:v>
                </c:pt>
                <c:pt idx="1">
                  <c:v>2021</c:v>
                </c:pt>
                <c:pt idx="2">
                  <c:v>2022</c:v>
                </c:pt>
                <c:pt idx="3">
                  <c:v>2023</c:v>
                </c:pt>
                <c:pt idx="4">
                  <c:v>2024</c:v>
                </c:pt>
                <c:pt idx="5">
                  <c:v>2025*</c:v>
                </c:pt>
                <c:pt idx="6">
                  <c:v>2026**</c:v>
                </c:pt>
                <c:pt idx="7">
                  <c:v>2027**</c:v>
                </c:pt>
                <c:pt idx="8">
                  <c:v>2028**</c:v>
                </c:pt>
              </c:strCache>
            </c:strRef>
          </c:cat>
          <c:val>
            <c:numRef>
              <c:f>'Graf DLH'!$C$4:$K$4</c:f>
              <c:numCache>
                <c:formatCode>0.0</c:formatCode>
                <c:ptCount val="9"/>
                <c:pt idx="0">
                  <c:v>58.4</c:v>
                </c:pt>
                <c:pt idx="1">
                  <c:v>60.182670974506003</c:v>
                </c:pt>
                <c:pt idx="2">
                  <c:v>57.70197144391247</c:v>
                </c:pt>
                <c:pt idx="3">
                  <c:v>55.636308101239962</c:v>
                </c:pt>
                <c:pt idx="4">
                  <c:v>59.280252738330162</c:v>
                </c:pt>
                <c:pt idx="5">
                  <c:v>61.5</c:v>
                </c:pt>
                <c:pt idx="6">
                  <c:v>62.8</c:v>
                </c:pt>
                <c:pt idx="7">
                  <c:v>64</c:v>
                </c:pt>
                <c:pt idx="8">
                  <c:v>63.9</c:v>
                </c:pt>
              </c:numCache>
            </c:numRef>
          </c:val>
          <c:smooth val="0"/>
          <c:extLst>
            <c:ext xmlns:c16="http://schemas.microsoft.com/office/drawing/2014/chart" uri="{C3380CC4-5D6E-409C-BE32-E72D297353CC}">
              <c16:uniqueId val="{00000001-9946-47F1-8866-DE5E4EFC8929}"/>
            </c:ext>
          </c:extLst>
        </c:ser>
        <c:ser>
          <c:idx val="2"/>
          <c:order val="2"/>
          <c:tx>
            <c:strRef>
              <c:f>'Graf DLH'!$B$5</c:f>
              <c:strCache>
                <c:ptCount val="1"/>
                <c:pt idx="0">
                  <c:v>5. sankčné pásmo</c:v>
                </c:pt>
              </c:strCache>
            </c:strRef>
          </c:tx>
          <c:spPr>
            <a:ln w="25400" cap="rnd">
              <a:solidFill>
                <a:srgbClr val="F55647"/>
              </a:solidFill>
              <a:prstDash val="sysDash"/>
              <a:round/>
            </a:ln>
            <a:effectLst/>
          </c:spPr>
          <c:marker>
            <c:symbol val="none"/>
          </c:marker>
          <c:cat>
            <c:strRef>
              <c:f>'Graf DLH'!$C$2:$K$2</c:f>
              <c:strCache>
                <c:ptCount val="9"/>
                <c:pt idx="0">
                  <c:v>2020</c:v>
                </c:pt>
                <c:pt idx="1">
                  <c:v>2021</c:v>
                </c:pt>
                <c:pt idx="2">
                  <c:v>2022</c:v>
                </c:pt>
                <c:pt idx="3">
                  <c:v>2023</c:v>
                </c:pt>
                <c:pt idx="4">
                  <c:v>2024</c:v>
                </c:pt>
                <c:pt idx="5">
                  <c:v>2025*</c:v>
                </c:pt>
                <c:pt idx="6">
                  <c:v>2026**</c:v>
                </c:pt>
                <c:pt idx="7">
                  <c:v>2027**</c:v>
                </c:pt>
                <c:pt idx="8">
                  <c:v>2028**</c:v>
                </c:pt>
              </c:strCache>
            </c:strRef>
          </c:cat>
          <c:val>
            <c:numRef>
              <c:f>'Graf DLH'!$C$5:$K$5</c:f>
              <c:numCache>
                <c:formatCode>#\ ##0_ ;\-#\ ##0\ </c:formatCode>
                <c:ptCount val="9"/>
                <c:pt idx="0">
                  <c:v>58</c:v>
                </c:pt>
                <c:pt idx="1">
                  <c:v>57</c:v>
                </c:pt>
                <c:pt idx="2">
                  <c:v>56</c:v>
                </c:pt>
                <c:pt idx="3">
                  <c:v>55</c:v>
                </c:pt>
                <c:pt idx="4">
                  <c:v>54</c:v>
                </c:pt>
                <c:pt idx="5">
                  <c:v>53</c:v>
                </c:pt>
                <c:pt idx="6">
                  <c:v>52</c:v>
                </c:pt>
                <c:pt idx="7">
                  <c:v>51</c:v>
                </c:pt>
                <c:pt idx="8">
                  <c:v>50</c:v>
                </c:pt>
              </c:numCache>
            </c:numRef>
          </c:val>
          <c:smooth val="0"/>
          <c:extLst>
            <c:ext xmlns:c16="http://schemas.microsoft.com/office/drawing/2014/chart" uri="{C3380CC4-5D6E-409C-BE32-E72D297353CC}">
              <c16:uniqueId val="{00000002-9946-47F1-8866-DE5E4EFC8929}"/>
            </c:ext>
          </c:extLst>
        </c:ser>
        <c:dLbls>
          <c:showLegendKey val="0"/>
          <c:showVal val="0"/>
          <c:showCatName val="0"/>
          <c:showSerName val="0"/>
          <c:showPercent val="0"/>
          <c:showBubbleSize val="0"/>
        </c:dLbls>
        <c:marker val="1"/>
        <c:smooth val="0"/>
        <c:axId val="1720123104"/>
        <c:axId val="1720104384"/>
      </c:lineChart>
      <c:catAx>
        <c:axId val="172012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720104384"/>
        <c:crosses val="autoZero"/>
        <c:auto val="1"/>
        <c:lblAlgn val="ctr"/>
        <c:lblOffset val="100"/>
        <c:noMultiLvlLbl val="0"/>
      </c:catAx>
      <c:valAx>
        <c:axId val="1720104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720123104"/>
        <c:crossesAt val="1"/>
        <c:crossBetween val="between"/>
      </c:valAx>
      <c:valAx>
        <c:axId val="336923503"/>
        <c:scaling>
          <c:orientation val="minMax"/>
        </c:scaling>
        <c:delete val="0"/>
        <c:axPos val="r"/>
        <c:numFmt formatCode="#\ ##0_ ;\-#\ ##0\ "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36928079"/>
        <c:crosses val="max"/>
        <c:crossBetween val="between"/>
      </c:valAx>
      <c:catAx>
        <c:axId val="336928079"/>
        <c:scaling>
          <c:orientation val="minMax"/>
        </c:scaling>
        <c:delete val="1"/>
        <c:axPos val="b"/>
        <c:numFmt formatCode="General" sourceLinked="1"/>
        <c:majorTickMark val="out"/>
        <c:minorTickMark val="none"/>
        <c:tickLblPos val="nextTo"/>
        <c:crossAx val="336923503"/>
        <c:crosses val="autoZero"/>
        <c:auto val="1"/>
        <c:lblAlgn val="ctr"/>
        <c:lblOffset val="100"/>
        <c:noMultiLvlLbl val="0"/>
      </c:catAx>
      <c:spPr>
        <a:noFill/>
        <a:ln>
          <a:noFill/>
        </a:ln>
        <a:effectLst/>
      </c:spPr>
    </c:plotArea>
    <c:legend>
      <c:legendPos val="b"/>
      <c:layout>
        <c:manualLayout>
          <c:xMode val="edge"/>
          <c:yMode val="edge"/>
          <c:x val="0.15101320438583543"/>
          <c:y val="0.90387385099094519"/>
          <c:w val="0.69797341760063891"/>
          <c:h val="9.612614900905477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'Graf FINAL'!$B$4</c:f>
              <c:strCache>
                <c:ptCount val="1"/>
                <c:pt idx="0">
                  <c:v>Výdavky spojené so správou štátneho dlhu</c:v>
                </c:pt>
              </c:strCache>
            </c:strRef>
          </c:tx>
          <c:spPr>
            <a:solidFill>
              <a:srgbClr val="6D87B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FINAL'!$L$2:$U$2</c:f>
              <c:strCache>
                <c:ptCount val="10"/>
                <c:pt idx="0">
                  <c:v>2019</c:v>
                </c:pt>
                <c:pt idx="1">
                  <c:v>2020</c:v>
                </c:pt>
                <c:pt idx="2">
                  <c:v>2021</c:v>
                </c:pt>
                <c:pt idx="3">
                  <c:v>2022</c:v>
                </c:pt>
                <c:pt idx="4">
                  <c:v>2023</c:v>
                </c:pt>
                <c:pt idx="5">
                  <c:v>2024</c:v>
                </c:pt>
                <c:pt idx="6">
                  <c:v>2025*</c:v>
                </c:pt>
                <c:pt idx="7">
                  <c:v>2026**</c:v>
                </c:pt>
                <c:pt idx="8">
                  <c:v>2027**</c:v>
                </c:pt>
                <c:pt idx="9">
                  <c:v>2028**</c:v>
                </c:pt>
              </c:strCache>
            </c:strRef>
          </c:cat>
          <c:val>
            <c:numRef>
              <c:f>'Graf FINAL'!$L$4:$U$4</c:f>
              <c:numCache>
                <c:formatCode>#,##0</c:formatCode>
                <c:ptCount val="10"/>
                <c:pt idx="0">
                  <c:v>1073</c:v>
                </c:pt>
                <c:pt idx="1">
                  <c:v>796.97299999999996</c:v>
                </c:pt>
                <c:pt idx="2">
                  <c:v>657.48800000000006</c:v>
                </c:pt>
                <c:pt idx="3">
                  <c:v>1059.3309999999999</c:v>
                </c:pt>
                <c:pt idx="4">
                  <c:v>1073.1890000000001</c:v>
                </c:pt>
                <c:pt idx="5">
                  <c:v>1189</c:v>
                </c:pt>
                <c:pt idx="6">
                  <c:v>1615</c:v>
                </c:pt>
                <c:pt idx="7">
                  <c:v>2039</c:v>
                </c:pt>
                <c:pt idx="8">
                  <c:v>2418</c:v>
                </c:pt>
                <c:pt idx="9">
                  <c:v>2604</c:v>
                </c:pt>
              </c:numCache>
            </c:numRef>
          </c:val>
          <c:extLst xmlns:c15="http://schemas.microsoft.com/office/drawing/2012/chart">
            <c:ext xmlns:c16="http://schemas.microsoft.com/office/drawing/2014/chart" uri="{C3380CC4-5D6E-409C-BE32-E72D297353CC}">
              <c16:uniqueId val="{00000000-3978-48AF-A702-10185A6C9639}"/>
            </c:ext>
          </c:extLst>
        </c:ser>
        <c:dLbls>
          <c:showLegendKey val="0"/>
          <c:showVal val="0"/>
          <c:showCatName val="0"/>
          <c:showSerName val="0"/>
          <c:showPercent val="0"/>
          <c:showBubbleSize val="0"/>
        </c:dLbls>
        <c:gapWidth val="100"/>
        <c:axId val="1821113199"/>
        <c:axId val="1821115279"/>
        <c:extLst/>
      </c:barChart>
      <c:catAx>
        <c:axId val="182111319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21115279"/>
        <c:crosses val="autoZero"/>
        <c:auto val="1"/>
        <c:lblAlgn val="ctr"/>
        <c:lblOffset val="100"/>
        <c:noMultiLvlLbl val="0"/>
      </c:catAx>
      <c:valAx>
        <c:axId val="1821115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21113199"/>
        <c:crosses val="autoZero"/>
        <c:crossBetween val="between"/>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9.9198119122974007E-2"/>
          <c:y val="2.9166666666666667E-2"/>
          <c:w val="0.72008994239280466"/>
          <c:h val="0.97083333333333333"/>
        </c:manualLayout>
      </c:layout>
      <c:doughnutChart>
        <c:varyColors val="1"/>
        <c:ser>
          <c:idx val="0"/>
          <c:order val="0"/>
          <c:tx>
            <c:strRef>
              <c:f>Hárok2!$R$163</c:f>
              <c:strCache>
                <c:ptCount val="1"/>
              </c:strCache>
            </c:strRef>
          </c:tx>
          <c:cat>
            <c:strRef>
              <c:f>Hárok2!$Q$164:$Q$171</c:f>
              <c:strCache>
                <c:ptCount val="8"/>
                <c:pt idx="0">
                  <c:v>MIRRI</c:v>
                </c:pt>
                <c:pt idx="1">
                  <c:v>MV SR</c:v>
                </c:pt>
                <c:pt idx="2">
                  <c:v>MŽP</c:v>
                </c:pt>
                <c:pt idx="3">
                  <c:v>MŠVVM SR</c:v>
                </c:pt>
                <c:pt idx="4">
                  <c:v>MPSVR SR </c:v>
                </c:pt>
                <c:pt idx="5">
                  <c:v>MH SR </c:v>
                </c:pt>
                <c:pt idx="6">
                  <c:v>MPRV SR</c:v>
                </c:pt>
                <c:pt idx="7">
                  <c:v>MD SR</c:v>
                </c:pt>
              </c:strCache>
            </c:strRef>
          </c:cat>
          <c:val>
            <c:numRef>
              <c:f>Hárok2!$R$164:$R$171</c:f>
            </c:numRef>
          </c:val>
          <c:extLst>
            <c:ext xmlns:c16="http://schemas.microsoft.com/office/drawing/2014/chart" uri="{C3380CC4-5D6E-409C-BE32-E72D297353CC}">
              <c16:uniqueId val="{00000000-CA59-443F-91F4-D575A95D3737}"/>
            </c:ext>
          </c:extLst>
        </c:ser>
        <c:ser>
          <c:idx val="1"/>
          <c:order val="1"/>
          <c:tx>
            <c:strRef>
              <c:f>Hárok2!$S$163</c:f>
              <c:strCache>
                <c:ptCount val="1"/>
                <c:pt idx="0">
                  <c:v>rozpočtované výdavky</c:v>
                </c:pt>
              </c:strCache>
            </c:strRef>
          </c:tx>
          <c:dPt>
            <c:idx val="0"/>
            <c:bubble3D val="0"/>
            <c:spPr>
              <a:solidFill>
                <a:schemeClr val="accent2">
                  <a:shade val="45000"/>
                </a:schemeClr>
              </a:solidFill>
              <a:ln w="19050">
                <a:solidFill>
                  <a:schemeClr val="lt1"/>
                </a:solidFill>
              </a:ln>
              <a:effectLst/>
            </c:spPr>
            <c:extLst>
              <c:ext xmlns:c16="http://schemas.microsoft.com/office/drawing/2014/chart" uri="{C3380CC4-5D6E-409C-BE32-E72D297353CC}">
                <c16:uniqueId val="{00000002-CA59-443F-91F4-D575A95D3737}"/>
              </c:ext>
            </c:extLst>
          </c:dPt>
          <c:dPt>
            <c:idx val="1"/>
            <c:bubble3D val="0"/>
            <c:spPr>
              <a:solidFill>
                <a:schemeClr val="accent2">
                  <a:shade val="61000"/>
                </a:schemeClr>
              </a:solidFill>
              <a:ln w="19050">
                <a:solidFill>
                  <a:schemeClr val="lt1"/>
                </a:solidFill>
              </a:ln>
              <a:effectLst/>
            </c:spPr>
            <c:extLst>
              <c:ext xmlns:c16="http://schemas.microsoft.com/office/drawing/2014/chart" uri="{C3380CC4-5D6E-409C-BE32-E72D297353CC}">
                <c16:uniqueId val="{00000004-CA59-443F-91F4-D575A95D3737}"/>
              </c:ext>
            </c:extLst>
          </c:dPt>
          <c:dPt>
            <c:idx val="2"/>
            <c:bubble3D val="0"/>
            <c:spPr>
              <a:solidFill>
                <a:schemeClr val="accent2">
                  <a:shade val="76000"/>
                </a:schemeClr>
              </a:solidFill>
              <a:ln w="19050">
                <a:solidFill>
                  <a:schemeClr val="lt1"/>
                </a:solidFill>
              </a:ln>
              <a:effectLst/>
            </c:spPr>
            <c:extLst>
              <c:ext xmlns:c16="http://schemas.microsoft.com/office/drawing/2014/chart" uri="{C3380CC4-5D6E-409C-BE32-E72D297353CC}">
                <c16:uniqueId val="{00000006-CA59-443F-91F4-D575A95D3737}"/>
              </c:ext>
            </c:extLst>
          </c:dPt>
          <c:dPt>
            <c:idx val="3"/>
            <c:bubble3D val="0"/>
            <c:spPr>
              <a:solidFill>
                <a:schemeClr val="accent2">
                  <a:shade val="92000"/>
                </a:schemeClr>
              </a:solidFill>
              <a:ln w="19050">
                <a:solidFill>
                  <a:schemeClr val="lt1"/>
                </a:solidFill>
              </a:ln>
              <a:effectLst/>
            </c:spPr>
            <c:extLst>
              <c:ext xmlns:c16="http://schemas.microsoft.com/office/drawing/2014/chart" uri="{C3380CC4-5D6E-409C-BE32-E72D297353CC}">
                <c16:uniqueId val="{00000008-CA59-443F-91F4-D575A95D3737}"/>
              </c:ext>
            </c:extLst>
          </c:dPt>
          <c:dPt>
            <c:idx val="4"/>
            <c:bubble3D val="0"/>
            <c:spPr>
              <a:solidFill>
                <a:schemeClr val="accent2">
                  <a:tint val="93000"/>
                </a:schemeClr>
              </a:solidFill>
              <a:ln w="19050">
                <a:solidFill>
                  <a:schemeClr val="lt1"/>
                </a:solidFill>
              </a:ln>
              <a:effectLst/>
            </c:spPr>
            <c:extLst>
              <c:ext xmlns:c16="http://schemas.microsoft.com/office/drawing/2014/chart" uri="{C3380CC4-5D6E-409C-BE32-E72D297353CC}">
                <c16:uniqueId val="{0000000A-CA59-443F-91F4-D575A95D3737}"/>
              </c:ext>
            </c:extLst>
          </c:dPt>
          <c:dPt>
            <c:idx val="5"/>
            <c:bubble3D val="0"/>
            <c:explosion val="4"/>
            <c:spPr>
              <a:solidFill>
                <a:schemeClr val="accent2">
                  <a:tint val="77000"/>
                </a:schemeClr>
              </a:solidFill>
              <a:ln w="19050">
                <a:solidFill>
                  <a:schemeClr val="lt1"/>
                </a:solidFill>
              </a:ln>
              <a:effectLst/>
            </c:spPr>
            <c:extLst>
              <c:ext xmlns:c16="http://schemas.microsoft.com/office/drawing/2014/chart" uri="{C3380CC4-5D6E-409C-BE32-E72D297353CC}">
                <c16:uniqueId val="{0000000C-CA59-443F-91F4-D575A95D3737}"/>
              </c:ext>
            </c:extLst>
          </c:dPt>
          <c:dPt>
            <c:idx val="6"/>
            <c:bubble3D val="0"/>
            <c:spPr>
              <a:solidFill>
                <a:schemeClr val="accent2">
                  <a:tint val="62000"/>
                </a:schemeClr>
              </a:solidFill>
              <a:ln w="19050">
                <a:solidFill>
                  <a:schemeClr val="lt1"/>
                </a:solidFill>
              </a:ln>
              <a:effectLst/>
            </c:spPr>
            <c:extLst>
              <c:ext xmlns:c16="http://schemas.microsoft.com/office/drawing/2014/chart" uri="{C3380CC4-5D6E-409C-BE32-E72D297353CC}">
                <c16:uniqueId val="{0000000E-CA59-443F-91F4-D575A95D3737}"/>
              </c:ext>
            </c:extLst>
          </c:dPt>
          <c:dPt>
            <c:idx val="7"/>
            <c:bubble3D val="0"/>
            <c:spPr>
              <a:solidFill>
                <a:schemeClr val="accent2">
                  <a:tint val="46000"/>
                </a:schemeClr>
              </a:solidFill>
              <a:ln w="19050">
                <a:solidFill>
                  <a:schemeClr val="lt1"/>
                </a:solidFill>
              </a:ln>
              <a:effectLst/>
            </c:spPr>
            <c:extLst>
              <c:ext xmlns:c16="http://schemas.microsoft.com/office/drawing/2014/chart" uri="{C3380CC4-5D6E-409C-BE32-E72D297353CC}">
                <c16:uniqueId val="{00000010-CA59-443F-91F4-D575A95D3737}"/>
              </c:ext>
            </c:extLst>
          </c:dPt>
          <c:dLbls>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Hárok2!$Q$164:$Q$171</c:f>
              <c:strCache>
                <c:ptCount val="8"/>
                <c:pt idx="0">
                  <c:v>MIRRI</c:v>
                </c:pt>
                <c:pt idx="1">
                  <c:v>MV SR</c:v>
                </c:pt>
                <c:pt idx="2">
                  <c:v>MŽP</c:v>
                </c:pt>
                <c:pt idx="3">
                  <c:v>MŠVVM SR</c:v>
                </c:pt>
                <c:pt idx="4">
                  <c:v>MPSVR SR </c:v>
                </c:pt>
                <c:pt idx="5">
                  <c:v>MH SR </c:v>
                </c:pt>
                <c:pt idx="6">
                  <c:v>MPRV SR</c:v>
                </c:pt>
                <c:pt idx="7">
                  <c:v>MD SR</c:v>
                </c:pt>
              </c:strCache>
            </c:strRef>
          </c:cat>
          <c:val>
            <c:numRef>
              <c:f>Hárok2!$S$164:$S$171</c:f>
              <c:numCache>
                <c:formatCode>#\ ##0.0</c:formatCode>
                <c:ptCount val="8"/>
                <c:pt idx="0">
                  <c:v>877.59076000000005</c:v>
                </c:pt>
                <c:pt idx="1">
                  <c:v>55.297033999999996</c:v>
                </c:pt>
                <c:pt idx="2">
                  <c:v>289.37967200000003</c:v>
                </c:pt>
                <c:pt idx="3">
                  <c:v>93.196822999999995</c:v>
                </c:pt>
                <c:pt idx="4">
                  <c:v>348.48664300000002</c:v>
                </c:pt>
                <c:pt idx="5">
                  <c:v>17.377768</c:v>
                </c:pt>
                <c:pt idx="6">
                  <c:v>405.92728599999998</c:v>
                </c:pt>
                <c:pt idx="7">
                  <c:v>261.00328100000002</c:v>
                </c:pt>
              </c:numCache>
            </c:numRef>
          </c:val>
          <c:extLst>
            <c:ext xmlns:c16="http://schemas.microsoft.com/office/drawing/2014/chart" uri="{C3380CC4-5D6E-409C-BE32-E72D297353CC}">
              <c16:uniqueId val="{00000011-CA59-443F-91F4-D575A95D3737}"/>
            </c:ext>
          </c:extLst>
        </c:ser>
        <c:dLbls>
          <c:showLegendKey val="0"/>
          <c:showVal val="0"/>
          <c:showCatName val="0"/>
          <c:showSerName val="0"/>
          <c:showPercent val="0"/>
          <c:showBubbleSize val="0"/>
          <c:showLeaderLines val="1"/>
        </c:dLbls>
        <c:firstSliceAng val="0"/>
        <c:holeSize val="46"/>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'M a T'!$H$35</c:f>
              <c:strCache>
                <c:ptCount val="1"/>
                <c:pt idx="0">
                  <c:v>% plnenia míľnikov a cieľov</c:v>
                </c:pt>
              </c:strCache>
            </c:strRef>
          </c:tx>
          <c:spPr>
            <a:solidFill>
              <a:schemeClr val="accent1"/>
            </a:solidFill>
            <a:ln>
              <a:noFill/>
            </a:ln>
            <a:effectLst/>
          </c:spPr>
          <c:invertIfNegative val="0"/>
          <c:dPt>
            <c:idx val="0"/>
            <c:invertIfNegative val="0"/>
            <c:bubble3D val="0"/>
            <c:spPr>
              <a:solidFill>
                <a:schemeClr val="tx2"/>
              </a:solidFill>
              <a:ln>
                <a:noFill/>
              </a:ln>
              <a:effectLst/>
            </c:spPr>
            <c:extLst>
              <c:ext xmlns:c16="http://schemas.microsoft.com/office/drawing/2014/chart" uri="{C3380CC4-5D6E-409C-BE32-E72D297353CC}">
                <c16:uniqueId val="{00000001-E458-4436-BA90-C9EAAF2FCFBD}"/>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 a T'!$G$36:$G$40</c:f>
              <c:strCache>
                <c:ptCount val="5"/>
                <c:pt idx="0">
                  <c:v>EÚ-27</c:v>
                </c:pt>
                <c:pt idx="1">
                  <c:v>Česko</c:v>
                </c:pt>
                <c:pt idx="2">
                  <c:v>Slovensko</c:v>
                </c:pt>
                <c:pt idx="3">
                  <c:v>Poľsko</c:v>
                </c:pt>
                <c:pt idx="4">
                  <c:v>Maďarsko</c:v>
                </c:pt>
              </c:strCache>
            </c:strRef>
          </c:cat>
          <c:val>
            <c:numRef>
              <c:f>'M a T'!$H$36:$H$40</c:f>
              <c:numCache>
                <c:formatCode>0.0%</c:formatCode>
                <c:ptCount val="5"/>
                <c:pt idx="0">
                  <c:v>0.3968503937007874</c:v>
                </c:pt>
                <c:pt idx="1">
                  <c:v>0.55891238670694865</c:v>
                </c:pt>
                <c:pt idx="2">
                  <c:v>0.42081447963800905</c:v>
                </c:pt>
                <c:pt idx="3">
                  <c:v>0.24159021406727829</c:v>
                </c:pt>
                <c:pt idx="4">
                  <c:v>0</c:v>
                </c:pt>
              </c:numCache>
            </c:numRef>
          </c:val>
          <c:extLst>
            <c:ext xmlns:c16="http://schemas.microsoft.com/office/drawing/2014/chart" uri="{C3380CC4-5D6E-409C-BE32-E72D297353CC}">
              <c16:uniqueId val="{00000002-E458-4436-BA90-C9EAAF2FCFBD}"/>
            </c:ext>
          </c:extLst>
        </c:ser>
        <c:dLbls>
          <c:showLegendKey val="0"/>
          <c:showVal val="0"/>
          <c:showCatName val="0"/>
          <c:showSerName val="0"/>
          <c:showPercent val="0"/>
          <c:showBubbleSize val="0"/>
        </c:dLbls>
        <c:gapWidth val="100"/>
        <c:axId val="1250583951"/>
        <c:axId val="1250585615"/>
      </c:barChart>
      <c:catAx>
        <c:axId val="1250583951"/>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tx2"/>
                  </a:gs>
                </a:gsLst>
                <a:lin ang="10800000" scaled="0"/>
              </a:gra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0585615"/>
        <c:crosses val="autoZero"/>
        <c:auto val="1"/>
        <c:lblAlgn val="ctr"/>
        <c:lblOffset val="100"/>
        <c:noMultiLvlLbl val="0"/>
      </c:catAx>
      <c:valAx>
        <c:axId val="1250585615"/>
        <c:scaling>
          <c:orientation val="minMax"/>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058395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'MPSVR SR'!$B$16</c:f>
              <c:strCache>
                <c:ptCount val="1"/>
                <c:pt idx="0">
                  <c:v>Sociálna inklúzia</c:v>
                </c:pt>
              </c:strCache>
            </c:strRef>
          </c:tx>
          <c:spPr>
            <a:solidFill>
              <a:schemeClr val="accent1"/>
            </a:solidFill>
            <a:ln>
              <a:noFill/>
            </a:ln>
            <a:effectLst/>
          </c:spPr>
          <c:invertIfNegative val="0"/>
          <c:cat>
            <c:strRef>
              <c:f>'MPSVR SR'!$C$15:$I$15</c:f>
              <c:strCache>
                <c:ptCount val="7"/>
                <c:pt idx="0">
                  <c:v>2023 S</c:v>
                </c:pt>
                <c:pt idx="1">
                  <c:v>2024 S</c:v>
                </c:pt>
                <c:pt idx="2">
                  <c:v>2025 R</c:v>
                </c:pt>
                <c:pt idx="3">
                  <c:v>2025 OS</c:v>
                </c:pt>
                <c:pt idx="4">
                  <c:v>2026 N</c:v>
                </c:pt>
                <c:pt idx="5">
                  <c:v>2027 N</c:v>
                </c:pt>
                <c:pt idx="6">
                  <c:v>2028 N</c:v>
                </c:pt>
              </c:strCache>
            </c:strRef>
          </c:cat>
          <c:val>
            <c:numRef>
              <c:f>'MPSVR SR'!$C$16:$I$16</c:f>
              <c:numCache>
                <c:formatCode>#\ ##0.0</c:formatCode>
                <c:ptCount val="7"/>
                <c:pt idx="0">
                  <c:v>4203.7920000000004</c:v>
                </c:pt>
                <c:pt idx="1">
                  <c:v>3947.7669999999998</c:v>
                </c:pt>
                <c:pt idx="2">
                  <c:v>4254.3909999999996</c:v>
                </c:pt>
                <c:pt idx="3">
                  <c:v>4196.2979999999998</c:v>
                </c:pt>
                <c:pt idx="4">
                  <c:v>3705.9140000000002</c:v>
                </c:pt>
                <c:pt idx="5">
                  <c:v>3812.7840000000001</c:v>
                </c:pt>
                <c:pt idx="6">
                  <c:v>3874.636</c:v>
                </c:pt>
              </c:numCache>
            </c:numRef>
          </c:val>
          <c:extLst>
            <c:ext xmlns:c16="http://schemas.microsoft.com/office/drawing/2014/chart" uri="{C3380CC4-5D6E-409C-BE32-E72D297353CC}">
              <c16:uniqueId val="{00000000-26B5-4C58-B63B-95E2E18890C5}"/>
            </c:ext>
          </c:extLst>
        </c:ser>
        <c:ser>
          <c:idx val="1"/>
          <c:order val="1"/>
          <c:tx>
            <c:strRef>
              <c:f>'MPSVR SR'!$B$17</c:f>
              <c:strCache>
                <c:ptCount val="1"/>
                <c:pt idx="0">
                  <c:v>Ľudské zdroje</c:v>
                </c:pt>
              </c:strCache>
            </c:strRef>
          </c:tx>
          <c:spPr>
            <a:solidFill>
              <a:schemeClr val="accent2"/>
            </a:solidFill>
            <a:ln>
              <a:noFill/>
            </a:ln>
            <a:effectLst/>
          </c:spPr>
          <c:invertIfNegative val="0"/>
          <c:cat>
            <c:strRef>
              <c:f>'MPSVR SR'!$C$15:$I$15</c:f>
              <c:strCache>
                <c:ptCount val="7"/>
                <c:pt idx="0">
                  <c:v>2023 S</c:v>
                </c:pt>
                <c:pt idx="1">
                  <c:v>2024 S</c:v>
                </c:pt>
                <c:pt idx="2">
                  <c:v>2025 R</c:v>
                </c:pt>
                <c:pt idx="3">
                  <c:v>2025 OS</c:v>
                </c:pt>
                <c:pt idx="4">
                  <c:v>2026 N</c:v>
                </c:pt>
                <c:pt idx="5">
                  <c:v>2027 N</c:v>
                </c:pt>
                <c:pt idx="6">
                  <c:v>2028 N</c:v>
                </c:pt>
              </c:strCache>
            </c:strRef>
          </c:cat>
          <c:val>
            <c:numRef>
              <c:f>'MPSVR SR'!$C$17:$I$17</c:f>
              <c:numCache>
                <c:formatCode>#\ ##0.0</c:formatCode>
                <c:ptCount val="7"/>
                <c:pt idx="0">
                  <c:v>426.065</c:v>
                </c:pt>
                <c:pt idx="1">
                  <c:v>471.32900000000001</c:v>
                </c:pt>
                <c:pt idx="2">
                  <c:v>280.69799999999998</c:v>
                </c:pt>
                <c:pt idx="3">
                  <c:v>343.88400000000001</c:v>
                </c:pt>
                <c:pt idx="4">
                  <c:v>459.26900000000001</c:v>
                </c:pt>
                <c:pt idx="5">
                  <c:v>422.82600000000002</c:v>
                </c:pt>
                <c:pt idx="6">
                  <c:v>425.42200000000003</c:v>
                </c:pt>
              </c:numCache>
            </c:numRef>
          </c:val>
          <c:extLst>
            <c:ext xmlns:c16="http://schemas.microsoft.com/office/drawing/2014/chart" uri="{C3380CC4-5D6E-409C-BE32-E72D297353CC}">
              <c16:uniqueId val="{00000001-26B5-4C58-B63B-95E2E18890C5}"/>
            </c:ext>
          </c:extLst>
        </c:ser>
        <c:ser>
          <c:idx val="2"/>
          <c:order val="2"/>
          <c:tx>
            <c:strRef>
              <c:f>'MPSVR SR'!$B$18</c:f>
              <c:strCache>
                <c:ptCount val="1"/>
                <c:pt idx="0">
                  <c:v>Ostatné programy</c:v>
                </c:pt>
              </c:strCache>
            </c:strRef>
          </c:tx>
          <c:spPr>
            <a:solidFill>
              <a:schemeClr val="accent3"/>
            </a:solidFill>
            <a:ln>
              <a:noFill/>
            </a:ln>
            <a:effectLst/>
          </c:spPr>
          <c:invertIfNegative val="0"/>
          <c:cat>
            <c:strRef>
              <c:f>'MPSVR SR'!$C$15:$I$15</c:f>
              <c:strCache>
                <c:ptCount val="7"/>
                <c:pt idx="0">
                  <c:v>2023 S</c:v>
                </c:pt>
                <c:pt idx="1">
                  <c:v>2024 S</c:v>
                </c:pt>
                <c:pt idx="2">
                  <c:v>2025 R</c:v>
                </c:pt>
                <c:pt idx="3">
                  <c:v>2025 OS</c:v>
                </c:pt>
                <c:pt idx="4">
                  <c:v>2026 N</c:v>
                </c:pt>
                <c:pt idx="5">
                  <c:v>2027 N</c:v>
                </c:pt>
                <c:pt idx="6">
                  <c:v>2028 N</c:v>
                </c:pt>
              </c:strCache>
            </c:strRef>
          </c:cat>
          <c:val>
            <c:numRef>
              <c:f>'MPSVR SR'!$C$18:$I$18</c:f>
              <c:numCache>
                <c:formatCode>#\ ##0.0</c:formatCode>
                <c:ptCount val="7"/>
                <c:pt idx="0">
                  <c:v>284.49</c:v>
                </c:pt>
                <c:pt idx="1">
                  <c:v>310.21899999999999</c:v>
                </c:pt>
                <c:pt idx="2">
                  <c:v>295.74700000000001</c:v>
                </c:pt>
                <c:pt idx="3">
                  <c:v>321.67899999999997</c:v>
                </c:pt>
                <c:pt idx="4">
                  <c:v>296.16399999999999</c:v>
                </c:pt>
                <c:pt idx="5">
                  <c:v>296.14499999999998</c:v>
                </c:pt>
                <c:pt idx="6">
                  <c:v>296.13299999999998</c:v>
                </c:pt>
              </c:numCache>
            </c:numRef>
          </c:val>
          <c:extLst>
            <c:ext xmlns:c16="http://schemas.microsoft.com/office/drawing/2014/chart" uri="{C3380CC4-5D6E-409C-BE32-E72D297353CC}">
              <c16:uniqueId val="{00000002-26B5-4C58-B63B-95E2E18890C5}"/>
            </c:ext>
          </c:extLst>
        </c:ser>
        <c:dLbls>
          <c:showLegendKey val="0"/>
          <c:showVal val="0"/>
          <c:showCatName val="0"/>
          <c:showSerName val="0"/>
          <c:showPercent val="0"/>
          <c:showBubbleSize val="0"/>
        </c:dLbls>
        <c:gapWidth val="100"/>
        <c:overlap val="100"/>
        <c:axId val="2001356319"/>
        <c:axId val="2001364223"/>
      </c:barChart>
      <c:catAx>
        <c:axId val="2001356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7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'MPSVR SR'!$B$44</c:f>
              <c:strCache>
                <c:ptCount val="1"/>
                <c:pt idx="0">
                  <c:v>Podpora rodiny</c:v>
                </c:pt>
              </c:strCache>
            </c:strRef>
          </c:tx>
          <c:spPr>
            <a:solidFill>
              <a:schemeClr val="accent1"/>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'MPSVR SR'!$C$43:$I$43</c:f>
              <c:strCache>
                <c:ptCount val="7"/>
                <c:pt idx="0">
                  <c:v>2023 S</c:v>
                </c:pt>
                <c:pt idx="1">
                  <c:v>2024 S</c:v>
                </c:pt>
                <c:pt idx="2">
                  <c:v>2025 R</c:v>
                </c:pt>
                <c:pt idx="3">
                  <c:v>2025 OS</c:v>
                </c:pt>
                <c:pt idx="4">
                  <c:v>2026 N</c:v>
                </c:pt>
                <c:pt idx="5">
                  <c:v>2027 N</c:v>
                </c:pt>
                <c:pt idx="6">
                  <c:v>2028 N</c:v>
                </c:pt>
              </c:strCache>
            </c:strRef>
          </c:cat>
          <c:val>
            <c:numRef>
              <c:f>'MPSVR SR'!$C$44:$I$44</c:f>
              <c:numCache>
                <c:formatCode>#\ ##0.0</c:formatCode>
                <c:ptCount val="7"/>
                <c:pt idx="0">
                  <c:v>1599.5609999999999</c:v>
                </c:pt>
                <c:pt idx="1">
                  <c:v>1709.7159999999999</c:v>
                </c:pt>
                <c:pt idx="2">
                  <c:v>1853.9639999999999</c:v>
                </c:pt>
                <c:pt idx="3">
                  <c:v>1741.6769999999999</c:v>
                </c:pt>
                <c:pt idx="4">
                  <c:v>1744.4459999999999</c:v>
                </c:pt>
                <c:pt idx="5">
                  <c:v>1826.6489999999999</c:v>
                </c:pt>
                <c:pt idx="6">
                  <c:v>1854.182</c:v>
                </c:pt>
              </c:numCache>
            </c:numRef>
          </c:val>
          <c:extLst>
            <c:ext xmlns:c16="http://schemas.microsoft.com/office/drawing/2014/chart" uri="{C3380CC4-5D6E-409C-BE32-E72D297353CC}">
              <c16:uniqueId val="{00000000-2DF2-4C9B-B90E-9D685662C4F1}"/>
            </c:ext>
          </c:extLst>
        </c:ser>
        <c:dLbls>
          <c:dLblPos val="outEnd"/>
          <c:showLegendKey val="0"/>
          <c:showVal val="1"/>
          <c:showCatName val="0"/>
          <c:showSerName val="0"/>
          <c:showPercent val="0"/>
          <c:showBubbleSize val="0"/>
        </c:dLbls>
        <c:gapWidth val="100"/>
        <c:axId val="1252035695"/>
        <c:axId val="1252032367"/>
      </c:bar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max val="2000"/>
          <c:min val="14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maj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'AROPE %.'!$A$56</c:f>
              <c:strCache>
                <c:ptCount val="1"/>
                <c:pt idx="0">
                  <c:v>EÚ27</c:v>
                </c:pt>
              </c:strCache>
            </c:strRef>
          </c:tx>
          <c:spPr>
            <a:ln w="25400" cap="rnd">
              <a:solidFill>
                <a:schemeClr val="accent1"/>
              </a:solidFill>
              <a:round/>
            </a:ln>
            <a:effectLst/>
          </c:spPr>
          <c:marker>
            <c:symbol val="circle"/>
            <c:size val="5"/>
            <c:spPr>
              <a:solidFill>
                <a:schemeClr val="accent1"/>
              </a:solidFill>
              <a:ln w="12700">
                <a:solidFill>
                  <a:schemeClr val="bg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'AROPE %.'!$B$55:$K$55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'AROPE %.'!$B$56:$K$56</c:f>
              <c:numCache>
                <c:formatCode>0.0</c:formatCode>
                <c:ptCount val="10"/>
                <c:pt idx="0">
                  <c:v>24</c:v>
                </c:pt>
                <c:pt idx="1">
                  <c:v>23.7</c:v>
                </c:pt>
                <c:pt idx="2">
                  <c:v>22.4</c:v>
                </c:pt>
                <c:pt idx="3">
                  <c:v>21.7</c:v>
                </c:pt>
                <c:pt idx="4">
                  <c:v>21.8</c:v>
                </c:pt>
                <c:pt idx="5">
                  <c:v>21.5</c:v>
                </c:pt>
                <c:pt idx="6">
                  <c:v>21.7</c:v>
                </c:pt>
                <c:pt idx="7">
                  <c:v>21.5</c:v>
                </c:pt>
                <c:pt idx="8">
                  <c:v>21.2</c:v>
                </c:pt>
                <c:pt idx="9">
                  <c:v>21</c:v>
                </c:pt>
              </c:numCache>
            </c:numRef>
          </c:val>
          <c:smooth val="0"/>
          <c:extLst>
            <c:ext xmlns:c16="http://schemas.microsoft.com/office/drawing/2014/chart" uri="{C3380CC4-5D6E-409C-BE32-E72D297353CC}">
              <c16:uniqueId val="{00000000-14E9-4814-B207-1931F317BD56}"/>
            </c:ext>
          </c:extLst>
        </c:ser>
        <c:ser>
          <c:idx val="1"/>
          <c:order val="1"/>
          <c:tx>
            <c:strRef>
              <c:f>'AROPE %.'!$A$57</c:f>
              <c:strCache>
                <c:ptCount val="1"/>
                <c:pt idx="0">
                  <c:v>Slovensko</c:v>
                </c:pt>
              </c:strCache>
            </c:strRef>
          </c:tx>
          <c:spPr>
            <a:ln w="25400" cap="rnd">
              <a:solidFill>
                <a:schemeClr val="accent2"/>
              </a:solidFill>
              <a:round/>
            </a:ln>
            <a:effectLst/>
          </c:spPr>
          <c:marker>
            <c:symbol val="circle"/>
            <c:size val="5"/>
            <c:spPr>
              <a:solidFill>
                <a:schemeClr val="accent2"/>
              </a:solidFill>
              <a:ln w="12700">
                <a:solidFill>
                  <a:schemeClr val="bg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'AROPE %.'!$B$55:$K$55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'AROPE %.'!$B$57:$K$57</c:f>
              <c:numCache>
                <c:formatCode>0.0</c:formatCode>
                <c:ptCount val="10"/>
                <c:pt idx="0">
                  <c:v>17.3</c:v>
                </c:pt>
                <c:pt idx="1">
                  <c:v>17.100000000000001</c:v>
                </c:pt>
                <c:pt idx="2">
                  <c:v>15.8</c:v>
                </c:pt>
                <c:pt idx="3">
                  <c:v>15.2</c:v>
                </c:pt>
                <c:pt idx="4">
                  <c:v>14.8</c:v>
                </c:pt>
                <c:pt idx="5">
                  <c:v>13.8</c:v>
                </c:pt>
                <c:pt idx="6">
                  <c:v>15.6</c:v>
                </c:pt>
                <c:pt idx="7">
                  <c:v>16.5</c:v>
                </c:pt>
                <c:pt idx="8">
                  <c:v>17.600000000000001</c:v>
                </c:pt>
                <c:pt idx="9">
                  <c:v>18.3</c:v>
                </c:pt>
              </c:numCache>
            </c:numRef>
          </c:val>
          <c:smooth val="0"/>
          <c:extLst>
            <c:ext xmlns:c16="http://schemas.microsoft.com/office/drawing/2014/chart" uri="{C3380CC4-5D6E-409C-BE32-E72D297353CC}">
              <c16:uniqueId val="{00000001-14E9-4814-B207-1931F317BD56}"/>
            </c:ext>
          </c:extLst>
        </c:ser>
        <c:dLbls>
          <c:dLblPos val="t"/>
          <c:showLegendKey val="0"/>
          <c:showVal val="1"/>
          <c:showCatName val="0"/>
          <c:showSerName val="0"/>
          <c:showPercent val="0"/>
          <c:showBubbleSize val="0"/>
        </c:dLbls>
        <c:marker val="1"/>
        <c:smooth val="0"/>
        <c:axId val="1252035695"/>
        <c:axId val="1252032367"/>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'index starnutia'!$A$23</c:f>
              <c:strCache>
                <c:ptCount val="1"/>
                <c:pt idx="0">
                  <c:v>Index starnutia</c:v>
                </c:pt>
              </c:strCache>
            </c:strRef>
          </c:tx>
          <c:spPr>
            <a:ln w="25400" cap="rnd">
              <a:solidFill>
                <a:schemeClr val="accent1"/>
              </a:solidFill>
              <a:round/>
            </a:ln>
            <a:effectLst/>
          </c:spPr>
          <c:marker>
            <c:symbol val="circle"/>
            <c:size val="5"/>
            <c:spPr>
              <a:solidFill>
                <a:schemeClr val="accent1"/>
              </a:solidFill>
              <a:ln w="12700">
                <a:solidFill>
                  <a:schemeClr val="bg1"/>
                </a:solidFill>
                <a:round/>
              </a:ln>
              <a:effectLst/>
            </c:spPr>
          </c:marker>
          <c:cat>
            <c:numRef>
              <c:f>'index starnutia'!$B$22:$V$22</c:f>
              <c:numCache>
                <c:formatCode>General</c:formatCode>
                <c:ptCount val="19"/>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numCache>
            </c:numRef>
          </c:cat>
          <c:val>
            <c:numRef>
              <c:f>'index starnutia'!$B$23:$V$23</c:f>
              <c:numCache>
                <c:formatCode>General</c:formatCode>
                <c:ptCount val="19"/>
                <c:pt idx="0">
                  <c:v>70.739999999999995</c:v>
                </c:pt>
                <c:pt idx="1">
                  <c:v>73.47</c:v>
                </c:pt>
                <c:pt idx="2">
                  <c:v>76</c:v>
                </c:pt>
                <c:pt idx="3">
                  <c:v>78.260000000000005</c:v>
                </c:pt>
                <c:pt idx="4">
                  <c:v>80.010000000000005</c:v>
                </c:pt>
                <c:pt idx="5">
                  <c:v>81.010000000000005</c:v>
                </c:pt>
                <c:pt idx="6">
                  <c:v>82.96</c:v>
                </c:pt>
                <c:pt idx="7">
                  <c:v>85.51</c:v>
                </c:pt>
                <c:pt idx="8">
                  <c:v>88.34</c:v>
                </c:pt>
                <c:pt idx="9">
                  <c:v>91.17</c:v>
                </c:pt>
                <c:pt idx="10">
                  <c:v>94.22</c:v>
                </c:pt>
                <c:pt idx="11">
                  <c:v>96.96</c:v>
                </c:pt>
                <c:pt idx="12">
                  <c:v>99.43</c:v>
                </c:pt>
                <c:pt idx="13">
                  <c:v>101.9</c:v>
                </c:pt>
                <c:pt idx="14">
                  <c:v>104.8</c:v>
                </c:pt>
                <c:pt idx="15">
                  <c:v>107.34</c:v>
                </c:pt>
                <c:pt idx="16">
                  <c:v>108.27</c:v>
                </c:pt>
                <c:pt idx="17">
                  <c:v>110.95</c:v>
                </c:pt>
                <c:pt idx="18">
                  <c:v>114.76</c:v>
                </c:pt>
              </c:numCache>
            </c:numRef>
          </c:val>
          <c:smooth val="0"/>
          <c:extLst>
            <c:ext xmlns:c16="http://schemas.microsoft.com/office/drawing/2014/chart" uri="{C3380CC4-5D6E-409C-BE32-E72D297353CC}">
              <c16:uniqueId val="{00000000-0D6D-4B76-A498-F4FA84B636B9}"/>
            </c:ext>
          </c:extLst>
        </c:ser>
        <c:dLbls>
          <c:showLegendKey val="0"/>
          <c:showVal val="0"/>
          <c:showCatName val="0"/>
          <c:showSerName val="0"/>
          <c:showPercent val="0"/>
          <c:showBubbleSize val="0"/>
        </c:dLbls>
        <c:marker val="1"/>
        <c:smooth val="0"/>
        <c:axId val="1543648448"/>
        <c:axId val="1543645952"/>
      </c:lineChart>
      <c:lineChart>
        <c:grouping val="standard"/>
        <c:varyColors val="0"/>
        <c:ser>
          <c:idx val="2"/>
          <c:order val="2"/>
          <c:tx>
            <c:strRef>
              <c:f>'index starnutia'!$A$25</c:f>
              <c:strCache>
                <c:ptCount val="1"/>
                <c:pt idx="0">
                  <c:v>Index ekonomickej závislosti starých ľudí (pravá os)</c:v>
                </c:pt>
              </c:strCache>
            </c:strRef>
          </c:tx>
          <c:spPr>
            <a:ln w="25400" cap="rnd">
              <a:solidFill>
                <a:schemeClr val="accent3"/>
              </a:solidFill>
              <a:round/>
            </a:ln>
            <a:effectLst/>
          </c:spPr>
          <c:marker>
            <c:symbol val="circle"/>
            <c:size val="5"/>
            <c:spPr>
              <a:solidFill>
                <a:schemeClr val="accent3"/>
              </a:solidFill>
              <a:ln w="12700">
                <a:solidFill>
                  <a:schemeClr val="bg1"/>
                </a:solidFill>
                <a:round/>
              </a:ln>
              <a:effectLst/>
            </c:spPr>
          </c:marker>
          <c:cat>
            <c:numRef>
              <c:f>'index starnutia'!$B$22:$V$22</c:f>
              <c:numCache>
                <c:formatCode>General</c:formatCode>
                <c:ptCount val="19"/>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numCache>
            </c:numRef>
          </c:cat>
          <c:val>
            <c:numRef>
              <c:f>'index starnutia'!$B$25:$V$25</c:f>
              <c:numCache>
                <c:formatCode>General</c:formatCode>
                <c:ptCount val="19"/>
                <c:pt idx="0">
                  <c:v>16.38</c:v>
                </c:pt>
                <c:pt idx="1">
                  <c:v>16.47</c:v>
                </c:pt>
                <c:pt idx="2">
                  <c:v>16.57</c:v>
                </c:pt>
                <c:pt idx="3">
                  <c:v>16.68</c:v>
                </c:pt>
                <c:pt idx="4">
                  <c:v>16.93</c:v>
                </c:pt>
                <c:pt idx="5">
                  <c:v>17.11</c:v>
                </c:pt>
                <c:pt idx="6">
                  <c:v>17.8</c:v>
                </c:pt>
                <c:pt idx="7">
                  <c:v>18.350000000000001</c:v>
                </c:pt>
                <c:pt idx="8">
                  <c:v>19.03</c:v>
                </c:pt>
                <c:pt idx="9">
                  <c:v>19.739999999999998</c:v>
                </c:pt>
                <c:pt idx="10">
                  <c:v>20.57</c:v>
                </c:pt>
                <c:pt idx="11">
                  <c:v>21.55</c:v>
                </c:pt>
                <c:pt idx="12">
                  <c:v>22.54</c:v>
                </c:pt>
                <c:pt idx="13">
                  <c:v>23.52</c:v>
                </c:pt>
                <c:pt idx="14">
                  <c:v>24.54</c:v>
                </c:pt>
                <c:pt idx="15">
                  <c:v>25.47</c:v>
                </c:pt>
                <c:pt idx="16">
                  <c:v>26.13</c:v>
                </c:pt>
                <c:pt idx="17">
                  <c:v>27.02</c:v>
                </c:pt>
                <c:pt idx="18">
                  <c:v>27.95</c:v>
                </c:pt>
              </c:numCache>
            </c:numRef>
          </c:val>
          <c:smooth val="0"/>
          <c:extLst>
            <c:ext xmlns:c16="http://schemas.microsoft.com/office/drawing/2014/chart" uri="{C3380CC4-5D6E-409C-BE32-E72D297353CC}">
              <c16:uniqueId val="{00000001-0D6D-4B76-A498-F4FA84B636B9}"/>
            </c:ext>
          </c:extLst>
        </c:ser>
        <c:dLbls>
          <c:showLegendKey val="0"/>
          <c:showVal val="0"/>
          <c:showCatName val="0"/>
          <c:showSerName val="0"/>
          <c:showPercent val="0"/>
          <c:showBubbleSize val="0"/>
        </c:dLbls>
        <c:marker val="1"/>
        <c:smooth val="0"/>
        <c:axId val="1414725983"/>
        <c:axId val="1414739295"/>
        <c:extLst>
          <c:ext xmlns:c15="http://schemas.microsoft.com/office/drawing/2012/chart" uri="{02D57815-91ED-43cb-92C2-25804820EDAC}">
            <c15:filteredLineSeries>
              <c15:ser>
                <c:idx val="1"/>
                <c:order val="1"/>
                <c:tx>
                  <c:strRef>
                    <c:extLst>
                      <c:ext uri="{02D57815-91ED-43cb-92C2-25804820EDAC}">
                        <c15:formulaRef>
                          <c15:sqref>'index starnutia'!$A$24</c15:sqref>
                        </c15:formulaRef>
                      </c:ext>
                    </c:extLst>
                    <c:strCache>
                      <c:ptCount val="1"/>
                      <c:pt idx="0">
                        <c:v>Index ekonomického zaťaženia (pravá os)</c:v>
                      </c:pt>
                    </c:strCache>
                  </c:strRef>
                </c:tx>
                <c:spPr>
                  <a:ln w="25400" cap="rnd">
                    <a:solidFill>
                      <a:schemeClr val="accent2"/>
                    </a:solidFill>
                    <a:round/>
                  </a:ln>
                  <a:effectLst/>
                </c:spPr>
                <c:marker>
                  <c:symbol val="circle"/>
                  <c:size val="5"/>
                  <c:spPr>
                    <a:solidFill>
                      <a:schemeClr val="accent2"/>
                    </a:solidFill>
                    <a:ln w="12700">
                      <a:solidFill>
                        <a:schemeClr val="bg1"/>
                      </a:solidFill>
                      <a:round/>
                    </a:ln>
                    <a:effectLst/>
                  </c:spPr>
                </c:marker>
                <c:cat>
                  <c:numRef>
                    <c:extLst>
                      <c:ext uri="{02D57815-91ED-43cb-92C2-25804820EDAC}">
                        <c15:formulaRef>
                          <c15:sqref>'index starnutia'!$B$22:$V$22</c15:sqref>
                        </c15:formulaRef>
                      </c:ext>
                    </c:extLst>
                    <c:numCache>
                      <c:formatCode>General</c:formatCode>
                      <c:ptCount val="19"/>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numCache>
                  </c:numRef>
                </c:cat>
                <c:val>
                  <c:numRef>
                    <c:extLst>
                      <c:ext uri="{02D57815-91ED-43cb-92C2-25804820EDAC}">
                        <c15:formulaRef>
                          <c15:sqref>'index starnutia'!$B$24:$V$24</c15:sqref>
                        </c15:formulaRef>
                      </c:ext>
                    </c:extLst>
                    <c:numCache>
                      <c:formatCode>General</c:formatCode>
                      <c:ptCount val="19"/>
                      <c:pt idx="0">
                        <c:v>39.54</c:v>
                      </c:pt>
                      <c:pt idx="1">
                        <c:v>38.89</c:v>
                      </c:pt>
                      <c:pt idx="2">
                        <c:v>38.369999999999997</c:v>
                      </c:pt>
                      <c:pt idx="3">
                        <c:v>38</c:v>
                      </c:pt>
                      <c:pt idx="4">
                        <c:v>38.090000000000003</c:v>
                      </c:pt>
                      <c:pt idx="5">
                        <c:v>38.229999999999997</c:v>
                      </c:pt>
                      <c:pt idx="6">
                        <c:v>39.25</c:v>
                      </c:pt>
                      <c:pt idx="7">
                        <c:v>39.81</c:v>
                      </c:pt>
                      <c:pt idx="8">
                        <c:v>40.57</c:v>
                      </c:pt>
                      <c:pt idx="9">
                        <c:v>41.39</c:v>
                      </c:pt>
                      <c:pt idx="10">
                        <c:v>42.41</c:v>
                      </c:pt>
                      <c:pt idx="11">
                        <c:v>43.77</c:v>
                      </c:pt>
                      <c:pt idx="12">
                        <c:v>45.21</c:v>
                      </c:pt>
                      <c:pt idx="13">
                        <c:v>46.59</c:v>
                      </c:pt>
                      <c:pt idx="14">
                        <c:v>47.95</c:v>
                      </c:pt>
                      <c:pt idx="15">
                        <c:v>49.2</c:v>
                      </c:pt>
                      <c:pt idx="16">
                        <c:v>50.26</c:v>
                      </c:pt>
                      <c:pt idx="17">
                        <c:v>51.38</c:v>
                      </c:pt>
                      <c:pt idx="18">
                        <c:v>52.3</c:v>
                      </c:pt>
                    </c:numCache>
                  </c:numRef>
                </c:val>
                <c:smooth val="0"/>
                <c:extLst>
                  <c:ext xmlns:c16="http://schemas.microsoft.com/office/drawing/2014/chart" uri="{C3380CC4-5D6E-409C-BE32-E72D297353CC}">
                    <c16:uniqueId val="{00000002-0D6D-4B76-A498-F4FA84B636B9}"/>
                  </c:ext>
                </c:extLst>
              </c15:ser>
            </c15:filteredLineSeries>
          </c:ext>
        </c:extLst>
      </c:lineChart>
      <c:catAx>
        <c:axId val="1543648448"/>
        <c:scaling>
          <c:orientation val="minMax"/>
        </c:scaling>
        <c:delete val="0"/>
        <c:axPos val="b"/>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700" b="0" i="0" u="none" strike="noStrike" kern="1200" cap="all" spc="120" normalizeH="0" baseline="0">
                <a:solidFill>
                  <a:schemeClr val="tx2"/>
                </a:solidFill>
                <a:latin typeface="Segoe UI" panose="020B0502040204020203" pitchFamily="34" charset="0"/>
                <a:ea typeface="+mn-ea"/>
                <a:cs typeface="Segoe UI" panose="020B0502040204020203" pitchFamily="34" charset="0"/>
              </a:defRPr>
            </a:pPr>
            <a:endParaRPr lang="sk-SK"/>
          </a:p>
        </c:txPr>
        <c:crossAx val="1543645952"/>
        <c:crosses val="autoZero"/>
        <c:auto val="1"/>
        <c:lblAlgn val="ctr"/>
        <c:lblOffset val="100"/>
        <c:noMultiLvlLbl val="0"/>
      </c:catAx>
      <c:valAx>
        <c:axId val="1543645952"/>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543648448"/>
        <c:crosses val="autoZero"/>
        <c:crossBetween val="between"/>
      </c:valAx>
      <c:valAx>
        <c:axId val="1414739295"/>
        <c:scaling>
          <c:orientation val="minMax"/>
        </c:scaling>
        <c:delete val="0"/>
        <c:axPos val="r"/>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414725983"/>
        <c:crosses val="max"/>
        <c:crossBetween val="between"/>
      </c:valAx>
      <c:catAx>
        <c:axId val="1414725983"/>
        <c:scaling>
          <c:orientation val="minMax"/>
        </c:scaling>
        <c:delete val="1"/>
        <c:axPos val="b"/>
        <c:numFmt formatCode="General" sourceLinked="1"/>
        <c:majorTickMark val="out"/>
        <c:minorTickMark val="none"/>
        <c:tickLblPos val="nextTo"/>
        <c:crossAx val="141473929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lt1"/>
    </a:solidFill>
    <a:ln w="9525" cap="flat" cmpd="sng" algn="ctr">
      <a:noFill/>
      <a:round/>
    </a:ln>
    <a:effectLst/>
  </c:spPr>
  <c:txPr>
    <a:bodyPr/>
    <a:lstStyle/>
    <a:p>
      <a:pPr>
        <a:defRPr sz="7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'Graf 3'!$C$2</c:f>
              <c:strCache>
                <c:ptCount val="1"/>
                <c:pt idx="0">
                  <c:v>Prognóza z júna 2025</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3'!$B$3:$B$9</c:f>
              <c:strCache>
                <c:ptCount val="7"/>
                <c:pt idx="0">
                  <c:v>DPFO</c:v>
                </c:pt>
                <c:pt idx="1">
                  <c:v>DPPO</c:v>
                </c:pt>
                <c:pt idx="2">
                  <c:v>DPH</c:v>
                </c:pt>
                <c:pt idx="3">
                  <c:v>Spotrebné dane</c:v>
                </c:pt>
                <c:pt idx="4">
                  <c:v>Ostatné dane</c:v>
                </c:pt>
                <c:pt idx="5">
                  <c:v>Sociálna poisťovňa</c:v>
                </c:pt>
                <c:pt idx="6">
                  <c:v>Zdravotné poisťovne</c:v>
                </c:pt>
              </c:strCache>
            </c:strRef>
          </c:cat>
          <c:val>
            <c:numRef>
              <c:f>'Graf 3'!$C$3:$C$9</c:f>
              <c:numCache>
                <c:formatCode>_-* #\ ##0_-;\-* #\ ##0_-;_-* "-"??_-;_-@_-</c:formatCode>
                <c:ptCount val="7"/>
                <c:pt idx="0">
                  <c:v>5312213</c:v>
                </c:pt>
                <c:pt idx="1">
                  <c:v>5107458</c:v>
                </c:pt>
                <c:pt idx="2">
                  <c:v>11559054</c:v>
                </c:pt>
                <c:pt idx="3">
                  <c:v>2968742</c:v>
                </c:pt>
                <c:pt idx="4">
                  <c:v>1525668</c:v>
                </c:pt>
                <c:pt idx="5">
                  <c:v>12375720</c:v>
                </c:pt>
                <c:pt idx="6">
                  <c:v>6533827</c:v>
                </c:pt>
              </c:numCache>
            </c:numRef>
          </c:val>
          <c:extLst>
            <c:ext xmlns:c16="http://schemas.microsoft.com/office/drawing/2014/chart" uri="{C3380CC4-5D6E-409C-BE32-E72D297353CC}">
              <c16:uniqueId val="{00000000-97B2-4B57-8502-4A0323F2F116}"/>
            </c:ext>
          </c:extLst>
        </c:ser>
        <c:ser>
          <c:idx val="1"/>
          <c:order val="1"/>
          <c:tx>
            <c:strRef>
              <c:f>'Graf 3'!$D$2</c:f>
              <c:strCache>
                <c:ptCount val="1"/>
                <c:pt idx="0">
                  <c:v>Prognóza zo septembra 2025</c:v>
                </c:pt>
              </c:strCache>
            </c:strRef>
          </c:tx>
          <c:spPr>
            <a:solidFill>
              <a:schemeClr val="accent2"/>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3'!$B$3:$B$9</c:f>
              <c:strCache>
                <c:ptCount val="7"/>
                <c:pt idx="0">
                  <c:v>DPFO</c:v>
                </c:pt>
                <c:pt idx="1">
                  <c:v>DPPO</c:v>
                </c:pt>
                <c:pt idx="2">
                  <c:v>DPH</c:v>
                </c:pt>
                <c:pt idx="3">
                  <c:v>Spotrebné dane</c:v>
                </c:pt>
                <c:pt idx="4">
                  <c:v>Ostatné dane</c:v>
                </c:pt>
                <c:pt idx="5">
                  <c:v>Sociálna poisťovňa</c:v>
                </c:pt>
                <c:pt idx="6">
                  <c:v>Zdravotné poisťovne</c:v>
                </c:pt>
              </c:strCache>
            </c:strRef>
          </c:cat>
          <c:val>
            <c:numRef>
              <c:f>'Graf 3'!$D$3:$D$9</c:f>
              <c:numCache>
                <c:formatCode>_-* #\ ##0_-;\-* #\ ##0_-;_-* "-"??_-;_-@_-</c:formatCode>
                <c:ptCount val="7"/>
                <c:pt idx="0">
                  <c:v>5535728</c:v>
                </c:pt>
                <c:pt idx="1">
                  <c:v>5183544</c:v>
                </c:pt>
                <c:pt idx="2">
                  <c:v>11592464</c:v>
                </c:pt>
                <c:pt idx="3">
                  <c:v>2873839</c:v>
                </c:pt>
                <c:pt idx="4">
                  <c:v>1333294</c:v>
                </c:pt>
                <c:pt idx="5">
                  <c:v>12840373</c:v>
                </c:pt>
                <c:pt idx="6">
                  <c:v>7076986</c:v>
                </c:pt>
              </c:numCache>
            </c:numRef>
          </c:val>
          <c:extLst>
            <c:ext xmlns:c16="http://schemas.microsoft.com/office/drawing/2014/chart" uri="{C3380CC4-5D6E-409C-BE32-E72D297353CC}">
              <c16:uniqueId val="{00000001-97B2-4B57-8502-4A0323F2F116}"/>
            </c:ext>
          </c:extLst>
        </c:ser>
        <c:dLbls>
          <c:showLegendKey val="0"/>
          <c:showVal val="0"/>
          <c:showCatName val="0"/>
          <c:showSerName val="0"/>
          <c:showPercent val="0"/>
          <c:showBubbleSize val="0"/>
        </c:dLbls>
        <c:gapWidth val="100"/>
        <c:axId val="123189072"/>
        <c:axId val="123201968"/>
      </c:barChart>
      <c:catAx>
        <c:axId val="123189072"/>
        <c:scaling>
          <c:orientation val="maxMin"/>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tx2"/>
                  </a:gs>
                </a:gsLst>
                <a:lin ang="10800000" scaled="0"/>
              </a:gra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3201968"/>
        <c:crosses val="autoZero"/>
        <c:auto val="1"/>
        <c:lblAlgn val="ctr"/>
        <c:lblOffset val="100"/>
        <c:noMultiLvlLbl val="0"/>
      </c:catAx>
      <c:valAx>
        <c:axId val="123201968"/>
        <c:scaling>
          <c:orientation val="minMax"/>
        </c:scaling>
        <c:delete val="1"/>
        <c:axPos val="t"/>
        <c:numFmt formatCode="0" sourceLinked="0"/>
        <c:majorTickMark val="none"/>
        <c:minorTickMark val="none"/>
        <c:tickLblPos val="high"/>
        <c:crossAx val="12318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Hárok1!$C$3</c:f>
              <c:strCache>
                <c:ptCount val="1"/>
                <c:pt idx="0">
                  <c:v>Hrubá miera živorodenosti</c:v>
                </c:pt>
              </c:strCache>
            </c:strRef>
          </c:tx>
          <c:spPr>
            <a:solidFill>
              <a:schemeClr val="accent1"/>
            </a:solidFill>
            <a:ln>
              <a:noFill/>
            </a:ln>
            <a:effectLst/>
          </c:spPr>
          <c:invertIfNegative val="0"/>
          <c:dLbls>
            <c:dLbl>
              <c:idx val="0"/>
              <c:layout>
                <c:manualLayout>
                  <c:x val="0"/>
                  <c:y val="-0.333333333333333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26-4BA2-B1E6-9FB65082D940}"/>
                </c:ext>
              </c:extLst>
            </c:dLbl>
            <c:dLbl>
              <c:idx val="4"/>
              <c:layout>
                <c:manualLayout>
                  <c:x val="-5.5555555555555558E-3"/>
                  <c:y val="-0.3750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26-4BA2-B1E6-9FB65082D940}"/>
                </c:ext>
              </c:extLst>
            </c:dLbl>
            <c:dLbl>
              <c:idx val="19"/>
              <c:layout>
                <c:manualLayout>
                  <c:x val="-8.3333333333332309E-3"/>
                  <c:y val="-0.310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26-4BA2-B1E6-9FB65082D94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Hárok1!$B$4:$B$32</c:f>
              <c:strCach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strCache>
            </c:strRef>
          </c:cat>
          <c:val>
            <c:numRef>
              <c:f>Hárok1!$C$4:$C$32</c:f>
              <c:numCache>
                <c:formatCode>General</c:formatCode>
                <c:ptCount val="20"/>
                <c:pt idx="0">
                  <c:v>10.1</c:v>
                </c:pt>
                <c:pt idx="1">
                  <c:v>10</c:v>
                </c:pt>
                <c:pt idx="2">
                  <c:v>10.08</c:v>
                </c:pt>
                <c:pt idx="3">
                  <c:v>10.61</c:v>
                </c:pt>
                <c:pt idx="4">
                  <c:v>11.3</c:v>
                </c:pt>
                <c:pt idx="5">
                  <c:v>11.12</c:v>
                </c:pt>
                <c:pt idx="6">
                  <c:v>11.27</c:v>
                </c:pt>
                <c:pt idx="7">
                  <c:v>10.27</c:v>
                </c:pt>
                <c:pt idx="8">
                  <c:v>10.130000000000001</c:v>
                </c:pt>
                <c:pt idx="9">
                  <c:v>10.16</c:v>
                </c:pt>
                <c:pt idx="10">
                  <c:v>10.25</c:v>
                </c:pt>
                <c:pt idx="11">
                  <c:v>10.6</c:v>
                </c:pt>
                <c:pt idx="12">
                  <c:v>10.66</c:v>
                </c:pt>
                <c:pt idx="13">
                  <c:v>10.58</c:v>
                </c:pt>
                <c:pt idx="14">
                  <c:v>10.46</c:v>
                </c:pt>
                <c:pt idx="15">
                  <c:v>10.38</c:v>
                </c:pt>
                <c:pt idx="16">
                  <c:v>10.39</c:v>
                </c:pt>
                <c:pt idx="17">
                  <c:v>9.6999999999999993</c:v>
                </c:pt>
                <c:pt idx="18">
                  <c:v>8.9600000000000009</c:v>
                </c:pt>
                <c:pt idx="19">
                  <c:v>8.5299999999999994</c:v>
                </c:pt>
              </c:numCache>
            </c:numRef>
          </c:val>
          <c:extLst>
            <c:ext xmlns:c16="http://schemas.microsoft.com/office/drawing/2014/chart" uri="{C3380CC4-5D6E-409C-BE32-E72D297353CC}">
              <c16:uniqueId val="{00000003-D926-4BA2-B1E6-9FB65082D940}"/>
            </c:ext>
          </c:extLst>
        </c:ser>
        <c:dLbls>
          <c:showLegendKey val="0"/>
          <c:showVal val="0"/>
          <c:showCatName val="0"/>
          <c:showSerName val="0"/>
          <c:showPercent val="0"/>
          <c:showBubbleSize val="0"/>
        </c:dLbls>
        <c:gapWidth val="100"/>
        <c:overlap val="100"/>
        <c:axId val="2001356319"/>
        <c:axId val="2001364223"/>
      </c:barChart>
      <c:catAx>
        <c:axId val="2001356319"/>
        <c:scaling>
          <c:orientation val="minMax"/>
        </c:scaling>
        <c:delete val="0"/>
        <c:axPos val="b"/>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tx2"/>
                  </a:gs>
                </a:gsLst>
                <a:lin ang="5400000" scaled="1"/>
              </a:gra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'grafy vydavky VZP'!$B$64</c:f>
              <c:strCache>
                <c:ptCount val="1"/>
                <c:pt idx="0">
                  <c:v>celkové výdavky VZP</c:v>
                </c:pt>
              </c:strCache>
            </c:strRef>
          </c:tx>
          <c:spPr>
            <a:ln w="25400" cap="rnd">
              <a:solidFill>
                <a:schemeClr val="accent2"/>
              </a:solidFill>
              <a:round/>
            </a:ln>
            <a:effectLst/>
          </c:spPr>
          <c:marker>
            <c:symbol val="circle"/>
            <c:size val="5"/>
            <c:spPr>
              <a:solidFill>
                <a:schemeClr val="accent2"/>
              </a:solidFill>
              <a:ln w="9525">
                <a:solidFill>
                  <a:schemeClr val="bg1"/>
                </a:solidFill>
              </a:ln>
              <a:effectLst/>
            </c:spPr>
          </c:marker>
          <c:cat>
            <c:strRef>
              <c:f>'grafy vydavky VZP'!$C$63:$N$63</c:f>
              <c:strCache>
                <c:ptCount val="12"/>
                <c:pt idx="0">
                  <c:v>2015</c:v>
                </c:pt>
                <c:pt idx="1">
                  <c:v>2016</c:v>
                </c:pt>
                <c:pt idx="2">
                  <c:v>2017</c:v>
                </c:pt>
                <c:pt idx="3">
                  <c:v>2018</c:v>
                </c:pt>
                <c:pt idx="4">
                  <c:v>2019</c:v>
                </c:pt>
                <c:pt idx="5">
                  <c:v>2020</c:v>
                </c:pt>
                <c:pt idx="6">
                  <c:v>2021</c:v>
                </c:pt>
                <c:pt idx="7">
                  <c:v>2022</c:v>
                </c:pt>
                <c:pt idx="8">
                  <c:v>2023</c:v>
                </c:pt>
                <c:pt idx="9">
                  <c:v>2024</c:v>
                </c:pt>
                <c:pt idx="10">
                  <c:v>OS 2025</c:v>
                </c:pt>
                <c:pt idx="11">
                  <c:v>R 2026</c:v>
                </c:pt>
              </c:strCache>
            </c:strRef>
          </c:cat>
          <c:val>
            <c:numRef>
              <c:f>'grafy vydavky VZP'!$C$64:$N$64</c:f>
              <c:numCache>
                <c:formatCode>0.0</c:formatCode>
                <c:ptCount val="12"/>
                <c:pt idx="0">
                  <c:v>100</c:v>
                </c:pt>
                <c:pt idx="1">
                  <c:v>106.08882521489971</c:v>
                </c:pt>
                <c:pt idx="2">
                  <c:v>106.70964660936009</c:v>
                </c:pt>
                <c:pt idx="3">
                  <c:v>113.94460362941739</c:v>
                </c:pt>
                <c:pt idx="4">
                  <c:v>123.11365807067813</c:v>
                </c:pt>
                <c:pt idx="5">
                  <c:v>124.67287488061127</c:v>
                </c:pt>
                <c:pt idx="6">
                  <c:v>136.84060373161412</c:v>
                </c:pt>
                <c:pt idx="7">
                  <c:v>147.75407802582831</c:v>
                </c:pt>
                <c:pt idx="8">
                  <c:v>171.05293145988537</c:v>
                </c:pt>
                <c:pt idx="9">
                  <c:v>197.63465606542513</c:v>
                </c:pt>
                <c:pt idx="10">
                  <c:v>198.28080229226362</c:v>
                </c:pt>
                <c:pt idx="11">
                  <c:v>211.47707736389685</c:v>
                </c:pt>
              </c:numCache>
            </c:numRef>
          </c:val>
          <c:smooth val="0"/>
          <c:extLst>
            <c:ext xmlns:c16="http://schemas.microsoft.com/office/drawing/2014/chart" uri="{C3380CC4-5D6E-409C-BE32-E72D297353CC}">
              <c16:uniqueId val="{00000000-3AD9-4393-A7A8-30FCADFE3CD5}"/>
            </c:ext>
          </c:extLst>
        </c:ser>
        <c:ser>
          <c:idx val="2"/>
          <c:order val="1"/>
          <c:tx>
            <c:strRef>
              <c:f>'grafy vydavky VZP'!$B$65</c:f>
              <c:strCache>
                <c:ptCount val="1"/>
                <c:pt idx="0">
                  <c:v>HDP</c:v>
                </c:pt>
              </c:strCache>
            </c:strRef>
          </c:tx>
          <c:spPr>
            <a:ln w="25400" cap="rnd">
              <a:solidFill>
                <a:schemeClr val="accent3"/>
              </a:solidFill>
              <a:round/>
            </a:ln>
            <a:effectLst/>
          </c:spPr>
          <c:marker>
            <c:symbol val="circle"/>
            <c:size val="5"/>
            <c:spPr>
              <a:solidFill>
                <a:schemeClr val="accent3"/>
              </a:solidFill>
              <a:ln w="9525">
                <a:solidFill>
                  <a:schemeClr val="bg1"/>
                </a:solidFill>
              </a:ln>
              <a:effectLst/>
            </c:spPr>
          </c:marker>
          <c:cat>
            <c:strRef>
              <c:f>'grafy vydavky VZP'!$C$63:$N$63</c:f>
              <c:strCache>
                <c:ptCount val="12"/>
                <c:pt idx="0">
                  <c:v>2015</c:v>
                </c:pt>
                <c:pt idx="1">
                  <c:v>2016</c:v>
                </c:pt>
                <c:pt idx="2">
                  <c:v>2017</c:v>
                </c:pt>
                <c:pt idx="3">
                  <c:v>2018</c:v>
                </c:pt>
                <c:pt idx="4">
                  <c:v>2019</c:v>
                </c:pt>
                <c:pt idx="5">
                  <c:v>2020</c:v>
                </c:pt>
                <c:pt idx="6">
                  <c:v>2021</c:v>
                </c:pt>
                <c:pt idx="7">
                  <c:v>2022</c:v>
                </c:pt>
                <c:pt idx="8">
                  <c:v>2023</c:v>
                </c:pt>
                <c:pt idx="9">
                  <c:v>2024</c:v>
                </c:pt>
                <c:pt idx="10">
                  <c:v>OS 2025</c:v>
                </c:pt>
                <c:pt idx="11">
                  <c:v>R 2026</c:v>
                </c:pt>
              </c:strCache>
            </c:strRef>
          </c:cat>
          <c:val>
            <c:numRef>
              <c:f>'grafy vydavky VZP'!$C$65:$N$65</c:f>
              <c:numCache>
                <c:formatCode>0.0</c:formatCode>
                <c:ptCount val="12"/>
                <c:pt idx="0">
                  <c:v>100</c:v>
                </c:pt>
                <c:pt idx="1">
                  <c:v>101.54933730465324</c:v>
                </c:pt>
                <c:pt idx="2">
                  <c:v>105.70329811150798</c:v>
                </c:pt>
                <c:pt idx="3">
                  <c:v>112.31656595289905</c:v>
                </c:pt>
                <c:pt idx="4">
                  <c:v>117.34877071972709</c:v>
                </c:pt>
                <c:pt idx="5">
                  <c:v>117.63106786453221</c:v>
                </c:pt>
                <c:pt idx="6">
                  <c:v>126.820343807814</c:v>
                </c:pt>
                <c:pt idx="7">
                  <c:v>136.91399081570063</c:v>
                </c:pt>
                <c:pt idx="8">
                  <c:v>154.06680825069083</c:v>
                </c:pt>
                <c:pt idx="9">
                  <c:v>162.96482918472236</c:v>
                </c:pt>
                <c:pt idx="10">
                  <c:v>170.69708359304917</c:v>
                </c:pt>
                <c:pt idx="11">
                  <c:v>179.40611847024556</c:v>
                </c:pt>
              </c:numCache>
            </c:numRef>
          </c:val>
          <c:smooth val="0"/>
          <c:extLst>
            <c:ext xmlns:c16="http://schemas.microsoft.com/office/drawing/2014/chart" uri="{C3380CC4-5D6E-409C-BE32-E72D297353CC}">
              <c16:uniqueId val="{00000001-3AD9-4393-A7A8-30FCADFE3CD5}"/>
            </c:ext>
          </c:extLst>
        </c:ser>
        <c:ser>
          <c:idx val="0"/>
          <c:order val="2"/>
          <c:tx>
            <c:strRef>
              <c:f>'grafy vydavky VZP'!$B$66</c:f>
              <c:strCache>
                <c:ptCount val="1"/>
                <c:pt idx="0">
                  <c:v>výdavky na lieky vydané na lekársky predpis</c:v>
                </c:pt>
              </c:strCache>
            </c:strRef>
          </c:tx>
          <c:spPr>
            <a:ln w="25400" cap="rnd">
              <a:solidFill>
                <a:schemeClr val="accent1"/>
              </a:solidFill>
              <a:round/>
            </a:ln>
            <a:effectLst/>
          </c:spPr>
          <c:marker>
            <c:symbol val="circle"/>
            <c:size val="5"/>
            <c:spPr>
              <a:solidFill>
                <a:schemeClr val="accent1"/>
              </a:solidFill>
              <a:ln w="9525">
                <a:solidFill>
                  <a:schemeClr val="bg1"/>
                </a:solidFill>
              </a:ln>
              <a:effectLst/>
            </c:spPr>
          </c:marker>
          <c:cat>
            <c:strRef>
              <c:f>'grafy vydavky VZP'!$C$63:$N$63</c:f>
              <c:strCache>
                <c:ptCount val="12"/>
                <c:pt idx="0">
                  <c:v>2015</c:v>
                </c:pt>
                <c:pt idx="1">
                  <c:v>2016</c:v>
                </c:pt>
                <c:pt idx="2">
                  <c:v>2017</c:v>
                </c:pt>
                <c:pt idx="3">
                  <c:v>2018</c:v>
                </c:pt>
                <c:pt idx="4">
                  <c:v>2019</c:v>
                </c:pt>
                <c:pt idx="5">
                  <c:v>2020</c:v>
                </c:pt>
                <c:pt idx="6">
                  <c:v>2021</c:v>
                </c:pt>
                <c:pt idx="7">
                  <c:v>2022</c:v>
                </c:pt>
                <c:pt idx="8">
                  <c:v>2023</c:v>
                </c:pt>
                <c:pt idx="9">
                  <c:v>2024</c:v>
                </c:pt>
                <c:pt idx="10">
                  <c:v>OS 2025</c:v>
                </c:pt>
                <c:pt idx="11">
                  <c:v>R 2026</c:v>
                </c:pt>
              </c:strCache>
            </c:strRef>
          </c:cat>
          <c:val>
            <c:numRef>
              <c:f>'grafy vydavky VZP'!$C$66:$N$66</c:f>
              <c:numCache>
                <c:formatCode>0.0</c:formatCode>
                <c:ptCount val="12"/>
                <c:pt idx="0">
                  <c:v>100</c:v>
                </c:pt>
                <c:pt idx="1">
                  <c:v>104.04104128262581</c:v>
                </c:pt>
                <c:pt idx="2">
                  <c:v>102.22987254282887</c:v>
                </c:pt>
                <c:pt idx="3">
                  <c:v>102.14948937503905</c:v>
                </c:pt>
                <c:pt idx="4">
                  <c:v>107.11597730409534</c:v>
                </c:pt>
                <c:pt idx="5">
                  <c:v>138.80256132585177</c:v>
                </c:pt>
                <c:pt idx="6">
                  <c:v>136.11308264772796</c:v>
                </c:pt>
                <c:pt idx="7">
                  <c:v>146.57840195320833</c:v>
                </c:pt>
                <c:pt idx="8">
                  <c:v>158.88767604826876</c:v>
                </c:pt>
                <c:pt idx="9">
                  <c:v>176.65196508500111</c:v>
                </c:pt>
                <c:pt idx="10">
                  <c:v>169.90404030428422</c:v>
                </c:pt>
                <c:pt idx="11">
                  <c:v>176.86108129294331</c:v>
                </c:pt>
              </c:numCache>
            </c:numRef>
          </c:val>
          <c:smooth val="0"/>
          <c:extLst>
            <c:ext xmlns:c16="http://schemas.microsoft.com/office/drawing/2014/chart" uri="{C3380CC4-5D6E-409C-BE32-E72D297353CC}">
              <c16:uniqueId val="{00000002-3AD9-4393-A7A8-30FCADFE3CD5}"/>
            </c:ext>
          </c:extLst>
        </c:ser>
        <c:dLbls>
          <c:showLegendKey val="0"/>
          <c:showVal val="0"/>
          <c:showCatName val="0"/>
          <c:showSerName val="0"/>
          <c:showPercent val="0"/>
          <c:showBubbleSize val="0"/>
        </c:dLbls>
        <c:marker val="1"/>
        <c:smooth val="0"/>
        <c:axId val="1476727808"/>
        <c:axId val="1476728640"/>
      </c:lineChart>
      <c:catAx>
        <c:axId val="147672780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476728640"/>
        <c:crosses val="autoZero"/>
        <c:auto val="1"/>
        <c:lblAlgn val="ctr"/>
        <c:lblOffset val="100"/>
        <c:noMultiLvlLbl val="0"/>
      </c:catAx>
      <c:valAx>
        <c:axId val="1476728640"/>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476727808"/>
        <c:crosses val="autoZero"/>
        <c:crossBetween val="between"/>
        <c:majorUnit val="25"/>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'grafy vydavky VZP'!$A$31</c:f>
              <c:strCache>
                <c:ptCount val="1"/>
                <c:pt idx="0">
                  <c:v>Ústavná zdravotná starostlivosť</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'grafy vydavky VZP'!$I$30:$M$30</c:f>
              <c:strCache>
                <c:ptCount val="5"/>
                <c:pt idx="0">
                  <c:v>2022</c:v>
                </c:pt>
                <c:pt idx="1">
                  <c:v>2023</c:v>
                </c:pt>
                <c:pt idx="2">
                  <c:v>2024</c:v>
                </c:pt>
                <c:pt idx="3">
                  <c:v>OS 2025</c:v>
                </c:pt>
                <c:pt idx="4">
                  <c:v>R 2026</c:v>
                </c:pt>
              </c:strCache>
            </c:strRef>
          </c:cat>
          <c:val>
            <c:numRef>
              <c:f>'grafy vydavky VZP'!$I$31:$M$31</c:f>
              <c:numCache>
                <c:formatCode>#\ ##0.0</c:formatCode>
                <c:ptCount val="5"/>
                <c:pt idx="0">
                  <c:v>31.275254566025541</c:v>
                </c:pt>
                <c:pt idx="1">
                  <c:v>34.580221927559492</c:v>
                </c:pt>
                <c:pt idx="2">
                  <c:v>35.852813695045036</c:v>
                </c:pt>
                <c:pt idx="3">
                  <c:v>39.641057572228725</c:v>
                </c:pt>
                <c:pt idx="4" formatCode="0.0">
                  <c:v>38.3633082198171</c:v>
                </c:pt>
              </c:numCache>
            </c:numRef>
          </c:val>
          <c:extLst>
            <c:ext xmlns:c16="http://schemas.microsoft.com/office/drawing/2014/chart" uri="{C3380CC4-5D6E-409C-BE32-E72D297353CC}">
              <c16:uniqueId val="{00000000-8C7F-42CD-A2CC-65CFC34B0317}"/>
            </c:ext>
          </c:extLst>
        </c:ser>
        <c:ser>
          <c:idx val="1"/>
          <c:order val="1"/>
          <c:tx>
            <c:strRef>
              <c:f>'grafy vydavky VZP'!$A$32</c:f>
              <c:strCache>
                <c:ptCount val="1"/>
                <c:pt idx="0">
                  <c:v>Lieky a dietetické potraviny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'grafy vydavky VZP'!$I$30:$M$30</c:f>
              <c:strCache>
                <c:ptCount val="5"/>
                <c:pt idx="0">
                  <c:v>2022</c:v>
                </c:pt>
                <c:pt idx="1">
                  <c:v>2023</c:v>
                </c:pt>
                <c:pt idx="2">
                  <c:v>2024</c:v>
                </c:pt>
                <c:pt idx="3">
                  <c:v>OS 2025</c:v>
                </c:pt>
                <c:pt idx="4">
                  <c:v>R 2026</c:v>
                </c:pt>
              </c:strCache>
            </c:strRef>
          </c:cat>
          <c:val>
            <c:numRef>
              <c:f>'grafy vydavky VZP'!$I$32:$M$32</c:f>
              <c:numCache>
                <c:formatCode>#\ ##0.0</c:formatCode>
                <c:ptCount val="5"/>
                <c:pt idx="0">
                  <c:v>22.272506869241958</c:v>
                </c:pt>
                <c:pt idx="1">
                  <c:v>21.235257170772559</c:v>
                </c:pt>
                <c:pt idx="2">
                  <c:v>19.994704735653016</c:v>
                </c:pt>
                <c:pt idx="3">
                  <c:v>20.708374581367874</c:v>
                </c:pt>
                <c:pt idx="4" formatCode="0.0">
                  <c:v>20.163498729060496</c:v>
                </c:pt>
              </c:numCache>
            </c:numRef>
          </c:val>
          <c:extLst>
            <c:ext xmlns:c16="http://schemas.microsoft.com/office/drawing/2014/chart" uri="{C3380CC4-5D6E-409C-BE32-E72D297353CC}">
              <c16:uniqueId val="{00000001-8C7F-42CD-A2CC-65CFC34B0317}"/>
            </c:ext>
          </c:extLst>
        </c:ser>
        <c:ser>
          <c:idx val="2"/>
          <c:order val="2"/>
          <c:tx>
            <c:strRef>
              <c:f>'grafy vydavky VZP'!$A$33</c:f>
              <c:strCache>
                <c:ptCount val="1"/>
                <c:pt idx="0">
                  <c:v>Špecializovaná ambulantná starostlivosť</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'grafy vydavky VZP'!$I$30:$M$30</c:f>
              <c:strCache>
                <c:ptCount val="5"/>
                <c:pt idx="0">
                  <c:v>2022</c:v>
                </c:pt>
                <c:pt idx="1">
                  <c:v>2023</c:v>
                </c:pt>
                <c:pt idx="2">
                  <c:v>2024</c:v>
                </c:pt>
                <c:pt idx="3">
                  <c:v>OS 2025</c:v>
                </c:pt>
                <c:pt idx="4">
                  <c:v>R 2026</c:v>
                </c:pt>
              </c:strCache>
            </c:strRef>
          </c:cat>
          <c:val>
            <c:numRef>
              <c:f>'grafy vydavky VZP'!$I$33:$M$33</c:f>
              <c:numCache>
                <c:formatCode>#\ ##0.0</c:formatCode>
                <c:ptCount val="5"/>
                <c:pt idx="0">
                  <c:v>17.165023436237274</c:v>
                </c:pt>
                <c:pt idx="1">
                  <c:v>17.483425221578614</c:v>
                </c:pt>
                <c:pt idx="2">
                  <c:v>17.373997855126831</c:v>
                </c:pt>
                <c:pt idx="3">
                  <c:v>16.049068429869109</c:v>
                </c:pt>
                <c:pt idx="4" formatCode="0.0">
                  <c:v>18.200055078534142</c:v>
                </c:pt>
              </c:numCache>
            </c:numRef>
          </c:val>
          <c:extLst>
            <c:ext xmlns:c16="http://schemas.microsoft.com/office/drawing/2014/chart" uri="{C3380CC4-5D6E-409C-BE32-E72D297353CC}">
              <c16:uniqueId val="{00000002-8C7F-42CD-A2CC-65CFC34B0317}"/>
            </c:ext>
          </c:extLst>
        </c:ser>
        <c:ser>
          <c:idx val="3"/>
          <c:order val="3"/>
          <c:tx>
            <c:strRef>
              <c:f>'grafy vydavky VZP'!$A$34</c:f>
              <c:strCache>
                <c:ptCount val="1"/>
                <c:pt idx="0">
                  <c:v>Spoločné vyšetrovacie a liečebné zložky</c:v>
                </c:pt>
              </c:strCache>
            </c:strRef>
          </c:tx>
          <c:spPr>
            <a:solidFill>
              <a:schemeClr val="accent4"/>
            </a:solidFill>
            <a:ln>
              <a:noFill/>
            </a:ln>
            <a:effectLst/>
          </c:spPr>
          <c:invertIfNegative val="0"/>
          <c:cat>
            <c:strRef>
              <c:f>'grafy vydavky VZP'!$I$30:$M$30</c:f>
              <c:strCache>
                <c:ptCount val="5"/>
                <c:pt idx="0">
                  <c:v>2022</c:v>
                </c:pt>
                <c:pt idx="1">
                  <c:v>2023</c:v>
                </c:pt>
                <c:pt idx="2">
                  <c:v>2024</c:v>
                </c:pt>
                <c:pt idx="3">
                  <c:v>OS 2025</c:v>
                </c:pt>
                <c:pt idx="4">
                  <c:v>R 2026</c:v>
                </c:pt>
              </c:strCache>
            </c:strRef>
          </c:cat>
          <c:val>
            <c:numRef>
              <c:f>'grafy vydavky VZP'!$I$34:$M$34</c:f>
              <c:numCache>
                <c:formatCode>#\ ##0.0</c:formatCode>
                <c:ptCount val="5"/>
                <c:pt idx="0">
                  <c:v>9.7300791983190553</c:v>
                </c:pt>
                <c:pt idx="1">
                  <c:v>7.6683648544908918</c:v>
                </c:pt>
                <c:pt idx="2">
                  <c:v>7.0383647888671241</c:v>
                </c:pt>
                <c:pt idx="3">
                  <c:v>7.0820275463250093</c:v>
                </c:pt>
                <c:pt idx="4" formatCode="0.0">
                  <c:v>6.9523375899266338</c:v>
                </c:pt>
              </c:numCache>
            </c:numRef>
          </c:val>
          <c:extLst>
            <c:ext xmlns:c16="http://schemas.microsoft.com/office/drawing/2014/chart" uri="{C3380CC4-5D6E-409C-BE32-E72D297353CC}">
              <c16:uniqueId val="{00000003-8C7F-42CD-A2CC-65CFC34B0317}"/>
            </c:ext>
          </c:extLst>
        </c:ser>
        <c:ser>
          <c:idx val="4"/>
          <c:order val="4"/>
          <c:tx>
            <c:strRef>
              <c:f>'grafy vydavky VZP'!$A$35</c:f>
              <c:strCache>
                <c:ptCount val="1"/>
                <c:pt idx="0">
                  <c:v>Všeobecná ambulantná starostlivosť</c:v>
                </c:pt>
              </c:strCache>
            </c:strRef>
          </c:tx>
          <c:spPr>
            <a:solidFill>
              <a:schemeClr val="accent5"/>
            </a:solidFill>
            <a:ln>
              <a:noFill/>
            </a:ln>
            <a:effectLst/>
          </c:spPr>
          <c:invertIfNegative val="0"/>
          <c:cat>
            <c:strRef>
              <c:f>'grafy vydavky VZP'!$I$30:$M$30</c:f>
              <c:strCache>
                <c:ptCount val="5"/>
                <c:pt idx="0">
                  <c:v>2022</c:v>
                </c:pt>
                <c:pt idx="1">
                  <c:v>2023</c:v>
                </c:pt>
                <c:pt idx="2">
                  <c:v>2024</c:v>
                </c:pt>
                <c:pt idx="3">
                  <c:v>OS 2025</c:v>
                </c:pt>
                <c:pt idx="4">
                  <c:v>R 2026</c:v>
                </c:pt>
              </c:strCache>
            </c:strRef>
          </c:cat>
          <c:val>
            <c:numRef>
              <c:f>'grafy vydavky VZP'!$I$35:$M$35</c:f>
              <c:numCache>
                <c:formatCode>#\ ##0.0</c:formatCode>
                <c:ptCount val="5"/>
                <c:pt idx="0">
                  <c:v>6.1580733796670435</c:v>
                </c:pt>
                <c:pt idx="1">
                  <c:v>6.1106846255844784</c:v>
                </c:pt>
                <c:pt idx="2">
                  <c:v>5.7438731202787352</c:v>
                </c:pt>
                <c:pt idx="3">
                  <c:v>5.9930643570496986</c:v>
                </c:pt>
                <c:pt idx="4" formatCode="0.0">
                  <c:v>5.9158196620975074</c:v>
                </c:pt>
              </c:numCache>
            </c:numRef>
          </c:val>
          <c:extLst>
            <c:ext xmlns:c16="http://schemas.microsoft.com/office/drawing/2014/chart" uri="{C3380CC4-5D6E-409C-BE32-E72D297353CC}">
              <c16:uniqueId val="{00000004-8C7F-42CD-A2CC-65CFC34B0317}"/>
            </c:ext>
          </c:extLst>
        </c:ser>
        <c:ser>
          <c:idx val="5"/>
          <c:order val="5"/>
          <c:tx>
            <c:strRef>
              <c:f>'grafy vydavky VZP'!$A$36</c:f>
              <c:strCache>
                <c:ptCount val="1"/>
                <c:pt idx="0">
                  <c:v>Zdravotnícke pomôcky</c:v>
                </c:pt>
              </c:strCache>
            </c:strRef>
          </c:tx>
          <c:spPr>
            <a:solidFill>
              <a:schemeClr val="accent6"/>
            </a:solidFill>
            <a:ln>
              <a:noFill/>
            </a:ln>
            <a:effectLst/>
          </c:spPr>
          <c:invertIfNegative val="0"/>
          <c:cat>
            <c:strRef>
              <c:f>'grafy vydavky VZP'!$I$30:$M$30</c:f>
              <c:strCache>
                <c:ptCount val="5"/>
                <c:pt idx="0">
                  <c:v>2022</c:v>
                </c:pt>
                <c:pt idx="1">
                  <c:v>2023</c:v>
                </c:pt>
                <c:pt idx="2">
                  <c:v>2024</c:v>
                </c:pt>
                <c:pt idx="3">
                  <c:v>OS 2025</c:v>
                </c:pt>
                <c:pt idx="4">
                  <c:v>R 2026</c:v>
                </c:pt>
              </c:strCache>
            </c:strRef>
          </c:cat>
          <c:val>
            <c:numRef>
              <c:f>'grafy vydavky VZP'!$I$36:$M$36</c:f>
              <c:numCache>
                <c:formatCode>#\ ##0.0</c:formatCode>
                <c:ptCount val="5"/>
                <c:pt idx="0">
                  <c:v>3.1032810732180378</c:v>
                </c:pt>
                <c:pt idx="1">
                  <c:v>3.1879405401633045</c:v>
                </c:pt>
                <c:pt idx="2">
                  <c:v>3.465065360482634</c:v>
                </c:pt>
                <c:pt idx="3">
                  <c:v>3.7443201269775517</c:v>
                </c:pt>
                <c:pt idx="4" formatCode="0.0">
                  <c:v>3.9714519633328544</c:v>
                </c:pt>
              </c:numCache>
            </c:numRef>
          </c:val>
          <c:extLst>
            <c:ext xmlns:c16="http://schemas.microsoft.com/office/drawing/2014/chart" uri="{C3380CC4-5D6E-409C-BE32-E72D297353CC}">
              <c16:uniqueId val="{00000005-8C7F-42CD-A2CC-65CFC34B0317}"/>
            </c:ext>
          </c:extLst>
        </c:ser>
        <c:ser>
          <c:idx val="6"/>
          <c:order val="6"/>
          <c:tx>
            <c:strRef>
              <c:f>'grafy vydavky VZP'!$A$37</c:f>
              <c:strCache>
                <c:ptCount val="1"/>
                <c:pt idx="0">
                  <c:v>Ostatné výdavky na ZS</c:v>
                </c:pt>
              </c:strCache>
            </c:strRef>
          </c:tx>
          <c:spPr>
            <a:solidFill>
              <a:schemeClr val="accent1">
                <a:lumMod val="60000"/>
              </a:schemeClr>
            </a:solidFill>
            <a:ln>
              <a:noFill/>
            </a:ln>
            <a:effectLst/>
          </c:spPr>
          <c:invertIfNegative val="0"/>
          <c:cat>
            <c:strRef>
              <c:f>'grafy vydavky VZP'!$I$30:$M$30</c:f>
              <c:strCache>
                <c:ptCount val="5"/>
                <c:pt idx="0">
                  <c:v>2022</c:v>
                </c:pt>
                <c:pt idx="1">
                  <c:v>2023</c:v>
                </c:pt>
                <c:pt idx="2">
                  <c:v>2024</c:v>
                </c:pt>
                <c:pt idx="3">
                  <c:v>OS 2025</c:v>
                </c:pt>
                <c:pt idx="4">
                  <c:v>R 2026</c:v>
                </c:pt>
              </c:strCache>
            </c:strRef>
          </c:cat>
          <c:val>
            <c:numRef>
              <c:f>'grafy vydavky VZP'!$I$37:$M$37</c:f>
              <c:numCache>
                <c:formatCode>#\ ##0.0</c:formatCode>
                <c:ptCount val="5"/>
                <c:pt idx="0">
                  <c:v>6.1419104574106997</c:v>
                </c:pt>
                <c:pt idx="1">
                  <c:v>6.6634098680996772</c:v>
                </c:pt>
                <c:pt idx="2">
                  <c:v>6.3735335641735906</c:v>
                </c:pt>
                <c:pt idx="3">
                  <c:v>4.7236605759029269</c:v>
                </c:pt>
                <c:pt idx="4" formatCode="0.0">
                  <c:v>4.8572946473198035</c:v>
                </c:pt>
              </c:numCache>
            </c:numRef>
          </c:val>
          <c:extLst>
            <c:ext xmlns:c16="http://schemas.microsoft.com/office/drawing/2014/chart" uri="{C3380CC4-5D6E-409C-BE32-E72D297353CC}">
              <c16:uniqueId val="{00000006-8C7F-42CD-A2CC-65CFC34B0317}"/>
            </c:ext>
          </c:extLst>
        </c:ser>
        <c:ser>
          <c:idx val="7"/>
          <c:order val="7"/>
          <c:tx>
            <c:strRef>
              <c:f>'grafy vydavky VZP'!$A$38</c:f>
              <c:strCache>
                <c:ptCount val="1"/>
                <c:pt idx="0">
                  <c:v>Iné výdavky VZP</c:v>
                </c:pt>
              </c:strCache>
            </c:strRef>
          </c:tx>
          <c:spPr>
            <a:solidFill>
              <a:schemeClr val="accent2">
                <a:lumMod val="60000"/>
              </a:schemeClr>
            </a:solidFill>
            <a:ln>
              <a:noFill/>
            </a:ln>
            <a:effectLst/>
          </c:spPr>
          <c:invertIfNegative val="0"/>
          <c:cat>
            <c:strRef>
              <c:f>'grafy vydavky VZP'!$I$30:$M$30</c:f>
              <c:strCache>
                <c:ptCount val="5"/>
                <c:pt idx="0">
                  <c:v>2022</c:v>
                </c:pt>
                <c:pt idx="1">
                  <c:v>2023</c:v>
                </c:pt>
                <c:pt idx="2">
                  <c:v>2024</c:v>
                </c:pt>
                <c:pt idx="3">
                  <c:v>OS 2025</c:v>
                </c:pt>
                <c:pt idx="4">
                  <c:v>R 2026</c:v>
                </c:pt>
              </c:strCache>
            </c:strRef>
          </c:cat>
          <c:val>
            <c:numRef>
              <c:f>'grafy vydavky VZP'!$I$38:$M$38</c:f>
              <c:numCache>
                <c:formatCode>#\ ##0.0</c:formatCode>
                <c:ptCount val="5"/>
                <c:pt idx="0">
                  <c:v>4.1538710198803948</c:v>
                </c:pt>
                <c:pt idx="1">
                  <c:v>3.0706957917509938</c:v>
                </c:pt>
                <c:pt idx="2">
                  <c:v>4.1576468803730329</c:v>
                </c:pt>
                <c:pt idx="3">
                  <c:v>2.0584268102791117</c:v>
                </c:pt>
                <c:pt idx="4" formatCode="0.0">
                  <c:v>1.5762341099114614</c:v>
                </c:pt>
              </c:numCache>
            </c:numRef>
          </c:val>
          <c:extLst>
            <c:ext xmlns:c16="http://schemas.microsoft.com/office/drawing/2014/chart" uri="{C3380CC4-5D6E-409C-BE32-E72D297353CC}">
              <c16:uniqueId val="{00000007-8C7F-42CD-A2CC-65CFC34B0317}"/>
            </c:ext>
          </c:extLst>
        </c:ser>
        <c:dLbls>
          <c:showLegendKey val="0"/>
          <c:showVal val="0"/>
          <c:showCatName val="0"/>
          <c:showSerName val="0"/>
          <c:showPercent val="0"/>
          <c:showBubbleSize val="0"/>
        </c:dLbls>
        <c:gapWidth val="100"/>
        <c:overlap val="100"/>
        <c:axId val="2001356319"/>
        <c:axId val="2001364223"/>
      </c:barChart>
      <c:catAx>
        <c:axId val="2001356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valAx>
      <c:spPr>
        <a:noFill/>
        <a:ln>
          <a:noFill/>
        </a:ln>
        <a:effectLst/>
      </c:spPr>
    </c:plotArea>
    <c:legend>
      <c:legendPos val="r"/>
      <c:layout>
        <c:manualLayout>
          <c:xMode val="edge"/>
          <c:yMode val="edge"/>
          <c:x val="0.68307685629704229"/>
          <c:y val="4.2089056715602403E-2"/>
          <c:w val="0.3036927137139831"/>
          <c:h val="0.9217020468736615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Hárok1!$D$4</c:f>
              <c:strCache>
                <c:ptCount val="1"/>
                <c:pt idx="0">
                  <c:v>neefektivita v roku 2022</c:v>
                </c:pt>
              </c:strCache>
            </c:strRef>
          </c:tx>
          <c:spPr>
            <a:solidFill>
              <a:schemeClr val="bg2"/>
            </a:solidFill>
            <a:ln>
              <a:noFill/>
            </a:ln>
            <a:effectLst/>
          </c:spPr>
          <c:invertIfNegative val="0"/>
          <c:dPt>
            <c:idx val="21"/>
            <c:invertIfNegative val="0"/>
            <c:bubble3D val="0"/>
            <c:spPr>
              <a:solidFill>
                <a:schemeClr val="accent6"/>
              </a:solidFill>
              <a:ln>
                <a:noFill/>
              </a:ln>
              <a:effectLst/>
            </c:spPr>
            <c:extLst>
              <c:ext xmlns:c16="http://schemas.microsoft.com/office/drawing/2014/chart" uri="{C3380CC4-5D6E-409C-BE32-E72D297353CC}">
                <c16:uniqueId val="{00000001-1183-4A85-8B8C-E78A88B335DE}"/>
              </c:ext>
            </c:extLst>
          </c:dPt>
          <c:cat>
            <c:strRef>
              <c:f>Hárok1!$C$5:$C$31</c:f>
              <c:strCache>
                <c:ptCount val="27"/>
                <c:pt idx="0">
                  <c:v>Malta</c:v>
                </c:pt>
                <c:pt idx="1">
                  <c:v>Španielsko</c:v>
                </c:pt>
                <c:pt idx="2">
                  <c:v>Taliansko</c:v>
                </c:pt>
                <c:pt idx="3">
                  <c:v>Portugalsko</c:v>
                </c:pt>
                <c:pt idx="4">
                  <c:v>Rakúsko</c:v>
                </c:pt>
                <c:pt idx="5">
                  <c:v>Chorvátsko</c:v>
                </c:pt>
                <c:pt idx="6">
                  <c:v>Grécko</c:v>
                </c:pt>
                <c:pt idx="7">
                  <c:v>Luxembursko</c:v>
                </c:pt>
                <c:pt idx="8">
                  <c:v>Slovinsko</c:v>
                </c:pt>
                <c:pt idx="9">
                  <c:v>Česká republika</c:v>
                </c:pt>
                <c:pt idx="10">
                  <c:v>Švédsko</c:v>
                </c:pt>
                <c:pt idx="11">
                  <c:v>Dánsko</c:v>
                </c:pt>
                <c:pt idx="12">
                  <c:v>Francúzsko</c:v>
                </c:pt>
                <c:pt idx="13">
                  <c:v>Maďarsko</c:v>
                </c:pt>
                <c:pt idx="14">
                  <c:v>Cyprus</c:v>
                </c:pt>
                <c:pt idx="15">
                  <c:v>Bulharsko</c:v>
                </c:pt>
                <c:pt idx="16">
                  <c:v>Rumunsko</c:v>
                </c:pt>
                <c:pt idx="17">
                  <c:v>Nemecko</c:v>
                </c:pt>
                <c:pt idx="18">
                  <c:v>Poľsko</c:v>
                </c:pt>
                <c:pt idx="19">
                  <c:v>Estónsko</c:v>
                </c:pt>
                <c:pt idx="20">
                  <c:v>Írsko</c:v>
                </c:pt>
                <c:pt idx="21">
                  <c:v>Slovensko</c:v>
                </c:pt>
                <c:pt idx="22">
                  <c:v>Fínsko</c:v>
                </c:pt>
                <c:pt idx="23">
                  <c:v>Belgicko</c:v>
                </c:pt>
                <c:pt idx="24">
                  <c:v>Holandsko</c:v>
                </c:pt>
                <c:pt idx="25">
                  <c:v>Lotyšsko</c:v>
                </c:pt>
                <c:pt idx="26">
                  <c:v>Litva</c:v>
                </c:pt>
              </c:strCache>
            </c:strRef>
          </c:cat>
          <c:val>
            <c:numRef>
              <c:f>Hárok1!$D$5:$D$31</c:f>
              <c:numCache>
                <c:formatCode>0.00</c:formatCode>
                <c:ptCount val="27"/>
                <c:pt idx="0">
                  <c:v>1.39</c:v>
                </c:pt>
                <c:pt idx="1">
                  <c:v>1.6</c:v>
                </c:pt>
                <c:pt idx="2">
                  <c:v>1.79</c:v>
                </c:pt>
                <c:pt idx="3">
                  <c:v>2.1800000000000002</c:v>
                </c:pt>
                <c:pt idx="4">
                  <c:v>2.2400000000000002</c:v>
                </c:pt>
                <c:pt idx="5">
                  <c:v>2.31</c:v>
                </c:pt>
                <c:pt idx="6">
                  <c:v>2.31</c:v>
                </c:pt>
                <c:pt idx="7">
                  <c:v>2.41</c:v>
                </c:pt>
                <c:pt idx="8">
                  <c:v>2.48</c:v>
                </c:pt>
                <c:pt idx="9">
                  <c:v>2.5099999999999998</c:v>
                </c:pt>
                <c:pt idx="10">
                  <c:v>2.8</c:v>
                </c:pt>
                <c:pt idx="11">
                  <c:v>2.89</c:v>
                </c:pt>
                <c:pt idx="12">
                  <c:v>2.95</c:v>
                </c:pt>
                <c:pt idx="13">
                  <c:v>3.03</c:v>
                </c:pt>
                <c:pt idx="14">
                  <c:v>3.09</c:v>
                </c:pt>
                <c:pt idx="15">
                  <c:v>3.15</c:v>
                </c:pt>
                <c:pt idx="16">
                  <c:v>3.17</c:v>
                </c:pt>
                <c:pt idx="17">
                  <c:v>3.28</c:v>
                </c:pt>
                <c:pt idx="18">
                  <c:v>3.35</c:v>
                </c:pt>
                <c:pt idx="19">
                  <c:v>3.41</c:v>
                </c:pt>
                <c:pt idx="20">
                  <c:v>3.44</c:v>
                </c:pt>
                <c:pt idx="21">
                  <c:v>3.47</c:v>
                </c:pt>
                <c:pt idx="22">
                  <c:v>3.52</c:v>
                </c:pt>
                <c:pt idx="23">
                  <c:v>3.65</c:v>
                </c:pt>
                <c:pt idx="24">
                  <c:v>4.32</c:v>
                </c:pt>
                <c:pt idx="25">
                  <c:v>4.7699999999999996</c:v>
                </c:pt>
                <c:pt idx="26">
                  <c:v>5.12</c:v>
                </c:pt>
              </c:numCache>
            </c:numRef>
          </c:val>
          <c:extLst>
            <c:ext xmlns:c16="http://schemas.microsoft.com/office/drawing/2014/chart" uri="{C3380CC4-5D6E-409C-BE32-E72D297353CC}">
              <c16:uniqueId val="{00000002-1183-4A85-8B8C-E78A88B335DE}"/>
            </c:ext>
          </c:extLst>
        </c:ser>
        <c:dLbls>
          <c:showLegendKey val="0"/>
          <c:showVal val="0"/>
          <c:showCatName val="0"/>
          <c:showSerName val="0"/>
          <c:showPercent val="0"/>
          <c:showBubbleSize val="0"/>
        </c:dLbls>
        <c:gapWidth val="100"/>
        <c:axId val="445023295"/>
        <c:axId val="445025791"/>
      </c:barChart>
      <c:lineChart>
        <c:grouping val="standard"/>
        <c:varyColors val="0"/>
        <c:ser>
          <c:idx val="1"/>
          <c:order val="1"/>
          <c:tx>
            <c:strRef>
              <c:f>Hárok1!$E$4</c:f>
              <c:strCache>
                <c:ptCount val="1"/>
                <c:pt idx="0">
                  <c:v>priemer krajín EÚ 27</c:v>
                </c:pt>
              </c:strCache>
            </c:strRef>
          </c:tx>
          <c:spPr>
            <a:ln w="25400" cap="rnd">
              <a:solidFill>
                <a:schemeClr val="accent6"/>
              </a:solidFill>
              <a:prstDash val="sysDash"/>
              <a:round/>
            </a:ln>
            <a:effectLst/>
          </c:spPr>
          <c:marker>
            <c:symbol val="none"/>
          </c:marker>
          <c:cat>
            <c:strRef>
              <c:f>Hárok1!$C$5:$C$31</c:f>
              <c:strCache>
                <c:ptCount val="27"/>
                <c:pt idx="0">
                  <c:v>Malta</c:v>
                </c:pt>
                <c:pt idx="1">
                  <c:v>Španielsko</c:v>
                </c:pt>
                <c:pt idx="2">
                  <c:v>Taliansko</c:v>
                </c:pt>
                <c:pt idx="3">
                  <c:v>Portugalsko</c:v>
                </c:pt>
                <c:pt idx="4">
                  <c:v>Rakúsko</c:v>
                </c:pt>
                <c:pt idx="5">
                  <c:v>Chorvátsko</c:v>
                </c:pt>
                <c:pt idx="6">
                  <c:v>Grécko</c:v>
                </c:pt>
                <c:pt idx="7">
                  <c:v>Luxembursko</c:v>
                </c:pt>
                <c:pt idx="8">
                  <c:v>Slovinsko</c:v>
                </c:pt>
                <c:pt idx="9">
                  <c:v>Česká republika</c:v>
                </c:pt>
                <c:pt idx="10">
                  <c:v>Švédsko</c:v>
                </c:pt>
                <c:pt idx="11">
                  <c:v>Dánsko</c:v>
                </c:pt>
                <c:pt idx="12">
                  <c:v>Francúzsko</c:v>
                </c:pt>
                <c:pt idx="13">
                  <c:v>Maďarsko</c:v>
                </c:pt>
                <c:pt idx="14">
                  <c:v>Cyprus</c:v>
                </c:pt>
                <c:pt idx="15">
                  <c:v>Bulharsko</c:v>
                </c:pt>
                <c:pt idx="16">
                  <c:v>Rumunsko</c:v>
                </c:pt>
                <c:pt idx="17">
                  <c:v>Nemecko</c:v>
                </c:pt>
                <c:pt idx="18">
                  <c:v>Poľsko</c:v>
                </c:pt>
                <c:pt idx="19">
                  <c:v>Estónsko</c:v>
                </c:pt>
                <c:pt idx="20">
                  <c:v>Írsko</c:v>
                </c:pt>
                <c:pt idx="21">
                  <c:v>Slovensko</c:v>
                </c:pt>
                <c:pt idx="22">
                  <c:v>Fínsko</c:v>
                </c:pt>
                <c:pt idx="23">
                  <c:v>Belgicko</c:v>
                </c:pt>
                <c:pt idx="24">
                  <c:v>Holandsko</c:v>
                </c:pt>
                <c:pt idx="25">
                  <c:v>Lotyšsko</c:v>
                </c:pt>
                <c:pt idx="26">
                  <c:v>Litva</c:v>
                </c:pt>
              </c:strCache>
            </c:strRef>
          </c:cat>
          <c:val>
            <c:numRef>
              <c:f>Hárok1!$E$5:$E$31</c:f>
              <c:numCache>
                <c:formatCode>0.00</c:formatCode>
                <c:ptCount val="27"/>
                <c:pt idx="0">
                  <c:v>2.9862962962962967</c:v>
                </c:pt>
                <c:pt idx="1">
                  <c:v>2.9862962962962967</c:v>
                </c:pt>
                <c:pt idx="2">
                  <c:v>2.9862962962962967</c:v>
                </c:pt>
                <c:pt idx="3">
                  <c:v>2.9862962962962967</c:v>
                </c:pt>
                <c:pt idx="4">
                  <c:v>2.9862962962962967</c:v>
                </c:pt>
                <c:pt idx="5">
                  <c:v>2.9862962962962967</c:v>
                </c:pt>
                <c:pt idx="6">
                  <c:v>2.9862962962962967</c:v>
                </c:pt>
                <c:pt idx="7">
                  <c:v>2.9862962962962967</c:v>
                </c:pt>
                <c:pt idx="8">
                  <c:v>2.9862962962962967</c:v>
                </c:pt>
                <c:pt idx="9">
                  <c:v>2.9862962962962967</c:v>
                </c:pt>
                <c:pt idx="10">
                  <c:v>2.9862962962962967</c:v>
                </c:pt>
                <c:pt idx="11">
                  <c:v>2.9862962962962967</c:v>
                </c:pt>
                <c:pt idx="12">
                  <c:v>2.9862962962962967</c:v>
                </c:pt>
                <c:pt idx="13">
                  <c:v>2.9862962962962967</c:v>
                </c:pt>
                <c:pt idx="14">
                  <c:v>2.9862962962962967</c:v>
                </c:pt>
                <c:pt idx="15">
                  <c:v>2.9862962962962967</c:v>
                </c:pt>
                <c:pt idx="16">
                  <c:v>2.9862962962962967</c:v>
                </c:pt>
                <c:pt idx="17">
                  <c:v>2.9862962962962967</c:v>
                </c:pt>
                <c:pt idx="18">
                  <c:v>2.9862962962962967</c:v>
                </c:pt>
                <c:pt idx="19">
                  <c:v>2.9862962962962967</c:v>
                </c:pt>
                <c:pt idx="20">
                  <c:v>2.9862962962962967</c:v>
                </c:pt>
                <c:pt idx="21">
                  <c:v>2.9862962962962967</c:v>
                </c:pt>
                <c:pt idx="22">
                  <c:v>2.9862962962962967</c:v>
                </c:pt>
                <c:pt idx="23">
                  <c:v>2.9862962962962967</c:v>
                </c:pt>
                <c:pt idx="24">
                  <c:v>2.9862962962962967</c:v>
                </c:pt>
                <c:pt idx="25">
                  <c:v>2.9862962962962967</c:v>
                </c:pt>
                <c:pt idx="26">
                  <c:v>2.9862962962962967</c:v>
                </c:pt>
              </c:numCache>
            </c:numRef>
          </c:val>
          <c:smooth val="0"/>
          <c:extLst>
            <c:ext xmlns:c16="http://schemas.microsoft.com/office/drawing/2014/chart" uri="{C3380CC4-5D6E-409C-BE32-E72D297353CC}">
              <c16:uniqueId val="{00000003-1183-4A85-8B8C-E78A88B335DE}"/>
            </c:ext>
          </c:extLst>
        </c:ser>
        <c:ser>
          <c:idx val="2"/>
          <c:order val="2"/>
          <c:tx>
            <c:strRef>
              <c:f>Hárok1!$F$4</c:f>
              <c:strCache>
                <c:ptCount val="1"/>
                <c:pt idx="0">
                  <c:v>neefektivita v roku 1995</c:v>
                </c:pt>
              </c:strCache>
            </c:strRef>
          </c:tx>
          <c:spPr>
            <a:ln w="28575" cap="rnd">
              <a:noFill/>
              <a:round/>
            </a:ln>
            <a:effectLst/>
          </c:spPr>
          <c:marker>
            <c:symbol val="triangle"/>
            <c:size val="5"/>
            <c:spPr>
              <a:solidFill>
                <a:schemeClr val="tx2"/>
              </a:solidFill>
              <a:ln w="9525">
                <a:solidFill>
                  <a:schemeClr val="tx2"/>
                </a:solidFill>
              </a:ln>
              <a:effectLst/>
            </c:spPr>
          </c:marker>
          <c:cat>
            <c:strRef>
              <c:f>Hárok1!$C$5:$C$31</c:f>
              <c:strCache>
                <c:ptCount val="27"/>
                <c:pt idx="0">
                  <c:v>Malta</c:v>
                </c:pt>
                <c:pt idx="1">
                  <c:v>Španielsko</c:v>
                </c:pt>
                <c:pt idx="2">
                  <c:v>Taliansko</c:v>
                </c:pt>
                <c:pt idx="3">
                  <c:v>Portugalsko</c:v>
                </c:pt>
                <c:pt idx="4">
                  <c:v>Rakúsko</c:v>
                </c:pt>
                <c:pt idx="5">
                  <c:v>Chorvátsko</c:v>
                </c:pt>
                <c:pt idx="6">
                  <c:v>Grécko</c:v>
                </c:pt>
                <c:pt idx="7">
                  <c:v>Luxembursko</c:v>
                </c:pt>
                <c:pt idx="8">
                  <c:v>Slovinsko</c:v>
                </c:pt>
                <c:pt idx="9">
                  <c:v>Česká republika</c:v>
                </c:pt>
                <c:pt idx="10">
                  <c:v>Švédsko</c:v>
                </c:pt>
                <c:pt idx="11">
                  <c:v>Dánsko</c:v>
                </c:pt>
                <c:pt idx="12">
                  <c:v>Francúzsko</c:v>
                </c:pt>
                <c:pt idx="13">
                  <c:v>Maďarsko</c:v>
                </c:pt>
                <c:pt idx="14">
                  <c:v>Cyprus</c:v>
                </c:pt>
                <c:pt idx="15">
                  <c:v>Bulharsko</c:v>
                </c:pt>
                <c:pt idx="16">
                  <c:v>Rumunsko</c:v>
                </c:pt>
                <c:pt idx="17">
                  <c:v>Nemecko</c:v>
                </c:pt>
                <c:pt idx="18">
                  <c:v>Poľsko</c:v>
                </c:pt>
                <c:pt idx="19">
                  <c:v>Estónsko</c:v>
                </c:pt>
                <c:pt idx="20">
                  <c:v>Írsko</c:v>
                </c:pt>
                <c:pt idx="21">
                  <c:v>Slovensko</c:v>
                </c:pt>
                <c:pt idx="22">
                  <c:v>Fínsko</c:v>
                </c:pt>
                <c:pt idx="23">
                  <c:v>Belgicko</c:v>
                </c:pt>
                <c:pt idx="24">
                  <c:v>Holandsko</c:v>
                </c:pt>
                <c:pt idx="25">
                  <c:v>Lotyšsko</c:v>
                </c:pt>
                <c:pt idx="26">
                  <c:v>Litva</c:v>
                </c:pt>
              </c:strCache>
            </c:strRef>
          </c:cat>
          <c:val>
            <c:numRef>
              <c:f>Hárok1!$F$5:$F$31</c:f>
              <c:numCache>
                <c:formatCode>0.00</c:formatCode>
                <c:ptCount val="27"/>
                <c:pt idx="0">
                  <c:v>0</c:v>
                </c:pt>
                <c:pt idx="1">
                  <c:v>0.63</c:v>
                </c:pt>
                <c:pt idx="2">
                  <c:v>1.1100000000000001</c:v>
                </c:pt>
                <c:pt idx="3">
                  <c:v>2.14</c:v>
                </c:pt>
                <c:pt idx="4">
                  <c:v>2.48</c:v>
                </c:pt>
                <c:pt idx="5">
                  <c:v>2.77</c:v>
                </c:pt>
                <c:pt idx="6">
                  <c:v>0.59</c:v>
                </c:pt>
                <c:pt idx="7">
                  <c:v>2.82</c:v>
                </c:pt>
                <c:pt idx="8">
                  <c:v>3.97</c:v>
                </c:pt>
                <c:pt idx="9">
                  <c:v>3.19</c:v>
                </c:pt>
                <c:pt idx="10">
                  <c:v>1.54</c:v>
                </c:pt>
                <c:pt idx="11">
                  <c:v>3.17</c:v>
                </c:pt>
                <c:pt idx="12">
                  <c:v>2.64</c:v>
                </c:pt>
                <c:pt idx="13">
                  <c:v>4.79</c:v>
                </c:pt>
                <c:pt idx="14">
                  <c:v>1.4</c:v>
                </c:pt>
                <c:pt idx="15">
                  <c:v>2.93</c:v>
                </c:pt>
                <c:pt idx="16">
                  <c:v>3.95</c:v>
                </c:pt>
                <c:pt idx="17">
                  <c:v>2.76</c:v>
                </c:pt>
                <c:pt idx="18">
                  <c:v>3.14</c:v>
                </c:pt>
                <c:pt idx="19">
                  <c:v>6.52</c:v>
                </c:pt>
                <c:pt idx="20">
                  <c:v>2.56</c:v>
                </c:pt>
                <c:pt idx="21">
                  <c:v>3.21</c:v>
                </c:pt>
                <c:pt idx="22">
                  <c:v>3.21</c:v>
                </c:pt>
                <c:pt idx="23">
                  <c:v>2.59</c:v>
                </c:pt>
                <c:pt idx="24">
                  <c:v>3.55</c:v>
                </c:pt>
                <c:pt idx="25">
                  <c:v>7.33</c:v>
                </c:pt>
                <c:pt idx="26">
                  <c:v>5.98</c:v>
                </c:pt>
              </c:numCache>
            </c:numRef>
          </c:val>
          <c:smooth val="0"/>
          <c:extLst>
            <c:ext xmlns:c16="http://schemas.microsoft.com/office/drawing/2014/chart" uri="{C3380CC4-5D6E-409C-BE32-E72D297353CC}">
              <c16:uniqueId val="{00000004-1183-4A85-8B8C-E78A88B335DE}"/>
            </c:ext>
          </c:extLst>
        </c:ser>
        <c:dLbls>
          <c:showLegendKey val="0"/>
          <c:showVal val="0"/>
          <c:showCatName val="0"/>
          <c:showSerName val="0"/>
          <c:showPercent val="0"/>
          <c:showBubbleSize val="0"/>
        </c:dLbls>
        <c:marker val="1"/>
        <c:smooth val="0"/>
        <c:axId val="445023295"/>
        <c:axId val="445025791"/>
      </c:lineChart>
      <c:catAx>
        <c:axId val="445023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445025791"/>
        <c:crosses val="autoZero"/>
        <c:auto val="1"/>
        <c:lblAlgn val="ctr"/>
        <c:lblOffset val="100"/>
        <c:noMultiLvlLbl val="0"/>
      </c:catAx>
      <c:valAx>
        <c:axId val="4450257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4450232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'vek-graf'!$D$4</c:f>
              <c:strCache>
                <c:ptCount val="1"/>
                <c:pt idx="0">
                  <c:v>do 29</c:v>
                </c:pt>
              </c:strCache>
            </c:strRef>
          </c:tx>
          <c:spPr>
            <a:solidFill>
              <a:schemeClr val="accent1"/>
            </a:solidFill>
            <a:ln>
              <a:noFill/>
            </a:ln>
            <a:effectLst/>
          </c:spPr>
          <c:invertIfNegative val="0"/>
          <c:cat>
            <c:strRef>
              <c:f>'vek-graf'!$C$6:$C$21</c:f>
              <c:strCache>
                <c:ptCount val="16"/>
                <c:pt idx="0">
                  <c:v>Lekár bez špecializácie</c:v>
                </c:pt>
                <c:pt idx="1">
                  <c:v>Zubní lekári</c:v>
                </c:pt>
                <c:pt idx="2">
                  <c:v>Detský chirurg</c:v>
                </c:pt>
                <c:pt idx="3">
                  <c:v>Pediatrický neurológ</c:v>
                </c:pt>
                <c:pt idx="4">
                  <c:v>Pediater intenzívnej medicíny</c:v>
                </c:pt>
                <c:pt idx="5">
                  <c:v>Pneumoftizeológ</c:v>
                </c:pt>
                <c:pt idx="6">
                  <c:v>Lekár klinickej biochémie</c:v>
                </c:pt>
                <c:pt idx="7">
                  <c:v>Všeobecný lekár pre deti a dorast (pediater)</c:v>
                </c:pt>
                <c:pt idx="8">
                  <c:v>Všeobecný lekár pre dospelých</c:v>
                </c:pt>
                <c:pt idx="9">
                  <c:v>Pediatrický nefrológ</c:v>
                </c:pt>
                <c:pt idx="10">
                  <c:v>Algeziológ</c:v>
                </c:pt>
                <c:pt idx="11">
                  <c:v>Lekár klinickej mikrobiológie</c:v>
                </c:pt>
                <c:pt idx="12">
                  <c:v>Infektológ</c:v>
                </c:pt>
                <c:pt idx="13">
                  <c:v>Pediatrický kardiológ</c:v>
                </c:pt>
                <c:pt idx="14">
                  <c:v>Lekár hygienik/lekár vo verejnom zdravotníctve</c:v>
                </c:pt>
                <c:pt idx="15">
                  <c:v>Lekár pracovného lekárstva</c:v>
                </c:pt>
              </c:strCache>
            </c:strRef>
          </c:cat>
          <c:val>
            <c:numRef>
              <c:f>'vek-graf'!$D$6:$D$21</c:f>
              <c:numCache>
                <c:formatCode>0.0</c:formatCode>
                <c:ptCount val="16"/>
                <c:pt idx="0">
                  <c:v>39.921135646687702</c:v>
                </c:pt>
                <c:pt idx="1">
                  <c:v>19.844822441062369</c:v>
                </c:pt>
                <c:pt idx="2">
                  <c:v>0</c:v>
                </c:pt>
                <c:pt idx="3">
                  <c:v>0</c:v>
                </c:pt>
                <c:pt idx="4">
                  <c:v>0</c:v>
                </c:pt>
                <c:pt idx="5">
                  <c:v>0.93896713615023475</c:v>
                </c:pt>
                <c:pt idx="6">
                  <c:v>0</c:v>
                </c:pt>
                <c:pt idx="7">
                  <c:v>2.9475197699496762</c:v>
                </c:pt>
                <c:pt idx="8">
                  <c:v>3.4649122807017543</c:v>
                </c:pt>
                <c:pt idx="9">
                  <c:v>0</c:v>
                </c:pt>
                <c:pt idx="10">
                  <c:v>0</c:v>
                </c:pt>
                <c:pt idx="11">
                  <c:v>2.4390243902439024</c:v>
                </c:pt>
                <c:pt idx="12">
                  <c:v>2.4390243902439024</c:v>
                </c:pt>
                <c:pt idx="13">
                  <c:v>0</c:v>
                </c:pt>
                <c:pt idx="14">
                  <c:v>0</c:v>
                </c:pt>
                <c:pt idx="15">
                  <c:v>0.96153846153846156</c:v>
                </c:pt>
              </c:numCache>
            </c:numRef>
          </c:val>
          <c:extLst>
            <c:ext xmlns:c16="http://schemas.microsoft.com/office/drawing/2014/chart" uri="{C3380CC4-5D6E-409C-BE32-E72D297353CC}">
              <c16:uniqueId val="{00000000-ABDA-467D-BB3A-EEE5CF1C638A}"/>
            </c:ext>
          </c:extLst>
        </c:ser>
        <c:ser>
          <c:idx val="1"/>
          <c:order val="1"/>
          <c:tx>
            <c:strRef>
              <c:f>'vek-graf'!$E$4</c:f>
              <c:strCache>
                <c:ptCount val="1"/>
                <c:pt idx="0">
                  <c:v>30 - 39</c:v>
                </c:pt>
              </c:strCache>
            </c:strRef>
          </c:tx>
          <c:spPr>
            <a:solidFill>
              <a:schemeClr val="accent2"/>
            </a:solidFill>
            <a:ln>
              <a:noFill/>
            </a:ln>
            <a:effectLst/>
          </c:spPr>
          <c:invertIfNegative val="0"/>
          <c:cat>
            <c:strRef>
              <c:f>'vek-graf'!$C$6:$C$21</c:f>
              <c:strCache>
                <c:ptCount val="16"/>
                <c:pt idx="0">
                  <c:v>Lekár bez špecializácie</c:v>
                </c:pt>
                <c:pt idx="1">
                  <c:v>Zubní lekári</c:v>
                </c:pt>
                <c:pt idx="2">
                  <c:v>Detský chirurg</c:v>
                </c:pt>
                <c:pt idx="3">
                  <c:v>Pediatrický neurológ</c:v>
                </c:pt>
                <c:pt idx="4">
                  <c:v>Pediater intenzívnej medicíny</c:v>
                </c:pt>
                <c:pt idx="5">
                  <c:v>Pneumoftizeológ</c:v>
                </c:pt>
                <c:pt idx="6">
                  <c:v>Lekár klinickej biochémie</c:v>
                </c:pt>
                <c:pt idx="7">
                  <c:v>Všeobecný lekár pre deti a dorast (pediater)</c:v>
                </c:pt>
                <c:pt idx="8">
                  <c:v>Všeobecný lekár pre dospelých</c:v>
                </c:pt>
                <c:pt idx="9">
                  <c:v>Pediatrický nefrológ</c:v>
                </c:pt>
                <c:pt idx="10">
                  <c:v>Algeziológ</c:v>
                </c:pt>
                <c:pt idx="11">
                  <c:v>Lekár klinickej mikrobiológie</c:v>
                </c:pt>
                <c:pt idx="12">
                  <c:v>Infektológ</c:v>
                </c:pt>
                <c:pt idx="13">
                  <c:v>Pediatrický kardiológ</c:v>
                </c:pt>
                <c:pt idx="14">
                  <c:v>Lekár hygienik/lekár vo verejnom zdravotníctve</c:v>
                </c:pt>
                <c:pt idx="15">
                  <c:v>Lekár pracovného lekárstva</c:v>
                </c:pt>
              </c:strCache>
            </c:strRef>
          </c:cat>
          <c:val>
            <c:numRef>
              <c:f>'vek-graf'!$E$6:$E$21</c:f>
              <c:numCache>
                <c:formatCode>0.0</c:formatCode>
                <c:ptCount val="16"/>
                <c:pt idx="0">
                  <c:v>47.208201892744476</c:v>
                </c:pt>
                <c:pt idx="1">
                  <c:v>39.182333631751717</c:v>
                </c:pt>
                <c:pt idx="2">
                  <c:v>17.857142857142858</c:v>
                </c:pt>
                <c:pt idx="3">
                  <c:v>8.3333333333333321</c:v>
                </c:pt>
                <c:pt idx="4">
                  <c:v>25.641025641025639</c:v>
                </c:pt>
                <c:pt idx="5">
                  <c:v>16.901408450704224</c:v>
                </c:pt>
                <c:pt idx="6">
                  <c:v>20.833333333333336</c:v>
                </c:pt>
                <c:pt idx="7">
                  <c:v>23.58015815959741</c:v>
                </c:pt>
                <c:pt idx="8">
                  <c:v>19.561403508771928</c:v>
                </c:pt>
                <c:pt idx="9">
                  <c:v>5</c:v>
                </c:pt>
                <c:pt idx="10">
                  <c:v>3.0303030303030303</c:v>
                </c:pt>
                <c:pt idx="11">
                  <c:v>21.951219512195124</c:v>
                </c:pt>
                <c:pt idx="12">
                  <c:v>21.951219512195124</c:v>
                </c:pt>
                <c:pt idx="13">
                  <c:v>12.76595744680851</c:v>
                </c:pt>
                <c:pt idx="14">
                  <c:v>6.0606060606060606</c:v>
                </c:pt>
                <c:pt idx="15">
                  <c:v>9.6153846153846168</c:v>
                </c:pt>
              </c:numCache>
            </c:numRef>
          </c:val>
          <c:extLst>
            <c:ext xmlns:c16="http://schemas.microsoft.com/office/drawing/2014/chart" uri="{C3380CC4-5D6E-409C-BE32-E72D297353CC}">
              <c16:uniqueId val="{00000001-ABDA-467D-BB3A-EEE5CF1C638A}"/>
            </c:ext>
          </c:extLst>
        </c:ser>
        <c:ser>
          <c:idx val="2"/>
          <c:order val="2"/>
          <c:tx>
            <c:strRef>
              <c:f>'vek-graf'!$F$4</c:f>
              <c:strCache>
                <c:ptCount val="1"/>
                <c:pt idx="0">
                  <c:v>40 - 49</c:v>
                </c:pt>
              </c:strCache>
            </c:strRef>
          </c:tx>
          <c:spPr>
            <a:solidFill>
              <a:schemeClr val="accent3"/>
            </a:solidFill>
            <a:ln>
              <a:noFill/>
            </a:ln>
            <a:effectLst/>
          </c:spPr>
          <c:invertIfNegative val="0"/>
          <c:cat>
            <c:strRef>
              <c:f>'vek-graf'!$C$6:$C$21</c:f>
              <c:strCache>
                <c:ptCount val="16"/>
                <c:pt idx="0">
                  <c:v>Lekár bez špecializácie</c:v>
                </c:pt>
                <c:pt idx="1">
                  <c:v>Zubní lekári</c:v>
                </c:pt>
                <c:pt idx="2">
                  <c:v>Detský chirurg</c:v>
                </c:pt>
                <c:pt idx="3">
                  <c:v>Pediatrický neurológ</c:v>
                </c:pt>
                <c:pt idx="4">
                  <c:v>Pediater intenzívnej medicíny</c:v>
                </c:pt>
                <c:pt idx="5">
                  <c:v>Pneumoftizeológ</c:v>
                </c:pt>
                <c:pt idx="6">
                  <c:v>Lekár klinickej biochémie</c:v>
                </c:pt>
                <c:pt idx="7">
                  <c:v>Všeobecný lekár pre deti a dorast (pediater)</c:v>
                </c:pt>
                <c:pt idx="8">
                  <c:v>Všeobecný lekár pre dospelých</c:v>
                </c:pt>
                <c:pt idx="9">
                  <c:v>Pediatrický nefrológ</c:v>
                </c:pt>
                <c:pt idx="10">
                  <c:v>Algeziológ</c:v>
                </c:pt>
                <c:pt idx="11">
                  <c:v>Lekár klinickej mikrobiológie</c:v>
                </c:pt>
                <c:pt idx="12">
                  <c:v>Infektológ</c:v>
                </c:pt>
                <c:pt idx="13">
                  <c:v>Pediatrický kardiológ</c:v>
                </c:pt>
                <c:pt idx="14">
                  <c:v>Lekár hygienik/lekár vo verejnom zdravotníctve</c:v>
                </c:pt>
                <c:pt idx="15">
                  <c:v>Lekár pracovného lekárstva</c:v>
                </c:pt>
              </c:strCache>
            </c:strRef>
          </c:cat>
          <c:val>
            <c:numRef>
              <c:f>'vek-graf'!$F$6:$F$21</c:f>
              <c:numCache>
                <c:formatCode>0.0</c:formatCode>
                <c:ptCount val="16"/>
                <c:pt idx="0">
                  <c:v>8.0599369085173489</c:v>
                </c:pt>
                <c:pt idx="1">
                  <c:v>15.189495672933454</c:v>
                </c:pt>
                <c:pt idx="2">
                  <c:v>21.428571428571427</c:v>
                </c:pt>
                <c:pt idx="3">
                  <c:v>16.666666666666664</c:v>
                </c:pt>
                <c:pt idx="4">
                  <c:v>28.205128205128204</c:v>
                </c:pt>
                <c:pt idx="5">
                  <c:v>22.065727699530516</c:v>
                </c:pt>
                <c:pt idx="6">
                  <c:v>6.25</c:v>
                </c:pt>
                <c:pt idx="7">
                  <c:v>16.89432063263839</c:v>
                </c:pt>
                <c:pt idx="8">
                  <c:v>19.166666666666668</c:v>
                </c:pt>
                <c:pt idx="9">
                  <c:v>20</c:v>
                </c:pt>
                <c:pt idx="10">
                  <c:v>24.242424242424242</c:v>
                </c:pt>
                <c:pt idx="11">
                  <c:v>19.512195121951219</c:v>
                </c:pt>
                <c:pt idx="12">
                  <c:v>20.73170731707317</c:v>
                </c:pt>
                <c:pt idx="13">
                  <c:v>8.5106382978723403</c:v>
                </c:pt>
                <c:pt idx="14">
                  <c:v>21.212121212121211</c:v>
                </c:pt>
                <c:pt idx="15">
                  <c:v>24.03846153846154</c:v>
                </c:pt>
              </c:numCache>
            </c:numRef>
          </c:val>
          <c:extLst>
            <c:ext xmlns:c16="http://schemas.microsoft.com/office/drawing/2014/chart" uri="{C3380CC4-5D6E-409C-BE32-E72D297353CC}">
              <c16:uniqueId val="{00000002-ABDA-467D-BB3A-EEE5CF1C638A}"/>
            </c:ext>
          </c:extLst>
        </c:ser>
        <c:ser>
          <c:idx val="3"/>
          <c:order val="3"/>
          <c:tx>
            <c:strRef>
              <c:f>'vek-graf'!$G$4</c:f>
              <c:strCache>
                <c:ptCount val="1"/>
                <c:pt idx="0">
                  <c:v>50 - 59</c:v>
                </c:pt>
              </c:strCache>
            </c:strRef>
          </c:tx>
          <c:spPr>
            <a:solidFill>
              <a:schemeClr val="accent4"/>
            </a:solidFill>
            <a:ln>
              <a:noFill/>
            </a:ln>
            <a:effectLst/>
          </c:spPr>
          <c:invertIfNegative val="0"/>
          <c:cat>
            <c:strRef>
              <c:f>'vek-graf'!$C$6:$C$21</c:f>
              <c:strCache>
                <c:ptCount val="16"/>
                <c:pt idx="0">
                  <c:v>Lekár bez špecializácie</c:v>
                </c:pt>
                <c:pt idx="1">
                  <c:v>Zubní lekári</c:v>
                </c:pt>
                <c:pt idx="2">
                  <c:v>Detský chirurg</c:v>
                </c:pt>
                <c:pt idx="3">
                  <c:v>Pediatrický neurológ</c:v>
                </c:pt>
                <c:pt idx="4">
                  <c:v>Pediater intenzívnej medicíny</c:v>
                </c:pt>
                <c:pt idx="5">
                  <c:v>Pneumoftizeológ</c:v>
                </c:pt>
                <c:pt idx="6">
                  <c:v>Lekár klinickej biochémie</c:v>
                </c:pt>
                <c:pt idx="7">
                  <c:v>Všeobecný lekár pre deti a dorast (pediater)</c:v>
                </c:pt>
                <c:pt idx="8">
                  <c:v>Všeobecný lekár pre dospelých</c:v>
                </c:pt>
                <c:pt idx="9">
                  <c:v>Pediatrický nefrológ</c:v>
                </c:pt>
                <c:pt idx="10">
                  <c:v>Algeziológ</c:v>
                </c:pt>
                <c:pt idx="11">
                  <c:v>Lekár klinickej mikrobiológie</c:v>
                </c:pt>
                <c:pt idx="12">
                  <c:v>Infektológ</c:v>
                </c:pt>
                <c:pt idx="13">
                  <c:v>Pediatrický kardiológ</c:v>
                </c:pt>
                <c:pt idx="14">
                  <c:v>Lekár hygienik/lekár vo verejnom zdravotníctve</c:v>
                </c:pt>
                <c:pt idx="15">
                  <c:v>Lekár pracovného lekárstva</c:v>
                </c:pt>
              </c:strCache>
            </c:strRef>
          </c:cat>
          <c:val>
            <c:numRef>
              <c:f>'vek-graf'!$G$6:$G$21</c:f>
              <c:numCache>
                <c:formatCode>0.0</c:formatCode>
                <c:ptCount val="16"/>
                <c:pt idx="0">
                  <c:v>2.8548895899053628</c:v>
                </c:pt>
                <c:pt idx="1">
                  <c:v>9.788122948373621</c:v>
                </c:pt>
                <c:pt idx="2">
                  <c:v>25</c:v>
                </c:pt>
                <c:pt idx="3">
                  <c:v>36.111111111111107</c:v>
                </c:pt>
                <c:pt idx="4">
                  <c:v>10.256410256410255</c:v>
                </c:pt>
                <c:pt idx="5">
                  <c:v>23.474178403755868</c:v>
                </c:pt>
                <c:pt idx="6">
                  <c:v>25</c:v>
                </c:pt>
                <c:pt idx="7">
                  <c:v>19.554277498202733</c:v>
                </c:pt>
                <c:pt idx="8">
                  <c:v>21.315789473684209</c:v>
                </c:pt>
                <c:pt idx="9">
                  <c:v>25</c:v>
                </c:pt>
                <c:pt idx="10">
                  <c:v>36.363636363636367</c:v>
                </c:pt>
                <c:pt idx="11">
                  <c:v>12.195121951219512</c:v>
                </c:pt>
                <c:pt idx="12">
                  <c:v>17.073170731707318</c:v>
                </c:pt>
                <c:pt idx="13">
                  <c:v>38.297872340425535</c:v>
                </c:pt>
                <c:pt idx="14">
                  <c:v>27.27272727272727</c:v>
                </c:pt>
                <c:pt idx="15">
                  <c:v>24.03846153846154</c:v>
                </c:pt>
              </c:numCache>
            </c:numRef>
          </c:val>
          <c:extLst>
            <c:ext xmlns:c16="http://schemas.microsoft.com/office/drawing/2014/chart" uri="{C3380CC4-5D6E-409C-BE32-E72D297353CC}">
              <c16:uniqueId val="{00000003-ABDA-467D-BB3A-EEE5CF1C638A}"/>
            </c:ext>
          </c:extLst>
        </c:ser>
        <c:ser>
          <c:idx val="4"/>
          <c:order val="4"/>
          <c:tx>
            <c:strRef>
              <c:f>'vek-graf'!$H$4</c:f>
              <c:strCache>
                <c:ptCount val="1"/>
                <c:pt idx="0">
                  <c:v>60 - 64</c:v>
                </c:pt>
              </c:strCache>
            </c:strRef>
          </c:tx>
          <c:spPr>
            <a:solidFill>
              <a:schemeClr val="accent5"/>
            </a:solidFill>
            <a:ln>
              <a:noFill/>
            </a:ln>
            <a:effectLst/>
          </c:spPr>
          <c:invertIfNegative val="0"/>
          <c:cat>
            <c:strRef>
              <c:f>'vek-graf'!$C$6:$C$21</c:f>
              <c:strCache>
                <c:ptCount val="16"/>
                <c:pt idx="0">
                  <c:v>Lekár bez špecializácie</c:v>
                </c:pt>
                <c:pt idx="1">
                  <c:v>Zubní lekári</c:v>
                </c:pt>
                <c:pt idx="2">
                  <c:v>Detský chirurg</c:v>
                </c:pt>
                <c:pt idx="3">
                  <c:v>Pediatrický neurológ</c:v>
                </c:pt>
                <c:pt idx="4">
                  <c:v>Pediater intenzívnej medicíny</c:v>
                </c:pt>
                <c:pt idx="5">
                  <c:v>Pneumoftizeológ</c:v>
                </c:pt>
                <c:pt idx="6">
                  <c:v>Lekár klinickej biochémie</c:v>
                </c:pt>
                <c:pt idx="7">
                  <c:v>Všeobecný lekár pre deti a dorast (pediater)</c:v>
                </c:pt>
                <c:pt idx="8">
                  <c:v>Všeobecný lekár pre dospelých</c:v>
                </c:pt>
                <c:pt idx="9">
                  <c:v>Pediatrický nefrológ</c:v>
                </c:pt>
                <c:pt idx="10">
                  <c:v>Algeziológ</c:v>
                </c:pt>
                <c:pt idx="11">
                  <c:v>Lekár klinickej mikrobiológie</c:v>
                </c:pt>
                <c:pt idx="12">
                  <c:v>Infektológ</c:v>
                </c:pt>
                <c:pt idx="13">
                  <c:v>Pediatrický kardiológ</c:v>
                </c:pt>
                <c:pt idx="14">
                  <c:v>Lekár hygienik/lekár vo verejnom zdravotníctve</c:v>
                </c:pt>
                <c:pt idx="15">
                  <c:v>Lekár pracovného lekárstva</c:v>
                </c:pt>
              </c:strCache>
            </c:strRef>
          </c:cat>
          <c:val>
            <c:numRef>
              <c:f>'vek-graf'!$H$6:$H$21</c:f>
              <c:numCache>
                <c:formatCode>0.0</c:formatCode>
                <c:ptCount val="16"/>
                <c:pt idx="0">
                  <c:v>0.694006309148265</c:v>
                </c:pt>
                <c:pt idx="1">
                  <c:v>2.5067144136078783</c:v>
                </c:pt>
                <c:pt idx="2">
                  <c:v>10.714285714285714</c:v>
                </c:pt>
                <c:pt idx="3">
                  <c:v>13.888888888888889</c:v>
                </c:pt>
                <c:pt idx="4">
                  <c:v>10.256410256410255</c:v>
                </c:pt>
                <c:pt idx="5">
                  <c:v>10.328638497652582</c:v>
                </c:pt>
                <c:pt idx="6">
                  <c:v>20.833333333333336</c:v>
                </c:pt>
                <c:pt idx="7">
                  <c:v>7.7641984184040256</c:v>
                </c:pt>
                <c:pt idx="8">
                  <c:v>7.192982456140351</c:v>
                </c:pt>
                <c:pt idx="9">
                  <c:v>20</c:v>
                </c:pt>
                <c:pt idx="10">
                  <c:v>6.0606060606060606</c:v>
                </c:pt>
                <c:pt idx="11">
                  <c:v>12.195121951219512</c:v>
                </c:pt>
                <c:pt idx="12">
                  <c:v>6.0975609756097562</c:v>
                </c:pt>
                <c:pt idx="13">
                  <c:v>8.5106382978723403</c:v>
                </c:pt>
                <c:pt idx="14">
                  <c:v>6.0606060606060606</c:v>
                </c:pt>
                <c:pt idx="15">
                  <c:v>0.96153846153846156</c:v>
                </c:pt>
              </c:numCache>
            </c:numRef>
          </c:val>
          <c:extLst>
            <c:ext xmlns:c16="http://schemas.microsoft.com/office/drawing/2014/chart" uri="{C3380CC4-5D6E-409C-BE32-E72D297353CC}">
              <c16:uniqueId val="{00000004-ABDA-467D-BB3A-EEE5CF1C638A}"/>
            </c:ext>
          </c:extLst>
        </c:ser>
        <c:ser>
          <c:idx val="5"/>
          <c:order val="5"/>
          <c:tx>
            <c:strRef>
              <c:f>'vek-graf'!$I$4</c:f>
              <c:strCache>
                <c:ptCount val="1"/>
                <c:pt idx="0">
                  <c:v>65+</c:v>
                </c:pt>
              </c:strCache>
            </c:strRef>
          </c:tx>
          <c:spPr>
            <a:solidFill>
              <a:schemeClr val="accent6"/>
            </a:solidFill>
            <a:ln>
              <a:noFill/>
            </a:ln>
            <a:effectLst/>
          </c:spPr>
          <c:invertIfNegative val="0"/>
          <c:cat>
            <c:strRef>
              <c:f>'vek-graf'!$C$6:$C$21</c:f>
              <c:strCache>
                <c:ptCount val="16"/>
                <c:pt idx="0">
                  <c:v>Lekár bez špecializácie</c:v>
                </c:pt>
                <c:pt idx="1">
                  <c:v>Zubní lekári</c:v>
                </c:pt>
                <c:pt idx="2">
                  <c:v>Detský chirurg</c:v>
                </c:pt>
                <c:pt idx="3">
                  <c:v>Pediatrický neurológ</c:v>
                </c:pt>
                <c:pt idx="4">
                  <c:v>Pediater intenzívnej medicíny</c:v>
                </c:pt>
                <c:pt idx="5">
                  <c:v>Pneumoftizeológ</c:v>
                </c:pt>
                <c:pt idx="6">
                  <c:v>Lekár klinickej biochémie</c:v>
                </c:pt>
                <c:pt idx="7">
                  <c:v>Všeobecný lekár pre deti a dorast (pediater)</c:v>
                </c:pt>
                <c:pt idx="8">
                  <c:v>Všeobecný lekár pre dospelých</c:v>
                </c:pt>
                <c:pt idx="9">
                  <c:v>Pediatrický nefrológ</c:v>
                </c:pt>
                <c:pt idx="10">
                  <c:v>Algeziológ</c:v>
                </c:pt>
                <c:pt idx="11">
                  <c:v>Lekár klinickej mikrobiológie</c:v>
                </c:pt>
                <c:pt idx="12">
                  <c:v>Infektológ</c:v>
                </c:pt>
                <c:pt idx="13">
                  <c:v>Pediatrický kardiológ</c:v>
                </c:pt>
                <c:pt idx="14">
                  <c:v>Lekár hygienik/lekár vo verejnom zdravotníctve</c:v>
                </c:pt>
                <c:pt idx="15">
                  <c:v>Lekár pracovného lekárstva</c:v>
                </c:pt>
              </c:strCache>
            </c:strRef>
          </c:cat>
          <c:val>
            <c:numRef>
              <c:f>'vek-graf'!$I$6:$I$21</c:f>
              <c:numCache>
                <c:formatCode>0.0</c:formatCode>
                <c:ptCount val="16"/>
                <c:pt idx="0">
                  <c:v>1.2618296529968454</c:v>
                </c:pt>
                <c:pt idx="1">
                  <c:v>13.488510892270963</c:v>
                </c:pt>
                <c:pt idx="2">
                  <c:v>25</c:v>
                </c:pt>
                <c:pt idx="3">
                  <c:v>25</c:v>
                </c:pt>
                <c:pt idx="4">
                  <c:v>25.641025641025639</c:v>
                </c:pt>
                <c:pt idx="5">
                  <c:v>26.291079812206576</c:v>
                </c:pt>
                <c:pt idx="6">
                  <c:v>27.083333333333332</c:v>
                </c:pt>
                <c:pt idx="7">
                  <c:v>29.259525521207763</c:v>
                </c:pt>
                <c:pt idx="8">
                  <c:v>29.298245614035089</c:v>
                </c:pt>
                <c:pt idx="9">
                  <c:v>30</c:v>
                </c:pt>
                <c:pt idx="10">
                  <c:v>30.303030303030305</c:v>
                </c:pt>
                <c:pt idx="11">
                  <c:v>31.707317073170731</c:v>
                </c:pt>
                <c:pt idx="12">
                  <c:v>31.707317073170731</c:v>
                </c:pt>
                <c:pt idx="13">
                  <c:v>31.914893617021278</c:v>
                </c:pt>
                <c:pt idx="14">
                  <c:v>39.393939393939391</c:v>
                </c:pt>
                <c:pt idx="15">
                  <c:v>40.384615384615387</c:v>
                </c:pt>
              </c:numCache>
            </c:numRef>
          </c:val>
          <c:extLst>
            <c:ext xmlns:c16="http://schemas.microsoft.com/office/drawing/2014/chart" uri="{C3380CC4-5D6E-409C-BE32-E72D297353CC}">
              <c16:uniqueId val="{00000005-ABDA-467D-BB3A-EEE5CF1C638A}"/>
            </c:ext>
          </c:extLst>
        </c:ser>
        <c:dLbls>
          <c:showLegendKey val="0"/>
          <c:showVal val="0"/>
          <c:showCatName val="0"/>
          <c:showSerName val="0"/>
          <c:showPercent val="0"/>
          <c:showBubbleSize val="0"/>
        </c:dLbls>
        <c:gapWidth val="150"/>
        <c:overlap val="100"/>
        <c:axId val="899730016"/>
        <c:axId val="899732096"/>
      </c:barChart>
      <c:catAx>
        <c:axId val="899730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99732096"/>
        <c:crosses val="autoZero"/>
        <c:auto val="1"/>
        <c:lblAlgn val="ctr"/>
        <c:lblOffset val="100"/>
        <c:noMultiLvlLbl val="0"/>
      </c:catAx>
      <c:valAx>
        <c:axId val="8997320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99730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682852143482065"/>
          <c:y val="2.1769665411315385E-2"/>
          <c:w val="0.71465181435653879"/>
          <c:h val="0.74985677138924622"/>
        </c:manualLayout>
      </c:layout>
      <c:barChart>
        <c:barDir val="bar"/>
        <c:grouping val="stacked"/>
        <c:varyColors val="0"/>
        <c:ser>
          <c:idx val="0"/>
          <c:order val="0"/>
          <c:tx>
            <c:strRef>
              <c:f>graf2!$D$12</c:f>
              <c:strCache>
                <c:ptCount val="1"/>
                <c:pt idx="0">
                  <c:v>V lehote splatnosti 06/2025</c:v>
                </c:pt>
              </c:strCache>
            </c:strRef>
          </c:tx>
          <c:spPr>
            <a:solidFill>
              <a:schemeClr val="accent1"/>
            </a:solidFill>
            <a:ln>
              <a:noFill/>
            </a:ln>
            <a:effectLst/>
          </c:spPr>
          <c:invertIfNegative val="0"/>
          <c:dLbls>
            <c:dLbl>
              <c:idx val="4"/>
              <c:layout>
                <c:manualLayout>
                  <c:x val="1.9214286810639861E-2"/>
                  <c:y val="3.5954409808362997E-6"/>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53-4BDE-939F-07D5AE24E457}"/>
                </c:ext>
              </c:extLst>
            </c:dLbl>
            <c:dLbl>
              <c:idx val="5"/>
              <c:layout>
                <c:manualLayout>
                  <c:x val="2.1815167840861963E-2"/>
                  <c:y val="3.5954409808362994E-7"/>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53-4BDE-939F-07D5AE24E457}"/>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graf2!$C$13:$C$18</c:f>
              <c:strCache>
                <c:ptCount val="6"/>
                <c:pt idx="0">
                  <c:v>Sociálna poisťovňa</c:v>
                </c:pt>
                <c:pt idx="1">
                  <c:v>Dodávatelia</c:v>
                </c:pt>
                <c:pt idx="2">
                  <c:v>Iné záväzky (bez transferov)</c:v>
                </c:pt>
                <c:pt idx="3">
                  <c:v>Zamestnanci</c:v>
                </c:pt>
                <c:pt idx="4">
                  <c:v>Daňový úrad</c:v>
                </c:pt>
                <c:pt idx="5">
                  <c:v>Zdravotné poisťovne</c:v>
                </c:pt>
              </c:strCache>
            </c:strRef>
          </c:cat>
          <c:val>
            <c:numRef>
              <c:f>graf2!$D$13:$D$18</c:f>
              <c:numCache>
                <c:formatCode>0</c:formatCode>
                <c:ptCount val="6"/>
                <c:pt idx="0">
                  <c:v>30.054859259999997</c:v>
                </c:pt>
                <c:pt idx="1">
                  <c:v>161.13535454999999</c:v>
                </c:pt>
                <c:pt idx="2">
                  <c:v>115.82608778000004</c:v>
                </c:pt>
                <c:pt idx="3">
                  <c:v>54.354292650000005</c:v>
                </c:pt>
                <c:pt idx="4">
                  <c:v>16.168555819999998</c:v>
                </c:pt>
                <c:pt idx="5">
                  <c:v>11.99417886</c:v>
                </c:pt>
              </c:numCache>
            </c:numRef>
          </c:val>
          <c:extLst>
            <c:ext xmlns:c16="http://schemas.microsoft.com/office/drawing/2014/chart" uri="{C3380CC4-5D6E-409C-BE32-E72D297353CC}">
              <c16:uniqueId val="{00000002-3753-4BDE-939F-07D5AE24E457}"/>
            </c:ext>
          </c:extLst>
        </c:ser>
        <c:ser>
          <c:idx val="1"/>
          <c:order val="1"/>
          <c:tx>
            <c:strRef>
              <c:f>graf2!$E$12</c:f>
              <c:strCache>
                <c:ptCount val="1"/>
                <c:pt idx="0">
                  <c:v>Po lehote splatnosti 06/2025</c:v>
                </c:pt>
              </c:strCache>
            </c:strRef>
          </c:tx>
          <c:spPr>
            <a:solidFill>
              <a:schemeClr val="accent2"/>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3-3753-4BDE-939F-07D5AE24E457}"/>
                </c:ext>
              </c:extLst>
            </c:dLbl>
            <c:dLbl>
              <c:idx val="4"/>
              <c:delete val="1"/>
              <c:extLst>
                <c:ext xmlns:c15="http://schemas.microsoft.com/office/drawing/2012/chart" uri="{CE6537A1-D6FC-4f65-9D91-7224C49458BB}"/>
                <c:ext xmlns:c16="http://schemas.microsoft.com/office/drawing/2014/chart" uri="{C3380CC4-5D6E-409C-BE32-E72D297353CC}">
                  <c16:uniqueId val="{00000004-3753-4BDE-939F-07D5AE24E457}"/>
                </c:ext>
              </c:extLst>
            </c:dLbl>
            <c:dLbl>
              <c:idx val="5"/>
              <c:delete val="1"/>
              <c:extLst>
                <c:ext xmlns:c15="http://schemas.microsoft.com/office/drawing/2012/chart" uri="{CE6537A1-D6FC-4f65-9D91-7224C49458BB}"/>
                <c:ext xmlns:c16="http://schemas.microsoft.com/office/drawing/2014/chart" uri="{C3380CC4-5D6E-409C-BE32-E72D297353CC}">
                  <c16:uniqueId val="{00000005-3753-4BDE-939F-07D5AE24E457}"/>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graf2!$C$13:$C$18</c:f>
              <c:strCache>
                <c:ptCount val="6"/>
                <c:pt idx="0">
                  <c:v>Sociálna poisťovňa</c:v>
                </c:pt>
                <c:pt idx="1">
                  <c:v>Dodávatelia</c:v>
                </c:pt>
                <c:pt idx="2">
                  <c:v>Iné záväzky (bez transferov)</c:v>
                </c:pt>
                <c:pt idx="3">
                  <c:v>Zamestnanci</c:v>
                </c:pt>
                <c:pt idx="4">
                  <c:v>Daňový úrad</c:v>
                </c:pt>
                <c:pt idx="5">
                  <c:v>Zdravotné poisťovne</c:v>
                </c:pt>
              </c:strCache>
            </c:strRef>
          </c:cat>
          <c:val>
            <c:numRef>
              <c:f>graf2!$E$13:$E$18</c:f>
              <c:numCache>
                <c:formatCode>0</c:formatCode>
                <c:ptCount val="6"/>
                <c:pt idx="0">
                  <c:v>515.63061746000005</c:v>
                </c:pt>
                <c:pt idx="1">
                  <c:v>260.15562981999994</c:v>
                </c:pt>
                <c:pt idx="2">
                  <c:v>100.85244221999999</c:v>
                </c:pt>
                <c:pt idx="3">
                  <c:v>0</c:v>
                </c:pt>
                <c:pt idx="4">
                  <c:v>0</c:v>
                </c:pt>
                <c:pt idx="5">
                  <c:v>2.4187799999999997E-3</c:v>
                </c:pt>
              </c:numCache>
            </c:numRef>
          </c:val>
          <c:extLst>
            <c:ext xmlns:c16="http://schemas.microsoft.com/office/drawing/2014/chart" uri="{C3380CC4-5D6E-409C-BE32-E72D297353CC}">
              <c16:uniqueId val="{00000006-3753-4BDE-939F-07D5AE24E457}"/>
            </c:ext>
          </c:extLst>
        </c:ser>
        <c:dLbls>
          <c:showLegendKey val="0"/>
          <c:showVal val="0"/>
          <c:showCatName val="0"/>
          <c:showSerName val="0"/>
          <c:showPercent val="0"/>
          <c:showBubbleSize val="0"/>
        </c:dLbls>
        <c:gapWidth val="100"/>
        <c:overlap val="100"/>
        <c:axId val="1890638335"/>
        <c:axId val="1890635007"/>
      </c:barChart>
      <c:catAx>
        <c:axId val="1890638335"/>
        <c:scaling>
          <c:orientation val="maxMin"/>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90635007"/>
        <c:crosses val="autoZero"/>
        <c:auto val="1"/>
        <c:lblAlgn val="ctr"/>
        <c:lblOffset val="100"/>
        <c:noMultiLvlLbl val="0"/>
      </c:catAx>
      <c:valAx>
        <c:axId val="189063500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high"/>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90638335"/>
        <c:crosses val="autoZero"/>
        <c:crossBetween val="between"/>
      </c:valAx>
      <c:spPr>
        <a:noFill/>
        <a:ln>
          <a:noFill/>
        </a:ln>
        <a:effectLst/>
      </c:spPr>
    </c:plotArea>
    <c:legend>
      <c:legendPos val="b"/>
      <c:layout>
        <c:manualLayout>
          <c:xMode val="edge"/>
          <c:yMode val="edge"/>
          <c:x val="0.23710491049729898"/>
          <c:y val="0.89360885212603491"/>
          <c:w val="0.57429106083961723"/>
          <c:h val="0.106391147873965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'DB1'!$C$3</c:f>
              <c:strCache>
                <c:ptCount val="1"/>
                <c:pt idx="0">
                  <c:v>Celkové výdavky na obranu</c:v>
                </c:pt>
              </c:strCache>
            </c:strRef>
          </c:tx>
          <c:spPr>
            <a:ln w="25400" cap="rnd">
              <a:solidFill>
                <a:schemeClr val="tx2"/>
              </a:solidFill>
              <a:round/>
            </a:ln>
            <a:effectLst/>
          </c:spPr>
          <c:marker>
            <c:symbol val="circle"/>
            <c:size val="5"/>
            <c:spPr>
              <a:solidFill>
                <a:schemeClr val="accent1"/>
              </a:solidFill>
              <a:ln w="9525">
                <a:solidFill>
                  <a:schemeClr val="bg1"/>
                </a:solidFill>
              </a:ln>
              <a:effectLst/>
            </c:spPr>
          </c:marker>
          <c:cat>
            <c:numRef>
              <c:f>'DB1'!$B$4:$B$23</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'DB1'!$C$4:$C$23</c:f>
              <c:numCache>
                <c:formatCode>General</c:formatCode>
                <c:ptCount val="20"/>
                <c:pt idx="0">
                  <c:v>219</c:v>
                </c:pt>
                <c:pt idx="1">
                  <c:v>222</c:v>
                </c:pt>
                <c:pt idx="2">
                  <c:v>216</c:v>
                </c:pt>
                <c:pt idx="3">
                  <c:v>218</c:v>
                </c:pt>
                <c:pt idx="4">
                  <c:v>211</c:v>
                </c:pt>
                <c:pt idx="5">
                  <c:v>202</c:v>
                </c:pt>
                <c:pt idx="6">
                  <c:v>197</c:v>
                </c:pt>
                <c:pt idx="7">
                  <c:v>193</c:v>
                </c:pt>
                <c:pt idx="8">
                  <c:v>190</c:v>
                </c:pt>
                <c:pt idx="9">
                  <c:v>189</c:v>
                </c:pt>
                <c:pt idx="10">
                  <c:v>191</c:v>
                </c:pt>
                <c:pt idx="11">
                  <c:v>196</c:v>
                </c:pt>
                <c:pt idx="12">
                  <c:v>204</c:v>
                </c:pt>
                <c:pt idx="13">
                  <c:v>213</c:v>
                </c:pt>
                <c:pt idx="14">
                  <c:v>224</c:v>
                </c:pt>
                <c:pt idx="15">
                  <c:v>234</c:v>
                </c:pt>
                <c:pt idx="16">
                  <c:v>251</c:v>
                </c:pt>
                <c:pt idx="17">
                  <c:v>262</c:v>
                </c:pt>
                <c:pt idx="18">
                  <c:v>288</c:v>
                </c:pt>
                <c:pt idx="19">
                  <c:v>343</c:v>
                </c:pt>
              </c:numCache>
            </c:numRef>
          </c:val>
          <c:smooth val="0"/>
          <c:extLst>
            <c:ext xmlns:c16="http://schemas.microsoft.com/office/drawing/2014/chart" uri="{C3380CC4-5D6E-409C-BE32-E72D297353CC}">
              <c16:uniqueId val="{00000000-6386-4FC5-BED9-922CB1E2ED43}"/>
            </c:ext>
          </c:extLst>
        </c:ser>
        <c:ser>
          <c:idx val="1"/>
          <c:order val="1"/>
          <c:tx>
            <c:strRef>
              <c:f>'DB1'!$D$3</c:f>
              <c:strCache>
                <c:ptCount val="1"/>
                <c:pt idx="0">
                  <c:v>Investície do obrany*</c:v>
                </c:pt>
              </c:strCache>
            </c:strRef>
          </c:tx>
          <c:spPr>
            <a:ln w="28575" cap="rnd">
              <a:solidFill>
                <a:schemeClr val="bg2"/>
              </a:solidFill>
              <a:round/>
            </a:ln>
            <a:effectLst/>
          </c:spPr>
          <c:marker>
            <c:symbol val="circle"/>
            <c:size val="5"/>
            <c:spPr>
              <a:solidFill>
                <a:schemeClr val="bg2"/>
              </a:solidFill>
              <a:ln w="9525">
                <a:solidFill>
                  <a:schemeClr val="bg1"/>
                </a:solidFill>
              </a:ln>
              <a:effectLst/>
            </c:spPr>
          </c:marker>
          <c:cat>
            <c:numRef>
              <c:f>'DB1'!$B$4:$B$23</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'DB1'!$D$4:$D$23</c:f>
              <c:numCache>
                <c:formatCode>General</c:formatCode>
                <c:ptCount val="20"/>
                <c:pt idx="0">
                  <c:v>37</c:v>
                </c:pt>
                <c:pt idx="1">
                  <c:v>40</c:v>
                </c:pt>
                <c:pt idx="2">
                  <c:v>41</c:v>
                </c:pt>
                <c:pt idx="3">
                  <c:v>42</c:v>
                </c:pt>
                <c:pt idx="4">
                  <c:v>42</c:v>
                </c:pt>
                <c:pt idx="5">
                  <c:v>42</c:v>
                </c:pt>
                <c:pt idx="6">
                  <c:v>36</c:v>
                </c:pt>
                <c:pt idx="7">
                  <c:v>38</c:v>
                </c:pt>
                <c:pt idx="8">
                  <c:v>36</c:v>
                </c:pt>
                <c:pt idx="9">
                  <c:v>31</c:v>
                </c:pt>
                <c:pt idx="10">
                  <c:v>32</c:v>
                </c:pt>
                <c:pt idx="11">
                  <c:v>33</c:v>
                </c:pt>
                <c:pt idx="12">
                  <c:v>38</c:v>
                </c:pt>
                <c:pt idx="13">
                  <c:v>42</c:v>
                </c:pt>
                <c:pt idx="14">
                  <c:v>50</c:v>
                </c:pt>
                <c:pt idx="15">
                  <c:v>52</c:v>
                </c:pt>
                <c:pt idx="16">
                  <c:v>61</c:v>
                </c:pt>
                <c:pt idx="17">
                  <c:v>64</c:v>
                </c:pt>
                <c:pt idx="18">
                  <c:v>74</c:v>
                </c:pt>
                <c:pt idx="19">
                  <c:v>106</c:v>
                </c:pt>
              </c:numCache>
            </c:numRef>
          </c:val>
          <c:smooth val="0"/>
          <c:extLst>
            <c:ext xmlns:c16="http://schemas.microsoft.com/office/drawing/2014/chart" uri="{C3380CC4-5D6E-409C-BE32-E72D297353CC}">
              <c16:uniqueId val="{00000001-6386-4FC5-BED9-922CB1E2ED43}"/>
            </c:ext>
          </c:extLst>
        </c:ser>
        <c:dLbls>
          <c:showLegendKey val="0"/>
          <c:showVal val="0"/>
          <c:showCatName val="0"/>
          <c:showSerName val="0"/>
          <c:showPercent val="0"/>
          <c:showBubbleSize val="0"/>
        </c:dLbls>
        <c:marker val="1"/>
        <c:smooth val="0"/>
        <c:axId val="901832383"/>
        <c:axId val="901836223"/>
      </c:lineChart>
      <c:catAx>
        <c:axId val="901832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901836223"/>
        <c:crosses val="autoZero"/>
        <c:auto val="1"/>
        <c:lblAlgn val="ctr"/>
        <c:lblOffset val="100"/>
        <c:noMultiLvlLbl val="0"/>
      </c:catAx>
      <c:valAx>
        <c:axId val="9018362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901832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'Vývoj výdavkov na obranu SR'!$C$4</c:f>
              <c:strCache>
                <c:ptCount val="1"/>
                <c:pt idx="0">
                  <c:v>Obranné výdavky SR celkom (ľavá os v mld. eur)</c:v>
                </c:pt>
              </c:strCache>
            </c:strRef>
          </c:tx>
          <c:spPr>
            <a:ln w="28575" cap="rnd">
              <a:solidFill>
                <a:schemeClr val="accent1"/>
              </a:solidFill>
              <a:round/>
            </a:ln>
            <a:effectLst/>
          </c:spPr>
          <c:marker>
            <c:symbol val="circle"/>
            <c:size val="5"/>
            <c:spPr>
              <a:solidFill>
                <a:schemeClr val="accent1"/>
              </a:solidFill>
              <a:ln w="12700">
                <a:solidFill>
                  <a:schemeClr val="bg1"/>
                </a:solidFill>
              </a:ln>
              <a:effectLst/>
            </c:spPr>
          </c:marker>
          <c:cat>
            <c:strRef>
              <c:f>'Vývoj výdavkov na obranu SR'!$D$3:$I$3</c:f>
              <c:strCache>
                <c:ptCount val="6"/>
                <c:pt idx="0">
                  <c:v>2023 S</c:v>
                </c:pt>
                <c:pt idx="1">
                  <c:v>2024 S</c:v>
                </c:pt>
                <c:pt idx="2">
                  <c:v>2025 OS</c:v>
                </c:pt>
                <c:pt idx="3">
                  <c:v>2026 N</c:v>
                </c:pt>
                <c:pt idx="4">
                  <c:v>2027 N</c:v>
                </c:pt>
                <c:pt idx="5">
                  <c:v>2028 N</c:v>
                </c:pt>
              </c:strCache>
            </c:strRef>
          </c:cat>
          <c:val>
            <c:numRef>
              <c:f>'Vývoj výdavkov na obranu SR'!$D$4:$I$4</c:f>
              <c:numCache>
                <c:formatCode>#,##0.00</c:formatCode>
                <c:ptCount val="6"/>
                <c:pt idx="0">
                  <c:v>2.1428500000000001</c:v>
                </c:pt>
                <c:pt idx="1">
                  <c:v>2.5937969999999999</c:v>
                </c:pt>
                <c:pt idx="2">
                  <c:v>2.782816</c:v>
                </c:pt>
                <c:pt idx="3">
                  <c:v>2.8826740000000002</c:v>
                </c:pt>
                <c:pt idx="4">
                  <c:v>2.996918</c:v>
                </c:pt>
                <c:pt idx="5">
                  <c:v>3.1158160000000001</c:v>
                </c:pt>
              </c:numCache>
            </c:numRef>
          </c:val>
          <c:smooth val="0"/>
          <c:extLst>
            <c:ext xmlns:c16="http://schemas.microsoft.com/office/drawing/2014/chart" uri="{C3380CC4-5D6E-409C-BE32-E72D297353CC}">
              <c16:uniqueId val="{00000000-B90A-44D7-B25D-8C833E3956BE}"/>
            </c:ext>
          </c:extLst>
        </c:ser>
        <c:dLbls>
          <c:showLegendKey val="0"/>
          <c:showVal val="0"/>
          <c:showCatName val="0"/>
          <c:showSerName val="0"/>
          <c:showPercent val="0"/>
          <c:showBubbleSize val="0"/>
        </c:dLbls>
        <c:marker val="1"/>
        <c:smooth val="0"/>
        <c:axId val="1252035695"/>
        <c:axId val="1252032367"/>
      </c:lineChart>
      <c:lineChart>
        <c:grouping val="standard"/>
        <c:varyColors val="0"/>
        <c:ser>
          <c:idx val="1"/>
          <c:order val="1"/>
          <c:tx>
            <c:strRef>
              <c:f>'Vývoj výdavkov na obranu SR'!$C$5</c:f>
              <c:strCache>
                <c:ptCount val="1"/>
                <c:pt idx="0">
                  <c:v>Podiel obranných výdavkov SR na HDP (%)</c:v>
                </c:pt>
              </c:strCache>
            </c:strRef>
          </c:tx>
          <c:spPr>
            <a:ln w="28575" cap="rnd">
              <a:solidFill>
                <a:schemeClr val="accent2"/>
              </a:solidFill>
              <a:round/>
            </a:ln>
            <a:effectLst/>
          </c:spPr>
          <c:marker>
            <c:symbol val="circle"/>
            <c:size val="5"/>
            <c:spPr>
              <a:solidFill>
                <a:schemeClr val="accent2"/>
              </a:solidFill>
              <a:ln w="12700">
                <a:solidFill>
                  <a:schemeClr val="bg1"/>
                </a:solidFill>
              </a:ln>
              <a:effectLst/>
            </c:spPr>
          </c:marker>
          <c:cat>
            <c:strRef>
              <c:f>'Vývoj výdavkov na obranu SR'!$D$3:$I$3</c:f>
              <c:strCache>
                <c:ptCount val="6"/>
                <c:pt idx="0">
                  <c:v>2023 S</c:v>
                </c:pt>
                <c:pt idx="1">
                  <c:v>2024 S</c:v>
                </c:pt>
                <c:pt idx="2">
                  <c:v>2025 OS</c:v>
                </c:pt>
                <c:pt idx="3">
                  <c:v>2026 N</c:v>
                </c:pt>
                <c:pt idx="4">
                  <c:v>2027 N</c:v>
                </c:pt>
                <c:pt idx="5">
                  <c:v>2028 N</c:v>
                </c:pt>
              </c:strCache>
            </c:strRef>
          </c:cat>
          <c:val>
            <c:numRef>
              <c:f>'Vývoj výdavkov na obranu SR'!$D$5:$I$5</c:f>
              <c:numCache>
                <c:formatCode>0.00%</c:formatCode>
                <c:ptCount val="6"/>
                <c:pt idx="0">
                  <c:v>1.7308966074313408E-2</c:v>
                </c:pt>
                <c:pt idx="1">
                  <c:v>1.9799977099236643E-2</c:v>
                </c:pt>
                <c:pt idx="2">
                  <c:v>2.0282915451895044E-2</c:v>
                </c:pt>
                <c:pt idx="3">
                  <c:v>1.9990804438280167E-2</c:v>
                </c:pt>
                <c:pt idx="4">
                  <c:v>1.9992781854569711E-2</c:v>
                </c:pt>
                <c:pt idx="5">
                  <c:v>1.998599101988454E-2</c:v>
                </c:pt>
              </c:numCache>
            </c:numRef>
          </c:val>
          <c:smooth val="0"/>
          <c:extLst>
            <c:ext xmlns:c16="http://schemas.microsoft.com/office/drawing/2014/chart" uri="{C3380CC4-5D6E-409C-BE32-E72D297353CC}">
              <c16:uniqueId val="{00000001-B90A-44D7-B25D-8C833E3956BE}"/>
            </c:ext>
          </c:extLst>
        </c:ser>
        <c:ser>
          <c:idx val="2"/>
          <c:order val="2"/>
          <c:tx>
            <c:strRef>
              <c:f>'Vývoj výdavkov na obranu SR'!$C$6</c:f>
              <c:strCache>
                <c:ptCount val="1"/>
                <c:pt idx="0">
                  <c:v>Medziročný rast obranných výdavkov SR (%)</c:v>
                </c:pt>
              </c:strCache>
            </c:strRef>
          </c:tx>
          <c:spPr>
            <a:ln w="25400" cap="rnd">
              <a:solidFill>
                <a:srgbClr val="F55647"/>
              </a:solidFill>
              <a:round/>
            </a:ln>
            <a:effectLst/>
          </c:spPr>
          <c:marker>
            <c:symbol val="circle"/>
            <c:size val="5"/>
            <c:spPr>
              <a:solidFill>
                <a:srgbClr val="F55647"/>
              </a:solidFill>
              <a:ln w="9525">
                <a:solidFill>
                  <a:sysClr val="window" lastClr="FFFFFF"/>
                </a:solidFill>
              </a:ln>
              <a:effectLst/>
            </c:spPr>
          </c:marker>
          <c:cat>
            <c:strRef>
              <c:f>'Vývoj výdavkov na obranu SR'!$D$3:$I$3</c:f>
              <c:strCache>
                <c:ptCount val="6"/>
                <c:pt idx="0">
                  <c:v>2023 S</c:v>
                </c:pt>
                <c:pt idx="1">
                  <c:v>2024 S</c:v>
                </c:pt>
                <c:pt idx="2">
                  <c:v>2025 OS</c:v>
                </c:pt>
                <c:pt idx="3">
                  <c:v>2026 N</c:v>
                </c:pt>
                <c:pt idx="4">
                  <c:v>2027 N</c:v>
                </c:pt>
                <c:pt idx="5">
                  <c:v>2028 N</c:v>
                </c:pt>
              </c:strCache>
            </c:strRef>
          </c:cat>
          <c:val>
            <c:numRef>
              <c:f>'Vývoj výdavkov na obranu SR'!$D$6:$I$6</c:f>
              <c:numCache>
                <c:formatCode>0.00%</c:formatCode>
                <c:ptCount val="6"/>
                <c:pt idx="1">
                  <c:v>0.21044263480878267</c:v>
                </c:pt>
                <c:pt idx="2">
                  <c:v>7.2873474678242012E-2</c:v>
                </c:pt>
                <c:pt idx="3">
                  <c:v>3.5883795407242181E-2</c:v>
                </c:pt>
                <c:pt idx="4">
                  <c:v>3.9631259032412158E-2</c:v>
                </c:pt>
                <c:pt idx="5">
                  <c:v>3.9673424498100962E-2</c:v>
                </c:pt>
              </c:numCache>
            </c:numRef>
          </c:val>
          <c:smooth val="0"/>
          <c:extLst>
            <c:ext xmlns:c16="http://schemas.microsoft.com/office/drawing/2014/chart" uri="{C3380CC4-5D6E-409C-BE32-E72D297353CC}">
              <c16:uniqueId val="{00000002-B90A-44D7-B25D-8C833E3956BE}"/>
            </c:ext>
          </c:extLst>
        </c:ser>
        <c:dLbls>
          <c:showLegendKey val="0"/>
          <c:showVal val="0"/>
          <c:showCatName val="0"/>
          <c:showSerName val="0"/>
          <c:showPercent val="0"/>
          <c:showBubbleSize val="0"/>
        </c:dLbls>
        <c:marker val="1"/>
        <c:smooth val="0"/>
        <c:axId val="628648832"/>
        <c:axId val="628648352"/>
      </c:lineChart>
      <c:catAx>
        <c:axId val="125203569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max val="5"/>
        </c:scaling>
        <c:delete val="0"/>
        <c:axPos val="l"/>
        <c:majorGridlines>
          <c:spPr>
            <a:ln w="9525" cap="flat" cmpd="sng" algn="ctr">
              <a:solidFill>
                <a:schemeClr val="tx1">
                  <a:lumMod val="15000"/>
                  <a:lumOff val="85000"/>
                </a:schemeClr>
              </a:solidFill>
              <a:round/>
            </a:ln>
            <a:effectLst/>
          </c:spPr>
        </c:majorGridlines>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majorUnit val="1"/>
      </c:valAx>
      <c:valAx>
        <c:axId val="628648352"/>
        <c:scaling>
          <c:orientation val="minMax"/>
          <c:max val="0.25"/>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28648832"/>
        <c:crosses val="max"/>
        <c:crossBetween val="between"/>
        <c:majorUnit val="5.000000000000001E-2"/>
      </c:valAx>
      <c:catAx>
        <c:axId val="628648832"/>
        <c:scaling>
          <c:orientation val="minMax"/>
        </c:scaling>
        <c:delete val="1"/>
        <c:axPos val="t"/>
        <c:numFmt formatCode="General" sourceLinked="1"/>
        <c:majorTickMark val="out"/>
        <c:minorTickMark val="none"/>
        <c:tickLblPos val="nextTo"/>
        <c:crossAx val="628648352"/>
        <c:crosses val="max"/>
        <c:auto val="1"/>
        <c:lblAlgn val="ctr"/>
        <c:lblOffset val="100"/>
        <c:noMultiLvlLbl val="0"/>
      </c:catAx>
      <c:spPr>
        <a:noFill/>
        <a:ln>
          <a:noFill/>
        </a:ln>
        <a:effectLst/>
      </c:spPr>
    </c:plotArea>
    <c:legend>
      <c:legendPos val="b"/>
      <c:layout>
        <c:manualLayout>
          <c:xMode val="edge"/>
          <c:yMode val="edge"/>
          <c:x val="1.8590277777777775E-2"/>
          <c:y val="0.77656944444444453"/>
          <c:w val="0.9628192708333333"/>
          <c:h val="0.1881527777777777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Hárok1!$B$1</c:f>
              <c:strCache>
                <c:ptCount val="1"/>
                <c:pt idx="0">
                  <c:v>Miera pripojenia 2023</c:v>
                </c:pt>
              </c:strCache>
            </c:strRef>
          </c:tx>
          <c:spPr>
            <a:solidFill>
              <a:srgbClr val="9CB9EC"/>
            </a:solidFill>
            <a:ln>
              <a:noFill/>
            </a:ln>
            <a:effectLst/>
          </c:spPr>
          <c:invertIfNegative val="0"/>
          <c:dPt>
            <c:idx val="18"/>
            <c:invertIfNegative val="0"/>
            <c:bubble3D val="0"/>
            <c:spPr>
              <a:solidFill>
                <a:srgbClr val="9CB9EC"/>
              </a:solidFill>
              <a:ln>
                <a:noFill/>
              </a:ln>
              <a:effectLst/>
            </c:spPr>
            <c:extLst>
              <c:ext xmlns:c16="http://schemas.microsoft.com/office/drawing/2014/chart" uri="{C3380CC4-5D6E-409C-BE32-E72D297353CC}">
                <c16:uniqueId val="{00000001-A5AC-4B8C-BFDA-CAEFC9DF2D98}"/>
              </c:ext>
            </c:extLst>
          </c:dPt>
          <c:dPt>
            <c:idx val="19"/>
            <c:invertIfNegative val="0"/>
            <c:bubble3D val="0"/>
            <c:spPr>
              <a:solidFill>
                <a:srgbClr val="F55647"/>
              </a:solidFill>
              <a:ln>
                <a:noFill/>
              </a:ln>
              <a:effectLst/>
            </c:spPr>
            <c:extLst>
              <c:ext xmlns:c16="http://schemas.microsoft.com/office/drawing/2014/chart" uri="{C3380CC4-5D6E-409C-BE32-E72D297353CC}">
                <c16:uniqueId val="{00000003-A5AC-4B8C-BFDA-CAEFC9DF2D98}"/>
              </c:ext>
            </c:extLst>
          </c:dPt>
          <c:cat>
            <c:strRef>
              <c:f>Hárok1!$A$2:$A$28</c:f>
              <c:strCache>
                <c:ptCount val="27"/>
                <c:pt idx="0">
                  <c:v>NL</c:v>
                </c:pt>
                <c:pt idx="1">
                  <c:v>AT</c:v>
                </c:pt>
                <c:pt idx="2">
                  <c:v>DK</c:v>
                </c:pt>
                <c:pt idx="3">
                  <c:v>*DE</c:v>
                </c:pt>
                <c:pt idx="4">
                  <c:v>*LU</c:v>
                </c:pt>
                <c:pt idx="5">
                  <c:v>*SE</c:v>
                </c:pt>
                <c:pt idx="6">
                  <c:v>*GR</c:v>
                </c:pt>
                <c:pt idx="7">
                  <c:v>*ES</c:v>
                </c:pt>
                <c:pt idx="8">
                  <c:v>FI</c:v>
                </c:pt>
                <c:pt idx="9">
                  <c:v>BE</c:v>
                </c:pt>
                <c:pt idx="10">
                  <c:v>CZ</c:v>
                </c:pt>
                <c:pt idx="11">
                  <c:v>*CY</c:v>
                </c:pt>
                <c:pt idx="12">
                  <c:v>EE</c:v>
                </c:pt>
                <c:pt idx="13">
                  <c:v>HU</c:v>
                </c:pt>
                <c:pt idx="14">
                  <c:v>FR</c:v>
                </c:pt>
                <c:pt idx="15">
                  <c:v>LT</c:v>
                </c:pt>
                <c:pt idx="16">
                  <c:v>LV</c:v>
                </c:pt>
                <c:pt idx="17">
                  <c:v>PL</c:v>
                </c:pt>
                <c:pt idx="18">
                  <c:v>SI</c:v>
                </c:pt>
                <c:pt idx="19">
                  <c:v>SK</c:v>
                </c:pt>
                <c:pt idx="20">
                  <c:v>*BG</c:v>
                </c:pt>
                <c:pt idx="21">
                  <c:v>IE</c:v>
                </c:pt>
                <c:pt idx="22">
                  <c:v>*IT</c:v>
                </c:pt>
                <c:pt idx="23">
                  <c:v>*PT</c:v>
                </c:pt>
                <c:pt idx="24">
                  <c:v>RO</c:v>
                </c:pt>
                <c:pt idx="25">
                  <c:v>*HR</c:v>
                </c:pt>
                <c:pt idx="26">
                  <c:v>MT</c:v>
                </c:pt>
              </c:strCache>
            </c:strRef>
          </c:cat>
          <c:val>
            <c:numRef>
              <c:f>Hárok1!$B$2:$B$28</c:f>
              <c:numCache>
                <c:formatCode>#\ ##0.#########</c:formatCode>
                <c:ptCount val="27"/>
                <c:pt idx="0" formatCode="#\ ##0.########">
                  <c:v>99.65</c:v>
                </c:pt>
                <c:pt idx="1">
                  <c:v>99.15</c:v>
                </c:pt>
                <c:pt idx="2">
                  <c:v>97.69</c:v>
                </c:pt>
                <c:pt idx="3" formatCode="#\ ##0.0">
                  <c:v>97.14</c:v>
                </c:pt>
                <c:pt idx="4" formatCode="#,##0">
                  <c:v>97</c:v>
                </c:pt>
                <c:pt idx="5" formatCode="#,##0">
                  <c:v>96</c:v>
                </c:pt>
                <c:pt idx="6">
                  <c:v>94.9</c:v>
                </c:pt>
                <c:pt idx="7" formatCode="#\ ##0.0">
                  <c:v>87.45</c:v>
                </c:pt>
                <c:pt idx="8" formatCode="#\ ##0.#############">
                  <c:v>85</c:v>
                </c:pt>
                <c:pt idx="9">
                  <c:v>84.46</c:v>
                </c:pt>
                <c:pt idx="10">
                  <c:v>84.4</c:v>
                </c:pt>
                <c:pt idx="11" formatCode="#\ ##0.0">
                  <c:v>83.61</c:v>
                </c:pt>
                <c:pt idx="12">
                  <c:v>83</c:v>
                </c:pt>
                <c:pt idx="13">
                  <c:v>80.62</c:v>
                </c:pt>
                <c:pt idx="14">
                  <c:v>79.56</c:v>
                </c:pt>
                <c:pt idx="15">
                  <c:v>78</c:v>
                </c:pt>
                <c:pt idx="16">
                  <c:v>77.319999999999993</c:v>
                </c:pt>
                <c:pt idx="17">
                  <c:v>75.89</c:v>
                </c:pt>
                <c:pt idx="18">
                  <c:v>71.959999999999994</c:v>
                </c:pt>
                <c:pt idx="19">
                  <c:v>71.099999999999994</c:v>
                </c:pt>
                <c:pt idx="20" formatCode="#\ ##0.0">
                  <c:v>67.03</c:v>
                </c:pt>
                <c:pt idx="21">
                  <c:v>65.7</c:v>
                </c:pt>
                <c:pt idx="22" formatCode="#\ ##0.0">
                  <c:v>59.6</c:v>
                </c:pt>
                <c:pt idx="23" formatCode="#\ ##0.0">
                  <c:v>55.8</c:v>
                </c:pt>
                <c:pt idx="24">
                  <c:v>54.75</c:v>
                </c:pt>
                <c:pt idx="25" formatCode="#\ ##0.0">
                  <c:v>31.39</c:v>
                </c:pt>
                <c:pt idx="26" formatCode="#\ ##0.#######">
                  <c:v>7.12</c:v>
                </c:pt>
              </c:numCache>
            </c:numRef>
          </c:val>
          <c:extLst>
            <c:ext xmlns:c16="http://schemas.microsoft.com/office/drawing/2014/chart" uri="{C3380CC4-5D6E-409C-BE32-E72D297353CC}">
              <c16:uniqueId val="{00000004-A5AC-4B8C-BFDA-CAEFC9DF2D98}"/>
            </c:ext>
          </c:extLst>
        </c:ser>
        <c:dLbls>
          <c:showLegendKey val="0"/>
          <c:showVal val="0"/>
          <c:showCatName val="0"/>
          <c:showSerName val="0"/>
          <c:showPercent val="0"/>
          <c:showBubbleSize val="0"/>
        </c:dLbls>
        <c:gapWidth val="100"/>
        <c:axId val="283186879"/>
        <c:axId val="283184799"/>
      </c:barChart>
      <c:lineChart>
        <c:grouping val="standard"/>
        <c:varyColors val="0"/>
        <c:ser>
          <c:idx val="1"/>
          <c:order val="1"/>
          <c:tx>
            <c:strRef>
              <c:f>Hárok1!$C$1</c:f>
              <c:strCache>
                <c:ptCount val="1"/>
                <c:pt idx="0">
                  <c:v>EÚ 27*</c:v>
                </c:pt>
              </c:strCache>
            </c:strRef>
          </c:tx>
          <c:spPr>
            <a:ln w="25400" cap="rnd">
              <a:solidFill>
                <a:srgbClr val="314364"/>
              </a:solidFill>
              <a:prstDash val="sysDash"/>
              <a:round/>
            </a:ln>
            <a:effectLst/>
          </c:spPr>
          <c:marker>
            <c:symbol val="none"/>
          </c:marker>
          <c:cat>
            <c:strRef>
              <c:f>Hárok1!$A$2:$A$28</c:f>
              <c:strCache>
                <c:ptCount val="27"/>
                <c:pt idx="0">
                  <c:v>NL</c:v>
                </c:pt>
                <c:pt idx="1">
                  <c:v>AT</c:v>
                </c:pt>
                <c:pt idx="2">
                  <c:v>DK</c:v>
                </c:pt>
                <c:pt idx="3">
                  <c:v>*DE</c:v>
                </c:pt>
                <c:pt idx="4">
                  <c:v>*LU</c:v>
                </c:pt>
                <c:pt idx="5">
                  <c:v>*SE</c:v>
                </c:pt>
                <c:pt idx="6">
                  <c:v>*GR</c:v>
                </c:pt>
                <c:pt idx="7">
                  <c:v>*ES</c:v>
                </c:pt>
                <c:pt idx="8">
                  <c:v>FI</c:v>
                </c:pt>
                <c:pt idx="9">
                  <c:v>BE</c:v>
                </c:pt>
                <c:pt idx="10">
                  <c:v>CZ</c:v>
                </c:pt>
                <c:pt idx="11">
                  <c:v>*CY</c:v>
                </c:pt>
                <c:pt idx="12">
                  <c:v>EE</c:v>
                </c:pt>
                <c:pt idx="13">
                  <c:v>HU</c:v>
                </c:pt>
                <c:pt idx="14">
                  <c:v>FR</c:v>
                </c:pt>
                <c:pt idx="15">
                  <c:v>LT</c:v>
                </c:pt>
                <c:pt idx="16">
                  <c:v>LV</c:v>
                </c:pt>
                <c:pt idx="17">
                  <c:v>PL</c:v>
                </c:pt>
                <c:pt idx="18">
                  <c:v>SI</c:v>
                </c:pt>
                <c:pt idx="19">
                  <c:v>SK</c:v>
                </c:pt>
                <c:pt idx="20">
                  <c:v>*BG</c:v>
                </c:pt>
                <c:pt idx="21">
                  <c:v>IE</c:v>
                </c:pt>
                <c:pt idx="22">
                  <c:v>*IT</c:v>
                </c:pt>
                <c:pt idx="23">
                  <c:v>*PT</c:v>
                </c:pt>
                <c:pt idx="24">
                  <c:v>RO</c:v>
                </c:pt>
                <c:pt idx="25">
                  <c:v>*HR</c:v>
                </c:pt>
                <c:pt idx="26">
                  <c:v>MT</c:v>
                </c:pt>
              </c:strCache>
            </c:strRef>
          </c:cat>
          <c:val>
            <c:numRef>
              <c:f>Hárok1!$C$2:$C$28</c:f>
              <c:numCache>
                <c:formatCode>#\ ##0.##</c:formatCode>
                <c:ptCount val="27"/>
                <c:pt idx="0">
                  <c:v>80.88</c:v>
                </c:pt>
                <c:pt idx="1">
                  <c:v>80.88</c:v>
                </c:pt>
                <c:pt idx="2">
                  <c:v>80.88</c:v>
                </c:pt>
                <c:pt idx="3">
                  <c:v>80.88</c:v>
                </c:pt>
                <c:pt idx="4">
                  <c:v>80.88</c:v>
                </c:pt>
                <c:pt idx="5">
                  <c:v>80.88</c:v>
                </c:pt>
                <c:pt idx="6">
                  <c:v>80.88</c:v>
                </c:pt>
                <c:pt idx="7">
                  <c:v>80.88</c:v>
                </c:pt>
                <c:pt idx="8">
                  <c:v>80.88</c:v>
                </c:pt>
                <c:pt idx="9">
                  <c:v>80.88</c:v>
                </c:pt>
                <c:pt idx="10">
                  <c:v>80.88</c:v>
                </c:pt>
                <c:pt idx="11">
                  <c:v>80.88</c:v>
                </c:pt>
                <c:pt idx="12">
                  <c:v>80.88</c:v>
                </c:pt>
                <c:pt idx="13">
                  <c:v>80.88</c:v>
                </c:pt>
                <c:pt idx="14">
                  <c:v>80.88</c:v>
                </c:pt>
                <c:pt idx="15">
                  <c:v>80.88</c:v>
                </c:pt>
                <c:pt idx="16">
                  <c:v>80.88</c:v>
                </c:pt>
                <c:pt idx="17">
                  <c:v>80.88</c:v>
                </c:pt>
                <c:pt idx="18">
                  <c:v>80.88</c:v>
                </c:pt>
                <c:pt idx="19">
                  <c:v>80.88</c:v>
                </c:pt>
                <c:pt idx="20">
                  <c:v>80.88</c:v>
                </c:pt>
                <c:pt idx="21">
                  <c:v>80.88</c:v>
                </c:pt>
                <c:pt idx="22">
                  <c:v>80.88</c:v>
                </c:pt>
                <c:pt idx="23">
                  <c:v>80.88</c:v>
                </c:pt>
                <c:pt idx="24">
                  <c:v>80.88</c:v>
                </c:pt>
                <c:pt idx="25">
                  <c:v>80.88</c:v>
                </c:pt>
                <c:pt idx="26">
                  <c:v>80.88</c:v>
                </c:pt>
              </c:numCache>
            </c:numRef>
          </c:val>
          <c:smooth val="0"/>
          <c:extLst>
            <c:ext xmlns:c16="http://schemas.microsoft.com/office/drawing/2014/chart" uri="{C3380CC4-5D6E-409C-BE32-E72D297353CC}">
              <c16:uniqueId val="{00000005-A5AC-4B8C-BFDA-CAEFC9DF2D98}"/>
            </c:ext>
          </c:extLst>
        </c:ser>
        <c:dLbls>
          <c:showLegendKey val="0"/>
          <c:showVal val="0"/>
          <c:showCatName val="0"/>
          <c:showSerName val="0"/>
          <c:showPercent val="0"/>
          <c:showBubbleSize val="0"/>
        </c:dLbls>
        <c:marker val="1"/>
        <c:smooth val="0"/>
        <c:axId val="283186879"/>
        <c:axId val="283184799"/>
      </c:lineChart>
      <c:catAx>
        <c:axId val="283186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314364"/>
                </a:solidFill>
                <a:latin typeface="Segoe UI" panose="020B0502040204020203" pitchFamily="34" charset="0"/>
                <a:ea typeface="+mn-ea"/>
                <a:cs typeface="Segoe UI" panose="020B0502040204020203" pitchFamily="34" charset="0"/>
              </a:defRPr>
            </a:pPr>
            <a:endParaRPr lang="sk-SK"/>
          </a:p>
        </c:txPr>
        <c:crossAx val="283184799"/>
        <c:crosses val="autoZero"/>
        <c:auto val="1"/>
        <c:lblAlgn val="ctr"/>
        <c:lblOffset val="100"/>
        <c:noMultiLvlLbl val="0"/>
      </c:catAx>
      <c:valAx>
        <c:axId val="283184799"/>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314364"/>
                </a:solidFill>
                <a:latin typeface="Segoe UI" panose="020B0502040204020203" pitchFamily="34" charset="0"/>
                <a:ea typeface="+mn-ea"/>
                <a:cs typeface="Segoe UI" panose="020B0502040204020203" pitchFamily="34" charset="0"/>
              </a:defRPr>
            </a:pPr>
            <a:endParaRPr lang="sk-SK"/>
          </a:p>
        </c:txPr>
        <c:crossAx val="283186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900702848385568E-2"/>
          <c:y val="4.362369403574639E-2"/>
          <c:w val="0.87056333562331556"/>
          <c:h val="0.81115118289394716"/>
        </c:manualLayout>
      </c:layout>
      <c:barChart>
        <c:barDir val="col"/>
        <c:grouping val="clustered"/>
        <c:varyColors val="0"/>
        <c:ser>
          <c:idx val="1"/>
          <c:order val="1"/>
          <c:tx>
            <c:strRef>
              <c:f>'grafy zdrav odvody'!$B$28</c:f>
              <c:strCache>
                <c:ptCount val="1"/>
                <c:pt idx="0">
                  <c:v>Zaplatené ročné poistné za poistencov štátu (v mil. €) (ľavá os)</c:v>
                </c:pt>
              </c:strCache>
            </c:strRef>
          </c:tx>
          <c:spPr>
            <a:solidFill>
              <a:schemeClr val="bg2"/>
            </a:solidFill>
            <a:ln>
              <a:noFill/>
            </a:ln>
            <a:effectLst/>
          </c:spPr>
          <c:invertIfNegative val="0"/>
          <c:cat>
            <c:strRef>
              <c:f>'grafy zdrav odvody'!$C$26:$P$26</c:f>
              <c:strCache>
                <c:ptCount val="14"/>
                <c:pt idx="0">
                  <c:v>2013</c:v>
                </c:pt>
                <c:pt idx="1">
                  <c:v>2014</c:v>
                </c:pt>
                <c:pt idx="2">
                  <c:v>2015</c:v>
                </c:pt>
                <c:pt idx="3">
                  <c:v>2016</c:v>
                </c:pt>
                <c:pt idx="4">
                  <c:v>2017</c:v>
                </c:pt>
                <c:pt idx="5">
                  <c:v>2018</c:v>
                </c:pt>
                <c:pt idx="6">
                  <c:v>2019</c:v>
                </c:pt>
                <c:pt idx="7">
                  <c:v>2020</c:v>
                </c:pt>
                <c:pt idx="8">
                  <c:v>2021</c:v>
                </c:pt>
                <c:pt idx="9">
                  <c:v>2022</c:v>
                </c:pt>
                <c:pt idx="10">
                  <c:v>2023</c:v>
                </c:pt>
                <c:pt idx="11">
                  <c:v>2024</c:v>
                </c:pt>
                <c:pt idx="12">
                  <c:v>OS 2025</c:v>
                </c:pt>
                <c:pt idx="13">
                  <c:v>R 2026</c:v>
                </c:pt>
              </c:strCache>
            </c:strRef>
          </c:cat>
          <c:val>
            <c:numRef>
              <c:f>'grafy zdrav odvody'!$C$28:$P$28</c:f>
              <c:numCache>
                <c:formatCode>General</c:formatCode>
                <c:ptCount val="14"/>
                <c:pt idx="0">
                  <c:v>1276.8</c:v>
                </c:pt>
                <c:pt idx="1">
                  <c:v>1211.5</c:v>
                </c:pt>
                <c:pt idx="2">
                  <c:v>1348.9</c:v>
                </c:pt>
                <c:pt idx="3">
                  <c:v>1392.1</c:v>
                </c:pt>
                <c:pt idx="4">
                  <c:v>1299.3</c:v>
                </c:pt>
                <c:pt idx="5">
                  <c:v>1189</c:v>
                </c:pt>
                <c:pt idx="6" formatCode="0">
                  <c:v>1202.8</c:v>
                </c:pt>
                <c:pt idx="7" formatCode="0">
                  <c:v>1167.03</c:v>
                </c:pt>
                <c:pt idx="8" formatCode="0">
                  <c:v>1292.0999999999999</c:v>
                </c:pt>
                <c:pt idx="9" formatCode="0">
                  <c:v>1289</c:v>
                </c:pt>
                <c:pt idx="10" formatCode="0.0">
                  <c:v>2081.277</c:v>
                </c:pt>
                <c:pt idx="11" formatCode="#,##0.00">
                  <c:v>2112.5</c:v>
                </c:pt>
                <c:pt idx="12">
                  <c:v>2295</c:v>
                </c:pt>
                <c:pt idx="13">
                  <c:v>2727</c:v>
                </c:pt>
              </c:numCache>
            </c:numRef>
          </c:val>
          <c:extLst>
            <c:ext xmlns:c16="http://schemas.microsoft.com/office/drawing/2014/chart" uri="{C3380CC4-5D6E-409C-BE32-E72D297353CC}">
              <c16:uniqueId val="{00000000-6F97-482A-967A-76252E0D7A48}"/>
            </c:ext>
          </c:extLst>
        </c:ser>
        <c:ser>
          <c:idx val="3"/>
          <c:order val="3"/>
          <c:tx>
            <c:strRef>
              <c:f>'grafy zdrav odvody'!$B$30</c:f>
              <c:strCache>
                <c:ptCount val="1"/>
                <c:pt idx="0">
                  <c:v>Zaplatené ročné poistné EAO (v mil. €) (ľavá os)</c:v>
                </c:pt>
              </c:strCache>
            </c:strRef>
          </c:tx>
          <c:spPr>
            <a:solidFill>
              <a:schemeClr val="tx2"/>
            </a:solidFill>
            <a:ln>
              <a:noFill/>
            </a:ln>
            <a:effectLst/>
          </c:spPr>
          <c:invertIfNegative val="0"/>
          <c:cat>
            <c:strRef>
              <c:f>'grafy zdrav odvody'!$C$26:$P$26</c:f>
              <c:strCache>
                <c:ptCount val="14"/>
                <c:pt idx="0">
                  <c:v>2013</c:v>
                </c:pt>
                <c:pt idx="1">
                  <c:v>2014</c:v>
                </c:pt>
                <c:pt idx="2">
                  <c:v>2015</c:v>
                </c:pt>
                <c:pt idx="3">
                  <c:v>2016</c:v>
                </c:pt>
                <c:pt idx="4">
                  <c:v>2017</c:v>
                </c:pt>
                <c:pt idx="5">
                  <c:v>2018</c:v>
                </c:pt>
                <c:pt idx="6">
                  <c:v>2019</c:v>
                </c:pt>
                <c:pt idx="7">
                  <c:v>2020</c:v>
                </c:pt>
                <c:pt idx="8">
                  <c:v>2021</c:v>
                </c:pt>
                <c:pt idx="9">
                  <c:v>2022</c:v>
                </c:pt>
                <c:pt idx="10">
                  <c:v>2023</c:v>
                </c:pt>
                <c:pt idx="11">
                  <c:v>2024</c:v>
                </c:pt>
                <c:pt idx="12">
                  <c:v>OS 2025</c:v>
                </c:pt>
                <c:pt idx="13">
                  <c:v>R 2026</c:v>
                </c:pt>
              </c:strCache>
            </c:strRef>
          </c:cat>
          <c:val>
            <c:numRef>
              <c:f>'grafy zdrav odvody'!$C$30:$P$30</c:f>
              <c:numCache>
                <c:formatCode>General</c:formatCode>
                <c:ptCount val="14"/>
                <c:pt idx="0">
                  <c:v>2572.9699999999998</c:v>
                </c:pt>
                <c:pt idx="1">
                  <c:v>2769.95</c:v>
                </c:pt>
                <c:pt idx="2">
                  <c:v>2880.08</c:v>
                </c:pt>
                <c:pt idx="3">
                  <c:v>2952.66</c:v>
                </c:pt>
                <c:pt idx="4">
                  <c:v>3292.16</c:v>
                </c:pt>
                <c:pt idx="5">
                  <c:v>3629.92</c:v>
                </c:pt>
                <c:pt idx="6">
                  <c:v>3978.64</c:v>
                </c:pt>
                <c:pt idx="7">
                  <c:v>4024.78</c:v>
                </c:pt>
                <c:pt idx="8">
                  <c:v>4334.7</c:v>
                </c:pt>
                <c:pt idx="9">
                  <c:v>4688.7</c:v>
                </c:pt>
                <c:pt idx="10" formatCode="0.0">
                  <c:v>5163.2020000000002</c:v>
                </c:pt>
                <c:pt idx="11">
                  <c:v>5851.8</c:v>
                </c:pt>
                <c:pt idx="12">
                  <c:v>6341.59</c:v>
                </c:pt>
                <c:pt idx="13">
                  <c:v>7077</c:v>
                </c:pt>
              </c:numCache>
            </c:numRef>
          </c:val>
          <c:extLst>
            <c:ext xmlns:c16="http://schemas.microsoft.com/office/drawing/2014/chart" uri="{C3380CC4-5D6E-409C-BE32-E72D297353CC}">
              <c16:uniqueId val="{00000001-6F97-482A-967A-76252E0D7A48}"/>
            </c:ext>
          </c:extLst>
        </c:ser>
        <c:dLbls>
          <c:showLegendKey val="0"/>
          <c:showVal val="0"/>
          <c:showCatName val="0"/>
          <c:showSerName val="0"/>
          <c:showPercent val="0"/>
          <c:showBubbleSize val="0"/>
        </c:dLbls>
        <c:gapWidth val="131"/>
        <c:axId val="1127412415"/>
        <c:axId val="1127413663"/>
      </c:barChart>
      <c:lineChart>
        <c:grouping val="standard"/>
        <c:varyColors val="0"/>
        <c:ser>
          <c:idx val="0"/>
          <c:order val="0"/>
          <c:tx>
            <c:strRef>
              <c:f>'grafy zdrav odvody'!$B$27</c:f>
              <c:strCache>
                <c:ptCount val="1"/>
                <c:pt idx="0">
                  <c:v>Priemerné poistné za poist. štátu (v €) (pravá os)</c:v>
                </c:pt>
              </c:strCache>
            </c:strRef>
          </c:tx>
          <c:spPr>
            <a:ln w="28575" cap="rnd">
              <a:solidFill>
                <a:schemeClr val="accent6"/>
              </a:solidFill>
              <a:prstDash val="dash"/>
              <a:round/>
            </a:ln>
            <a:effectLst/>
          </c:spPr>
          <c:marker>
            <c:symbol val="none"/>
          </c:marker>
          <c:cat>
            <c:strRef>
              <c:f>'grafy zdrav odvody'!$C$26:$P$26</c:f>
              <c:strCache>
                <c:ptCount val="14"/>
                <c:pt idx="0">
                  <c:v>2013</c:v>
                </c:pt>
                <c:pt idx="1">
                  <c:v>2014</c:v>
                </c:pt>
                <c:pt idx="2">
                  <c:v>2015</c:v>
                </c:pt>
                <c:pt idx="3">
                  <c:v>2016</c:v>
                </c:pt>
                <c:pt idx="4">
                  <c:v>2017</c:v>
                </c:pt>
                <c:pt idx="5">
                  <c:v>2018</c:v>
                </c:pt>
                <c:pt idx="6">
                  <c:v>2019</c:v>
                </c:pt>
                <c:pt idx="7">
                  <c:v>2020</c:v>
                </c:pt>
                <c:pt idx="8">
                  <c:v>2021</c:v>
                </c:pt>
                <c:pt idx="9">
                  <c:v>2022</c:v>
                </c:pt>
                <c:pt idx="10">
                  <c:v>2023</c:v>
                </c:pt>
                <c:pt idx="11">
                  <c:v>2024</c:v>
                </c:pt>
                <c:pt idx="12">
                  <c:v>OS 2025</c:v>
                </c:pt>
                <c:pt idx="13">
                  <c:v>R 2026</c:v>
                </c:pt>
              </c:strCache>
            </c:strRef>
          </c:cat>
          <c:val>
            <c:numRef>
              <c:f>'grafy zdrav odvody'!$C$27:$P$27</c:f>
              <c:numCache>
                <c:formatCode>0.0</c:formatCode>
                <c:ptCount val="14"/>
                <c:pt idx="0">
                  <c:v>33.4</c:v>
                </c:pt>
                <c:pt idx="1">
                  <c:v>32.200000000000003</c:v>
                </c:pt>
                <c:pt idx="2">
                  <c:v>36.5</c:v>
                </c:pt>
                <c:pt idx="3">
                  <c:v>37.840000000000003</c:v>
                </c:pt>
                <c:pt idx="4">
                  <c:v>36.159999999999997</c:v>
                </c:pt>
                <c:pt idx="5">
                  <c:v>33.840000000000003</c:v>
                </c:pt>
                <c:pt idx="6">
                  <c:v>34.340000000000003</c:v>
                </c:pt>
                <c:pt idx="7">
                  <c:v>32.42</c:v>
                </c:pt>
                <c:pt idx="8">
                  <c:v>36.74</c:v>
                </c:pt>
                <c:pt idx="9">
                  <c:v>37</c:v>
                </c:pt>
                <c:pt idx="10">
                  <c:v>60</c:v>
                </c:pt>
                <c:pt idx="11" formatCode="General">
                  <c:v>61</c:v>
                </c:pt>
                <c:pt idx="12" formatCode="General">
                  <c:v>66</c:v>
                </c:pt>
                <c:pt idx="13" formatCode="General">
                  <c:v>76.2</c:v>
                </c:pt>
              </c:numCache>
            </c:numRef>
          </c:val>
          <c:smooth val="0"/>
          <c:extLst>
            <c:ext xmlns:c16="http://schemas.microsoft.com/office/drawing/2014/chart" uri="{C3380CC4-5D6E-409C-BE32-E72D297353CC}">
              <c16:uniqueId val="{00000002-6F97-482A-967A-76252E0D7A48}"/>
            </c:ext>
          </c:extLst>
        </c:ser>
        <c:ser>
          <c:idx val="2"/>
          <c:order val="2"/>
          <c:tx>
            <c:strRef>
              <c:f>'grafy zdrav odvody'!$B$29</c:f>
              <c:strCache>
                <c:ptCount val="1"/>
                <c:pt idx="0">
                  <c:v>Priemerné poistné EAO (v €) (pravá os)</c:v>
                </c:pt>
              </c:strCache>
            </c:strRef>
          </c:tx>
          <c:spPr>
            <a:ln w="28575" cap="rnd">
              <a:solidFill>
                <a:schemeClr val="bg1">
                  <a:lumMod val="65000"/>
                </a:schemeClr>
              </a:solidFill>
              <a:prstDash val="dash"/>
              <a:round/>
            </a:ln>
            <a:effectLst/>
          </c:spPr>
          <c:marker>
            <c:symbol val="none"/>
          </c:marker>
          <c:cat>
            <c:strRef>
              <c:f>'grafy zdrav odvody'!$C$26:$P$26</c:f>
              <c:strCache>
                <c:ptCount val="14"/>
                <c:pt idx="0">
                  <c:v>2013</c:v>
                </c:pt>
                <c:pt idx="1">
                  <c:v>2014</c:v>
                </c:pt>
                <c:pt idx="2">
                  <c:v>2015</c:v>
                </c:pt>
                <c:pt idx="3">
                  <c:v>2016</c:v>
                </c:pt>
                <c:pt idx="4">
                  <c:v>2017</c:v>
                </c:pt>
                <c:pt idx="5">
                  <c:v>2018</c:v>
                </c:pt>
                <c:pt idx="6">
                  <c:v>2019</c:v>
                </c:pt>
                <c:pt idx="7">
                  <c:v>2020</c:v>
                </c:pt>
                <c:pt idx="8">
                  <c:v>2021</c:v>
                </c:pt>
                <c:pt idx="9">
                  <c:v>2022</c:v>
                </c:pt>
                <c:pt idx="10">
                  <c:v>2023</c:v>
                </c:pt>
                <c:pt idx="11">
                  <c:v>2024</c:v>
                </c:pt>
                <c:pt idx="12">
                  <c:v>OS 2025</c:v>
                </c:pt>
                <c:pt idx="13">
                  <c:v>R 2026</c:v>
                </c:pt>
              </c:strCache>
            </c:strRef>
          </c:cat>
          <c:val>
            <c:numRef>
              <c:f>'grafy zdrav odvody'!$C$29:$P$29</c:f>
              <c:numCache>
                <c:formatCode>0.0</c:formatCode>
                <c:ptCount val="14"/>
                <c:pt idx="0">
                  <c:v>99.44</c:v>
                </c:pt>
                <c:pt idx="1">
                  <c:v>104.31</c:v>
                </c:pt>
                <c:pt idx="2">
                  <c:v>112.98</c:v>
                </c:pt>
                <c:pt idx="3">
                  <c:v>116.81</c:v>
                </c:pt>
                <c:pt idx="4">
                  <c:v>120.25</c:v>
                </c:pt>
                <c:pt idx="5">
                  <c:v>131.36000000000001</c:v>
                </c:pt>
                <c:pt idx="6">
                  <c:v>143.32</c:v>
                </c:pt>
                <c:pt idx="7">
                  <c:v>151.38</c:v>
                </c:pt>
                <c:pt idx="8">
                  <c:v>161.44999999999999</c:v>
                </c:pt>
                <c:pt idx="9">
                  <c:v>172</c:v>
                </c:pt>
                <c:pt idx="10" formatCode="General">
                  <c:v>188</c:v>
                </c:pt>
                <c:pt idx="11" formatCode="General">
                  <c:v>215</c:v>
                </c:pt>
                <c:pt idx="12" formatCode="General">
                  <c:v>227</c:v>
                </c:pt>
              </c:numCache>
            </c:numRef>
          </c:val>
          <c:smooth val="0"/>
          <c:extLst>
            <c:ext xmlns:c16="http://schemas.microsoft.com/office/drawing/2014/chart" uri="{C3380CC4-5D6E-409C-BE32-E72D297353CC}">
              <c16:uniqueId val="{00000003-6F97-482A-967A-76252E0D7A48}"/>
            </c:ext>
          </c:extLst>
        </c:ser>
        <c:dLbls>
          <c:showLegendKey val="0"/>
          <c:showVal val="0"/>
          <c:showCatName val="0"/>
          <c:showSerName val="0"/>
          <c:showPercent val="0"/>
          <c:showBubbleSize val="0"/>
        </c:dLbls>
        <c:marker val="1"/>
        <c:smooth val="0"/>
        <c:axId val="1127414495"/>
        <c:axId val="1127417407"/>
      </c:lineChart>
      <c:catAx>
        <c:axId val="1127412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127413663"/>
        <c:crosses val="autoZero"/>
        <c:auto val="1"/>
        <c:lblAlgn val="ctr"/>
        <c:lblOffset val="100"/>
        <c:noMultiLvlLbl val="0"/>
      </c:catAx>
      <c:valAx>
        <c:axId val="11274136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127412415"/>
        <c:crosses val="autoZero"/>
        <c:crossBetween val="between"/>
        <c:majorUnit val="1500"/>
      </c:valAx>
      <c:valAx>
        <c:axId val="1127417407"/>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127414495"/>
        <c:crosses val="max"/>
        <c:crossBetween val="between"/>
        <c:majorUnit val="50"/>
      </c:valAx>
      <c:catAx>
        <c:axId val="1127414495"/>
        <c:scaling>
          <c:orientation val="minMax"/>
        </c:scaling>
        <c:delete val="1"/>
        <c:axPos val="b"/>
        <c:numFmt formatCode="General" sourceLinked="1"/>
        <c:majorTickMark val="out"/>
        <c:minorTickMark val="none"/>
        <c:tickLblPos val="nextTo"/>
        <c:crossAx val="1127417407"/>
        <c:crosses val="autoZero"/>
        <c:auto val="1"/>
        <c:lblAlgn val="ctr"/>
        <c:lblOffset val="100"/>
        <c:noMultiLvlLbl val="0"/>
      </c:catAx>
      <c:spPr>
        <a:noFill/>
        <a:ln>
          <a:noFill/>
        </a:ln>
        <a:effectLst/>
      </c:spPr>
    </c:plotArea>
    <c:legend>
      <c:legendPos val="b"/>
      <c:layout>
        <c:manualLayout>
          <c:xMode val="edge"/>
          <c:yMode val="edge"/>
          <c:x val="6.1158907150029064E-2"/>
          <c:y val="2.6723280750315766E-2"/>
          <c:w val="0.6034957459176663"/>
          <c:h val="0.3649706818562573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'grafy zdrav odvody'!$B$5</c:f>
              <c:strCache>
                <c:ptCount val="1"/>
                <c:pt idx="0">
                  <c:v>SR</c:v>
                </c:pt>
              </c:strCache>
            </c:strRef>
          </c:tx>
          <c:spPr>
            <a:ln w="28575" cap="rnd">
              <a:solidFill>
                <a:schemeClr val="accent1"/>
              </a:solidFill>
              <a:round/>
            </a:ln>
            <a:effectLst/>
          </c:spPr>
          <c:marker>
            <c:symbol val="circle"/>
            <c:size val="5"/>
            <c:spPr>
              <a:solidFill>
                <a:schemeClr val="accent1"/>
              </a:solidFill>
              <a:ln w="12700">
                <a:solidFill>
                  <a:schemeClr val="bg1"/>
                </a:solidFill>
              </a:ln>
              <a:effectLst/>
            </c:spPr>
          </c:marker>
          <c:dLbls>
            <c:dLbl>
              <c:idx val="6"/>
              <c:layout>
                <c:manualLayout>
                  <c:x val="-3.8555764873382005E-2"/>
                  <c:y val="-4.43867716535433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BB-423D-8AB9-DE242AC097B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'grafy zdrav odvody'!$C$4:$I$4</c:f>
              <c:strCache>
                <c:ptCount val="7"/>
                <c:pt idx="0">
                  <c:v>2020</c:v>
                </c:pt>
                <c:pt idx="1">
                  <c:v>2021</c:v>
                </c:pt>
                <c:pt idx="2">
                  <c:v>2022</c:v>
                </c:pt>
                <c:pt idx="3">
                  <c:v>2023</c:v>
                </c:pt>
                <c:pt idx="4">
                  <c:v>2024</c:v>
                </c:pt>
                <c:pt idx="5">
                  <c:v>OS Jún 2025</c:v>
                </c:pt>
                <c:pt idx="6">
                  <c:v>R 2026</c:v>
                </c:pt>
              </c:strCache>
            </c:strRef>
          </c:cat>
          <c:val>
            <c:numRef>
              <c:f>'grafy zdrav odvody'!$C$5:$I$5</c:f>
              <c:numCache>
                <c:formatCode>General</c:formatCode>
                <c:ptCount val="7"/>
                <c:pt idx="0">
                  <c:v>33</c:v>
                </c:pt>
                <c:pt idx="1">
                  <c:v>37</c:v>
                </c:pt>
                <c:pt idx="2">
                  <c:v>37</c:v>
                </c:pt>
                <c:pt idx="3">
                  <c:v>60</c:v>
                </c:pt>
                <c:pt idx="4">
                  <c:v>61</c:v>
                </c:pt>
                <c:pt idx="5">
                  <c:v>66</c:v>
                </c:pt>
                <c:pt idx="6">
                  <c:v>76.2</c:v>
                </c:pt>
              </c:numCache>
            </c:numRef>
          </c:val>
          <c:smooth val="0"/>
          <c:extLst>
            <c:ext xmlns:c16="http://schemas.microsoft.com/office/drawing/2014/chart" uri="{C3380CC4-5D6E-409C-BE32-E72D297353CC}">
              <c16:uniqueId val="{00000001-E6BB-423D-8AB9-DE242AC097BC}"/>
            </c:ext>
          </c:extLst>
        </c:ser>
        <c:ser>
          <c:idx val="1"/>
          <c:order val="1"/>
          <c:tx>
            <c:strRef>
              <c:f>'grafy zdrav odvody'!$B$6</c:f>
              <c:strCache>
                <c:ptCount val="1"/>
                <c:pt idx="0">
                  <c:v>ČR</c:v>
                </c:pt>
              </c:strCache>
            </c:strRef>
          </c:tx>
          <c:spPr>
            <a:ln w="28575" cap="rnd">
              <a:solidFill>
                <a:schemeClr val="accent2"/>
              </a:solidFill>
              <a:round/>
            </a:ln>
            <a:effectLst/>
          </c:spPr>
          <c:marker>
            <c:symbol val="circle"/>
            <c:size val="5"/>
            <c:spPr>
              <a:solidFill>
                <a:schemeClr val="accent2"/>
              </a:solidFill>
              <a:ln w="12700">
                <a:solidFill>
                  <a:schemeClr val="bg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'grafy zdrav odvody'!$C$4:$I$4</c:f>
              <c:strCache>
                <c:ptCount val="7"/>
                <c:pt idx="0">
                  <c:v>2020</c:v>
                </c:pt>
                <c:pt idx="1">
                  <c:v>2021</c:v>
                </c:pt>
                <c:pt idx="2">
                  <c:v>2022</c:v>
                </c:pt>
                <c:pt idx="3">
                  <c:v>2023</c:v>
                </c:pt>
                <c:pt idx="4">
                  <c:v>2024</c:v>
                </c:pt>
                <c:pt idx="5">
                  <c:v>OS Jún 2025</c:v>
                </c:pt>
                <c:pt idx="6">
                  <c:v>R 2026</c:v>
                </c:pt>
              </c:strCache>
            </c:strRef>
          </c:cat>
          <c:val>
            <c:numRef>
              <c:f>'grafy zdrav odvody'!$C$6:$I$6</c:f>
              <c:numCache>
                <c:formatCode>General</c:formatCode>
                <c:ptCount val="7"/>
                <c:pt idx="0">
                  <c:v>51</c:v>
                </c:pt>
                <c:pt idx="1">
                  <c:v>69</c:v>
                </c:pt>
                <c:pt idx="2">
                  <c:v>74</c:v>
                </c:pt>
                <c:pt idx="3">
                  <c:v>79</c:v>
                </c:pt>
                <c:pt idx="4">
                  <c:v>83</c:v>
                </c:pt>
                <c:pt idx="5" formatCode="0">
                  <c:v>85.13</c:v>
                </c:pt>
                <c:pt idx="6">
                  <c:v>90</c:v>
                </c:pt>
              </c:numCache>
            </c:numRef>
          </c:val>
          <c:smooth val="0"/>
          <c:extLst>
            <c:ext xmlns:c16="http://schemas.microsoft.com/office/drawing/2014/chart" uri="{C3380CC4-5D6E-409C-BE32-E72D297353CC}">
              <c16:uniqueId val="{00000002-E6BB-423D-8AB9-DE242AC097BC}"/>
            </c:ext>
          </c:extLst>
        </c:ser>
        <c:dLbls>
          <c:dLblPos val="t"/>
          <c:showLegendKey val="0"/>
          <c:showVal val="1"/>
          <c:showCatName val="0"/>
          <c:showSerName val="0"/>
          <c:showPercent val="0"/>
          <c:showBubbleSize val="0"/>
        </c:dLbls>
        <c:marker val="1"/>
        <c:smooth val="0"/>
        <c:axId val="1252035695"/>
        <c:axId val="1252032367"/>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Príjmy VS</c:v>
          </c:tx>
          <c:spPr>
            <a:ln w="25400" cap="rnd">
              <a:solidFill>
                <a:schemeClr val="accent1"/>
              </a:solidFill>
              <a:round/>
            </a:ln>
            <a:effectLst/>
          </c:spPr>
          <c:marker>
            <c:symbol val="circle"/>
            <c:size val="5"/>
            <c:spPr>
              <a:solidFill>
                <a:schemeClr val="accent1"/>
              </a:solidFill>
              <a:ln w="9525">
                <a:solidFill>
                  <a:schemeClr val="bg1"/>
                </a:solidFill>
              </a:ln>
              <a:effectLst/>
            </c:spPr>
          </c:marker>
          <c:cat>
            <c:strRef>
              <c:f>Hárok1!$C$2:$P$2</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Hárok1!$C$13:$P$13</c:f>
              <c:numCache>
                <c:formatCode>_(* #,##0.00_);_(* \(#,##0.00\);_(* "-"??_);_(@_)</c:formatCode>
                <c:ptCount val="14"/>
                <c:pt idx="0" formatCode="General">
                  <c:v>100</c:v>
                </c:pt>
                <c:pt idx="1">
                  <c:v>95.220270019461168</c:v>
                </c:pt>
                <c:pt idx="2">
                  <c:v>100.84217761954548</c:v>
                </c:pt>
                <c:pt idx="3">
                  <c:v>106.2782221180144</c:v>
                </c:pt>
                <c:pt idx="4">
                  <c:v>112.83710523788419</c:v>
                </c:pt>
                <c:pt idx="5">
                  <c:v>106.65986480730685</c:v>
                </c:pt>
                <c:pt idx="6">
                  <c:v>117.22575936147959</c:v>
                </c:pt>
                <c:pt idx="7">
                  <c:v>123.66107432877583</c:v>
                </c:pt>
                <c:pt idx="8">
                  <c:v>143.24042208505733</c:v>
                </c:pt>
                <c:pt idx="9">
                  <c:v>157.4145377925785</c:v>
                </c:pt>
                <c:pt idx="10">
                  <c:v>172.26901923821907</c:v>
                </c:pt>
                <c:pt idx="11">
                  <c:v>177.62584272224785</c:v>
                </c:pt>
                <c:pt idx="12">
                  <c:v>182.18480637570045</c:v>
                </c:pt>
                <c:pt idx="13">
                  <c:v>187.37888230917642</c:v>
                </c:pt>
              </c:numCache>
            </c:numRef>
          </c:val>
          <c:smooth val="0"/>
          <c:extLst>
            <c:ext xmlns:c16="http://schemas.microsoft.com/office/drawing/2014/chart" uri="{C3380CC4-5D6E-409C-BE32-E72D297353CC}">
              <c16:uniqueId val="{00000000-2A9A-4A15-8011-11C9EDA33AD7}"/>
            </c:ext>
          </c:extLst>
        </c:ser>
        <c:ser>
          <c:idx val="1"/>
          <c:order val="1"/>
          <c:tx>
            <c:v>Výdavky VS</c:v>
          </c:tx>
          <c:spPr>
            <a:ln w="25400" cap="rnd">
              <a:solidFill>
                <a:schemeClr val="accent2"/>
              </a:solidFill>
              <a:round/>
            </a:ln>
            <a:effectLst/>
          </c:spPr>
          <c:marker>
            <c:symbol val="circle"/>
            <c:size val="5"/>
            <c:spPr>
              <a:solidFill>
                <a:schemeClr val="accent2"/>
              </a:solidFill>
              <a:ln w="9525">
                <a:solidFill>
                  <a:schemeClr val="bg1"/>
                </a:solidFill>
              </a:ln>
              <a:effectLst/>
            </c:spPr>
          </c:marker>
          <c:cat>
            <c:strRef>
              <c:f>Hárok1!$C$2:$P$2</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Hárok1!$C$14:$P$14</c:f>
              <c:numCache>
                <c:formatCode>_(* #,##0.00_);_(* \(#,##0.00\);_(* "-"??_);_(@_)</c:formatCode>
                <c:ptCount val="14"/>
                <c:pt idx="0" formatCode="General">
                  <c:v>100</c:v>
                </c:pt>
                <c:pt idx="1">
                  <c:v>94.525549719925309</c:v>
                </c:pt>
                <c:pt idx="2">
                  <c:v>96.96547736533978</c:v>
                </c:pt>
                <c:pt idx="3">
                  <c:v>102.2753487921804</c:v>
                </c:pt>
                <c:pt idx="4">
                  <c:v>109.41987250897796</c:v>
                </c:pt>
                <c:pt idx="5">
                  <c:v>113.95635882124867</c:v>
                </c:pt>
                <c:pt idx="6">
                  <c:v>124.34124808369049</c:v>
                </c:pt>
                <c:pt idx="7">
                  <c:v>120.95549410646576</c:v>
                </c:pt>
                <c:pt idx="8">
                  <c:v>150.8918744174253</c:v>
                </c:pt>
                <c:pt idx="9">
                  <c:v>166.52697566396131</c:v>
                </c:pt>
                <c:pt idx="10">
                  <c:v>180.33859139705385</c:v>
                </c:pt>
                <c:pt idx="11">
                  <c:v>182.80315732965576</c:v>
                </c:pt>
                <c:pt idx="12">
                  <c:v>191.79824097832605</c:v>
                </c:pt>
                <c:pt idx="13">
                  <c:v>195.64118891807331</c:v>
                </c:pt>
              </c:numCache>
            </c:numRef>
          </c:val>
          <c:smooth val="0"/>
          <c:extLst>
            <c:ext xmlns:c16="http://schemas.microsoft.com/office/drawing/2014/chart" uri="{C3380CC4-5D6E-409C-BE32-E72D297353CC}">
              <c16:uniqueId val="{00000001-2A9A-4A15-8011-11C9EDA33AD7}"/>
            </c:ext>
          </c:extLst>
        </c:ser>
        <c:dLbls>
          <c:showLegendKey val="0"/>
          <c:showVal val="0"/>
          <c:showCatName val="0"/>
          <c:showSerName val="0"/>
          <c:showPercent val="0"/>
          <c:showBubbleSize val="0"/>
        </c:dLbls>
        <c:marker val="1"/>
        <c:smooth val="0"/>
        <c:axId val="249273423"/>
        <c:axId val="249268015"/>
      </c:lineChart>
      <c:catAx>
        <c:axId val="249273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49268015"/>
        <c:crosses val="autoZero"/>
        <c:auto val="1"/>
        <c:lblAlgn val="ctr"/>
        <c:lblOffset val="100"/>
        <c:noMultiLvlLbl val="0"/>
      </c:catAx>
      <c:valAx>
        <c:axId val="249268015"/>
        <c:scaling>
          <c:orientation val="minMax"/>
          <c:max val="200"/>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49273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'výdavky na dôchodky'!$B$4</c:f>
              <c:strCache>
                <c:ptCount val="1"/>
                <c:pt idx="0">
                  <c:v>Výdavky dôchodkového poistenia</c:v>
                </c:pt>
              </c:strCache>
            </c:strRef>
          </c:tx>
          <c:spPr>
            <a:solidFill>
              <a:schemeClr val="accent1"/>
            </a:solidFill>
            <a:ln w="25400">
              <a:noFill/>
            </a:ln>
            <a:effectLst/>
          </c:spPr>
          <c:invertIfNegative val="0"/>
          <c:cat>
            <c:strRef>
              <c:f>'výdavky na dôchodky'!$C$3:$P$3</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'výdavky na dôchodky'!$C$4:$P$4</c:f>
              <c:numCache>
                <c:formatCode>#\ ##0.0</c:formatCode>
                <c:ptCount val="14"/>
                <c:pt idx="0">
                  <c:v>6414.4809999999998</c:v>
                </c:pt>
                <c:pt idx="1">
                  <c:v>6485.3940000000002</c:v>
                </c:pt>
                <c:pt idx="2">
                  <c:v>6766.2610000000004</c:v>
                </c:pt>
                <c:pt idx="3">
                  <c:v>7047.5969999999998</c:v>
                </c:pt>
                <c:pt idx="4">
                  <c:v>7356.9080000000004</c:v>
                </c:pt>
                <c:pt idx="5">
                  <c:v>7759.0510000000004</c:v>
                </c:pt>
                <c:pt idx="6">
                  <c:v>8016.25</c:v>
                </c:pt>
                <c:pt idx="7">
                  <c:v>8270.5840000000007</c:v>
                </c:pt>
                <c:pt idx="8">
                  <c:v>10319.766</c:v>
                </c:pt>
                <c:pt idx="9">
                  <c:v>12632.097</c:v>
                </c:pt>
                <c:pt idx="10">
                  <c:v>12825.498</c:v>
                </c:pt>
                <c:pt idx="11">
                  <c:v>13295.663</c:v>
                </c:pt>
                <c:pt idx="12">
                  <c:v>13810.464</c:v>
                </c:pt>
                <c:pt idx="13">
                  <c:v>14421.228999999999</c:v>
                </c:pt>
              </c:numCache>
            </c:numRef>
          </c:val>
          <c:extLst>
            <c:ext xmlns:c16="http://schemas.microsoft.com/office/drawing/2014/chart" uri="{C3380CC4-5D6E-409C-BE32-E72D297353CC}">
              <c16:uniqueId val="{00000000-789F-42ED-A887-B1EF8C35C817}"/>
            </c:ext>
          </c:extLst>
        </c:ser>
        <c:dLbls>
          <c:showLegendKey val="0"/>
          <c:showVal val="0"/>
          <c:showCatName val="0"/>
          <c:showSerName val="0"/>
          <c:showPercent val="0"/>
          <c:showBubbleSize val="0"/>
        </c:dLbls>
        <c:gapWidth val="100"/>
        <c:axId val="1252035695"/>
        <c:axId val="1252032367"/>
      </c:bar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62465277777777"/>
          <c:y val="6.4675925925925928E-2"/>
          <c:w val="0.7818684027777778"/>
          <c:h val="0.41686905426148396"/>
        </c:manualLayout>
      </c:layout>
      <c:barChart>
        <c:barDir val="col"/>
        <c:grouping val="stacked"/>
        <c:varyColors val="0"/>
        <c:ser>
          <c:idx val="0"/>
          <c:order val="0"/>
          <c:tx>
            <c:strRef>
              <c:f>'výdavky na dôchodky'!$B$5</c:f>
              <c:strCache>
                <c:ptCount val="1"/>
                <c:pt idx="0">
                  <c:v>Starobné dôchodky </c:v>
                </c:pt>
              </c:strCache>
            </c:strRef>
          </c:tx>
          <c:spPr>
            <a:solidFill>
              <a:schemeClr val="accent1"/>
            </a:solidFill>
            <a:ln>
              <a:noFill/>
            </a:ln>
            <a:effectLst/>
          </c:spPr>
          <c:invertIfNegative val="0"/>
          <c:cat>
            <c:strRef>
              <c:f>'výdavky na dôchodky'!$C$3:$P$3</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'výdavky na dôchodky'!$C$5:$P$5</c:f>
              <c:numCache>
                <c:formatCode>#\ ##0.0</c:formatCode>
                <c:ptCount val="14"/>
                <c:pt idx="0">
                  <c:v>4884.527</c:v>
                </c:pt>
                <c:pt idx="1">
                  <c:v>4957.402</c:v>
                </c:pt>
                <c:pt idx="2">
                  <c:v>5192.47</c:v>
                </c:pt>
                <c:pt idx="3">
                  <c:v>5472.7420000000002</c:v>
                </c:pt>
                <c:pt idx="4">
                  <c:v>5751.3209999999999</c:v>
                </c:pt>
                <c:pt idx="5">
                  <c:v>6097.0619999999999</c:v>
                </c:pt>
                <c:pt idx="6">
                  <c:v>6358.2860000000001</c:v>
                </c:pt>
                <c:pt idx="7">
                  <c:v>6575.5219999999999</c:v>
                </c:pt>
                <c:pt idx="8">
                  <c:v>7976.0249999999996</c:v>
                </c:pt>
                <c:pt idx="9">
                  <c:v>9224.125</c:v>
                </c:pt>
                <c:pt idx="10">
                  <c:v>10149.957</c:v>
                </c:pt>
                <c:pt idx="11">
                  <c:v>10626.058000000001</c:v>
                </c:pt>
                <c:pt idx="12">
                  <c:v>11150.675999999999</c:v>
                </c:pt>
                <c:pt idx="13">
                  <c:v>11706.039000000001</c:v>
                </c:pt>
              </c:numCache>
            </c:numRef>
          </c:val>
          <c:extLst>
            <c:ext xmlns:c16="http://schemas.microsoft.com/office/drawing/2014/chart" uri="{C3380CC4-5D6E-409C-BE32-E72D297353CC}">
              <c16:uniqueId val="{00000000-2C33-465E-9761-CAA7C1F06771}"/>
            </c:ext>
          </c:extLst>
        </c:ser>
        <c:ser>
          <c:idx val="1"/>
          <c:order val="1"/>
          <c:tx>
            <c:strRef>
              <c:f>'výdavky na dôchodky'!$B$6</c:f>
              <c:strCache>
                <c:ptCount val="1"/>
                <c:pt idx="0">
                  <c:v>Predčasné starobné dôchodky</c:v>
                </c:pt>
              </c:strCache>
            </c:strRef>
          </c:tx>
          <c:spPr>
            <a:solidFill>
              <a:schemeClr val="accent2"/>
            </a:solidFill>
            <a:ln>
              <a:noFill/>
            </a:ln>
            <a:effectLst/>
          </c:spPr>
          <c:invertIfNegative val="0"/>
          <c:cat>
            <c:strRef>
              <c:f>'výdavky na dôchodky'!$C$3:$P$3</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'výdavky na dôchodky'!$C$6:$P$6</c:f>
              <c:numCache>
                <c:formatCode>#\ ##0.0</c:formatCode>
                <c:ptCount val="14"/>
                <c:pt idx="0">
                  <c:v>101.88500000000001</c:v>
                </c:pt>
                <c:pt idx="1">
                  <c:v>104.57599999999999</c:v>
                </c:pt>
                <c:pt idx="2">
                  <c:v>111.316</c:v>
                </c:pt>
                <c:pt idx="3">
                  <c:v>93.768000000000001</c:v>
                </c:pt>
                <c:pt idx="4">
                  <c:v>88.602999999999994</c:v>
                </c:pt>
                <c:pt idx="5">
                  <c:v>90.072999999999993</c:v>
                </c:pt>
                <c:pt idx="6">
                  <c:v>89.744</c:v>
                </c:pt>
                <c:pt idx="7">
                  <c:v>90.332999999999998</c:v>
                </c:pt>
                <c:pt idx="8">
                  <c:v>144.60300000000001</c:v>
                </c:pt>
                <c:pt idx="9">
                  <c:v>461.28100000000001</c:v>
                </c:pt>
                <c:pt idx="10">
                  <c:v>375.3</c:v>
                </c:pt>
                <c:pt idx="11">
                  <c:v>262.553</c:v>
                </c:pt>
                <c:pt idx="12">
                  <c:v>194.916</c:v>
                </c:pt>
                <c:pt idx="13">
                  <c:v>172.001</c:v>
                </c:pt>
              </c:numCache>
            </c:numRef>
          </c:val>
          <c:extLst>
            <c:ext xmlns:c16="http://schemas.microsoft.com/office/drawing/2014/chart" uri="{C3380CC4-5D6E-409C-BE32-E72D297353CC}">
              <c16:uniqueId val="{00000001-2C33-465E-9761-CAA7C1F06771}"/>
            </c:ext>
          </c:extLst>
        </c:ser>
        <c:ser>
          <c:idx val="2"/>
          <c:order val="2"/>
          <c:tx>
            <c:strRef>
              <c:f>'výdavky na dôchodky'!$B$7</c:f>
              <c:strCache>
                <c:ptCount val="1"/>
                <c:pt idx="0">
                  <c:v>Invalidné dôchodky</c:v>
                </c:pt>
              </c:strCache>
            </c:strRef>
          </c:tx>
          <c:spPr>
            <a:solidFill>
              <a:schemeClr val="accent3"/>
            </a:solidFill>
            <a:ln>
              <a:noFill/>
            </a:ln>
            <a:effectLst/>
          </c:spPr>
          <c:invertIfNegative val="0"/>
          <c:cat>
            <c:strRef>
              <c:f>'výdavky na dôchodky'!$C$3:$P$3</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'výdavky na dôchodky'!$C$7:$P$7</c:f>
              <c:numCache>
                <c:formatCode>#\ ##0.0</c:formatCode>
                <c:ptCount val="14"/>
                <c:pt idx="0">
                  <c:v>761.4</c:v>
                </c:pt>
                <c:pt idx="1">
                  <c:v>766.26800000000003</c:v>
                </c:pt>
                <c:pt idx="2">
                  <c:v>780.39700000000005</c:v>
                </c:pt>
                <c:pt idx="3">
                  <c:v>785.798</c:v>
                </c:pt>
                <c:pt idx="4">
                  <c:v>799.70500000000004</c:v>
                </c:pt>
                <c:pt idx="5">
                  <c:v>825.245</c:v>
                </c:pt>
                <c:pt idx="6">
                  <c:v>812.66600000000005</c:v>
                </c:pt>
                <c:pt idx="7">
                  <c:v>819.33100000000002</c:v>
                </c:pt>
                <c:pt idx="8">
                  <c:v>969.88099999999997</c:v>
                </c:pt>
                <c:pt idx="9">
                  <c:v>1090.9880000000001</c:v>
                </c:pt>
                <c:pt idx="10">
                  <c:v>1237.2139999999999</c:v>
                </c:pt>
                <c:pt idx="11">
                  <c:v>1277.7380000000001</c:v>
                </c:pt>
                <c:pt idx="12">
                  <c:v>1280.4059999999999</c:v>
                </c:pt>
                <c:pt idx="13">
                  <c:v>1290.434</c:v>
                </c:pt>
              </c:numCache>
            </c:numRef>
          </c:val>
          <c:extLst>
            <c:ext xmlns:c16="http://schemas.microsoft.com/office/drawing/2014/chart" uri="{C3380CC4-5D6E-409C-BE32-E72D297353CC}">
              <c16:uniqueId val="{00000002-2C33-465E-9761-CAA7C1F06771}"/>
            </c:ext>
          </c:extLst>
        </c:ser>
        <c:ser>
          <c:idx val="3"/>
          <c:order val="3"/>
          <c:tx>
            <c:strRef>
              <c:f>'výdavky na dôchodky'!$B$8</c:f>
              <c:strCache>
                <c:ptCount val="1"/>
                <c:pt idx="0">
                  <c:v>Pozostalostné dôchodky</c:v>
                </c:pt>
              </c:strCache>
            </c:strRef>
          </c:tx>
          <c:spPr>
            <a:solidFill>
              <a:schemeClr val="accent4"/>
            </a:solidFill>
            <a:ln>
              <a:noFill/>
            </a:ln>
            <a:effectLst/>
          </c:spPr>
          <c:invertIfNegative val="0"/>
          <c:cat>
            <c:strRef>
              <c:f>'výdavky na dôchodky'!$C$3:$P$3</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'výdavky na dôchodky'!$C$8:$P$8</c:f>
              <c:numCache>
                <c:formatCode>#\ ##0.0</c:formatCode>
                <c:ptCount val="14"/>
                <c:pt idx="0">
                  <c:v>666.39099999999996</c:v>
                </c:pt>
                <c:pt idx="1">
                  <c:v>656.88099999999997</c:v>
                </c:pt>
                <c:pt idx="2">
                  <c:v>681.74199999999996</c:v>
                </c:pt>
                <c:pt idx="3">
                  <c:v>694.99</c:v>
                </c:pt>
                <c:pt idx="4">
                  <c:v>716.94600000000003</c:v>
                </c:pt>
                <c:pt idx="5">
                  <c:v>746.12699999999995</c:v>
                </c:pt>
                <c:pt idx="6">
                  <c:v>754.61099999999999</c:v>
                </c:pt>
                <c:pt idx="7">
                  <c:v>784.41099999999994</c:v>
                </c:pt>
                <c:pt idx="8">
                  <c:v>942.11500000000001</c:v>
                </c:pt>
                <c:pt idx="9">
                  <c:v>1030.1590000000001</c:v>
                </c:pt>
                <c:pt idx="10">
                  <c:v>1063.027</c:v>
                </c:pt>
                <c:pt idx="11">
                  <c:v>1129.3140000000001</c:v>
                </c:pt>
                <c:pt idx="12">
                  <c:v>1184.4659999999999</c:v>
                </c:pt>
                <c:pt idx="13">
                  <c:v>1252.7550000000001</c:v>
                </c:pt>
              </c:numCache>
            </c:numRef>
          </c:val>
          <c:extLst>
            <c:ext xmlns:c16="http://schemas.microsoft.com/office/drawing/2014/chart" uri="{C3380CC4-5D6E-409C-BE32-E72D297353CC}">
              <c16:uniqueId val="{00000003-2C33-465E-9761-CAA7C1F06771}"/>
            </c:ext>
          </c:extLst>
        </c:ser>
        <c:ser>
          <c:idx val="4"/>
          <c:order val="4"/>
          <c:tx>
            <c:strRef>
              <c:f>'výdavky na dôchodky'!$B$9</c:f>
              <c:strCache>
                <c:ptCount val="1"/>
                <c:pt idx="0">
                  <c:v>Ostatné </c:v>
                </c:pt>
              </c:strCache>
            </c:strRef>
          </c:tx>
          <c:spPr>
            <a:solidFill>
              <a:schemeClr val="accent5"/>
            </a:solidFill>
            <a:ln>
              <a:noFill/>
            </a:ln>
            <a:effectLst/>
          </c:spPr>
          <c:invertIfNegative val="0"/>
          <c:cat>
            <c:strRef>
              <c:f>'výdavky na dôchodky'!$C$3:$P$3</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'výdavky na dôchodky'!$C$9:$P$9</c:f>
              <c:numCache>
                <c:formatCode>#\ ##0.0</c:formatCode>
                <c:ptCount val="14"/>
                <c:pt idx="0">
                  <c:v>0.27800000000000002</c:v>
                </c:pt>
                <c:pt idx="1">
                  <c:v>0.26700000000000002</c:v>
                </c:pt>
                <c:pt idx="2">
                  <c:v>0.33600000000000002</c:v>
                </c:pt>
                <c:pt idx="3">
                  <c:v>0.29899999999999999</c:v>
                </c:pt>
                <c:pt idx="4">
                  <c:v>0.33300000000000002</c:v>
                </c:pt>
                <c:pt idx="5">
                  <c:v>0.54400000000000004</c:v>
                </c:pt>
                <c:pt idx="6">
                  <c:v>0.94299999999999995</c:v>
                </c:pt>
                <c:pt idx="7">
                  <c:v>0.98699999999999999</c:v>
                </c:pt>
                <c:pt idx="8">
                  <c:v>287.142</c:v>
                </c:pt>
                <c:pt idx="9">
                  <c:v>825.54399999999998</c:v>
                </c:pt>
                <c:pt idx="10">
                  <c:v>0</c:v>
                </c:pt>
                <c:pt idx="11">
                  <c:v>0</c:v>
                </c:pt>
                <c:pt idx="12">
                  <c:v>0</c:v>
                </c:pt>
                <c:pt idx="13">
                  <c:v>0</c:v>
                </c:pt>
              </c:numCache>
            </c:numRef>
          </c:val>
          <c:extLst>
            <c:ext xmlns:c16="http://schemas.microsoft.com/office/drawing/2014/chart" uri="{C3380CC4-5D6E-409C-BE32-E72D297353CC}">
              <c16:uniqueId val="{00000004-2C33-465E-9761-CAA7C1F06771}"/>
            </c:ext>
          </c:extLst>
        </c:ser>
        <c:dLbls>
          <c:showLegendKey val="0"/>
          <c:showVal val="0"/>
          <c:showCatName val="0"/>
          <c:showSerName val="0"/>
          <c:showPercent val="0"/>
          <c:showBubbleSize val="0"/>
        </c:dLbls>
        <c:gapWidth val="100"/>
        <c:overlap val="100"/>
        <c:axId val="2001356319"/>
        <c:axId val="2001364223"/>
      </c:barChart>
      <c:catAx>
        <c:axId val="2001356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majorUnit val="5000"/>
      </c:valAx>
      <c:spPr>
        <a:noFill/>
        <a:ln>
          <a:noFill/>
        </a:ln>
        <a:effectLst/>
      </c:spPr>
    </c:plotArea>
    <c:legend>
      <c:legendPos val="b"/>
      <c:layout>
        <c:manualLayout>
          <c:xMode val="edge"/>
          <c:yMode val="edge"/>
          <c:x val="3.2765625E-2"/>
          <c:y val="0.70490244879343034"/>
          <c:w val="0.93446840277777798"/>
          <c:h val="0.2598198306658300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'transfer zo ŠR'!$B$5</c:f>
              <c:strCache>
                <c:ptCount val="1"/>
                <c:pt idx="0">
                  <c:v>Transfer zo ŠR</c:v>
                </c:pt>
              </c:strCache>
            </c:strRef>
          </c:tx>
          <c:spPr>
            <a:solidFill>
              <a:schemeClr val="tx2"/>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'transfer zo ŠR'!$C$4:$P$4</c:f>
              <c:strCache>
                <c:ptCount val="14"/>
                <c:pt idx="0">
                  <c:v>2015</c:v>
                </c:pt>
                <c:pt idx="1">
                  <c:v>2016</c:v>
                </c:pt>
                <c:pt idx="2">
                  <c:v>2017</c:v>
                </c:pt>
                <c:pt idx="3">
                  <c:v>2018</c:v>
                </c:pt>
                <c:pt idx="4">
                  <c:v>2019</c:v>
                </c:pt>
                <c:pt idx="5">
                  <c:v>2020</c:v>
                </c:pt>
                <c:pt idx="6">
                  <c:v>2021</c:v>
                </c:pt>
                <c:pt idx="7">
                  <c:v>2022</c:v>
                </c:pt>
                <c:pt idx="8">
                  <c:v>2023</c:v>
                </c:pt>
                <c:pt idx="9">
                  <c:v>2024</c:v>
                </c:pt>
                <c:pt idx="10">
                  <c:v>2025 OS</c:v>
                </c:pt>
                <c:pt idx="11">
                  <c:v>2026 N</c:v>
                </c:pt>
                <c:pt idx="12">
                  <c:v>2027 N</c:v>
                </c:pt>
                <c:pt idx="13">
                  <c:v>2028 N</c:v>
                </c:pt>
              </c:strCache>
            </c:strRef>
          </c:cat>
          <c:val>
            <c:numRef>
              <c:f>'transfer zo ŠR'!$C$5:$P$5</c:f>
              <c:numCache>
                <c:formatCode>#\ ##0.0</c:formatCode>
                <c:ptCount val="14"/>
                <c:pt idx="0">
                  <c:v>452.983</c:v>
                </c:pt>
                <c:pt idx="1">
                  <c:v>365.32400000000001</c:v>
                </c:pt>
                <c:pt idx="2">
                  <c:v>415.32499999999999</c:v>
                </c:pt>
                <c:pt idx="3">
                  <c:v>106.413</c:v>
                </c:pt>
                <c:pt idx="4">
                  <c:v>0</c:v>
                </c:pt>
                <c:pt idx="5">
                  <c:v>969.86500000000001</c:v>
                </c:pt>
                <c:pt idx="6">
                  <c:v>840</c:v>
                </c:pt>
                <c:pt idx="7">
                  <c:v>103.488</c:v>
                </c:pt>
                <c:pt idx="8">
                  <c:v>1160</c:v>
                </c:pt>
                <c:pt idx="9">
                  <c:v>2720</c:v>
                </c:pt>
                <c:pt idx="10">
                  <c:v>2455</c:v>
                </c:pt>
                <c:pt idx="11">
                  <c:v>2344.1999999999998</c:v>
                </c:pt>
                <c:pt idx="12">
                  <c:v>2258.1999999999998</c:v>
                </c:pt>
                <c:pt idx="13">
                  <c:v>2366</c:v>
                </c:pt>
              </c:numCache>
            </c:numRef>
          </c:val>
          <c:extLst>
            <c:ext xmlns:c16="http://schemas.microsoft.com/office/drawing/2014/chart" uri="{C3380CC4-5D6E-409C-BE32-E72D297353CC}">
              <c16:uniqueId val="{00000000-BCBD-45C0-9A53-30AC4ED2286C}"/>
            </c:ext>
          </c:extLst>
        </c:ser>
        <c:dLbls>
          <c:dLblPos val="outEnd"/>
          <c:showLegendKey val="0"/>
          <c:showVal val="1"/>
          <c:showCatName val="0"/>
          <c:showSerName val="0"/>
          <c:showPercent val="0"/>
          <c:showBubbleSize val="0"/>
        </c:dLbls>
        <c:gapWidth val="100"/>
        <c:axId val="327181855"/>
        <c:axId val="327173119"/>
      </c:barChart>
      <c:catAx>
        <c:axId val="327181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27173119"/>
        <c:crosses val="autoZero"/>
        <c:auto val="1"/>
        <c:lblAlgn val="ctr"/>
        <c:lblOffset val="100"/>
        <c:noMultiLvlLbl val="0"/>
      </c:catAx>
      <c:valAx>
        <c:axId val="3271731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2718185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withinLinear" id="15">
  <a:schemeClr val="accent2"/>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CFA9320A03148E98EF733F7A917AECF"/>
        <w:category>
          <w:name w:val="Všeobecné"/>
          <w:gallery w:val="placeholder"/>
        </w:category>
        <w:types>
          <w:type w:val="bbPlcHdr"/>
        </w:types>
        <w:behaviors>
          <w:behavior w:val="content"/>
        </w:behaviors>
        <w:guid w:val="{EAF649BF-7601-4D14-95D7-FEA20E0734E3}"/>
      </w:docPartPr>
      <w:docPartBody>
        <w:p w:rsidR="00F869BD" w:rsidRDefault="000B5EA4">
          <w:pPr>
            <w:pStyle w:val="4CFA9320A03148E98EF733F7A917AECF"/>
          </w:pPr>
          <w:r w:rsidRPr="00F539EB">
            <w:t>Názov</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Montserrat">
    <w:panose1 w:val="00000500000000000000"/>
    <w:charset w:val="EE"/>
    <w:family w:val="auto"/>
    <w:pitch w:val="variable"/>
    <w:sig w:usb0="2000020F" w:usb1="00000003" w:usb2="00000000" w:usb3="00000000" w:csb0="00000197"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EA4"/>
    <w:rsid w:val="000155BB"/>
    <w:rsid w:val="000164C9"/>
    <w:rsid w:val="00025698"/>
    <w:rsid w:val="00026327"/>
    <w:rsid w:val="00051058"/>
    <w:rsid w:val="00051587"/>
    <w:rsid w:val="00074BF0"/>
    <w:rsid w:val="000753FB"/>
    <w:rsid w:val="000757F3"/>
    <w:rsid w:val="000779F4"/>
    <w:rsid w:val="0008392F"/>
    <w:rsid w:val="00090411"/>
    <w:rsid w:val="00095B24"/>
    <w:rsid w:val="000B5EA4"/>
    <w:rsid w:val="000C0A18"/>
    <w:rsid w:val="000D221B"/>
    <w:rsid w:val="000D59E5"/>
    <w:rsid w:val="000E0014"/>
    <w:rsid w:val="000F2519"/>
    <w:rsid w:val="000F3A2D"/>
    <w:rsid w:val="001068C9"/>
    <w:rsid w:val="001341D1"/>
    <w:rsid w:val="00146A9B"/>
    <w:rsid w:val="001510FC"/>
    <w:rsid w:val="00161F43"/>
    <w:rsid w:val="001702EC"/>
    <w:rsid w:val="00173F9A"/>
    <w:rsid w:val="001A3F0F"/>
    <w:rsid w:val="001A515F"/>
    <w:rsid w:val="001B2297"/>
    <w:rsid w:val="001C1755"/>
    <w:rsid w:val="001C3668"/>
    <w:rsid w:val="001C5FCE"/>
    <w:rsid w:val="001D407D"/>
    <w:rsid w:val="001E101E"/>
    <w:rsid w:val="001F222D"/>
    <w:rsid w:val="001F23A2"/>
    <w:rsid w:val="001F5001"/>
    <w:rsid w:val="00200D05"/>
    <w:rsid w:val="00206384"/>
    <w:rsid w:val="00207BF5"/>
    <w:rsid w:val="0022539B"/>
    <w:rsid w:val="00245E84"/>
    <w:rsid w:val="002636A4"/>
    <w:rsid w:val="002711A9"/>
    <w:rsid w:val="0027212F"/>
    <w:rsid w:val="002A281C"/>
    <w:rsid w:val="002A6B14"/>
    <w:rsid w:val="002B3011"/>
    <w:rsid w:val="002B539A"/>
    <w:rsid w:val="002C4699"/>
    <w:rsid w:val="002E2938"/>
    <w:rsid w:val="002E5A6C"/>
    <w:rsid w:val="002F18B5"/>
    <w:rsid w:val="002F3D7E"/>
    <w:rsid w:val="00300EBA"/>
    <w:rsid w:val="003114CE"/>
    <w:rsid w:val="00311810"/>
    <w:rsid w:val="00311B34"/>
    <w:rsid w:val="00320C18"/>
    <w:rsid w:val="0032329F"/>
    <w:rsid w:val="0033071D"/>
    <w:rsid w:val="003602D9"/>
    <w:rsid w:val="003613A8"/>
    <w:rsid w:val="003E0FA9"/>
    <w:rsid w:val="003E624D"/>
    <w:rsid w:val="003F6E9C"/>
    <w:rsid w:val="00417AA4"/>
    <w:rsid w:val="00426F67"/>
    <w:rsid w:val="004366F6"/>
    <w:rsid w:val="004A10F5"/>
    <w:rsid w:val="004C5428"/>
    <w:rsid w:val="004C6990"/>
    <w:rsid w:val="004D3EE4"/>
    <w:rsid w:val="004D5093"/>
    <w:rsid w:val="004F2A25"/>
    <w:rsid w:val="004F3E56"/>
    <w:rsid w:val="004F521F"/>
    <w:rsid w:val="004F6F21"/>
    <w:rsid w:val="004F6F4A"/>
    <w:rsid w:val="00503020"/>
    <w:rsid w:val="005063DA"/>
    <w:rsid w:val="0053304F"/>
    <w:rsid w:val="00540DCF"/>
    <w:rsid w:val="00542D8C"/>
    <w:rsid w:val="00547289"/>
    <w:rsid w:val="00555DF4"/>
    <w:rsid w:val="005609D7"/>
    <w:rsid w:val="00566E10"/>
    <w:rsid w:val="00571B9F"/>
    <w:rsid w:val="005A2F95"/>
    <w:rsid w:val="005A6CD2"/>
    <w:rsid w:val="005B3EF0"/>
    <w:rsid w:val="005C3A79"/>
    <w:rsid w:val="005D3868"/>
    <w:rsid w:val="005D5159"/>
    <w:rsid w:val="005D590D"/>
    <w:rsid w:val="005D59AC"/>
    <w:rsid w:val="005F3E82"/>
    <w:rsid w:val="00605AC0"/>
    <w:rsid w:val="00637F6A"/>
    <w:rsid w:val="006424FC"/>
    <w:rsid w:val="00652CEF"/>
    <w:rsid w:val="00655C59"/>
    <w:rsid w:val="00680922"/>
    <w:rsid w:val="006826E8"/>
    <w:rsid w:val="006850A5"/>
    <w:rsid w:val="006A4A9B"/>
    <w:rsid w:val="006B65E7"/>
    <w:rsid w:val="006C728C"/>
    <w:rsid w:val="006D2DFE"/>
    <w:rsid w:val="006D656B"/>
    <w:rsid w:val="006E7EB5"/>
    <w:rsid w:val="00703393"/>
    <w:rsid w:val="007142C3"/>
    <w:rsid w:val="007153BF"/>
    <w:rsid w:val="00717F15"/>
    <w:rsid w:val="00734E9D"/>
    <w:rsid w:val="0073760A"/>
    <w:rsid w:val="007729E5"/>
    <w:rsid w:val="00785750"/>
    <w:rsid w:val="007A3059"/>
    <w:rsid w:val="007B09B5"/>
    <w:rsid w:val="007E35BF"/>
    <w:rsid w:val="00811BC2"/>
    <w:rsid w:val="0082313E"/>
    <w:rsid w:val="00830374"/>
    <w:rsid w:val="00851B35"/>
    <w:rsid w:val="00856A38"/>
    <w:rsid w:val="00857BE3"/>
    <w:rsid w:val="00866161"/>
    <w:rsid w:val="00871FA8"/>
    <w:rsid w:val="00875292"/>
    <w:rsid w:val="0088295B"/>
    <w:rsid w:val="008874F2"/>
    <w:rsid w:val="0089379D"/>
    <w:rsid w:val="008A0161"/>
    <w:rsid w:val="008C7E9E"/>
    <w:rsid w:val="008D2D53"/>
    <w:rsid w:val="008F3D9C"/>
    <w:rsid w:val="0090442D"/>
    <w:rsid w:val="00914754"/>
    <w:rsid w:val="00915D3A"/>
    <w:rsid w:val="00954036"/>
    <w:rsid w:val="00964672"/>
    <w:rsid w:val="00964B5B"/>
    <w:rsid w:val="00975D2D"/>
    <w:rsid w:val="00982CE3"/>
    <w:rsid w:val="009C4458"/>
    <w:rsid w:val="009E5C2B"/>
    <w:rsid w:val="00A05891"/>
    <w:rsid w:val="00A1512E"/>
    <w:rsid w:val="00A36ADA"/>
    <w:rsid w:val="00A40856"/>
    <w:rsid w:val="00A43229"/>
    <w:rsid w:val="00A43C2B"/>
    <w:rsid w:val="00A45C8F"/>
    <w:rsid w:val="00A55EC8"/>
    <w:rsid w:val="00A5790C"/>
    <w:rsid w:val="00A62144"/>
    <w:rsid w:val="00A65A7E"/>
    <w:rsid w:val="00A76514"/>
    <w:rsid w:val="00AB78A0"/>
    <w:rsid w:val="00AE1580"/>
    <w:rsid w:val="00AE1F00"/>
    <w:rsid w:val="00AE27B6"/>
    <w:rsid w:val="00AF1584"/>
    <w:rsid w:val="00AF4B0A"/>
    <w:rsid w:val="00B22DCA"/>
    <w:rsid w:val="00B25D54"/>
    <w:rsid w:val="00B648A8"/>
    <w:rsid w:val="00B76CE5"/>
    <w:rsid w:val="00B82EF1"/>
    <w:rsid w:val="00B86EC0"/>
    <w:rsid w:val="00B90479"/>
    <w:rsid w:val="00BC4C5D"/>
    <w:rsid w:val="00BC5681"/>
    <w:rsid w:val="00BC5B29"/>
    <w:rsid w:val="00BE72F9"/>
    <w:rsid w:val="00BF39BF"/>
    <w:rsid w:val="00BF6D02"/>
    <w:rsid w:val="00C00643"/>
    <w:rsid w:val="00C060B5"/>
    <w:rsid w:val="00C1534B"/>
    <w:rsid w:val="00C1583C"/>
    <w:rsid w:val="00C3332C"/>
    <w:rsid w:val="00C60099"/>
    <w:rsid w:val="00C660D1"/>
    <w:rsid w:val="00CA2FEC"/>
    <w:rsid w:val="00CB5572"/>
    <w:rsid w:val="00CB5BC2"/>
    <w:rsid w:val="00CF4E72"/>
    <w:rsid w:val="00CF5732"/>
    <w:rsid w:val="00D10843"/>
    <w:rsid w:val="00D24A70"/>
    <w:rsid w:val="00D34DF9"/>
    <w:rsid w:val="00D46B51"/>
    <w:rsid w:val="00D47486"/>
    <w:rsid w:val="00D4764E"/>
    <w:rsid w:val="00D53BA6"/>
    <w:rsid w:val="00D6464C"/>
    <w:rsid w:val="00D76FEE"/>
    <w:rsid w:val="00D84196"/>
    <w:rsid w:val="00DA664B"/>
    <w:rsid w:val="00DC46B5"/>
    <w:rsid w:val="00DC6BB4"/>
    <w:rsid w:val="00DF3852"/>
    <w:rsid w:val="00E07A54"/>
    <w:rsid w:val="00E225A5"/>
    <w:rsid w:val="00E327A8"/>
    <w:rsid w:val="00E4186E"/>
    <w:rsid w:val="00E50035"/>
    <w:rsid w:val="00E63F4D"/>
    <w:rsid w:val="00E84930"/>
    <w:rsid w:val="00E9655B"/>
    <w:rsid w:val="00EA4551"/>
    <w:rsid w:val="00EE0899"/>
    <w:rsid w:val="00EF5BBA"/>
    <w:rsid w:val="00F15998"/>
    <w:rsid w:val="00F351AD"/>
    <w:rsid w:val="00F41E7D"/>
    <w:rsid w:val="00F46DEB"/>
    <w:rsid w:val="00F51A6E"/>
    <w:rsid w:val="00F51A9B"/>
    <w:rsid w:val="00F600A4"/>
    <w:rsid w:val="00F668C5"/>
    <w:rsid w:val="00F72812"/>
    <w:rsid w:val="00F85475"/>
    <w:rsid w:val="00F869BD"/>
    <w:rsid w:val="00FA0951"/>
    <w:rsid w:val="00FB0CA7"/>
    <w:rsid w:val="00FB4093"/>
    <w:rsid w:val="00FB61F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k-SK" w:eastAsia="sk-SK"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4CFA9320A03148E98EF733F7A917AECF">
    <w:name w:val="4CFA9320A03148E98EF733F7A917AE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Motív balíka Office">
  <a:themeElements>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8CDCA1-9E4C-476F-82DF-0188162C76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Stanovisko OSA.dotx</Template>
  <TotalTime>254</TotalTime>
  <Pages>1</Pages>
  <Words>24048</Words>
  <Characters>137076</Characters>
  <Application>Microsoft Office Word</Application>
  <DocSecurity>0</DocSecurity>
  <Lines>1142</Lines>
  <Paragraphs>321</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160803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Onisik Milan</dc:creator>
  <cp:keywords/>
  <dc:description/>
  <cp:lastModifiedBy>Onisik Milan</cp:lastModifiedBy>
  <cp:revision>74</cp:revision>
  <cp:lastPrinted>2025-10-13T09:58:00Z</cp:lastPrinted>
  <dcterms:created xsi:type="dcterms:W3CDTF">2025-10-10T10:41:00Z</dcterms:created>
  <dcterms:modified xsi:type="dcterms:W3CDTF">2025-10-13T10:06:00Z</dcterms:modified>
</cp:coreProperties>
</file>