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C5CF2" w14:textId="77777777" w:rsidR="00AC2E7D" w:rsidRPr="00F92806" w:rsidRDefault="00AC2E7D" w:rsidP="00AC2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F928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Doložka vybraných vplyvov</w:t>
      </w:r>
    </w:p>
    <w:p w14:paraId="33767633" w14:textId="77777777" w:rsidR="00AC2E7D" w:rsidRPr="00F92806" w:rsidRDefault="00AC2E7D" w:rsidP="00AC2E7D">
      <w:pPr>
        <w:spacing w:after="200" w:line="276" w:lineRule="auto"/>
        <w:ind w:left="426"/>
        <w:contextualSpacing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AC2E7D" w:rsidRPr="00F92806" w14:paraId="5FCF3CF2" w14:textId="77777777" w:rsidTr="00941A9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2A1448A" w14:textId="77777777" w:rsidR="00AC2E7D" w:rsidRPr="00F92806" w:rsidRDefault="00AC2E7D" w:rsidP="00AC2E7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Základné údaje</w:t>
            </w:r>
          </w:p>
        </w:tc>
      </w:tr>
      <w:tr w:rsidR="00AC2E7D" w:rsidRPr="00F92806" w14:paraId="442BD8F5" w14:textId="77777777" w:rsidTr="00941A9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C61EF73" w14:textId="77777777" w:rsidR="00AC2E7D" w:rsidRPr="00F92806" w:rsidRDefault="00AC2E7D" w:rsidP="00AC2E7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Názov materiálu</w:t>
            </w:r>
          </w:p>
        </w:tc>
      </w:tr>
      <w:tr w:rsidR="00AC2E7D" w:rsidRPr="00F92806" w14:paraId="637063C7" w14:textId="77777777" w:rsidTr="00941A98">
        <w:tc>
          <w:tcPr>
            <w:tcW w:w="9180" w:type="dxa"/>
            <w:gridSpan w:val="11"/>
            <w:tcBorders>
              <w:top w:val="single" w:sz="4" w:space="0" w:color="FFFFFF"/>
            </w:tcBorders>
          </w:tcPr>
          <w:p w14:paraId="612F0219" w14:textId="71FC93A7" w:rsidR="00AC2E7D" w:rsidRPr="00F92806" w:rsidRDefault="00AC2E7D" w:rsidP="00EB03F4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>Návrh zákona</w:t>
            </w:r>
            <w:r w:rsidR="00EB03F4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F92806">
              <w:rPr>
                <w:rFonts w:ascii="Times" w:hAnsi="Times" w:cs="Times"/>
                <w:sz w:val="24"/>
                <w:szCs w:val="24"/>
              </w:rPr>
              <w:t>o Environmentálnom fonde</w:t>
            </w:r>
            <w:r w:rsidR="00A2507F" w:rsidRPr="00F92806">
              <w:rPr>
                <w:rFonts w:ascii="Times" w:hAnsi="Times" w:cs="Times"/>
                <w:sz w:val="24"/>
                <w:szCs w:val="24"/>
              </w:rPr>
              <w:t xml:space="preserve"> Slovenskej republiky </w:t>
            </w:r>
            <w:r w:rsidRPr="00F92806">
              <w:rPr>
                <w:rFonts w:ascii="Times" w:hAnsi="Times" w:cs="Times"/>
                <w:sz w:val="24"/>
                <w:szCs w:val="24"/>
              </w:rPr>
              <w:t>a o zmene a doplnení niektorých zákonov (ďalej len „</w:t>
            </w:r>
            <w:r w:rsidRPr="00F92806">
              <w:rPr>
                <w:rFonts w:ascii="Times" w:hAnsi="Times" w:cs="Times"/>
                <w:b/>
                <w:i/>
                <w:sz w:val="24"/>
                <w:szCs w:val="24"/>
              </w:rPr>
              <w:t>návrh zákona</w:t>
            </w:r>
            <w:r w:rsidRPr="00F92806">
              <w:rPr>
                <w:rFonts w:ascii="Times" w:hAnsi="Times" w:cs="Times"/>
                <w:sz w:val="24"/>
                <w:szCs w:val="24"/>
              </w:rPr>
              <w:t>“).</w:t>
            </w:r>
          </w:p>
        </w:tc>
      </w:tr>
      <w:tr w:rsidR="00AC2E7D" w:rsidRPr="00F92806" w14:paraId="3C34F592" w14:textId="77777777" w:rsidTr="00941A9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9B0BC4E" w14:textId="77777777" w:rsidR="00AC2E7D" w:rsidRPr="00F92806" w:rsidRDefault="00AC2E7D" w:rsidP="00AC2E7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Predk</w:t>
            </w:r>
            <w:bookmarkEnd w:id="0"/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ladateľ (a spolupredkladateľ)</w:t>
            </w:r>
          </w:p>
        </w:tc>
      </w:tr>
      <w:tr w:rsidR="00AC2E7D" w:rsidRPr="00F92806" w14:paraId="47423F65" w14:textId="77777777" w:rsidTr="00941A98">
        <w:tc>
          <w:tcPr>
            <w:tcW w:w="9180" w:type="dxa"/>
            <w:gridSpan w:val="11"/>
            <w:tcBorders>
              <w:top w:val="single" w:sz="4" w:space="0" w:color="FFFFFF"/>
            </w:tcBorders>
            <w:shd w:val="clear" w:color="auto" w:fill="FFFFFF"/>
          </w:tcPr>
          <w:p w14:paraId="56BDB7D5" w14:textId="321C28D4" w:rsidR="00AC2E7D" w:rsidRPr="00F92806" w:rsidRDefault="006D259F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Vláda</w:t>
            </w:r>
            <w:r w:rsidR="00A2507F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Slovenskej republiky </w:t>
            </w:r>
            <w:r w:rsidR="00AC2E7D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AC2E7D" w:rsidRPr="00F92806" w14:paraId="0F580370" w14:textId="77777777" w:rsidTr="00941A98">
        <w:tc>
          <w:tcPr>
            <w:tcW w:w="4212" w:type="dxa"/>
            <w:gridSpan w:val="2"/>
            <w:vMerge w:val="restart"/>
            <w:tcBorders>
              <w:bottom w:val="single" w:sz="4" w:space="0" w:color="FFFFFF"/>
            </w:tcBorders>
            <w:shd w:val="clear" w:color="auto" w:fill="E2E2E2"/>
            <w:vAlign w:val="center"/>
          </w:tcPr>
          <w:p w14:paraId="5386D770" w14:textId="77777777" w:rsidR="00AC2E7D" w:rsidRPr="00F92806" w:rsidRDefault="00AC2E7D" w:rsidP="00AC2E7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14:paraId="7703C40B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4263" w:type="dxa"/>
            <w:gridSpan w:val="7"/>
            <w:tcBorders>
              <w:left w:val="nil"/>
            </w:tcBorders>
            <w:shd w:val="clear" w:color="auto" w:fill="FFFFFF"/>
          </w:tcPr>
          <w:p w14:paraId="6684CA76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Materiál nelegislatívnej povahy</w:t>
            </w:r>
          </w:p>
        </w:tc>
      </w:tr>
      <w:tr w:rsidR="00AC2E7D" w:rsidRPr="00F92806" w14:paraId="3AFF5F3D" w14:textId="77777777" w:rsidTr="00941A98">
        <w:tc>
          <w:tcPr>
            <w:tcW w:w="4212" w:type="dxa"/>
            <w:gridSpan w:val="2"/>
            <w:vMerge/>
            <w:tcBorders>
              <w:top w:val="nil"/>
              <w:bottom w:val="single" w:sz="4" w:space="0" w:color="FFFFFF"/>
            </w:tcBorders>
            <w:shd w:val="clear" w:color="auto" w:fill="E2E2E2"/>
          </w:tcPr>
          <w:p w14:paraId="3E8888C0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14:paraId="16F2F5E9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4263" w:type="dxa"/>
            <w:gridSpan w:val="7"/>
            <w:tcBorders>
              <w:left w:val="nil"/>
            </w:tcBorders>
            <w:shd w:val="clear" w:color="auto" w:fill="FFFFFF"/>
          </w:tcPr>
          <w:p w14:paraId="01D09C0D" w14:textId="77777777" w:rsidR="00AC2E7D" w:rsidRPr="00F92806" w:rsidRDefault="00AC2E7D" w:rsidP="00AC2E7D">
            <w:pPr>
              <w:ind w:left="175" w:hanging="175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Materiál legislatívnej povahy</w:t>
            </w:r>
          </w:p>
        </w:tc>
      </w:tr>
      <w:tr w:rsidR="00AC2E7D" w:rsidRPr="00F92806" w14:paraId="6C820DCA" w14:textId="77777777" w:rsidTr="00941A98">
        <w:tc>
          <w:tcPr>
            <w:tcW w:w="4212" w:type="dxa"/>
            <w:gridSpan w:val="2"/>
            <w:vMerge/>
            <w:tcBorders>
              <w:top w:val="nil"/>
            </w:tcBorders>
            <w:shd w:val="clear" w:color="auto" w:fill="E2E2E2"/>
          </w:tcPr>
          <w:p w14:paraId="71F569B2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14:paraId="6EE4CDE5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4263" w:type="dxa"/>
            <w:gridSpan w:val="7"/>
            <w:tcBorders>
              <w:left w:val="nil"/>
            </w:tcBorders>
            <w:shd w:val="clear" w:color="auto" w:fill="FFFFFF"/>
          </w:tcPr>
          <w:p w14:paraId="5ABBAA53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Transpozícia práva EÚ</w:t>
            </w:r>
          </w:p>
        </w:tc>
      </w:tr>
      <w:tr w:rsidR="00AC2E7D" w:rsidRPr="00F92806" w14:paraId="279D2C2C" w14:textId="77777777" w:rsidTr="00941A9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FFFFFF"/>
          </w:tcPr>
          <w:p w14:paraId="5457DDD7" w14:textId="77777777" w:rsidR="00AC2E7D" w:rsidRPr="00F92806" w:rsidRDefault="00AC2E7D" w:rsidP="00AC2E7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 prípade transpozície uveďte zoznam transponovaných predpisov:</w:t>
            </w:r>
          </w:p>
          <w:p w14:paraId="49E66AD4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286E467F" w14:textId="77777777" w:rsidTr="00941A98">
        <w:tc>
          <w:tcPr>
            <w:tcW w:w="5949" w:type="dxa"/>
            <w:gridSpan w:val="6"/>
            <w:tcBorders>
              <w:top w:val="single" w:sz="4" w:space="0" w:color="000000"/>
              <w:bottom w:val="single" w:sz="4" w:space="0" w:color="FFFFFF"/>
            </w:tcBorders>
            <w:shd w:val="clear" w:color="auto" w:fill="E2E2E2"/>
          </w:tcPr>
          <w:p w14:paraId="53B44FB4" w14:textId="77777777" w:rsidR="00AC2E7D" w:rsidRPr="00F92806" w:rsidRDefault="00AC2E7D" w:rsidP="00AC2E7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</w:tcBorders>
          </w:tcPr>
          <w:p w14:paraId="47627D50" w14:textId="12F1B39D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63E184F4" w14:textId="77777777" w:rsidTr="00941A98">
        <w:tc>
          <w:tcPr>
            <w:tcW w:w="5949" w:type="dxa"/>
            <w:gridSpan w:val="6"/>
            <w:tcBorders>
              <w:bottom w:val="single" w:sz="4" w:space="0" w:color="FFFFFF"/>
            </w:tcBorders>
            <w:shd w:val="clear" w:color="auto" w:fill="E2E2E2"/>
          </w:tcPr>
          <w:p w14:paraId="29934736" w14:textId="77777777" w:rsidR="00AC2E7D" w:rsidRPr="00F92806" w:rsidRDefault="00AC2E7D" w:rsidP="00AC2E7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</w:tcPr>
          <w:p w14:paraId="121FAAA0" w14:textId="5D84572A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48A80365" w14:textId="77777777" w:rsidTr="00941A98">
        <w:trPr>
          <w:trHeight w:val="320"/>
        </w:trPr>
        <w:tc>
          <w:tcPr>
            <w:tcW w:w="5949" w:type="dxa"/>
            <w:gridSpan w:val="6"/>
            <w:tcBorders>
              <w:bottom w:val="single" w:sz="4" w:space="0" w:color="FFFFFF"/>
            </w:tcBorders>
            <w:shd w:val="clear" w:color="auto" w:fill="E2E2E2"/>
          </w:tcPr>
          <w:p w14:paraId="5DB673C2" w14:textId="77777777" w:rsidR="00AC2E7D" w:rsidRPr="00F92806" w:rsidRDefault="00AC2E7D" w:rsidP="00AC2E7D">
            <w:pPr>
              <w:spacing w:line="276" w:lineRule="auto"/>
              <w:ind w:left="142"/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Predpokladaný termín začiatku a ukončenia ZP**</w:t>
            </w:r>
            <w:r w:rsidRPr="00F9280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gridSpan w:val="5"/>
          </w:tcPr>
          <w:p w14:paraId="3B83C1A1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509FFA61" w14:textId="77777777" w:rsidTr="00941A98">
        <w:tc>
          <w:tcPr>
            <w:tcW w:w="5949" w:type="dxa"/>
            <w:gridSpan w:val="6"/>
            <w:tcBorders>
              <w:bottom w:val="single" w:sz="4" w:space="0" w:color="FFFFFF"/>
            </w:tcBorders>
            <w:shd w:val="clear" w:color="auto" w:fill="E2E2E2"/>
          </w:tcPr>
          <w:p w14:paraId="70972596" w14:textId="77777777" w:rsidR="00AC2E7D" w:rsidRPr="00F92806" w:rsidRDefault="00AC2E7D" w:rsidP="00AC2E7D">
            <w:pPr>
              <w:spacing w:after="200" w:line="276" w:lineRule="auto"/>
              <w:ind w:left="14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</w:tcPr>
          <w:p w14:paraId="7189DAE8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753B026A" w14:textId="77777777" w:rsidTr="00941A98">
        <w:tc>
          <w:tcPr>
            <w:tcW w:w="9180" w:type="dxa"/>
            <w:gridSpan w:val="11"/>
            <w:tcBorders>
              <w:left w:val="nil"/>
              <w:right w:val="nil"/>
            </w:tcBorders>
            <w:shd w:val="clear" w:color="auto" w:fill="FFFFFF"/>
          </w:tcPr>
          <w:p w14:paraId="24553E12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58907D66" w14:textId="77777777" w:rsidTr="00941A9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3D8A074" w14:textId="77777777" w:rsidR="00AC2E7D" w:rsidRPr="00F92806" w:rsidRDefault="00AC2E7D" w:rsidP="00AC2E7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Definovanie problému</w:t>
            </w:r>
          </w:p>
        </w:tc>
      </w:tr>
      <w:tr w:rsidR="00AC2E7D" w:rsidRPr="00F92806" w14:paraId="5BE3AB46" w14:textId="77777777" w:rsidTr="00941A98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</w:tcBorders>
            <w:shd w:val="clear" w:color="auto" w:fill="FFFFFF"/>
          </w:tcPr>
          <w:p w14:paraId="3A278440" w14:textId="50921660" w:rsidR="00AC2E7D" w:rsidRPr="00F92806" w:rsidRDefault="00AC2E7D" w:rsidP="00AC2E7D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Návrh zákona</w:t>
            </w:r>
            <w:r w:rsidRPr="00F92806">
              <w:rPr>
                <w:rFonts w:ascii="Times" w:hAnsi="Times" w:cs="Times"/>
                <w:sz w:val="24"/>
                <w:szCs w:val="24"/>
              </w:rPr>
              <w:t xml:space="preserve"> bol pripravený z dôvodu identifikovania nasledovných nedostatkov</w:t>
            </w:r>
            <w:r w:rsidR="00AD59BD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F92806">
              <w:rPr>
                <w:rFonts w:ascii="Times" w:hAnsi="Times" w:cs="Times"/>
                <w:sz w:val="24"/>
                <w:szCs w:val="24"/>
              </w:rPr>
              <w:t>aktuálne</w:t>
            </w:r>
            <w:r w:rsidR="00AD59BD" w:rsidRPr="00F92806">
              <w:rPr>
                <w:rFonts w:ascii="Times" w:hAnsi="Times" w:cs="Times"/>
                <w:sz w:val="24"/>
                <w:szCs w:val="24"/>
              </w:rPr>
              <w:t>j</w:t>
            </w:r>
            <w:r w:rsidR="00D223DB" w:rsidRPr="00F92806">
              <w:rPr>
                <w:rFonts w:ascii="Times" w:hAnsi="Times" w:cs="Times"/>
                <w:sz w:val="24"/>
                <w:szCs w:val="24"/>
              </w:rPr>
              <w:t xml:space="preserve"> právnej úpravy obsiahnutej v </w:t>
            </w:r>
            <w:r w:rsidRPr="00F92806">
              <w:rPr>
                <w:rFonts w:ascii="Times" w:hAnsi="Times" w:cs="Times"/>
                <w:sz w:val="24"/>
                <w:szCs w:val="24"/>
              </w:rPr>
              <w:t>zákon</w:t>
            </w:r>
            <w:r w:rsidR="00D223DB" w:rsidRPr="00F92806">
              <w:rPr>
                <w:rFonts w:ascii="Times" w:hAnsi="Times" w:cs="Times"/>
                <w:sz w:val="24"/>
                <w:szCs w:val="24"/>
              </w:rPr>
              <w:t>e</w:t>
            </w:r>
            <w:r w:rsidRPr="00F92806">
              <w:rPr>
                <w:rFonts w:ascii="Times" w:hAnsi="Times" w:cs="Times"/>
                <w:sz w:val="24"/>
                <w:szCs w:val="24"/>
              </w:rPr>
              <w:t xml:space="preserve"> č. 587/2004 Z. z. o Environmentálnom fonde a o zmene a doplnení niektorých zákonov (ďalej len „zákon č. 587/2004 Z. z.“)</w:t>
            </w:r>
          </w:p>
          <w:p w14:paraId="19096F0F" w14:textId="77777777" w:rsidR="00AC2E7D" w:rsidRPr="00F92806" w:rsidRDefault="00AC2E7D" w:rsidP="00AC2E7D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1794EA65" w14:textId="06FA88A8" w:rsidR="00AC2E7D" w:rsidRPr="00F92806" w:rsidRDefault="00FF0E72" w:rsidP="00AC2E7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" w:hAnsi="Times" w:cs="Times"/>
                <w:sz w:val="24"/>
                <w:szCs w:val="24"/>
              </w:rPr>
            </w:pPr>
            <w:r w:rsidRPr="00F92806">
              <w:rPr>
                <w:rFonts w:ascii="Times" w:hAnsi="Times" w:cs="Times"/>
                <w:sz w:val="24"/>
                <w:szCs w:val="24"/>
                <w:u w:val="single"/>
              </w:rPr>
              <w:t>D</w:t>
            </w:r>
            <w:r w:rsidR="00A3097A" w:rsidRPr="00F92806">
              <w:rPr>
                <w:rFonts w:ascii="Times" w:hAnsi="Times" w:cs="Times"/>
                <w:sz w:val="24"/>
                <w:szCs w:val="24"/>
                <w:u w:val="single"/>
              </w:rPr>
              <w:t xml:space="preserve">efinícia a presné vymedzenie </w:t>
            </w:r>
            <w:r w:rsidR="00146FF1" w:rsidRPr="00F92806">
              <w:rPr>
                <w:rFonts w:ascii="Times" w:hAnsi="Times" w:cs="Times"/>
                <w:sz w:val="24"/>
                <w:szCs w:val="24"/>
                <w:u w:val="single"/>
              </w:rPr>
              <w:t xml:space="preserve">spôsobov poskytnutia podpory podľa </w:t>
            </w:r>
            <w:r w:rsidR="00DC1E32" w:rsidRPr="00F92806">
              <w:rPr>
                <w:rFonts w:ascii="Times" w:hAnsi="Times" w:cs="Times"/>
                <w:sz w:val="24"/>
                <w:szCs w:val="24"/>
                <w:u w:val="single"/>
              </w:rPr>
              <w:t>zákon</w:t>
            </w:r>
            <w:r w:rsidR="00146FF1" w:rsidRPr="00F92806">
              <w:rPr>
                <w:rFonts w:ascii="Times" w:hAnsi="Times" w:cs="Times"/>
                <w:sz w:val="24"/>
                <w:szCs w:val="24"/>
                <w:u w:val="single"/>
              </w:rPr>
              <w:t>a</w:t>
            </w:r>
            <w:r w:rsidR="00DC1E32" w:rsidRPr="00F92806">
              <w:rPr>
                <w:rFonts w:ascii="Times" w:hAnsi="Times" w:cs="Times"/>
                <w:sz w:val="24"/>
                <w:szCs w:val="24"/>
                <w:u w:val="single"/>
              </w:rPr>
              <w:t xml:space="preserve"> č. 587/2005 Z. z.</w:t>
            </w:r>
            <w:r w:rsidR="00DC1E32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146FF1" w:rsidRPr="00F92806">
              <w:rPr>
                <w:rFonts w:ascii="Times" w:hAnsi="Times" w:cs="Times"/>
                <w:sz w:val="24"/>
                <w:szCs w:val="24"/>
              </w:rPr>
              <w:t xml:space="preserve"> - </w:t>
            </w:r>
            <w:r w:rsidR="00A3097A" w:rsidRPr="00F92806">
              <w:rPr>
                <w:rFonts w:ascii="Times" w:hAnsi="Times" w:cs="Times"/>
                <w:sz w:val="24"/>
                <w:szCs w:val="24"/>
              </w:rPr>
              <w:t xml:space="preserve">v rámci </w:t>
            </w:r>
            <w:r w:rsidR="008D7744" w:rsidRPr="00F92806">
              <w:rPr>
                <w:rFonts w:ascii="Times" w:hAnsi="Times" w:cs="Times"/>
                <w:sz w:val="24"/>
                <w:szCs w:val="24"/>
              </w:rPr>
              <w:t xml:space="preserve">ktorého </w:t>
            </w:r>
            <w:r w:rsidR="008E6CDA" w:rsidRPr="00F92806">
              <w:rPr>
                <w:rFonts w:ascii="Times" w:hAnsi="Times" w:cs="Times"/>
                <w:sz w:val="24"/>
                <w:szCs w:val="24"/>
              </w:rPr>
              <w:t>boli zadefinované iba dva druhy podpory</w:t>
            </w:r>
            <w:r w:rsidR="00E526C4" w:rsidRPr="00F92806">
              <w:rPr>
                <w:rFonts w:ascii="Times" w:hAnsi="Times" w:cs="Times"/>
                <w:sz w:val="24"/>
                <w:szCs w:val="24"/>
              </w:rPr>
              <w:t xml:space="preserve"> v § 7 </w:t>
            </w:r>
            <w:r w:rsidR="006003FD" w:rsidRPr="00F92806">
              <w:rPr>
                <w:rFonts w:ascii="Times" w:hAnsi="Times" w:cs="Times"/>
                <w:sz w:val="24"/>
                <w:szCs w:val="24"/>
              </w:rPr>
              <w:t>zákona č. 587/2004 Z. z.</w:t>
            </w:r>
            <w:r w:rsidR="008E6CDA" w:rsidRPr="00F92806">
              <w:rPr>
                <w:rFonts w:ascii="Times" w:hAnsi="Times" w:cs="Times"/>
                <w:sz w:val="24"/>
                <w:szCs w:val="24"/>
              </w:rPr>
              <w:t xml:space="preserve">, a to vo forme </w:t>
            </w:r>
            <w:r w:rsidR="008839D5" w:rsidRPr="00F92806">
              <w:rPr>
                <w:rFonts w:ascii="Times" w:hAnsi="Times" w:cs="Times"/>
                <w:sz w:val="24"/>
                <w:szCs w:val="24"/>
              </w:rPr>
              <w:t>dotácií a úverov</w:t>
            </w:r>
            <w:r w:rsidR="003E32D6" w:rsidRPr="00F92806">
              <w:rPr>
                <w:rFonts w:ascii="Times" w:hAnsi="Times" w:cs="Times"/>
                <w:sz w:val="24"/>
                <w:szCs w:val="24"/>
              </w:rPr>
              <w:t xml:space="preserve">, pričom samotný zákon č. 587/2005 Z. z. poznal a používal </w:t>
            </w:r>
            <w:r w:rsidR="006003FD" w:rsidRPr="00F92806">
              <w:rPr>
                <w:rFonts w:ascii="Times" w:hAnsi="Times" w:cs="Times"/>
                <w:sz w:val="24"/>
                <w:szCs w:val="24"/>
              </w:rPr>
              <w:t xml:space="preserve">ďalšie formy a spôsoby </w:t>
            </w:r>
            <w:r w:rsidR="009A7231" w:rsidRPr="00F92806">
              <w:rPr>
                <w:rFonts w:ascii="Times" w:hAnsi="Times" w:cs="Times"/>
                <w:sz w:val="24"/>
                <w:szCs w:val="24"/>
              </w:rPr>
              <w:t xml:space="preserve">ako </w:t>
            </w:r>
            <w:r w:rsidR="003E32D6" w:rsidRPr="00F92806">
              <w:rPr>
                <w:rFonts w:ascii="Times" w:hAnsi="Times" w:cs="Times"/>
                <w:sz w:val="24"/>
                <w:szCs w:val="24"/>
              </w:rPr>
              <w:t xml:space="preserve">príspevok, odvod, </w:t>
            </w:r>
            <w:r w:rsidR="00626F37" w:rsidRPr="00F92806">
              <w:rPr>
                <w:rFonts w:ascii="Times" w:hAnsi="Times" w:cs="Times"/>
                <w:sz w:val="24"/>
                <w:szCs w:val="24"/>
              </w:rPr>
              <w:t>kompenzáci</w:t>
            </w:r>
            <w:r w:rsidR="009A7231" w:rsidRPr="00F92806">
              <w:rPr>
                <w:rFonts w:ascii="Times" w:hAnsi="Times" w:cs="Times"/>
                <w:sz w:val="24"/>
                <w:szCs w:val="24"/>
              </w:rPr>
              <w:t>a</w:t>
            </w:r>
            <w:r w:rsidR="00626F37" w:rsidRPr="00F92806">
              <w:rPr>
                <w:rFonts w:ascii="Times" w:hAnsi="Times" w:cs="Times"/>
                <w:sz w:val="24"/>
                <w:szCs w:val="24"/>
              </w:rPr>
              <w:t xml:space="preserve"> a úhrad</w:t>
            </w:r>
            <w:r w:rsidR="009A7231" w:rsidRPr="00F92806">
              <w:rPr>
                <w:rFonts w:ascii="Times" w:hAnsi="Times" w:cs="Times"/>
                <w:sz w:val="24"/>
                <w:szCs w:val="24"/>
              </w:rPr>
              <w:t>a</w:t>
            </w:r>
            <w:r w:rsidR="00626F37" w:rsidRPr="00F92806">
              <w:rPr>
                <w:rFonts w:ascii="Times" w:hAnsi="Times" w:cs="Times"/>
                <w:sz w:val="24"/>
                <w:szCs w:val="24"/>
              </w:rPr>
              <w:t xml:space="preserve"> nákladov</w:t>
            </w:r>
            <w:r w:rsidR="004C5AEE" w:rsidRPr="00F92806">
              <w:rPr>
                <w:rFonts w:ascii="Times" w:hAnsi="Times" w:cs="Times"/>
                <w:sz w:val="24"/>
                <w:szCs w:val="24"/>
              </w:rPr>
              <w:t xml:space="preserve">, avšak bližšie neupravoval ich osobitosti </w:t>
            </w:r>
            <w:r w:rsidR="0071358B" w:rsidRPr="00F92806">
              <w:rPr>
                <w:rFonts w:ascii="Times" w:hAnsi="Times" w:cs="Times"/>
                <w:sz w:val="24"/>
                <w:szCs w:val="24"/>
              </w:rPr>
              <w:t>a</w:t>
            </w:r>
            <w:r w:rsidR="009A7231" w:rsidRPr="00F92806">
              <w:rPr>
                <w:rFonts w:ascii="Times" w:hAnsi="Times" w:cs="Times"/>
                <w:sz w:val="24"/>
                <w:szCs w:val="24"/>
              </w:rPr>
              <w:t> </w:t>
            </w:r>
            <w:r w:rsidR="0071358B" w:rsidRPr="00F92806">
              <w:rPr>
                <w:rFonts w:ascii="Times" w:hAnsi="Times" w:cs="Times"/>
                <w:sz w:val="24"/>
                <w:szCs w:val="24"/>
              </w:rPr>
              <w:t>dôvod</w:t>
            </w:r>
            <w:r w:rsidR="009A7231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71358B" w:rsidRPr="00F92806">
              <w:rPr>
                <w:rFonts w:ascii="Times" w:hAnsi="Times" w:cs="Times"/>
                <w:sz w:val="24"/>
                <w:szCs w:val="24"/>
              </w:rPr>
              <w:t>používania tejto terminológie. Vzhľadom na uvedené pôvodná právna úprava zákona č. 587/2005 Z. z. bola mini</w:t>
            </w:r>
            <w:r w:rsidR="003F3C8C" w:rsidRPr="00F92806">
              <w:rPr>
                <w:rFonts w:ascii="Times" w:hAnsi="Times" w:cs="Times"/>
                <w:sz w:val="24"/>
                <w:szCs w:val="24"/>
              </w:rPr>
              <w:t xml:space="preserve">málne v tejto časti zmätočná a predstavovala značné ťažkosti v rámci aplikačnej praxe </w:t>
            </w:r>
            <w:r w:rsidR="0096197F" w:rsidRPr="00F92806">
              <w:rPr>
                <w:rFonts w:ascii="Times" w:hAnsi="Times" w:cs="Times"/>
                <w:sz w:val="24"/>
                <w:szCs w:val="24"/>
              </w:rPr>
              <w:t xml:space="preserve">pri poskytovaní podpory z prostriedkov Environmentálneho fondu. </w:t>
            </w:r>
          </w:p>
          <w:p w14:paraId="229A9A4C" w14:textId="77777777" w:rsidR="0096197F" w:rsidRPr="00F92806" w:rsidRDefault="0096197F" w:rsidP="0096197F">
            <w:pPr>
              <w:ind w:left="360"/>
              <w:contextualSpacing/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20C515E1" w14:textId="3ED567BA" w:rsidR="00771184" w:rsidRPr="00F92806" w:rsidRDefault="00EB58DC" w:rsidP="00AC2E7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" w:hAnsi="Times" w:cs="Times"/>
                <w:sz w:val="24"/>
                <w:szCs w:val="24"/>
              </w:rPr>
            </w:pPr>
            <w:r w:rsidRPr="00F92806">
              <w:rPr>
                <w:rFonts w:ascii="Times" w:hAnsi="Times" w:cs="Times"/>
                <w:sz w:val="24"/>
                <w:szCs w:val="24"/>
                <w:u w:val="single"/>
              </w:rPr>
              <w:t xml:space="preserve">Proces </w:t>
            </w:r>
            <w:r w:rsidR="00B4518A" w:rsidRPr="00F92806">
              <w:rPr>
                <w:rFonts w:ascii="Times" w:hAnsi="Times" w:cs="Times"/>
                <w:sz w:val="24"/>
                <w:szCs w:val="24"/>
                <w:u w:val="single"/>
              </w:rPr>
              <w:t xml:space="preserve">Environmentálneho fondu v rámci poskytovania podpory </w:t>
            </w:r>
            <w:r w:rsidR="000A457F" w:rsidRPr="00F92806">
              <w:rPr>
                <w:rFonts w:ascii="Times" w:hAnsi="Times" w:cs="Times"/>
                <w:sz w:val="24"/>
                <w:szCs w:val="24"/>
                <w:u w:val="single"/>
              </w:rPr>
              <w:t xml:space="preserve"> podľa zákona č. 587/2005 Z. z.</w:t>
            </w:r>
            <w:r w:rsidR="000A457F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D426A8" w:rsidRPr="00F92806">
              <w:rPr>
                <w:rFonts w:ascii="Times" w:hAnsi="Times" w:cs="Times"/>
                <w:sz w:val="24"/>
                <w:szCs w:val="24"/>
              </w:rPr>
              <w:t>–</w:t>
            </w:r>
            <w:r w:rsidR="000A457F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D426A8" w:rsidRPr="00F92806">
              <w:rPr>
                <w:rFonts w:ascii="Times" w:hAnsi="Times" w:cs="Times"/>
                <w:sz w:val="24"/>
                <w:szCs w:val="24"/>
              </w:rPr>
              <w:t xml:space="preserve">ktorý bol v pôvodnej právnej úprave </w:t>
            </w:r>
            <w:r w:rsidR="00F56DAD" w:rsidRPr="00F92806">
              <w:rPr>
                <w:rFonts w:ascii="Times" w:hAnsi="Times" w:cs="Times"/>
                <w:sz w:val="24"/>
                <w:szCs w:val="24"/>
              </w:rPr>
              <w:t xml:space="preserve">obsiahnutý </w:t>
            </w:r>
            <w:r w:rsidR="00B27535" w:rsidRPr="00F92806">
              <w:rPr>
                <w:rFonts w:ascii="Times" w:hAnsi="Times" w:cs="Times"/>
                <w:sz w:val="24"/>
                <w:szCs w:val="24"/>
              </w:rPr>
              <w:t xml:space="preserve">a rozdrobený v rámci viacerých na seba už priamo nenadväzujúcich </w:t>
            </w:r>
            <w:r w:rsidR="00103EBC" w:rsidRPr="00F92806">
              <w:rPr>
                <w:rFonts w:ascii="Times" w:hAnsi="Times" w:cs="Times"/>
                <w:sz w:val="24"/>
                <w:szCs w:val="24"/>
              </w:rPr>
              <w:t xml:space="preserve">ustanovení </w:t>
            </w:r>
            <w:r w:rsidR="009A7231" w:rsidRPr="00F92806">
              <w:rPr>
                <w:rFonts w:ascii="Times" w:hAnsi="Times" w:cs="Times"/>
                <w:sz w:val="24"/>
                <w:szCs w:val="24"/>
              </w:rPr>
              <w:t xml:space="preserve">ako </w:t>
            </w:r>
            <w:r w:rsidR="00392BBA" w:rsidRPr="00F92806">
              <w:rPr>
                <w:rFonts w:ascii="Times" w:hAnsi="Times" w:cs="Times"/>
                <w:sz w:val="24"/>
                <w:szCs w:val="24"/>
              </w:rPr>
              <w:t>§ 4,</w:t>
            </w:r>
            <w:r w:rsidR="004907AF" w:rsidRPr="00F92806">
              <w:rPr>
                <w:rFonts w:ascii="Times" w:hAnsi="Times" w:cs="Times"/>
                <w:sz w:val="24"/>
                <w:szCs w:val="24"/>
              </w:rPr>
              <w:t xml:space="preserve"> § 4a až 4</w:t>
            </w:r>
            <w:r w:rsidR="000E4870" w:rsidRPr="00F92806">
              <w:rPr>
                <w:rFonts w:ascii="Times" w:hAnsi="Times" w:cs="Times"/>
                <w:sz w:val="24"/>
                <w:szCs w:val="24"/>
              </w:rPr>
              <w:t>l a</w:t>
            </w:r>
            <w:r w:rsidR="00392BBA" w:rsidRPr="00F92806">
              <w:rPr>
                <w:rFonts w:ascii="Times" w:hAnsi="Times" w:cs="Times"/>
                <w:sz w:val="24"/>
                <w:szCs w:val="24"/>
              </w:rPr>
              <w:t xml:space="preserve"> § 6 až </w:t>
            </w:r>
            <w:r w:rsidR="009A7231" w:rsidRPr="00F92806">
              <w:rPr>
                <w:rFonts w:ascii="Times" w:hAnsi="Times" w:cs="Times"/>
                <w:sz w:val="24"/>
                <w:szCs w:val="24"/>
              </w:rPr>
              <w:t xml:space="preserve">§ </w:t>
            </w:r>
            <w:r w:rsidR="00771184" w:rsidRPr="00F92806">
              <w:rPr>
                <w:rFonts w:ascii="Times" w:hAnsi="Times" w:cs="Times"/>
                <w:sz w:val="24"/>
                <w:szCs w:val="24"/>
              </w:rPr>
              <w:t xml:space="preserve">10 zákona č. 587/2004 Z. z. </w:t>
            </w:r>
          </w:p>
          <w:p w14:paraId="1BF924B6" w14:textId="77777777" w:rsidR="00EB03F4" w:rsidRPr="00F92806" w:rsidRDefault="00EB03F4" w:rsidP="00EB03F4">
            <w:pPr>
              <w:ind w:left="360"/>
              <w:contextualSpacing/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6A8ECEA8" w14:textId="09EBB506" w:rsidR="00AC2E7D" w:rsidRPr="00F92806" w:rsidRDefault="00EB03F4" w:rsidP="00EB03F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sk-SK"/>
              </w:rPr>
              <w:t>Zároveň väčší počet malých organizácií zodpovednosti výrobcov môže spôsobovať nadmerné administratívne náklady a nízke úspory z rozsahu.</w:t>
            </w:r>
          </w:p>
          <w:p w14:paraId="4940F429" w14:textId="26AD89DE" w:rsidR="00EB03F4" w:rsidRPr="00F92806" w:rsidRDefault="00EB03F4" w:rsidP="00EB03F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3C534605" w14:textId="77777777" w:rsidTr="00941A98">
        <w:tc>
          <w:tcPr>
            <w:tcW w:w="9180" w:type="dxa"/>
            <w:gridSpan w:val="11"/>
            <w:tcBorders>
              <w:bottom w:val="nil"/>
            </w:tcBorders>
            <w:shd w:val="clear" w:color="auto" w:fill="E2E2E2"/>
          </w:tcPr>
          <w:p w14:paraId="482E893A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Ciele a výsledný stav</w:t>
            </w:r>
          </w:p>
        </w:tc>
      </w:tr>
      <w:tr w:rsidR="00AC2E7D" w:rsidRPr="00F92806" w14:paraId="2DE7FB4A" w14:textId="77777777" w:rsidTr="00941A98">
        <w:trPr>
          <w:trHeight w:val="741"/>
        </w:trPr>
        <w:tc>
          <w:tcPr>
            <w:tcW w:w="9180" w:type="dxa"/>
            <w:gridSpan w:val="11"/>
            <w:tcBorders>
              <w:top w:val="nil"/>
            </w:tcBorders>
            <w:shd w:val="clear" w:color="auto" w:fill="FFFFFF"/>
          </w:tcPr>
          <w:p w14:paraId="61B20063" w14:textId="00FC9A06" w:rsidR="00AC2E7D" w:rsidRPr="00F92806" w:rsidRDefault="00AC2E7D" w:rsidP="00AC2E7D">
            <w:pPr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Týmto návrhom zákona sa má dosiahnuť nasledovný stav a ciele</w:t>
            </w:r>
          </w:p>
          <w:p w14:paraId="04C5B640" w14:textId="77777777" w:rsidR="00AC2E7D" w:rsidRPr="00F92806" w:rsidRDefault="00AC2E7D" w:rsidP="00AC2E7D">
            <w:pPr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14:paraId="636F8AD9" w14:textId="4E380CAE" w:rsidR="000E4870" w:rsidRPr="00F92806" w:rsidRDefault="00494A5B" w:rsidP="00AC2E7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" w:hAnsi="Times" w:cs="Times"/>
                <w:sz w:val="24"/>
                <w:szCs w:val="24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 xml:space="preserve">Návrh zákona v § 3 ods. 1 </w:t>
            </w:r>
            <w:r w:rsidR="00B423E0" w:rsidRPr="00F92806">
              <w:rPr>
                <w:rFonts w:ascii="Times" w:hAnsi="Times" w:cs="Times"/>
                <w:sz w:val="24"/>
                <w:szCs w:val="24"/>
              </w:rPr>
              <w:t>zavádza definíci</w:t>
            </w:r>
            <w:r w:rsidR="009A7231" w:rsidRPr="00F92806">
              <w:rPr>
                <w:rFonts w:ascii="Times" w:hAnsi="Times" w:cs="Times"/>
                <w:sz w:val="24"/>
                <w:szCs w:val="24"/>
              </w:rPr>
              <w:t>u</w:t>
            </w:r>
            <w:r w:rsidR="00B423E0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6E110E" w:rsidRPr="00F92806">
              <w:rPr>
                <w:rFonts w:ascii="Times" w:hAnsi="Times" w:cs="Times"/>
                <w:sz w:val="24"/>
                <w:szCs w:val="24"/>
              </w:rPr>
              <w:t xml:space="preserve">všetkých </w:t>
            </w:r>
            <w:r w:rsidR="00282CAC" w:rsidRPr="00F92806">
              <w:rPr>
                <w:rFonts w:ascii="Times" w:hAnsi="Times" w:cs="Times"/>
                <w:sz w:val="24"/>
                <w:szCs w:val="24"/>
              </w:rPr>
              <w:t xml:space="preserve">možných foriem poskytnutia prostriedkov </w:t>
            </w:r>
            <w:r w:rsidR="00E028D8" w:rsidRPr="00F92806">
              <w:rPr>
                <w:rFonts w:ascii="Times" w:hAnsi="Times" w:cs="Times"/>
                <w:sz w:val="24"/>
                <w:szCs w:val="24"/>
              </w:rPr>
              <w:t xml:space="preserve">z fondu, a to vo forme dotácií, úveru, úhrady nákladov, </w:t>
            </w:r>
            <w:r w:rsidR="00CC623B" w:rsidRPr="00F92806">
              <w:rPr>
                <w:rFonts w:ascii="Times" w:hAnsi="Times" w:cs="Times"/>
                <w:sz w:val="24"/>
                <w:szCs w:val="24"/>
              </w:rPr>
              <w:t xml:space="preserve">odvodu, príspevku a prípadne iných </w:t>
            </w:r>
            <w:r w:rsidR="001B3596" w:rsidRPr="00F92806">
              <w:rPr>
                <w:rFonts w:ascii="Times" w:hAnsi="Times" w:cs="Times"/>
                <w:sz w:val="24"/>
                <w:szCs w:val="24"/>
              </w:rPr>
              <w:t xml:space="preserve">foriem, ktoré by upravili osobitné právne predpisy. Súčasne v § </w:t>
            </w:r>
            <w:r w:rsidR="00E525AE" w:rsidRPr="00F92806">
              <w:rPr>
                <w:rFonts w:ascii="Times" w:hAnsi="Times" w:cs="Times"/>
                <w:sz w:val="24"/>
                <w:szCs w:val="24"/>
              </w:rPr>
              <w:t xml:space="preserve">3 </w:t>
            </w:r>
            <w:r w:rsidR="00495EB4" w:rsidRPr="00F92806">
              <w:rPr>
                <w:rFonts w:ascii="Times" w:hAnsi="Times" w:cs="Times"/>
                <w:sz w:val="24"/>
                <w:szCs w:val="24"/>
              </w:rPr>
              <w:t>ods</w:t>
            </w:r>
            <w:r w:rsidR="00E525AE" w:rsidRPr="00F92806">
              <w:rPr>
                <w:rFonts w:ascii="Times" w:hAnsi="Times" w:cs="Times"/>
                <w:sz w:val="24"/>
                <w:szCs w:val="24"/>
              </w:rPr>
              <w:t xml:space="preserve">. </w:t>
            </w:r>
            <w:r w:rsidR="009A54F6" w:rsidRPr="00F92806">
              <w:rPr>
                <w:rFonts w:ascii="Times" w:hAnsi="Times" w:cs="Times"/>
                <w:sz w:val="24"/>
                <w:szCs w:val="24"/>
              </w:rPr>
              <w:t xml:space="preserve">2 </w:t>
            </w:r>
            <w:r w:rsidR="00E525AE" w:rsidRPr="00F92806">
              <w:rPr>
                <w:rFonts w:ascii="Times" w:hAnsi="Times" w:cs="Times"/>
                <w:sz w:val="24"/>
                <w:szCs w:val="24"/>
              </w:rPr>
              <w:lastRenderedPageBreak/>
              <w:t>návrhu zákona</w:t>
            </w:r>
            <w:r w:rsidR="009A54F6" w:rsidRPr="00F92806">
              <w:rPr>
                <w:rFonts w:ascii="Times" w:hAnsi="Times" w:cs="Times"/>
                <w:sz w:val="24"/>
                <w:szCs w:val="24"/>
              </w:rPr>
              <w:t xml:space="preserve"> sa presne vymedzujú </w:t>
            </w:r>
            <w:r w:rsidR="00CC72FA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87635E" w:rsidRPr="00F92806">
              <w:rPr>
                <w:rFonts w:ascii="Times" w:hAnsi="Times" w:cs="Times"/>
                <w:sz w:val="24"/>
                <w:szCs w:val="24"/>
              </w:rPr>
              <w:t>činnosti, na ktoré môž</w:t>
            </w:r>
            <w:r w:rsidR="00EC6324" w:rsidRPr="00F92806">
              <w:rPr>
                <w:rFonts w:ascii="Times" w:hAnsi="Times" w:cs="Times"/>
                <w:sz w:val="24"/>
                <w:szCs w:val="24"/>
              </w:rPr>
              <w:t xml:space="preserve">u byť poskytnuté a použité prostriedky fondu, pričom tieto </w:t>
            </w:r>
            <w:r w:rsidR="00372188" w:rsidRPr="00F92806">
              <w:rPr>
                <w:rFonts w:ascii="Times" w:hAnsi="Times" w:cs="Times"/>
                <w:sz w:val="24"/>
                <w:szCs w:val="24"/>
              </w:rPr>
              <w:t xml:space="preserve">činnosti presne kopírujú možné formy </w:t>
            </w:r>
            <w:r w:rsidR="00E908F1" w:rsidRPr="00F92806">
              <w:rPr>
                <w:rFonts w:ascii="Times" w:hAnsi="Times" w:cs="Times"/>
                <w:sz w:val="24"/>
                <w:szCs w:val="24"/>
              </w:rPr>
              <w:t>poskytnutia prostriedkov. Zavádza sa týmto presná a jasná legislatívn</w:t>
            </w:r>
            <w:r w:rsidR="0043282E" w:rsidRPr="00F92806">
              <w:rPr>
                <w:rFonts w:ascii="Times" w:hAnsi="Times" w:cs="Times"/>
                <w:sz w:val="24"/>
                <w:szCs w:val="24"/>
              </w:rPr>
              <w:t>a</w:t>
            </w:r>
            <w:r w:rsidR="00E908F1" w:rsidRPr="00F92806">
              <w:rPr>
                <w:rFonts w:ascii="Times" w:hAnsi="Times" w:cs="Times"/>
                <w:sz w:val="24"/>
                <w:szCs w:val="24"/>
              </w:rPr>
              <w:t xml:space="preserve"> úprava, ktorá nebude spôsobovať výkladové problémy</w:t>
            </w:r>
            <w:r w:rsidR="00BB268F" w:rsidRPr="00F92806">
              <w:rPr>
                <w:rFonts w:ascii="Times" w:hAnsi="Times" w:cs="Times"/>
                <w:sz w:val="24"/>
                <w:szCs w:val="24"/>
              </w:rPr>
              <w:t xml:space="preserve"> v rámci aplikačnej praxe</w:t>
            </w:r>
            <w:r w:rsidR="0012420F" w:rsidRPr="00F92806">
              <w:rPr>
                <w:rFonts w:ascii="Times" w:hAnsi="Times" w:cs="Times"/>
                <w:sz w:val="24"/>
                <w:szCs w:val="24"/>
              </w:rPr>
              <w:t xml:space="preserve">, v dôsledku čoho </w:t>
            </w:r>
            <w:r w:rsidR="00C87304" w:rsidRPr="00F92806">
              <w:rPr>
                <w:rFonts w:ascii="Times" w:hAnsi="Times" w:cs="Times"/>
                <w:sz w:val="24"/>
                <w:szCs w:val="24"/>
              </w:rPr>
              <w:t xml:space="preserve">môže byť proces </w:t>
            </w:r>
            <w:r w:rsidR="00917D34" w:rsidRPr="00F92806">
              <w:rPr>
                <w:rFonts w:ascii="Times" w:hAnsi="Times" w:cs="Times"/>
                <w:sz w:val="24"/>
                <w:szCs w:val="24"/>
              </w:rPr>
              <w:t xml:space="preserve">poskytnutia prostriedkov pre žiadateľov rýchlejší a účelnejší. </w:t>
            </w:r>
          </w:p>
          <w:p w14:paraId="104215E2" w14:textId="77777777" w:rsidR="00EA3BBB" w:rsidRPr="00F92806" w:rsidRDefault="00EA3BBB" w:rsidP="00EA3BBB">
            <w:pPr>
              <w:ind w:left="360"/>
              <w:contextualSpacing/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2C4A5727" w14:textId="77777777" w:rsidR="007D2273" w:rsidRPr="00F92806" w:rsidRDefault="00EA3BBB" w:rsidP="00AC2E7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" w:hAnsi="Times" w:cs="Times"/>
                <w:sz w:val="24"/>
                <w:szCs w:val="24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 xml:space="preserve">Návrh zákona v § 7 </w:t>
            </w:r>
            <w:r w:rsidR="00D22927" w:rsidRPr="00F92806">
              <w:rPr>
                <w:rFonts w:ascii="Times" w:hAnsi="Times" w:cs="Times"/>
                <w:sz w:val="24"/>
                <w:szCs w:val="24"/>
              </w:rPr>
              <w:t xml:space="preserve">upravuje postup </w:t>
            </w:r>
            <w:r w:rsidR="00D9729A" w:rsidRPr="00F92806">
              <w:rPr>
                <w:rFonts w:ascii="Times" w:hAnsi="Times" w:cs="Times"/>
                <w:sz w:val="24"/>
                <w:szCs w:val="24"/>
              </w:rPr>
              <w:t xml:space="preserve">poskytnutia prostriedkov fondu </w:t>
            </w:r>
            <w:r w:rsidR="008E7299" w:rsidRPr="00F92806">
              <w:rPr>
                <w:rFonts w:ascii="Times" w:hAnsi="Times" w:cs="Times"/>
                <w:sz w:val="24"/>
                <w:szCs w:val="24"/>
              </w:rPr>
              <w:t>vo forme dotácií, úverov a úhrady nákladov</w:t>
            </w:r>
            <w:r w:rsidR="00021464" w:rsidRPr="00F92806">
              <w:rPr>
                <w:rFonts w:ascii="Times" w:hAnsi="Times" w:cs="Times"/>
                <w:sz w:val="24"/>
                <w:szCs w:val="24"/>
              </w:rPr>
              <w:t xml:space="preserve">, ktorý nahrádza pôvodné </w:t>
            </w:r>
            <w:r w:rsidR="005145DA" w:rsidRPr="00F92806">
              <w:rPr>
                <w:rFonts w:ascii="Times" w:hAnsi="Times" w:cs="Times"/>
                <w:sz w:val="24"/>
                <w:szCs w:val="24"/>
              </w:rPr>
              <w:t xml:space="preserve">viaceré </w:t>
            </w:r>
            <w:r w:rsidR="00A9481B" w:rsidRPr="00F92806">
              <w:rPr>
                <w:rFonts w:ascii="Times" w:hAnsi="Times" w:cs="Times"/>
                <w:sz w:val="24"/>
                <w:szCs w:val="24"/>
              </w:rPr>
              <w:t>ustanovenia</w:t>
            </w:r>
            <w:r w:rsidR="005145DA" w:rsidRPr="00F92806">
              <w:rPr>
                <w:rFonts w:ascii="Times" w:hAnsi="Times" w:cs="Times"/>
                <w:sz w:val="24"/>
                <w:szCs w:val="24"/>
              </w:rPr>
              <w:t xml:space="preserve"> zákona č. 587/2004 Z. z.</w:t>
            </w:r>
            <w:r w:rsidR="00DC7D58" w:rsidRPr="00F92806">
              <w:rPr>
                <w:rFonts w:ascii="Times" w:hAnsi="Times" w:cs="Times"/>
                <w:sz w:val="24"/>
                <w:szCs w:val="24"/>
              </w:rPr>
              <w:t xml:space="preserve"> Pripravená právna úprava je jednoznačná, priama a účelná v tom smere, že </w:t>
            </w:r>
            <w:r w:rsidR="00B16D17" w:rsidRPr="00F92806">
              <w:rPr>
                <w:rFonts w:ascii="Times" w:hAnsi="Times" w:cs="Times"/>
                <w:sz w:val="24"/>
                <w:szCs w:val="24"/>
              </w:rPr>
              <w:t>je na strane fondu, aby si v rámci zverejňovaných výziev</w:t>
            </w:r>
            <w:r w:rsidR="009002EB" w:rsidRPr="00F92806">
              <w:rPr>
                <w:rFonts w:ascii="Times" w:hAnsi="Times" w:cs="Times"/>
                <w:sz w:val="24"/>
                <w:szCs w:val="24"/>
              </w:rPr>
              <w:t xml:space="preserve"> určil všetky podmienky poskytnutia prostriedkov fondu</w:t>
            </w:r>
            <w:r w:rsidR="0074550A" w:rsidRPr="00F92806">
              <w:rPr>
                <w:rFonts w:ascii="Times" w:hAnsi="Times" w:cs="Times"/>
                <w:sz w:val="24"/>
                <w:szCs w:val="24"/>
              </w:rPr>
              <w:t xml:space="preserve">, a to počnúc určením oprávnených subjektov, vymedzených oprávnených činností, </w:t>
            </w:r>
            <w:r w:rsidR="002D6FA4" w:rsidRPr="00F92806">
              <w:rPr>
                <w:rFonts w:ascii="Times" w:hAnsi="Times" w:cs="Times"/>
                <w:sz w:val="24"/>
                <w:szCs w:val="24"/>
              </w:rPr>
              <w:t xml:space="preserve">náležitostí príloh a rovnako aj celkový postup predkladania a hodnotenia žiadostí o poskytnutie prostriedkov. Uvedená právna úprava </w:t>
            </w:r>
            <w:r w:rsidR="002D62BD" w:rsidRPr="00F92806">
              <w:rPr>
                <w:rFonts w:ascii="Times" w:hAnsi="Times" w:cs="Times"/>
                <w:sz w:val="24"/>
                <w:szCs w:val="24"/>
              </w:rPr>
              <w:t xml:space="preserve">umožňuje </w:t>
            </w:r>
            <w:r w:rsidR="00BC1C83" w:rsidRPr="00F92806">
              <w:rPr>
                <w:rFonts w:ascii="Times" w:hAnsi="Times" w:cs="Times"/>
                <w:sz w:val="24"/>
                <w:szCs w:val="24"/>
              </w:rPr>
              <w:t>rýchle, účelné poskytovanie prostriedkov žiadateľom</w:t>
            </w:r>
            <w:r w:rsidR="00567F38" w:rsidRPr="00F92806">
              <w:rPr>
                <w:rFonts w:ascii="Times" w:hAnsi="Times" w:cs="Times"/>
                <w:sz w:val="24"/>
                <w:szCs w:val="24"/>
              </w:rPr>
              <w:t xml:space="preserve">, </w:t>
            </w:r>
            <w:r w:rsidR="00BC1C83" w:rsidRPr="00F92806">
              <w:rPr>
                <w:rFonts w:ascii="Times" w:hAnsi="Times" w:cs="Times"/>
                <w:sz w:val="24"/>
                <w:szCs w:val="24"/>
              </w:rPr>
              <w:t>a to na aktuálne environmentálne potreby</w:t>
            </w:r>
            <w:r w:rsidR="00567F38" w:rsidRPr="00F92806">
              <w:rPr>
                <w:rFonts w:ascii="Times" w:hAnsi="Times" w:cs="Times"/>
                <w:sz w:val="24"/>
                <w:szCs w:val="24"/>
              </w:rPr>
              <w:t xml:space="preserve">. </w:t>
            </w:r>
            <w:r w:rsidR="001B1721" w:rsidRPr="00F92806">
              <w:rPr>
                <w:rFonts w:ascii="Times" w:hAnsi="Times" w:cs="Times"/>
                <w:sz w:val="24"/>
                <w:szCs w:val="24"/>
              </w:rPr>
              <w:t>Doterajšia právna úprava si vo viacerých prípadoch vyžadovala legislatívne zmeny, ak bol záujem a potreba na podporení nových environmentálnych činností, čo spôsobovalo nepružnosť a</w:t>
            </w:r>
            <w:r w:rsidR="00180486" w:rsidRPr="00F92806">
              <w:rPr>
                <w:rFonts w:ascii="Times" w:hAnsi="Times" w:cs="Times"/>
                <w:sz w:val="24"/>
                <w:szCs w:val="24"/>
              </w:rPr>
              <w:t xml:space="preserve"> zdĺhavú reakciu fondu na aktuálne potreby a požiadavky.  </w:t>
            </w:r>
            <w:r w:rsidR="00BC1C83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2D62BD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  <w:p w14:paraId="3F64A9E1" w14:textId="3ADF86FC" w:rsidR="00EA3BBB" w:rsidRPr="00F92806" w:rsidRDefault="009002EB" w:rsidP="007D2273">
            <w:pPr>
              <w:ind w:left="360"/>
              <w:contextualSpacing/>
              <w:jc w:val="both"/>
              <w:rPr>
                <w:rFonts w:ascii="Times" w:hAnsi="Times" w:cs="Times"/>
                <w:sz w:val="24"/>
                <w:szCs w:val="24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B16D17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DC7D58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5145DA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A9481B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8E7299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D9729A" w:rsidRPr="00F92806">
              <w:rPr>
                <w:rFonts w:ascii="Times" w:hAnsi="Times" w:cs="Times"/>
                <w:sz w:val="24"/>
                <w:szCs w:val="24"/>
              </w:rPr>
              <w:t xml:space="preserve">  </w:t>
            </w:r>
          </w:p>
          <w:p w14:paraId="095BF9FC" w14:textId="4E0F7649" w:rsidR="00AC2E7D" w:rsidRPr="00F92806" w:rsidRDefault="007D2273" w:rsidP="00AC2E7D">
            <w:pPr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>c) Návrhom zákona má dôjsť k posilneniu stabilnej konkurencie a tlaku na pokles administratívnych nákladov.</w:t>
            </w:r>
          </w:p>
          <w:p w14:paraId="0154D124" w14:textId="2618291D" w:rsidR="00AC2E7D" w:rsidRPr="00F92806" w:rsidRDefault="00AC2E7D" w:rsidP="00AC2E7D">
            <w:pPr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145E1FDA" w14:textId="77777777" w:rsidTr="00941A98">
        <w:tc>
          <w:tcPr>
            <w:tcW w:w="9180" w:type="dxa"/>
            <w:gridSpan w:val="11"/>
            <w:tcBorders>
              <w:bottom w:val="nil"/>
            </w:tcBorders>
            <w:shd w:val="clear" w:color="auto" w:fill="E2E2E2"/>
          </w:tcPr>
          <w:p w14:paraId="37A01BFA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Dotknuté subjekty</w:t>
            </w:r>
          </w:p>
        </w:tc>
      </w:tr>
      <w:tr w:rsidR="00AC2E7D" w:rsidRPr="00F92806" w14:paraId="50E0C65B" w14:textId="77777777" w:rsidTr="00941A98">
        <w:tc>
          <w:tcPr>
            <w:tcW w:w="9180" w:type="dxa"/>
            <w:gridSpan w:val="11"/>
            <w:tcBorders>
              <w:top w:val="nil"/>
            </w:tcBorders>
            <w:shd w:val="clear" w:color="auto" w:fill="FFFFFF"/>
          </w:tcPr>
          <w:p w14:paraId="304A571B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>V rámci návrhu zákona budú dotknutými subjektami ž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iadatelia o poskytnutie </w:t>
            </w:r>
            <w:r w:rsidR="0090787C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prostriedkov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formou dotáci</w:t>
            </w:r>
            <w:r w:rsidR="0090787C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í, úverov a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/alebo </w:t>
            </w:r>
            <w:r w:rsidR="0090787C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úhrady nákladov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 </w:t>
            </w:r>
          </w:p>
          <w:p w14:paraId="176729A7" w14:textId="77777777" w:rsidR="00D960D5" w:rsidRPr="00F92806" w:rsidRDefault="00D960D5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14:paraId="4505036B" w14:textId="0877121D" w:rsidR="00D960D5" w:rsidRPr="00F92806" w:rsidRDefault="00D960D5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Dotknutými subjektami budú zároveň aj organizácie zodpovednosti výrobcov, obce, zberové spoločnosti, Environmentálny fond, výrobcovia vyhradených výrobkov.</w:t>
            </w:r>
          </w:p>
          <w:p w14:paraId="79F897B4" w14:textId="10A27F94" w:rsidR="00D960D5" w:rsidRPr="00F92806" w:rsidRDefault="00D960D5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1077F8DE" w14:textId="77777777" w:rsidTr="00941A98">
        <w:tc>
          <w:tcPr>
            <w:tcW w:w="9180" w:type="dxa"/>
            <w:gridSpan w:val="11"/>
            <w:tcBorders>
              <w:bottom w:val="nil"/>
            </w:tcBorders>
            <w:shd w:val="clear" w:color="auto" w:fill="E2E2E2"/>
          </w:tcPr>
          <w:p w14:paraId="5A267589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Alternatívne riešenia</w:t>
            </w:r>
          </w:p>
        </w:tc>
      </w:tr>
      <w:tr w:rsidR="00AC2E7D" w:rsidRPr="00F92806" w14:paraId="3BAB94DF" w14:textId="77777777" w:rsidTr="00941A98">
        <w:trPr>
          <w:trHeight w:val="1524"/>
        </w:trPr>
        <w:tc>
          <w:tcPr>
            <w:tcW w:w="9180" w:type="dxa"/>
            <w:gridSpan w:val="11"/>
            <w:tcBorders>
              <w:top w:val="nil"/>
            </w:tcBorders>
            <w:shd w:val="clear" w:color="auto" w:fill="FFFFFF"/>
          </w:tcPr>
          <w:p w14:paraId="659305EF" w14:textId="135CFA51" w:rsidR="00AC2E7D" w:rsidRPr="00F92806" w:rsidRDefault="00AC2E7D" w:rsidP="00AC2E7D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 xml:space="preserve">Alternatívne riešenie 0 –  problémy definované v bode 2 /Definovanie problému/ tohto dokumentu nie je možné odstrániť iným spôsobom, ako novým navrhovaným znením zákona. </w:t>
            </w:r>
          </w:p>
          <w:p w14:paraId="70FBBC75" w14:textId="77777777" w:rsidR="007D2273" w:rsidRPr="00F92806" w:rsidRDefault="007D2273" w:rsidP="00AC2E7D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0A875F57" w14:textId="33133E2A" w:rsidR="007D2273" w:rsidRPr="00F92806" w:rsidRDefault="00AC2E7D" w:rsidP="00AC2E7D">
            <w:pPr>
              <w:rPr>
                <w:rFonts w:ascii="Times" w:hAnsi="Times" w:cs="Times"/>
                <w:sz w:val="24"/>
                <w:szCs w:val="24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 xml:space="preserve">Ciele a výsledný stav definovaný v bode 3 sa v prípade neschválenia </w:t>
            </w:r>
            <w:r w:rsidR="00466CEF" w:rsidRPr="00F92806">
              <w:rPr>
                <w:rFonts w:ascii="Times" w:hAnsi="Times" w:cs="Times"/>
                <w:sz w:val="24"/>
                <w:szCs w:val="24"/>
              </w:rPr>
              <w:t xml:space="preserve">návrhu </w:t>
            </w:r>
            <w:r w:rsidRPr="00F92806">
              <w:rPr>
                <w:rFonts w:ascii="Times" w:hAnsi="Times" w:cs="Times"/>
                <w:sz w:val="24"/>
                <w:szCs w:val="24"/>
              </w:rPr>
              <w:t>zákona nedajú dosiahnuť iným zákonným spôsobom.</w:t>
            </w:r>
            <w:r w:rsidR="007D2273" w:rsidRPr="00F92806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  <w:p w14:paraId="0444A1BC" w14:textId="77777777" w:rsidR="007D2273" w:rsidRPr="00F92806" w:rsidRDefault="007D2273" w:rsidP="00AC2E7D">
            <w:pPr>
              <w:rPr>
                <w:rFonts w:ascii="Times" w:hAnsi="Times" w:cs="Times"/>
                <w:sz w:val="24"/>
                <w:szCs w:val="24"/>
              </w:rPr>
            </w:pPr>
          </w:p>
          <w:p w14:paraId="5640B6D9" w14:textId="323DDE56" w:rsidR="00AC2E7D" w:rsidRPr="00F92806" w:rsidRDefault="007D2273" w:rsidP="00AC2E7D">
            <w:pPr>
              <w:rPr>
                <w:rFonts w:ascii="Times" w:hAnsi="Times" w:cs="Times"/>
                <w:sz w:val="24"/>
                <w:szCs w:val="24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>Nulový variant – naďalej by pretrvával stav, kedy by väčší počet menších organizácií zodpovednosti výrobcov vytváral tlak na zvyšovanie administratívnych nákladov.</w:t>
            </w:r>
          </w:p>
          <w:p w14:paraId="54577EE2" w14:textId="5EE7FA1E" w:rsidR="00EB03F4" w:rsidRPr="00F92806" w:rsidRDefault="00EB03F4" w:rsidP="00AC2E7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AC2E7D" w:rsidRPr="00F92806" w14:paraId="476EEEA4" w14:textId="77777777" w:rsidTr="00941A9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07AF0A6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Vykonávacie predpisy</w:t>
            </w:r>
          </w:p>
        </w:tc>
      </w:tr>
      <w:tr w:rsidR="00AC2E7D" w:rsidRPr="00F92806" w14:paraId="6EE8D40B" w14:textId="77777777" w:rsidTr="00941A98">
        <w:tc>
          <w:tcPr>
            <w:tcW w:w="6203" w:type="dxa"/>
            <w:gridSpan w:val="7"/>
            <w:tcBorders>
              <w:top w:val="single" w:sz="4" w:space="0" w:color="FFFFFF"/>
              <w:bottom w:val="nil"/>
              <w:right w:val="nil"/>
            </w:tcBorders>
            <w:shd w:val="clear" w:color="auto" w:fill="FFFFFF"/>
          </w:tcPr>
          <w:p w14:paraId="05C5D75C" w14:textId="77777777" w:rsidR="00AC2E7D" w:rsidRPr="00F92806" w:rsidRDefault="00AC2E7D" w:rsidP="00AC2E7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11E3865E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☒</w:t>
            </w: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</w:tcBorders>
            <w:shd w:val="clear" w:color="auto" w:fill="FFFFFF"/>
          </w:tcPr>
          <w:p w14:paraId="60A6827D" w14:textId="036AA0E3" w:rsidR="00AC2E7D" w:rsidRPr="00F92806" w:rsidRDefault="007D2273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  <w:r w:rsidR="00AC2E7D"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Nie</w:t>
            </w:r>
          </w:p>
        </w:tc>
      </w:tr>
      <w:tr w:rsidR="00AC2E7D" w:rsidRPr="00F92806" w14:paraId="3DFBFF47" w14:textId="77777777" w:rsidTr="00941A98">
        <w:tc>
          <w:tcPr>
            <w:tcW w:w="9180" w:type="dxa"/>
            <w:gridSpan w:val="11"/>
            <w:tcBorders>
              <w:top w:val="nil"/>
            </w:tcBorders>
            <w:shd w:val="clear" w:color="auto" w:fill="FFFFFF"/>
          </w:tcPr>
          <w:p w14:paraId="751B93A4" w14:textId="076921EB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N</w:t>
            </w:r>
            <w:r w:rsidR="00171D9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ávrh zákona predpokladá </w:t>
            </w:r>
            <w:r w:rsidR="008B544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vykonávací predpis </w:t>
            </w:r>
            <w:r w:rsidR="00910E6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a to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vyhlášk</w:t>
            </w:r>
            <w:r w:rsidR="00910E6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u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Ministerstva životného prostredia Slovenskej republiky č. </w:t>
            </w:r>
            <w:r w:rsidR="00910E6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.....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/20</w:t>
            </w:r>
            <w:r w:rsidR="00910E6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25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Z. z., ktorou sa vykonáva zákon č. </w:t>
            </w:r>
            <w:r w:rsidR="00910E6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.....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/20</w:t>
            </w:r>
            <w:r w:rsidR="00910E6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25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Z. z. o Environmentálnom fonde</w:t>
            </w:r>
            <w:r w:rsidR="00910E6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Slovenskej republiky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a o zmene a doplnení niektorých zákonov (ďalej len „vyhláška“). </w:t>
            </w:r>
            <w:r w:rsidR="00910E62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Vo vyhláške </w:t>
            </w:r>
            <w:r w:rsidR="00E63210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budú upravené ustanovenia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, ktoré upravujú </w:t>
            </w:r>
            <w:r w:rsidR="00E63210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minimálnu výšku spolufinancovania podporených environmentálny činností dotáciou. Súčasne sa vymedzí okruh špe</w:t>
            </w:r>
            <w:r w:rsidR="00BA491A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cifických dotácií, pri ktorých sa minimálna výška spolufinancovania nebude uplatňovať. </w:t>
            </w:r>
          </w:p>
        </w:tc>
      </w:tr>
      <w:tr w:rsidR="00AC2E7D" w:rsidRPr="00F92806" w14:paraId="648DCD37" w14:textId="77777777" w:rsidTr="00941A9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77D14A6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 w:rsidR="00AC2E7D" w:rsidRPr="00F92806" w14:paraId="2AF14E53" w14:textId="77777777" w:rsidTr="00941A98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43"/>
            </w:tblGrid>
            <w:tr w:rsidR="007D2273" w:rsidRPr="00F92806" w14:paraId="2E9B922E" w14:textId="77777777" w:rsidTr="007D2273">
              <w:trPr>
                <w:trHeight w:val="90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5297EF" w14:textId="77777777" w:rsidR="007D2273" w:rsidRPr="00F92806" w:rsidRDefault="007D2273" w:rsidP="007D2273">
                  <w:pPr>
                    <w:pStyle w:val="Default"/>
                    <w:spacing w:line="256" w:lineRule="auto"/>
                    <w:rPr>
                      <w:color w:val="000000" w:themeColor="text1"/>
                    </w:rPr>
                  </w:pPr>
                  <w:r w:rsidRPr="00F92806">
                    <w:rPr>
                      <w:i/>
                      <w:iCs/>
                      <w:color w:val="000000" w:themeColor="text1"/>
                    </w:rPr>
                    <w:lastRenderedPageBreak/>
                    <w:t xml:space="preserve">Uveďte, či v predkladanom návrhu právneho predpisu dochádza ku </w:t>
                  </w:r>
                  <w:proofErr w:type="spellStart"/>
                  <w:r w:rsidRPr="00F92806">
                    <w:rPr>
                      <w:i/>
                      <w:iCs/>
                      <w:color w:val="000000" w:themeColor="text1"/>
                    </w:rPr>
                    <w:t>goldplatingu</w:t>
                  </w:r>
                  <w:proofErr w:type="spellEnd"/>
                  <w:r w:rsidRPr="00F92806">
                    <w:rPr>
                      <w:i/>
                      <w:iCs/>
                      <w:color w:val="000000" w:themeColor="text1"/>
                    </w:rPr>
                    <w:t xml:space="preserve"> podľa tabuľky zhody, resp. či ku </w:t>
                  </w:r>
                  <w:proofErr w:type="spellStart"/>
                  <w:r w:rsidRPr="00F92806">
                    <w:rPr>
                      <w:i/>
                      <w:iCs/>
                      <w:color w:val="000000" w:themeColor="text1"/>
                    </w:rPr>
                    <w:t>goldplatingu</w:t>
                  </w:r>
                  <w:proofErr w:type="spellEnd"/>
                  <w:r w:rsidRPr="00F92806">
                    <w:rPr>
                      <w:i/>
                      <w:iCs/>
                      <w:color w:val="000000" w:themeColor="text1"/>
                    </w:rPr>
                    <w:t xml:space="preserve"> dochádza pri implementácii práva EÚ. </w:t>
                  </w:r>
                </w:p>
              </w:tc>
            </w:tr>
            <w:tr w:rsidR="007D2273" w:rsidRPr="00F92806" w14:paraId="067C7A0B" w14:textId="77777777" w:rsidTr="007D2273">
              <w:trPr>
                <w:trHeight w:val="296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3B538" w14:textId="567B3B2D" w:rsidR="007D2273" w:rsidRPr="00F92806" w:rsidRDefault="007D2273" w:rsidP="007D2273">
                  <w:pPr>
                    <w:pStyle w:val="Default"/>
                    <w:spacing w:line="256" w:lineRule="auto"/>
                    <w:rPr>
                      <w:b/>
                      <w:iCs/>
                      <w:color w:val="000000" w:themeColor="text1"/>
                    </w:rPr>
                  </w:pPr>
                  <w:r w:rsidRPr="00F92806">
                    <w:rPr>
                      <w:b/>
                      <w:iCs/>
                      <w:color w:val="000000" w:themeColor="text1"/>
                    </w:rPr>
                    <w:t xml:space="preserve">                                                                                              </w:t>
                  </w:r>
                  <w:r w:rsidR="00F92806">
                    <w:rPr>
                      <w:b/>
                      <w:iCs/>
                      <w:color w:val="000000" w:themeColor="text1"/>
                    </w:rPr>
                    <w:t xml:space="preserve">    </w:t>
                  </w:r>
                  <w:r w:rsidRPr="00F92806">
                    <w:rPr>
                      <w:b/>
                      <w:iCs/>
                      <w:color w:val="000000" w:themeColor="text1"/>
                    </w:rPr>
                    <w:t xml:space="preserve"> </w:t>
                  </w:r>
                  <w:sdt>
                    <w:sdtPr>
                      <w:rPr>
                        <w:b/>
                        <w:iCs/>
                        <w:color w:val="000000" w:themeColor="text1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806">
                        <w:rPr>
                          <w:rFonts w:ascii="MS Gothic" w:eastAsia="MS Gothic" w:hAnsi="MS Gothic" w:hint="eastAsia"/>
                          <w:b/>
                          <w:iCs/>
                          <w:color w:val="000000" w:themeColor="text1"/>
                        </w:rPr>
                        <w:t>☐</w:t>
                      </w:r>
                    </w:sdtContent>
                  </w:sdt>
                  <w:r w:rsidRPr="00F92806">
                    <w:rPr>
                      <w:b/>
                      <w:iCs/>
                      <w:color w:val="000000" w:themeColor="text1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000000" w:themeColor="text1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806">
                        <w:rPr>
                          <w:rFonts w:ascii="MS Gothic" w:eastAsia="MS Gothic" w:hAnsi="MS Gothic" w:hint="eastAsia"/>
                          <w:b/>
                          <w:iCs/>
                          <w:color w:val="000000" w:themeColor="text1"/>
                          <w:lang w:val="en-US"/>
                        </w:rPr>
                        <w:t>☒</w:t>
                      </w:r>
                    </w:sdtContent>
                  </w:sdt>
                  <w:r w:rsidRPr="00F92806">
                    <w:rPr>
                      <w:b/>
                      <w:iCs/>
                      <w:color w:val="000000" w:themeColor="text1"/>
                    </w:rPr>
                    <w:t xml:space="preserve"> Nie</w:t>
                  </w:r>
                </w:p>
                <w:p w14:paraId="3D8BFC43" w14:textId="77777777" w:rsidR="007D2273" w:rsidRPr="00F92806" w:rsidRDefault="007D2273" w:rsidP="007D2273">
                  <w:pPr>
                    <w:pStyle w:val="Default"/>
                    <w:spacing w:line="256" w:lineRule="auto"/>
                    <w:rPr>
                      <w:i/>
                      <w:iCs/>
                      <w:color w:val="000000" w:themeColor="text1"/>
                    </w:rPr>
                  </w:pPr>
                </w:p>
                <w:p w14:paraId="3E5964CA" w14:textId="77777777" w:rsidR="007D2273" w:rsidRPr="00F92806" w:rsidRDefault="007D2273" w:rsidP="007D2273">
                  <w:pPr>
                    <w:pStyle w:val="Default"/>
                    <w:spacing w:line="256" w:lineRule="auto"/>
                    <w:rPr>
                      <w:color w:val="000000" w:themeColor="text1"/>
                    </w:rPr>
                  </w:pPr>
                  <w:r w:rsidRPr="00F92806">
                    <w:rPr>
                      <w:i/>
                      <w:iCs/>
                      <w:color w:val="000000" w:themeColor="text1"/>
                    </w:rPr>
                    <w:t xml:space="preserve">Ak áno, uveďte, ktorých vplyvov podľa bodu 9 sa </w:t>
                  </w:r>
                  <w:proofErr w:type="spellStart"/>
                  <w:r w:rsidRPr="00F92806">
                    <w:rPr>
                      <w:i/>
                      <w:iCs/>
                      <w:color w:val="000000" w:themeColor="text1"/>
                    </w:rPr>
                    <w:t>goldplating</w:t>
                  </w:r>
                  <w:proofErr w:type="spellEnd"/>
                  <w:r w:rsidRPr="00F92806">
                    <w:rPr>
                      <w:i/>
                      <w:iCs/>
                      <w:color w:val="000000" w:themeColor="text1"/>
                    </w:rPr>
                    <w:t xml:space="preserve"> týka: </w:t>
                  </w:r>
                </w:p>
              </w:tc>
            </w:tr>
          </w:tbl>
          <w:p w14:paraId="2F069790" w14:textId="77777777" w:rsidR="00AC2E7D" w:rsidRPr="00F92806" w:rsidRDefault="00AC2E7D" w:rsidP="00AC2E7D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AC2E7D" w:rsidRPr="00F92806" w14:paraId="405C51F3" w14:textId="77777777" w:rsidTr="00941A98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85EC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6D79C4FF" w14:textId="77777777" w:rsidTr="00941A9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0C0BF5B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Preskúmanie účelnosti</w:t>
            </w:r>
          </w:p>
        </w:tc>
      </w:tr>
      <w:tr w:rsidR="00AC2E7D" w:rsidRPr="00F92806" w14:paraId="26689D95" w14:textId="77777777" w:rsidTr="00941A98">
        <w:tc>
          <w:tcPr>
            <w:tcW w:w="9180" w:type="dxa"/>
            <w:gridSpan w:val="11"/>
            <w:tcBorders>
              <w:top w:val="single" w:sz="4" w:space="0" w:color="FFFFFF"/>
            </w:tcBorders>
            <w:shd w:val="clear" w:color="auto" w:fill="FFFFFF"/>
          </w:tcPr>
          <w:p w14:paraId="73875AA7" w14:textId="3187B769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K preskúmaniu účinnosti a účelnosti prijatého návrhu zákona by sa malo pristúpiť  nasledujúci  kalendárny rok po nadobudnutí účinnosti </w:t>
            </w:r>
            <w:r w:rsidR="00466CEF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návrhu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zákona v navrhovanom znení, pričom kritériá na preskúmanie účinnosti a účelnosti </w:t>
            </w:r>
            <w:r w:rsidR="00466CEF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návrhu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zákona by mali byť nasledovné:</w:t>
            </w:r>
          </w:p>
          <w:p w14:paraId="361C0B9E" w14:textId="70EC3A38" w:rsidR="00AC2E7D" w:rsidRPr="00F92806" w:rsidRDefault="00AC2E7D" w:rsidP="00AC2E7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" w:hAnsi="Times" w:cs="Times"/>
                <w:sz w:val="24"/>
                <w:szCs w:val="24"/>
              </w:rPr>
              <w:t>efektivita nov</w:t>
            </w:r>
            <w:r w:rsidR="00EF36DB" w:rsidRPr="00F92806">
              <w:rPr>
                <w:rFonts w:ascii="Times" w:hAnsi="Times" w:cs="Times"/>
                <w:sz w:val="24"/>
                <w:szCs w:val="24"/>
              </w:rPr>
              <w:t xml:space="preserve">ého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proces</w:t>
            </w:r>
            <w:r w:rsidR="00EF36DB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u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zverejňovania </w:t>
            </w:r>
            <w:r w:rsidR="00875BD4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výziev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CE6741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 podávanie žiadostí o poskytnutie prostriedkov, </w:t>
            </w:r>
          </w:p>
          <w:p w14:paraId="6CF675D3" w14:textId="1369BB2D" w:rsidR="00AC2E7D" w:rsidRPr="00F92806" w:rsidRDefault="00AC2E7D" w:rsidP="00AC2E7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počet vyradených subjektov pre formálne nedostatky – nedoloženie príloh k</w:t>
            </w:r>
            <w:r w:rsidR="0098149F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žiadosti</w:t>
            </w:r>
            <w:r w:rsidR="0098149F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,</w:t>
            </w:r>
          </w:p>
          <w:p w14:paraId="7E032325" w14:textId="77777777" w:rsidR="00AC2E7D" w:rsidRPr="00F92806" w:rsidRDefault="00AC2E7D" w:rsidP="00AC2E7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počet subjektov, ktorým sa poskytla podpora vo forme</w:t>
            </w:r>
            <w:r w:rsidR="0098149F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dotácie, úveru a/alebo formy úhrady,</w:t>
            </w:r>
          </w:p>
          <w:p w14:paraId="3DDEC642" w14:textId="0B8B36D7" w:rsidR="0098149F" w:rsidRPr="00F92806" w:rsidRDefault="001C30A6" w:rsidP="00AC2E7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posúdenie času spracovávania podaných žiadostí na fonde od ich prijatia</w:t>
            </w:r>
            <w:r w:rsidR="00C32D73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až po prípadné poskytnutie prostriedkov.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AC2E7D" w:rsidRPr="00F92806" w14:paraId="79696D28" w14:textId="77777777" w:rsidTr="00941A98">
        <w:tc>
          <w:tcPr>
            <w:tcW w:w="9180" w:type="dxa"/>
            <w:gridSpan w:val="11"/>
            <w:tcBorders>
              <w:top w:val="nil"/>
              <w:left w:val="nil"/>
              <w:right w:val="nil"/>
            </w:tcBorders>
            <w:shd w:val="clear" w:color="auto" w:fill="FFFFFF"/>
          </w:tcPr>
          <w:p w14:paraId="16721B2C" w14:textId="2427A682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14:paraId="6FD10877" w14:textId="6E91B003" w:rsidR="007D2273" w:rsidRPr="00F92806" w:rsidRDefault="007D2273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14:paraId="328929BF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14:paraId="53135828" w14:textId="77777777" w:rsidR="00AC2E7D" w:rsidRPr="00F92806" w:rsidRDefault="00AC2E7D" w:rsidP="00AC2E7D">
            <w:pPr>
              <w:ind w:left="142" w:hanging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829D338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5E24A525" w14:textId="390FE10D" w:rsidR="007D2273" w:rsidRPr="00F92806" w:rsidRDefault="007D2273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14:paraId="6DD4024E" w14:textId="0184C921" w:rsidR="007D2273" w:rsidRPr="00F92806" w:rsidRDefault="007D2273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AC2E7D" w:rsidRPr="00F92806" w14:paraId="3FDD4F37" w14:textId="77777777" w:rsidTr="00941A98">
        <w:trPr>
          <w:trHeight w:val="283"/>
        </w:trPr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  <w:vAlign w:val="center"/>
          </w:tcPr>
          <w:p w14:paraId="5C8D9D6D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Vybrané vplyvy  materiálu</w:t>
            </w:r>
          </w:p>
        </w:tc>
      </w:tr>
      <w:tr w:rsidR="00AC2E7D" w:rsidRPr="00F92806" w14:paraId="5D0AA566" w14:textId="77777777" w:rsidTr="00941A98">
        <w:tc>
          <w:tcPr>
            <w:tcW w:w="3812" w:type="dxa"/>
            <w:tcBorders>
              <w:bottom w:val="nil"/>
            </w:tcBorders>
            <w:shd w:val="clear" w:color="auto" w:fill="E2E2E2"/>
          </w:tcPr>
          <w:p w14:paraId="2834CB0C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bottom w:val="dotted" w:sz="4" w:space="0" w:color="auto"/>
              <w:right w:val="nil"/>
            </w:tcBorders>
          </w:tcPr>
          <w:p w14:paraId="0C5E4B94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1886136E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6AA4324F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133" w:type="dxa"/>
            <w:tcBorders>
              <w:left w:val="nil"/>
              <w:bottom w:val="dotted" w:sz="4" w:space="0" w:color="auto"/>
              <w:right w:val="nil"/>
            </w:tcBorders>
          </w:tcPr>
          <w:p w14:paraId="382AE840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611CBA23" w14:textId="77777777" w:rsidR="00AC2E7D" w:rsidRPr="00F92806" w:rsidRDefault="00AC2E7D" w:rsidP="00AC2E7D">
            <w:pPr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1297" w:type="dxa"/>
            <w:tcBorders>
              <w:left w:val="nil"/>
              <w:bottom w:val="dotted" w:sz="4" w:space="0" w:color="auto"/>
            </w:tcBorders>
          </w:tcPr>
          <w:p w14:paraId="261DB738" w14:textId="77777777" w:rsidR="00AC2E7D" w:rsidRPr="00F92806" w:rsidRDefault="00AC2E7D" w:rsidP="00AC2E7D">
            <w:pPr>
              <w:ind w:left="34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AC2E7D" w:rsidRPr="00F92806" w14:paraId="256D5FD3" w14:textId="77777777" w:rsidTr="00941A98">
        <w:tc>
          <w:tcPr>
            <w:tcW w:w="3812" w:type="dxa"/>
            <w:tcBorders>
              <w:top w:val="nil"/>
              <w:bottom w:val="single" w:sz="4" w:space="0" w:color="000000"/>
            </w:tcBorders>
            <w:shd w:val="clear" w:color="auto" w:fill="E2E2E2"/>
          </w:tcPr>
          <w:p w14:paraId="7719DC0F" w14:textId="6379A11C" w:rsidR="00AC2E7D" w:rsidRPr="00F92806" w:rsidRDefault="00F92806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 toho rozpočtovo zabezpečené vplyvy, </w:t>
            </w:r>
            <w:r w:rsidR="00AC2E7D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v prípa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de identifikovaného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negatívneho</w:t>
            </w:r>
            <w:r w:rsidR="00AC2E7D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vplyvu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361C2D87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20B541B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7A67543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7ED6316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8FEEB01" w14:textId="77777777" w:rsidR="00AC2E7D" w:rsidRPr="00F92806" w:rsidRDefault="00AC2E7D" w:rsidP="00AC2E7D">
            <w:pPr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</w:tcBorders>
            <w:vAlign w:val="center"/>
          </w:tcPr>
          <w:p w14:paraId="268A5F0E" w14:textId="77777777" w:rsidR="00AC2E7D" w:rsidRPr="00F92806" w:rsidRDefault="00AC2E7D" w:rsidP="00AC2E7D">
            <w:pPr>
              <w:ind w:left="3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Čiastočne</w:t>
            </w:r>
          </w:p>
        </w:tc>
      </w:tr>
      <w:tr w:rsidR="00AC2E7D" w:rsidRPr="00F92806" w14:paraId="06F9163B" w14:textId="77777777" w:rsidTr="00941A98">
        <w:tc>
          <w:tcPr>
            <w:tcW w:w="3812" w:type="dxa"/>
            <w:tcBorders>
              <w:top w:val="single" w:sz="4" w:space="0" w:color="000000"/>
              <w:bottom w:val="nil"/>
            </w:tcBorders>
            <w:shd w:val="clear" w:color="auto" w:fill="E2E2E2"/>
          </w:tcPr>
          <w:p w14:paraId="7001DCEB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12851737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1312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6D84591" w14:textId="77777777" w:rsidR="00AC2E7D" w:rsidRPr="00F92806" w:rsidRDefault="00AC2E7D" w:rsidP="00AC2E7D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1F18214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13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917E7CC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5244F3C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left w:val="nil"/>
              <w:bottom w:val="dotted" w:sz="4" w:space="0" w:color="auto"/>
            </w:tcBorders>
            <w:vAlign w:val="center"/>
          </w:tcPr>
          <w:p w14:paraId="2D007E46" w14:textId="77777777" w:rsidR="00AC2E7D" w:rsidRPr="00F92806" w:rsidRDefault="00AC2E7D" w:rsidP="00AC2E7D">
            <w:pPr>
              <w:ind w:left="54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AC2E7D" w:rsidRPr="00F92806" w14:paraId="77F10890" w14:textId="77777777" w:rsidTr="00941A98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CD67DE6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z toho vplyvy na MSP</w:t>
            </w:r>
          </w:p>
          <w:p w14:paraId="6BA89753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3DC242E3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8CE27E" w14:textId="77777777" w:rsidR="00AC2E7D" w:rsidRPr="00F92806" w:rsidRDefault="00AC2E7D" w:rsidP="00AC2E7D">
            <w:pPr>
              <w:ind w:right="-108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D9E86C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B63940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BF00B2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48AB290" w14:textId="77777777" w:rsidR="00AC2E7D" w:rsidRPr="00F92806" w:rsidRDefault="00AC2E7D" w:rsidP="00AC2E7D">
            <w:pPr>
              <w:ind w:left="5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Negatívne</w:t>
            </w:r>
          </w:p>
        </w:tc>
      </w:tr>
      <w:tr w:rsidR="00AC2E7D" w:rsidRPr="00F92806" w14:paraId="29BC1EB5" w14:textId="77777777" w:rsidTr="00941A98">
        <w:tc>
          <w:tcPr>
            <w:tcW w:w="3812" w:type="dxa"/>
            <w:tcBorders>
              <w:top w:val="nil"/>
            </w:tcBorders>
            <w:shd w:val="clear" w:color="auto" w:fill="E2E2E2"/>
          </w:tcPr>
          <w:p w14:paraId="74E27CBD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Mechanizmus znižovania byrokracie    </w:t>
            </w:r>
          </w:p>
          <w:p w14:paraId="2FD84563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a nákladov sa uplatňuje: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16EAC201" w14:textId="625AA8A5" w:rsidR="00AC2E7D" w:rsidRPr="00F92806" w:rsidRDefault="00BA491A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1596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7216E70" w14:textId="77777777" w:rsidR="00AC2E7D" w:rsidRPr="00F92806" w:rsidRDefault="00AC2E7D" w:rsidP="00AC2E7D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896A2DD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5F2F2DD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45C0EC9" w14:textId="73B2FF9C" w:rsidR="00AC2E7D" w:rsidRPr="00F92806" w:rsidRDefault="00BA491A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</w:tcBorders>
            <w:vAlign w:val="center"/>
          </w:tcPr>
          <w:p w14:paraId="5AAFEA4B" w14:textId="77777777" w:rsidR="00AC2E7D" w:rsidRPr="00F92806" w:rsidRDefault="00AC2E7D" w:rsidP="00AC2E7D">
            <w:pPr>
              <w:ind w:left="54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Nie</w:t>
            </w:r>
          </w:p>
        </w:tc>
      </w:tr>
      <w:tr w:rsidR="00AC2E7D" w:rsidRPr="00F92806" w14:paraId="6F022556" w14:textId="77777777" w:rsidTr="00941A98">
        <w:tc>
          <w:tcPr>
            <w:tcW w:w="3812" w:type="dxa"/>
            <w:tcBorders>
              <w:top w:val="single" w:sz="4" w:space="0" w:color="000000"/>
            </w:tcBorders>
            <w:shd w:val="clear" w:color="auto" w:fill="E2E2E2"/>
          </w:tcPr>
          <w:p w14:paraId="30F2C8F7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14:paraId="6D1482F2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left w:val="nil"/>
              <w:right w:val="nil"/>
            </w:tcBorders>
          </w:tcPr>
          <w:p w14:paraId="46F0683D" w14:textId="77777777" w:rsidR="00AC2E7D" w:rsidRPr="00F92806" w:rsidRDefault="00AC2E7D" w:rsidP="00AC2E7D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</w:tcPr>
          <w:p w14:paraId="0FDBBC69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7BD7D039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14:paraId="215C10DF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14:paraId="63FFFFB8" w14:textId="77777777" w:rsidR="00AC2E7D" w:rsidRPr="00F92806" w:rsidRDefault="00AC2E7D" w:rsidP="00AC2E7D">
            <w:pPr>
              <w:ind w:left="54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AC2E7D" w:rsidRPr="00F92806" w14:paraId="1FA9C56A" w14:textId="77777777" w:rsidTr="00941A98">
        <w:tc>
          <w:tcPr>
            <w:tcW w:w="3812" w:type="dxa"/>
            <w:shd w:val="clear" w:color="auto" w:fill="E2E2E2"/>
          </w:tcPr>
          <w:p w14:paraId="405F38DF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14:paraId="20159AC1" w14:textId="1F1FD5AB" w:rsidR="00AC2E7D" w:rsidRPr="00F92806" w:rsidRDefault="0063166A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left w:val="nil"/>
              <w:right w:val="nil"/>
            </w:tcBorders>
          </w:tcPr>
          <w:p w14:paraId="77DEAC7C" w14:textId="77777777" w:rsidR="00AC2E7D" w:rsidRPr="00F92806" w:rsidRDefault="00AC2E7D" w:rsidP="00AC2E7D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</w:tcPr>
          <w:p w14:paraId="348C111A" w14:textId="34FD0C92" w:rsidR="00AC2E7D" w:rsidRPr="00F92806" w:rsidRDefault="0063166A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7C78D641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14:paraId="42C06437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14:paraId="69D15B55" w14:textId="77777777" w:rsidR="00AC2E7D" w:rsidRPr="00F92806" w:rsidRDefault="00AC2E7D" w:rsidP="00AC2E7D">
            <w:pPr>
              <w:ind w:left="54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AC2E7D" w:rsidRPr="00F92806" w14:paraId="257969EC" w14:textId="77777777" w:rsidTr="00941A98">
        <w:tc>
          <w:tcPr>
            <w:tcW w:w="3812" w:type="dxa"/>
            <w:shd w:val="clear" w:color="auto" w:fill="E2E2E2"/>
          </w:tcPr>
          <w:p w14:paraId="4F073ECF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Vplyvy na informatizáciu spoločnosti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14:paraId="64017A17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left w:val="nil"/>
              <w:right w:val="nil"/>
            </w:tcBorders>
          </w:tcPr>
          <w:p w14:paraId="27B5BDF7" w14:textId="77777777" w:rsidR="00AC2E7D" w:rsidRPr="00F92806" w:rsidRDefault="00AC2E7D" w:rsidP="00AC2E7D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</w:tcPr>
          <w:p w14:paraId="02457F01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3F260DC6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14:paraId="31EB388E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14:paraId="27E55EFA" w14:textId="77777777" w:rsidR="00AC2E7D" w:rsidRPr="00F92806" w:rsidRDefault="00AC2E7D" w:rsidP="00AC2E7D">
            <w:pPr>
              <w:ind w:left="54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C2E7D" w:rsidRPr="00F92806" w14:paraId="08E9B349" w14:textId="77777777" w:rsidTr="00941A98">
        <w:tc>
          <w:tcPr>
            <w:tcW w:w="3812" w:type="dxa"/>
            <w:tcBorders>
              <w:bottom w:val="nil"/>
            </w:tcBorders>
            <w:shd w:val="clear" w:color="auto" w:fill="E2E2E2"/>
          </w:tcPr>
          <w:p w14:paraId="3DE1590D" w14:textId="77777777" w:rsidR="00AC2E7D" w:rsidRPr="00F92806" w:rsidRDefault="00AC2E7D" w:rsidP="00AC2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bottom w:val="nil"/>
              <w:right w:val="nil"/>
            </w:tcBorders>
          </w:tcPr>
          <w:p w14:paraId="09222B28" w14:textId="77777777" w:rsidR="00AC2E7D" w:rsidRPr="00F92806" w:rsidRDefault="00AC2E7D" w:rsidP="00AC2E7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7EDE526D" w14:textId="77777777" w:rsidR="00AC2E7D" w:rsidRPr="00F92806" w:rsidRDefault="00AC2E7D" w:rsidP="00AC2E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left w:val="nil"/>
              <w:bottom w:val="nil"/>
              <w:right w:val="nil"/>
            </w:tcBorders>
          </w:tcPr>
          <w:p w14:paraId="320D28F1" w14:textId="77777777" w:rsidR="00AC2E7D" w:rsidRPr="00F92806" w:rsidRDefault="00AC2E7D" w:rsidP="00AC2E7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14:paraId="3DE87D71" w14:textId="77777777" w:rsidR="00AC2E7D" w:rsidRPr="00F92806" w:rsidRDefault="00AC2E7D" w:rsidP="00AC2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14:paraId="1B21345D" w14:textId="77777777" w:rsidR="00AC2E7D" w:rsidRPr="00F92806" w:rsidRDefault="00AC2E7D" w:rsidP="00AC2E7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297" w:type="dxa"/>
            <w:tcBorders>
              <w:left w:val="nil"/>
              <w:bottom w:val="nil"/>
            </w:tcBorders>
          </w:tcPr>
          <w:p w14:paraId="63E2A53B" w14:textId="77777777" w:rsidR="00AC2E7D" w:rsidRPr="00F92806" w:rsidRDefault="00AC2E7D" w:rsidP="00AC2E7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AC2E7D" w:rsidRPr="00F92806" w14:paraId="2F3906B4" w14:textId="77777777" w:rsidTr="00941A98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14:paraId="088FABC0" w14:textId="77777777" w:rsidR="00AC2E7D" w:rsidRPr="00F92806" w:rsidRDefault="00AC2E7D" w:rsidP="00AC2E7D">
            <w:pPr>
              <w:spacing w:after="0" w:line="240" w:lineRule="auto"/>
              <w:ind w:left="196" w:hanging="19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928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bottom w:val="dotted" w:sz="4" w:space="0" w:color="auto"/>
              <w:right w:val="nil"/>
            </w:tcBorders>
          </w:tcPr>
          <w:p w14:paraId="0ABC8905" w14:textId="77777777" w:rsidR="00AC2E7D" w:rsidRPr="00F92806" w:rsidRDefault="00AC2E7D" w:rsidP="00AC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MS Gothic" w:eastAsia="MS Gothic" w:hAnsi="MS Gothic" w:cs="Times New Roman" w:hint="eastAsia"/>
                <w:b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E134FE" w14:textId="77777777" w:rsidR="00AC2E7D" w:rsidRPr="00F92806" w:rsidRDefault="00AC2E7D" w:rsidP="00AC2E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Pozitívne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BAEC9C" w14:textId="77777777" w:rsidR="00AC2E7D" w:rsidRPr="00F92806" w:rsidRDefault="00AC2E7D" w:rsidP="00AC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MS Gothic" w:eastAsia="MS Gothic" w:hAnsi="MS Gothic" w:cs="Times New Roman" w:hint="eastAsia"/>
                <w:b/>
                <w:kern w:val="0"/>
                <w:sz w:val="24"/>
                <w:szCs w:val="24"/>
                <w:lang w:eastAsia="sk-SK"/>
                <w14:ligatures w14:val="none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13EBB8" w14:textId="77777777" w:rsidR="00AC2E7D" w:rsidRPr="00F92806" w:rsidRDefault="00AC2E7D" w:rsidP="00AC2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46E3E3" w14:textId="77777777" w:rsidR="00AC2E7D" w:rsidRPr="00F92806" w:rsidRDefault="00AC2E7D" w:rsidP="00AC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MS Gothic" w:eastAsia="MS Gothic" w:hAnsi="MS Gothic" w:cs="Times New Roman" w:hint="eastAsia"/>
                <w:b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auto"/>
            </w:tcBorders>
          </w:tcPr>
          <w:p w14:paraId="72A1409F" w14:textId="77777777" w:rsidR="00AC2E7D" w:rsidRPr="00F92806" w:rsidRDefault="00AC2E7D" w:rsidP="00AC2E7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Negatívne</w:t>
            </w:r>
          </w:p>
        </w:tc>
      </w:tr>
      <w:tr w:rsidR="00AC2E7D" w:rsidRPr="00F92806" w14:paraId="618C3265" w14:textId="77777777" w:rsidTr="00941A98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14:paraId="39C2F372" w14:textId="77777777" w:rsidR="00AC2E7D" w:rsidRPr="00F92806" w:rsidRDefault="00AC2E7D" w:rsidP="00AC2E7D">
            <w:pPr>
              <w:spacing w:after="0" w:line="240" w:lineRule="auto"/>
              <w:ind w:left="168" w:hanging="16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928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021DE8" w14:textId="77777777" w:rsidR="00AC2E7D" w:rsidRPr="00F92806" w:rsidRDefault="00AC2E7D" w:rsidP="00AC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MS Gothic" w:eastAsia="MS Gothic" w:hAnsi="MS Gothic" w:cs="Times New Roman" w:hint="eastAsia"/>
                <w:b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41F750" w14:textId="77777777" w:rsidR="00AC2E7D" w:rsidRPr="00F92806" w:rsidRDefault="00AC2E7D" w:rsidP="00AC2E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Pozitívne</w:t>
            </w:r>
          </w:p>
        </w:tc>
        <w:tc>
          <w:tcPr>
            <w:tcW w:w="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B9B472" w14:textId="77777777" w:rsidR="00AC2E7D" w:rsidRPr="00F92806" w:rsidRDefault="00AC2E7D" w:rsidP="00AC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MS Gothic" w:eastAsia="MS Gothic" w:hAnsi="MS Gothic" w:cs="Times New Roman" w:hint="eastAsia"/>
                <w:b/>
                <w:kern w:val="0"/>
                <w:sz w:val="24"/>
                <w:szCs w:val="24"/>
                <w:lang w:eastAsia="sk-SK"/>
                <w14:ligatures w14:val="none"/>
              </w:rPr>
              <w:t>☒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4C40F8" w14:textId="77777777" w:rsidR="00AC2E7D" w:rsidRPr="00F92806" w:rsidRDefault="00AC2E7D" w:rsidP="00AC2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Žiadne</w:t>
            </w: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6555D7" w14:textId="77777777" w:rsidR="00AC2E7D" w:rsidRPr="00F92806" w:rsidRDefault="00AC2E7D" w:rsidP="00AC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MS Gothic" w:eastAsia="MS Gothic" w:hAnsi="MS Gothic" w:cs="Times New Roman" w:hint="eastAsia"/>
                <w:b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19AFA96" w14:textId="77777777" w:rsidR="00AC2E7D" w:rsidRPr="00F92806" w:rsidRDefault="00AC2E7D" w:rsidP="00AC2E7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F928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C2E7D" w:rsidRPr="00F92806" w14:paraId="6D044B94" w14:textId="77777777" w:rsidTr="00941A98">
        <w:tc>
          <w:tcPr>
            <w:tcW w:w="3812" w:type="dxa"/>
            <w:tcBorders>
              <w:top w:val="single" w:sz="4" w:space="0" w:color="000000"/>
            </w:tcBorders>
            <w:shd w:val="clear" w:color="auto" w:fill="E2E2E2"/>
          </w:tcPr>
          <w:p w14:paraId="5A7627BA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Vplyvy na manželstvo, rodičovstvo a rodinu</w:t>
            </w:r>
          </w:p>
        </w:tc>
        <w:tc>
          <w:tcPr>
            <w:tcW w:w="541" w:type="dxa"/>
            <w:tcBorders>
              <w:right w:val="nil"/>
            </w:tcBorders>
            <w:vAlign w:val="center"/>
          </w:tcPr>
          <w:p w14:paraId="01DEFF03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tcBorders>
              <w:left w:val="nil"/>
              <w:right w:val="nil"/>
            </w:tcBorders>
            <w:vAlign w:val="center"/>
          </w:tcPr>
          <w:p w14:paraId="62E9D3E7" w14:textId="77777777" w:rsidR="00AC2E7D" w:rsidRPr="00F92806" w:rsidRDefault="00AC2E7D" w:rsidP="00AC2E7D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tcBorders>
              <w:left w:val="nil"/>
              <w:right w:val="nil"/>
            </w:tcBorders>
            <w:vAlign w:val="center"/>
          </w:tcPr>
          <w:p w14:paraId="3F733F81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435808A3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235027B7" w14:textId="77777777" w:rsidR="00AC2E7D" w:rsidRPr="00F92806" w:rsidRDefault="00AC2E7D" w:rsidP="00AC2E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MS Gothic" w:eastAsia="MS Gothic" w:hAnsi="MS Gothic" w:hint="eastAsia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vAlign w:val="center"/>
          </w:tcPr>
          <w:p w14:paraId="55104A6E" w14:textId="77777777" w:rsidR="00AC2E7D" w:rsidRPr="00F92806" w:rsidRDefault="00AC2E7D" w:rsidP="00AC2E7D">
            <w:pPr>
              <w:ind w:left="54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</w:tbl>
    <w:p w14:paraId="58D46300" w14:textId="77777777" w:rsidR="00AC2E7D" w:rsidRPr="00F92806" w:rsidRDefault="00AC2E7D" w:rsidP="00AC2E7D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C2E7D" w:rsidRPr="00F92806" w14:paraId="4389EFE0" w14:textId="77777777" w:rsidTr="00941A98">
        <w:tc>
          <w:tcPr>
            <w:tcW w:w="9176" w:type="dxa"/>
            <w:tcBorders>
              <w:bottom w:val="nil"/>
            </w:tcBorders>
            <w:shd w:val="clear" w:color="auto" w:fill="E2E2E2"/>
          </w:tcPr>
          <w:p w14:paraId="66E6E91D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Poznámky</w:t>
            </w:r>
          </w:p>
        </w:tc>
      </w:tr>
      <w:tr w:rsidR="00AC2E7D" w:rsidRPr="00F92806" w14:paraId="0DA1C980" w14:textId="77777777" w:rsidTr="00941A98">
        <w:trPr>
          <w:trHeight w:val="713"/>
        </w:trPr>
        <w:tc>
          <w:tcPr>
            <w:tcW w:w="9176" w:type="dxa"/>
            <w:tcBorders>
              <w:top w:val="nil"/>
              <w:bottom w:val="single" w:sz="4" w:space="0" w:color="FFFFFF"/>
            </w:tcBorders>
          </w:tcPr>
          <w:p w14:paraId="1DC44542" w14:textId="77777777" w:rsidR="00AC2E7D" w:rsidRPr="00F92806" w:rsidRDefault="00AC2E7D" w:rsidP="00AC2E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E7D" w:rsidRPr="00F92806" w14:paraId="4CF7DDBC" w14:textId="77777777" w:rsidTr="00941A98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14:paraId="12BBE2C8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Kontakt na spracovateľa</w:t>
            </w:r>
          </w:p>
        </w:tc>
      </w:tr>
      <w:tr w:rsidR="00AC2E7D" w:rsidRPr="00F92806" w14:paraId="7B337237" w14:textId="77777777" w:rsidTr="00941A98">
        <w:trPr>
          <w:trHeight w:val="586"/>
        </w:trPr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14:paraId="5C024F49" w14:textId="1E03EE50" w:rsidR="00AC2E7D" w:rsidRPr="00F92806" w:rsidRDefault="00BA491A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JUDr.</w:t>
            </w:r>
            <w:r w:rsidR="00AC2E7D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Martin Janík,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riaditeľ</w:t>
            </w:r>
            <w:r w:rsidR="00AC2E7D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odboru práva </w:t>
            </w:r>
          </w:p>
          <w:p w14:paraId="5FA88320" w14:textId="77777777" w:rsidR="00AC2E7D" w:rsidRPr="00F92806" w:rsidRDefault="0074413C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hyperlink r:id="rId7" w:history="1">
              <w:r w:rsidR="00AC2E7D" w:rsidRPr="00F9280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sk-SK"/>
                </w:rPr>
                <w:t>janik@envirofond.sk</w:t>
              </w:r>
            </w:hyperlink>
          </w:p>
          <w:p w14:paraId="5EBB5A22" w14:textId="0A2AC6D2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Ing. Andrea Štefániková, MBA, </w:t>
            </w:r>
            <w:r w:rsidR="00BA491A"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riaditeľka </w:t>
            </w:r>
            <w:r w:rsidRPr="00F92806">
              <w:rPr>
                <w:rFonts w:ascii="Times New Roman" w:hAnsi="Times New Roman"/>
                <w:sz w:val="24"/>
                <w:szCs w:val="24"/>
                <w:lang w:eastAsia="sk-SK"/>
              </w:rPr>
              <w:t>odboru ekonomických činností</w:t>
            </w:r>
          </w:p>
          <w:p w14:paraId="547DBFB0" w14:textId="77777777" w:rsidR="00AC2E7D" w:rsidRPr="00F92806" w:rsidRDefault="0074413C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hyperlink r:id="rId8" w:history="1">
              <w:r w:rsidR="00AC2E7D" w:rsidRPr="00F9280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sk-SK"/>
                </w:rPr>
                <w:t>stefanikova@envirofond.sk</w:t>
              </w:r>
            </w:hyperlink>
          </w:p>
          <w:p w14:paraId="772FAE02" w14:textId="77777777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5F2BD232" w14:textId="77777777" w:rsidTr="00941A98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14:paraId="7FB1B2F8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Zdroje</w:t>
            </w:r>
          </w:p>
        </w:tc>
      </w:tr>
      <w:tr w:rsidR="00AC2E7D" w:rsidRPr="00F92806" w14:paraId="1D28A646" w14:textId="77777777" w:rsidTr="00941A98">
        <w:trPr>
          <w:trHeight w:val="401"/>
        </w:trPr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14:paraId="670DF2CE" w14:textId="2A208123" w:rsidR="00AC2E7D" w:rsidRPr="00F92806" w:rsidRDefault="00AC2E7D" w:rsidP="00AC2E7D">
            <w:pPr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C2E7D" w:rsidRPr="00F92806" w14:paraId="75F59AB5" w14:textId="77777777" w:rsidTr="00941A98">
        <w:tc>
          <w:tcPr>
            <w:tcW w:w="9176" w:type="dxa"/>
            <w:tcBorders>
              <w:bottom w:val="single" w:sz="4" w:space="0" w:color="FFFFFF"/>
            </w:tcBorders>
            <w:shd w:val="clear" w:color="auto" w:fill="E2E2E2"/>
          </w:tcPr>
          <w:p w14:paraId="3B7F9250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Stanovisko Komisie na posudzovanie vybraných vplyvov z PPK č. 137/2021</w:t>
            </w:r>
            <w:r w:rsidRPr="00F92806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281CDA76" w14:textId="77777777" w:rsidR="00AC2E7D" w:rsidRPr="00F92806" w:rsidRDefault="00AC2E7D" w:rsidP="00AC2E7D">
            <w:pPr>
              <w:ind w:left="502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sz w:val="24"/>
                <w:szCs w:val="24"/>
              </w:rPr>
              <w:t>(v prípade, ak sa uskutočnilo v zmysle bodu 8.1 Jednotnej metodiky)</w:t>
            </w:r>
          </w:p>
        </w:tc>
      </w:tr>
      <w:tr w:rsidR="00AC2E7D" w:rsidRPr="00F92806" w14:paraId="217C563C" w14:textId="77777777" w:rsidTr="00941A98">
        <w:trPr>
          <w:trHeight w:val="1236"/>
        </w:trPr>
        <w:tc>
          <w:tcPr>
            <w:tcW w:w="9176" w:type="dxa"/>
            <w:tcBorders>
              <w:top w:val="single" w:sz="4" w:space="0" w:color="FFFFFF"/>
            </w:tcBorders>
            <w:shd w:val="clear" w:color="auto" w:fill="FFFFFF"/>
          </w:tcPr>
          <w:p w14:paraId="6A3D1AA5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C2E7D" w:rsidRPr="00F92806" w14:paraId="23B771CD" w14:textId="77777777" w:rsidTr="00941A98">
              <w:trPr>
                <w:trHeight w:val="396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426C0" w14:textId="77777777" w:rsidR="00AC2E7D" w:rsidRPr="00F92806" w:rsidRDefault="00AC2E7D" w:rsidP="00AC2E7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F92806">
                    <w:rPr>
                      <w:rFonts w:ascii="MS Gothic" w:eastAsia="MS Gothic" w:hAnsi="MS Gothic" w:hint="eastAsia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F92806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F626C" w14:textId="77777777" w:rsidR="00AC2E7D" w:rsidRPr="00F92806" w:rsidRDefault="00AC2E7D" w:rsidP="00AC2E7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F92806">
                    <w:rPr>
                      <w:rFonts w:ascii="MS Gothic" w:eastAsia="MS Gothic" w:hAnsi="MS Gothic" w:hint="eastAsia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F92806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FBECC" w14:textId="505B05F0" w:rsidR="00AC2E7D" w:rsidRPr="00F92806" w:rsidRDefault="00BA491A" w:rsidP="00AC2E7D">
                  <w:pPr>
                    <w:ind w:right="459"/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F92806">
                    <w:rPr>
                      <w:rFonts w:ascii="MS Gothic" w:eastAsia="MS Gothic" w:hAnsi="MS Gothic" w:hint="eastAsia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="00AC2E7D" w:rsidRPr="00F92806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4F958935" w14:textId="77777777" w:rsidR="00AC2E7D" w:rsidRPr="00F92806" w:rsidRDefault="00AC2E7D" w:rsidP="00AC2E7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Uveďte pripomienky zo stanoviska Komisie z časti II. spolu s Vaším vyhodnotením:</w:t>
            </w:r>
          </w:p>
          <w:p w14:paraId="36BD97E3" w14:textId="77777777" w:rsidR="00AC2E7D" w:rsidRPr="00F92806" w:rsidRDefault="00AC2E7D" w:rsidP="00AC2E7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14:paraId="1725D580" w14:textId="77777777" w:rsidR="00AC2E7D" w:rsidRPr="00F92806" w:rsidRDefault="00AC2E7D" w:rsidP="009854F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AC2E7D" w:rsidRPr="00F92806" w14:paraId="6D0E0310" w14:textId="77777777" w:rsidTr="00941A9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3A050142" w14:textId="77777777" w:rsidR="00AC2E7D" w:rsidRPr="00F92806" w:rsidRDefault="00AC2E7D" w:rsidP="00AC2E7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</w:rPr>
              <w:t>Stanovisko Komisie na posudzovanie vybraných vplyvov zo záverečného posúdenia č. ..........</w:t>
            </w:r>
            <w:r w:rsidRPr="00F92806">
              <w:rPr>
                <w:rFonts w:ascii="Times New Roman" w:hAnsi="Times New Roman"/>
                <w:sz w:val="24"/>
                <w:szCs w:val="24"/>
              </w:rPr>
              <w:t xml:space="preserve"> (v prípade, ak sa uskutočnilo v zmysle bodu 9.1. Jednotnej metodiky) </w:t>
            </w:r>
          </w:p>
        </w:tc>
      </w:tr>
      <w:tr w:rsidR="00AC2E7D" w:rsidRPr="00F92806" w14:paraId="7E8BFEF1" w14:textId="77777777" w:rsidTr="00941A9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bottom w:val="single" w:sz="4" w:space="0" w:color="auto"/>
            </w:tcBorders>
            <w:shd w:val="clear" w:color="auto" w:fill="FFFFFF"/>
          </w:tcPr>
          <w:p w14:paraId="4D985E98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C2E7D" w:rsidRPr="00F92806" w14:paraId="56D5BB5A" w14:textId="77777777" w:rsidTr="00941A98">
              <w:trPr>
                <w:trHeight w:val="396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1C8B4" w14:textId="77777777" w:rsidR="00AC2E7D" w:rsidRPr="00F92806" w:rsidRDefault="00AC2E7D" w:rsidP="00AC2E7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F92806">
                    <w:rPr>
                      <w:rFonts w:ascii="MS Gothic" w:eastAsia="MS Gothic" w:hAnsi="MS Gothic" w:hint="eastAsia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F92806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D9947" w14:textId="77777777" w:rsidR="00AC2E7D" w:rsidRPr="00F92806" w:rsidRDefault="00AC2E7D" w:rsidP="00AC2E7D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F92806">
                    <w:rPr>
                      <w:rFonts w:ascii="MS Gothic" w:eastAsia="MS Gothic" w:hAnsi="MS Gothic" w:hint="eastAsia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F92806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E043E" w14:textId="77777777" w:rsidR="00AC2E7D" w:rsidRPr="00F92806" w:rsidRDefault="00AC2E7D" w:rsidP="00AC2E7D">
                  <w:pPr>
                    <w:ind w:right="459"/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F92806">
                    <w:rPr>
                      <w:rFonts w:ascii="MS Gothic" w:eastAsia="MS Gothic" w:hAnsi="MS Gothic" w:hint="eastAsia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F92806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60815D0F" w14:textId="77777777" w:rsidR="00AC2E7D" w:rsidRPr="00F92806" w:rsidRDefault="00AC2E7D" w:rsidP="00AC2E7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F9280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Uveďte pripomienky zo stanoviska Komisie z časti II. spolu s Vaším vyhodnotením:</w:t>
            </w:r>
          </w:p>
          <w:p w14:paraId="5DDC01D5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14:paraId="5C3F2C1B" w14:textId="77777777" w:rsidR="00AC2E7D" w:rsidRPr="00F92806" w:rsidRDefault="00AC2E7D" w:rsidP="00AC2E7D">
            <w:pP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5BC05C69" w14:textId="77777777" w:rsidR="00AC2E7D" w:rsidRPr="00F92806" w:rsidRDefault="00AC2E7D" w:rsidP="00AC2E7D">
      <w:pP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2999BCDE" w14:textId="77777777" w:rsidR="00C16830" w:rsidRPr="00F92806" w:rsidRDefault="00C16830">
      <w:pPr>
        <w:rPr>
          <w:sz w:val="24"/>
          <w:szCs w:val="24"/>
        </w:rPr>
      </w:pPr>
    </w:p>
    <w:sectPr w:rsidR="00C16830" w:rsidRPr="00F92806" w:rsidSect="00AC2E7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63263" w14:textId="77777777" w:rsidR="0074413C" w:rsidRDefault="0074413C">
      <w:pPr>
        <w:spacing w:after="0" w:line="240" w:lineRule="auto"/>
      </w:pPr>
      <w:r>
        <w:separator/>
      </w:r>
    </w:p>
  </w:endnote>
  <w:endnote w:type="continuationSeparator" w:id="0">
    <w:p w14:paraId="536791EC" w14:textId="77777777" w:rsidR="0074413C" w:rsidRDefault="0074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2444E" w14:textId="5DD23F20" w:rsidR="00AC2E7D" w:rsidRPr="006045CB" w:rsidRDefault="00AC2E7D" w:rsidP="001B23B7">
    <w:pPr>
      <w:pStyle w:val="Pta1"/>
      <w:jc w:val="right"/>
      <w:rPr>
        <w:rFonts w:ascii="Times New Roman" w:hAnsi="Times New Roman"/>
        <w:sz w:val="24"/>
        <w:szCs w:val="24"/>
      </w:rPr>
    </w:pPr>
    <w:r w:rsidRPr="006045CB">
      <w:rPr>
        <w:rFonts w:ascii="Times New Roman" w:hAnsi="Times New Roman"/>
        <w:sz w:val="24"/>
        <w:szCs w:val="24"/>
      </w:rPr>
      <w:fldChar w:fldCharType="begin"/>
    </w:r>
    <w:r w:rsidRPr="006045CB">
      <w:rPr>
        <w:rFonts w:ascii="Times New Roman" w:hAnsi="Times New Roman"/>
        <w:sz w:val="24"/>
        <w:szCs w:val="24"/>
      </w:rPr>
      <w:instrText>PAGE   \* MERGEFORMAT</w:instrText>
    </w:r>
    <w:r w:rsidRPr="006045CB">
      <w:rPr>
        <w:rFonts w:ascii="Times New Roman" w:hAnsi="Times New Roman"/>
        <w:sz w:val="24"/>
        <w:szCs w:val="24"/>
      </w:rPr>
      <w:fldChar w:fldCharType="separate"/>
    </w:r>
    <w:r w:rsidR="006D259F">
      <w:rPr>
        <w:rFonts w:ascii="Times New Roman" w:hAnsi="Times New Roman"/>
        <w:noProof/>
        <w:sz w:val="24"/>
        <w:szCs w:val="24"/>
      </w:rPr>
      <w:t>2</w:t>
    </w:r>
    <w:r w:rsidRPr="006045CB">
      <w:rPr>
        <w:rFonts w:ascii="Times New Roman" w:hAnsi="Times New Roman"/>
        <w:sz w:val="24"/>
        <w:szCs w:val="24"/>
      </w:rPr>
      <w:fldChar w:fldCharType="end"/>
    </w:r>
  </w:p>
  <w:p w14:paraId="35634538" w14:textId="77777777" w:rsidR="00AC2E7D" w:rsidRDefault="00AC2E7D">
    <w:pPr>
      <w:pStyle w:val="Pt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3D6A4" w14:textId="77777777" w:rsidR="0074413C" w:rsidRDefault="0074413C">
      <w:pPr>
        <w:spacing w:after="0" w:line="240" w:lineRule="auto"/>
      </w:pPr>
      <w:r>
        <w:separator/>
      </w:r>
    </w:p>
  </w:footnote>
  <w:footnote w:type="continuationSeparator" w:id="0">
    <w:p w14:paraId="77680BB4" w14:textId="77777777" w:rsidR="0074413C" w:rsidRDefault="0074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60188" w14:textId="77777777" w:rsidR="00AC2E7D" w:rsidRPr="006045CB" w:rsidRDefault="00AC2E7D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6045CB">
      <w:rPr>
        <w:rFonts w:ascii="Times New Roman" w:hAnsi="Times New Roman"/>
        <w:sz w:val="24"/>
        <w:szCs w:val="24"/>
        <w:lang w:eastAsia="sk-SK"/>
      </w:rPr>
      <w:t xml:space="preserve">Príloha č. </w:t>
    </w:r>
    <w:r>
      <w:rPr>
        <w:rFonts w:ascii="Times New Roman" w:hAnsi="Times New Roman"/>
        <w:sz w:val="24"/>
        <w:szCs w:val="24"/>
        <w:lang w:eastAsia="sk-SK"/>
      </w:rPr>
      <w:t>1</w:t>
    </w:r>
  </w:p>
  <w:p w14:paraId="6495B2FE" w14:textId="77777777" w:rsidR="00AC2E7D" w:rsidRDefault="00AC2E7D">
    <w:pPr>
      <w:pStyle w:val="Hlavik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D0353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5F66D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7CA0025"/>
    <w:multiLevelType w:val="hybridMultilevel"/>
    <w:tmpl w:val="FFFFFFFF"/>
    <w:lvl w:ilvl="0" w:tplc="5E16E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DE54E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7D"/>
    <w:rsid w:val="00021464"/>
    <w:rsid w:val="00051E7D"/>
    <w:rsid w:val="000A457F"/>
    <w:rsid w:val="000E4870"/>
    <w:rsid w:val="00103EBC"/>
    <w:rsid w:val="0012420F"/>
    <w:rsid w:val="00146FF1"/>
    <w:rsid w:val="00171D92"/>
    <w:rsid w:val="00180486"/>
    <w:rsid w:val="00182BBF"/>
    <w:rsid w:val="001B1721"/>
    <w:rsid w:val="001B3596"/>
    <w:rsid w:val="001C30A6"/>
    <w:rsid w:val="001F0214"/>
    <w:rsid w:val="00212068"/>
    <w:rsid w:val="00276A0C"/>
    <w:rsid w:val="00282CAC"/>
    <w:rsid w:val="00285094"/>
    <w:rsid w:val="002D62BD"/>
    <w:rsid w:val="002D6FA4"/>
    <w:rsid w:val="00305825"/>
    <w:rsid w:val="003128C7"/>
    <w:rsid w:val="003333EF"/>
    <w:rsid w:val="00372188"/>
    <w:rsid w:val="00392BBA"/>
    <w:rsid w:val="003E32D6"/>
    <w:rsid w:val="003F3C8C"/>
    <w:rsid w:val="0043282E"/>
    <w:rsid w:val="00466CEF"/>
    <w:rsid w:val="004702F8"/>
    <w:rsid w:val="004907AF"/>
    <w:rsid w:val="00494A5B"/>
    <w:rsid w:val="00495EB4"/>
    <w:rsid w:val="004C2812"/>
    <w:rsid w:val="004C5AEE"/>
    <w:rsid w:val="005145DA"/>
    <w:rsid w:val="00567F38"/>
    <w:rsid w:val="006003FD"/>
    <w:rsid w:val="00626F37"/>
    <w:rsid w:val="0063166A"/>
    <w:rsid w:val="00654CB8"/>
    <w:rsid w:val="006D259F"/>
    <w:rsid w:val="006E110E"/>
    <w:rsid w:val="0071358B"/>
    <w:rsid w:val="0074413C"/>
    <w:rsid w:val="0074550A"/>
    <w:rsid w:val="00771184"/>
    <w:rsid w:val="007D2273"/>
    <w:rsid w:val="00875BD4"/>
    <w:rsid w:val="0087635E"/>
    <w:rsid w:val="008839D5"/>
    <w:rsid w:val="008B5442"/>
    <w:rsid w:val="008D7744"/>
    <w:rsid w:val="008E6CDA"/>
    <w:rsid w:val="008E7299"/>
    <w:rsid w:val="009002EB"/>
    <w:rsid w:val="0090787C"/>
    <w:rsid w:val="00910E62"/>
    <w:rsid w:val="00917D34"/>
    <w:rsid w:val="0096197F"/>
    <w:rsid w:val="0098149F"/>
    <w:rsid w:val="009854FE"/>
    <w:rsid w:val="009A54F6"/>
    <w:rsid w:val="009A7231"/>
    <w:rsid w:val="00A2507F"/>
    <w:rsid w:val="00A3097A"/>
    <w:rsid w:val="00A6292C"/>
    <w:rsid w:val="00A9481B"/>
    <w:rsid w:val="00AC2E7D"/>
    <w:rsid w:val="00AD59BD"/>
    <w:rsid w:val="00B16D17"/>
    <w:rsid w:val="00B27535"/>
    <w:rsid w:val="00B423E0"/>
    <w:rsid w:val="00B4518A"/>
    <w:rsid w:val="00BA491A"/>
    <w:rsid w:val="00BB268F"/>
    <w:rsid w:val="00BC1C83"/>
    <w:rsid w:val="00C026B1"/>
    <w:rsid w:val="00C16830"/>
    <w:rsid w:val="00C32D73"/>
    <w:rsid w:val="00C53C43"/>
    <w:rsid w:val="00C87304"/>
    <w:rsid w:val="00CB20CF"/>
    <w:rsid w:val="00CC623B"/>
    <w:rsid w:val="00CC72FA"/>
    <w:rsid w:val="00CE6741"/>
    <w:rsid w:val="00D223DB"/>
    <w:rsid w:val="00D22927"/>
    <w:rsid w:val="00D426A8"/>
    <w:rsid w:val="00D960D5"/>
    <w:rsid w:val="00D9707F"/>
    <w:rsid w:val="00D9729A"/>
    <w:rsid w:val="00DC1E32"/>
    <w:rsid w:val="00DC7D58"/>
    <w:rsid w:val="00DE0AFC"/>
    <w:rsid w:val="00E028D8"/>
    <w:rsid w:val="00E525AE"/>
    <w:rsid w:val="00E526C4"/>
    <w:rsid w:val="00E63210"/>
    <w:rsid w:val="00E908F1"/>
    <w:rsid w:val="00EA3BBB"/>
    <w:rsid w:val="00EB03F4"/>
    <w:rsid w:val="00EB58DC"/>
    <w:rsid w:val="00EC6324"/>
    <w:rsid w:val="00EF36DB"/>
    <w:rsid w:val="00F1381B"/>
    <w:rsid w:val="00F56DAD"/>
    <w:rsid w:val="00F86808"/>
    <w:rsid w:val="00F92806"/>
    <w:rsid w:val="00FA647A"/>
    <w:rsid w:val="00FF074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8426"/>
  <w15:chartTrackingRefBased/>
  <w15:docId w15:val="{D818D79B-B655-4054-8B90-EA233F0B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C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2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2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2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2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2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2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2E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2E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2E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2E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2E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2E7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2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2E7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2E7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2E7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2E7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2E7D"/>
    <w:rPr>
      <w:b/>
      <w:bCs/>
      <w:smallCaps/>
      <w:color w:val="0F4761" w:themeColor="accent1" w:themeShade="BF"/>
      <w:spacing w:val="5"/>
    </w:rPr>
  </w:style>
  <w:style w:type="table" w:customStyle="1" w:styleId="Mriekatabuky1">
    <w:name w:val="Mriežka tabuľky1"/>
    <w:basedOn w:val="Normlnatabuka"/>
    <w:next w:val="Mriekatabuky"/>
    <w:uiPriority w:val="59"/>
    <w:rsid w:val="00AC2E7D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1">
    <w:name w:val="Hlavička1"/>
    <w:basedOn w:val="Normlny"/>
    <w:next w:val="Hlavika"/>
    <w:link w:val="HlavikaChar"/>
    <w:uiPriority w:val="99"/>
    <w:unhideWhenUsed/>
    <w:rsid w:val="00AC2E7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HlavikaChar">
    <w:name w:val="Hlavička Char"/>
    <w:basedOn w:val="Predvolenpsmoodseku"/>
    <w:link w:val="Hlavika1"/>
    <w:uiPriority w:val="99"/>
    <w:rsid w:val="00AC2E7D"/>
    <w:rPr>
      <w:rFonts w:cs="Times New Roman"/>
    </w:rPr>
  </w:style>
  <w:style w:type="paragraph" w:customStyle="1" w:styleId="Pta1">
    <w:name w:val="Päta1"/>
    <w:basedOn w:val="Normlny"/>
    <w:next w:val="Pta"/>
    <w:link w:val="PtaChar"/>
    <w:uiPriority w:val="99"/>
    <w:unhideWhenUsed/>
    <w:rsid w:val="00AC2E7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PtaChar">
    <w:name w:val="Päta Char"/>
    <w:basedOn w:val="Predvolenpsmoodseku"/>
    <w:link w:val="Pta1"/>
    <w:uiPriority w:val="99"/>
    <w:rsid w:val="00AC2E7D"/>
    <w:rPr>
      <w:rFonts w:cs="Times New Roman"/>
    </w:rPr>
  </w:style>
  <w:style w:type="table" w:styleId="Mriekatabuky">
    <w:name w:val="Table Grid"/>
    <w:basedOn w:val="Normlnatabuka"/>
    <w:uiPriority w:val="39"/>
    <w:rsid w:val="00AC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1"/>
    <w:uiPriority w:val="99"/>
    <w:semiHidden/>
    <w:unhideWhenUsed/>
    <w:rsid w:val="00AC2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semiHidden/>
    <w:rsid w:val="00AC2E7D"/>
  </w:style>
  <w:style w:type="paragraph" w:styleId="Pta">
    <w:name w:val="footer"/>
    <w:basedOn w:val="Normlny"/>
    <w:link w:val="PtaChar1"/>
    <w:uiPriority w:val="99"/>
    <w:semiHidden/>
    <w:unhideWhenUsed/>
    <w:rsid w:val="00AC2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semiHidden/>
    <w:rsid w:val="00AC2E7D"/>
  </w:style>
  <w:style w:type="paragraph" w:customStyle="1" w:styleId="Default">
    <w:name w:val="Default"/>
    <w:rsid w:val="007D2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kova@envirofond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ik@envirofond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 Martin</dc:creator>
  <cp:keywords/>
  <dc:description/>
  <cp:lastModifiedBy>Hanko Jaroslav</cp:lastModifiedBy>
  <cp:revision>102</cp:revision>
  <dcterms:created xsi:type="dcterms:W3CDTF">2025-08-31T18:52:00Z</dcterms:created>
  <dcterms:modified xsi:type="dcterms:W3CDTF">2025-10-01T11:04:00Z</dcterms:modified>
</cp:coreProperties>
</file>