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2D06" w14:textId="4DEF1760" w:rsidR="00A11918" w:rsidRPr="004C7EC8" w:rsidRDefault="00AF4CC1" w:rsidP="00547911">
      <w:pPr>
        <w:pStyle w:val="Zarkazkladnhotextu2"/>
        <w:spacing w:line="240" w:lineRule="auto"/>
        <w:ind w:left="-181"/>
        <w:jc w:val="center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Návrh rozpočtu Sociálnej poisťovne </w:t>
      </w:r>
      <w:r w:rsidR="00BA63ED" w:rsidRPr="004C7EC8">
        <w:rPr>
          <w:rFonts w:ascii="Times New Roman" w:hAnsi="Times New Roman"/>
          <w:b/>
          <w:szCs w:val="24"/>
        </w:rPr>
        <w:t xml:space="preserve">na rok </w:t>
      </w:r>
      <w:r w:rsidR="00496540">
        <w:rPr>
          <w:rFonts w:ascii="Times New Roman" w:hAnsi="Times New Roman"/>
          <w:b/>
          <w:szCs w:val="24"/>
        </w:rPr>
        <w:t>2026</w:t>
      </w:r>
      <w:r w:rsidR="00BA63ED" w:rsidRPr="004C7EC8">
        <w:rPr>
          <w:rFonts w:ascii="Times New Roman" w:hAnsi="Times New Roman"/>
          <w:b/>
          <w:szCs w:val="24"/>
        </w:rPr>
        <w:br/>
        <w:t>a rozpočtový výhľad</w:t>
      </w:r>
      <w:r w:rsidR="00A11918" w:rsidRPr="004C7EC8">
        <w:rPr>
          <w:rFonts w:ascii="Times New Roman" w:hAnsi="Times New Roman"/>
          <w:b/>
          <w:szCs w:val="24"/>
        </w:rPr>
        <w:t xml:space="preserve"> na roky </w:t>
      </w:r>
      <w:r w:rsidR="00496540">
        <w:rPr>
          <w:rFonts w:ascii="Times New Roman" w:hAnsi="Times New Roman"/>
          <w:b/>
          <w:szCs w:val="24"/>
        </w:rPr>
        <w:t>2027</w:t>
      </w:r>
      <w:r w:rsidR="00BA63ED" w:rsidRPr="004C7EC8">
        <w:rPr>
          <w:rFonts w:ascii="Times New Roman" w:hAnsi="Times New Roman"/>
          <w:b/>
          <w:szCs w:val="24"/>
        </w:rPr>
        <w:t xml:space="preserve"> a</w:t>
      </w:r>
      <w:r w:rsidR="006C0F88" w:rsidRPr="004C7EC8">
        <w:rPr>
          <w:rFonts w:ascii="Times New Roman" w:hAnsi="Times New Roman"/>
          <w:b/>
          <w:szCs w:val="24"/>
        </w:rPr>
        <w:t> </w:t>
      </w:r>
      <w:r w:rsidR="00496540">
        <w:rPr>
          <w:rFonts w:ascii="Times New Roman" w:hAnsi="Times New Roman"/>
          <w:b/>
          <w:szCs w:val="24"/>
        </w:rPr>
        <w:t>2028</w:t>
      </w:r>
      <w:r w:rsidR="00A11918" w:rsidRPr="004C7EC8">
        <w:rPr>
          <w:rFonts w:ascii="Times New Roman" w:hAnsi="Times New Roman"/>
          <w:b/>
          <w:szCs w:val="24"/>
        </w:rPr>
        <w:t xml:space="preserve"> </w:t>
      </w:r>
    </w:p>
    <w:p w14:paraId="670C1DE7" w14:textId="77777777" w:rsidR="00496540" w:rsidRDefault="00F11721" w:rsidP="00174594">
      <w:pPr>
        <w:spacing w:before="240" w:after="120"/>
        <w:ind w:firstLine="709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Návrh rozpočtu Sociálnej poisťovne na </w:t>
      </w:r>
      <w:r w:rsidR="00BA63ED" w:rsidRPr="004C7EC8">
        <w:rPr>
          <w:rFonts w:ascii="Times New Roman" w:hAnsi="Times New Roman"/>
        </w:rPr>
        <w:t xml:space="preserve">rok </w:t>
      </w:r>
      <w:r w:rsidR="00496540">
        <w:rPr>
          <w:rFonts w:ascii="Times New Roman" w:hAnsi="Times New Roman"/>
        </w:rPr>
        <w:t>2026</w:t>
      </w:r>
      <w:r w:rsidR="00226E1F">
        <w:rPr>
          <w:rFonts w:ascii="Times New Roman" w:hAnsi="Times New Roman"/>
        </w:rPr>
        <w:t xml:space="preserve"> </w:t>
      </w:r>
      <w:r w:rsidR="00BA63ED" w:rsidRPr="004C7EC8">
        <w:rPr>
          <w:rFonts w:ascii="Times New Roman" w:hAnsi="Times New Roman"/>
        </w:rPr>
        <w:t>a r</w:t>
      </w:r>
      <w:r w:rsidR="00F3420A" w:rsidRPr="004C7EC8">
        <w:rPr>
          <w:rFonts w:ascii="Times New Roman" w:hAnsi="Times New Roman"/>
        </w:rPr>
        <w:t xml:space="preserve">ozpočtový výhľad na roky </w:t>
      </w:r>
      <w:r w:rsidR="00496540">
        <w:rPr>
          <w:rFonts w:ascii="Times New Roman" w:hAnsi="Times New Roman"/>
        </w:rPr>
        <w:t>2027</w:t>
      </w:r>
      <w:r w:rsidR="00F3420A" w:rsidRPr="004C7EC8">
        <w:rPr>
          <w:rFonts w:ascii="Times New Roman" w:hAnsi="Times New Roman"/>
        </w:rPr>
        <w:t xml:space="preserve"> a</w:t>
      </w:r>
      <w:r w:rsidR="00226E1F">
        <w:rPr>
          <w:rFonts w:ascii="Times New Roman" w:hAnsi="Times New Roman"/>
        </w:rPr>
        <w:t> </w:t>
      </w:r>
      <w:r w:rsidR="00496540">
        <w:rPr>
          <w:rFonts w:ascii="Times New Roman" w:hAnsi="Times New Roman"/>
        </w:rPr>
        <w:t>2028</w:t>
      </w:r>
      <w:r w:rsidR="00226E1F">
        <w:rPr>
          <w:rFonts w:ascii="Times New Roman" w:hAnsi="Times New Roman"/>
        </w:rPr>
        <w:t xml:space="preserve"> </w:t>
      </w:r>
      <w:r w:rsidR="00BA63ED" w:rsidRPr="004C7EC8">
        <w:rPr>
          <w:rFonts w:ascii="Times New Roman" w:hAnsi="Times New Roman"/>
        </w:rPr>
        <w:t xml:space="preserve">(ďalej len „návrh rozpočtu na rok </w:t>
      </w:r>
      <w:r w:rsidR="00496540">
        <w:rPr>
          <w:rFonts w:ascii="Times New Roman" w:hAnsi="Times New Roman"/>
        </w:rPr>
        <w:t>2026</w:t>
      </w:r>
      <w:r w:rsidR="00BA63ED" w:rsidRPr="004C7EC8">
        <w:rPr>
          <w:rFonts w:ascii="Times New Roman" w:hAnsi="Times New Roman"/>
        </w:rPr>
        <w:t xml:space="preserve">“) </w:t>
      </w:r>
      <w:r w:rsidRPr="004C7EC8">
        <w:rPr>
          <w:rFonts w:ascii="Times New Roman" w:hAnsi="Times New Roman"/>
        </w:rPr>
        <w:t xml:space="preserve">je zostavený v podmienkach </w:t>
      </w:r>
      <w:r w:rsidR="00BA63ED" w:rsidRPr="004C7EC8">
        <w:rPr>
          <w:rFonts w:ascii="Times New Roman" w:hAnsi="Times New Roman"/>
          <w:szCs w:val="24"/>
        </w:rPr>
        <w:t>zákona č. </w:t>
      </w:r>
      <w:r w:rsidRPr="004C7EC8">
        <w:rPr>
          <w:rFonts w:ascii="Times New Roman" w:hAnsi="Times New Roman"/>
          <w:szCs w:val="24"/>
        </w:rPr>
        <w:t>461/2003 Z. z. o sociálnom poistení v znení neskorších predpisov (ďalej len „zákon o sociálnom poistení“)</w:t>
      </w:r>
      <w:r w:rsidRPr="004C7EC8">
        <w:rPr>
          <w:rFonts w:ascii="Times New Roman" w:hAnsi="Times New Roman"/>
        </w:rPr>
        <w:t xml:space="preserve"> účinných k termínu spracovávania materiálu</w:t>
      </w:r>
      <w:r w:rsidR="000F4D89">
        <w:rPr>
          <w:rFonts w:ascii="Times New Roman" w:hAnsi="Times New Roman"/>
        </w:rPr>
        <w:t>.</w:t>
      </w:r>
      <w:r w:rsidR="008115A9" w:rsidRPr="008115A9">
        <w:rPr>
          <w:rFonts w:ascii="Times New Roman" w:hAnsi="Times New Roman"/>
        </w:rPr>
        <w:t xml:space="preserve"> </w:t>
      </w:r>
    </w:p>
    <w:p w14:paraId="66FFF580" w14:textId="685F5CC5" w:rsidR="008115A9" w:rsidRDefault="001E3DAD" w:rsidP="00174594">
      <w:pPr>
        <w:spacing w:before="240" w:after="120"/>
        <w:ind w:firstLine="709"/>
        <w:jc w:val="both"/>
        <w:rPr>
          <w:rFonts w:ascii="Times New Roman" w:hAnsi="Times New Roman"/>
        </w:rPr>
      </w:pPr>
      <w:bookmarkStart w:id="0" w:name="_Hlk209705753"/>
      <w:r w:rsidRPr="004A1D04">
        <w:rPr>
          <w:rFonts w:ascii="Times New Roman" w:hAnsi="Times New Roman"/>
        </w:rPr>
        <w:t xml:space="preserve">Zároveň je v ňom premietnutý finančný dopad </w:t>
      </w:r>
      <w:r w:rsidR="00BF0472">
        <w:rPr>
          <w:rFonts w:ascii="Times New Roman" w:hAnsi="Times New Roman"/>
        </w:rPr>
        <w:t xml:space="preserve">prijatých opatrení od júna do septembra 2025 v súvislosti </w:t>
      </w:r>
      <w:r w:rsidR="00BF0472" w:rsidRPr="004A1D04">
        <w:rPr>
          <w:rFonts w:ascii="Times New Roman" w:hAnsi="Times New Roman"/>
        </w:rPr>
        <w:t>s konsolidáciou verejných financií</w:t>
      </w:r>
      <w:r w:rsidR="00BF0472">
        <w:rPr>
          <w:rFonts w:ascii="Times New Roman" w:hAnsi="Times New Roman"/>
        </w:rPr>
        <w:t xml:space="preserve"> </w:t>
      </w:r>
      <w:bookmarkEnd w:id="0"/>
      <w:r w:rsidR="00BF0472">
        <w:rPr>
          <w:rFonts w:ascii="Times New Roman" w:hAnsi="Times New Roman"/>
        </w:rPr>
        <w:t xml:space="preserve">(zapracované aj vplyvy </w:t>
      </w:r>
      <w:r w:rsidR="004A1D04" w:rsidRPr="004A1D04">
        <w:rPr>
          <w:rFonts w:ascii="Times New Roman" w:hAnsi="Times New Roman"/>
        </w:rPr>
        <w:t>zákona, ktorým sa menia a dopĺňajú niektoré zákony v</w:t>
      </w:r>
      <w:r w:rsidR="00BF0472">
        <w:rPr>
          <w:rFonts w:ascii="Times New Roman" w:hAnsi="Times New Roman"/>
        </w:rPr>
        <w:t> </w:t>
      </w:r>
      <w:r w:rsidR="004A1D04" w:rsidRPr="004A1D04">
        <w:rPr>
          <w:rFonts w:ascii="Times New Roman" w:hAnsi="Times New Roman"/>
        </w:rPr>
        <w:t>súvislosti</w:t>
      </w:r>
      <w:r w:rsidR="00BF0472">
        <w:rPr>
          <w:rFonts w:ascii="Times New Roman" w:hAnsi="Times New Roman"/>
        </w:rPr>
        <w:t xml:space="preserve"> s konsolidáciou verejných financií</w:t>
      </w:r>
      <w:r w:rsidR="004A1D04" w:rsidRPr="004A1D04">
        <w:rPr>
          <w:rFonts w:ascii="Times New Roman" w:hAnsi="Times New Roman"/>
        </w:rPr>
        <w:t>, ktorý bol schválený v Národnej rade Slovenskej republiky 24. septembra 2025</w:t>
      </w:r>
      <w:r w:rsidR="00BF0472">
        <w:rPr>
          <w:rFonts w:ascii="Times New Roman" w:hAnsi="Times New Roman"/>
        </w:rPr>
        <w:t>)</w:t>
      </w:r>
      <w:r w:rsidR="00893651">
        <w:rPr>
          <w:rFonts w:ascii="Times New Roman" w:hAnsi="Times New Roman"/>
        </w:rPr>
        <w:t>:</w:t>
      </w:r>
    </w:p>
    <w:p w14:paraId="594CD775" w14:textId="50DA30D6" w:rsidR="00893651" w:rsidRDefault="00893651" w:rsidP="00893651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Eliminovanie odvodových prázdnin </w:t>
      </w:r>
      <w:r w:rsidR="00A95D73">
        <w:rPr>
          <w:rFonts w:ascii="Times New Roman" w:hAnsi="Times New Roman"/>
        </w:rPr>
        <w:t>pre začínajúcich</w:t>
      </w:r>
      <w:r>
        <w:rPr>
          <w:rFonts w:ascii="Times New Roman" w:hAnsi="Times New Roman"/>
        </w:rPr>
        <w:t xml:space="preserve"> SZČO a</w:t>
      </w:r>
      <w:r w:rsidR="00A95D73">
        <w:rPr>
          <w:rFonts w:ascii="Times New Roman" w:hAnsi="Times New Roman"/>
        </w:rPr>
        <w:t xml:space="preserve"> vznik osobitného vymeriavacieho základu (poistné vo výške 26 % z priemernej mzdy spred dvoch rokov </w:t>
      </w:r>
      <w:r w:rsidR="00987AB2">
        <w:rPr>
          <w:rFonts w:ascii="Times New Roman" w:hAnsi="Times New Roman"/>
        </w:rPr>
        <w:t>pre</w:t>
      </w:r>
      <w:r w:rsidR="00A95D73">
        <w:rPr>
          <w:rFonts w:ascii="Times New Roman" w:hAnsi="Times New Roman"/>
        </w:rPr>
        <w:t xml:space="preserve"> všetkých SZČO pod rozhodnou hranicou príjmu, v roku 2026 bude vo výške 131eur)</w:t>
      </w:r>
      <w:r w:rsidRPr="00B877D2">
        <w:rPr>
          <w:rFonts w:ascii="Times New Roman" w:hAnsi="Times New Roman"/>
        </w:rPr>
        <w:t>.</w:t>
      </w:r>
    </w:p>
    <w:p w14:paraId="73F2826F" w14:textId="44AF369B" w:rsidR="00893651" w:rsidRDefault="00893651" w:rsidP="00893651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Zvýšenie minimálnych sociálnych odvodov pre SZČO o 20 % (zvýšenie minimálneho vymeriavacieho základu z 50 % na 60 % priemernej mzdy).</w:t>
      </w:r>
    </w:p>
    <w:p w14:paraId="30F6A228" w14:textId="2A898A90" w:rsidR="00893651" w:rsidRDefault="00893651" w:rsidP="00893651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Zrušenie vylúčenia povinnosti platiť poistné vo vybraných obdobiach (</w:t>
      </w:r>
      <w:r w:rsidR="00FC0C8C">
        <w:rPr>
          <w:rFonts w:ascii="Times New Roman" w:hAnsi="Times New Roman"/>
        </w:rPr>
        <w:t>pracovná neschopnosť</w:t>
      </w:r>
      <w:r>
        <w:rPr>
          <w:rFonts w:ascii="Times New Roman" w:hAnsi="Times New Roman"/>
        </w:rPr>
        <w:t>, materské, ošetrovné - § 140 ods. 1 a ods. 4</w:t>
      </w:r>
      <w:r w:rsidR="00FC0C8C">
        <w:rPr>
          <w:rFonts w:ascii="Times New Roman" w:hAnsi="Times New Roman"/>
        </w:rPr>
        <w:t xml:space="preserve"> zákona o sociálnom poistení</w:t>
      </w:r>
      <w:r>
        <w:rPr>
          <w:rFonts w:ascii="Times New Roman" w:hAnsi="Times New Roman"/>
        </w:rPr>
        <w:t>).</w:t>
      </w:r>
    </w:p>
    <w:p w14:paraId="3982E1D9" w14:textId="77777777" w:rsidR="00893651" w:rsidRDefault="00893651" w:rsidP="00893651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Predĺženie obdobia, počas ktorého zamestnávateľ vypláca náhradu príjmu pri dočasnej pracovnej neschopnosti zamestnanca, a to zo súčasných 10 kalendárnych dní na 14 kalendárnych dní. Sociálna poisťovňa preberá vyplácanie dávky nemocenské od 15. dňa trvania pracovnej neschopnosti.</w:t>
      </w:r>
    </w:p>
    <w:p w14:paraId="6D1F0FAE" w14:textId="77777777" w:rsidR="00893651" w:rsidRDefault="00893651" w:rsidP="00893651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Dočasné zachovanie sumy 13. dôchodku na nominálnej úrovni roka 2025 – stanovuje sa nová výška dávok 13. dôchodku na roky 2026 až 2028 na úrovni 13. dôchodku v roku 2025.</w:t>
      </w:r>
    </w:p>
    <w:p w14:paraId="10011491" w14:textId="77777777" w:rsidR="00893651" w:rsidRPr="00366AEC" w:rsidRDefault="00893651" w:rsidP="00893651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Postupný pokles výšky dávky v nezamestnanosti od 4. mesiaca poberania tejto dávky. </w:t>
      </w:r>
      <w:r>
        <w:rPr>
          <w:rFonts w:ascii="Times New Roman" w:hAnsi="Times New Roman"/>
          <w:bCs/>
          <w:szCs w:val="24"/>
        </w:rPr>
        <w:t>Úroveň dávky v nezamestnanosti sa znižuje zo súčasných 50 % na 40 % vymeriavacieho základu pre štvrtý mesiac, 30 % pre piaty mesiac a 20 % pre šiesty mesiac poberania dávky v nezamestnanosti. Prvé tri mesiace poberania zostávajú vo výške 50 % vymeriavacieho základu.</w:t>
      </w:r>
    </w:p>
    <w:p w14:paraId="147EC543" w14:textId="77777777" w:rsidR="00893651" w:rsidRPr="00366AEC" w:rsidRDefault="00893651" w:rsidP="00893651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4"/>
        </w:rPr>
        <w:t>Zrušenie povinnosti štátu platiť poistné na dôchodkové poistenie a do rezervného fondu solidarity za definované skupiny osôb.</w:t>
      </w:r>
    </w:p>
    <w:p w14:paraId="7D11B29C" w14:textId="1B65600D" w:rsidR="00893651" w:rsidRDefault="00893651" w:rsidP="00987AB2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4"/>
        </w:rPr>
        <w:t xml:space="preserve">Zmena výpočtu dôchodku za obdobie starostlivosti o dieťa. Ide o opatrenie novely zákona </w:t>
      </w:r>
      <w:r w:rsidR="00FC0C8C">
        <w:rPr>
          <w:rFonts w:ascii="Times New Roman" w:hAnsi="Times New Roman"/>
          <w:bCs/>
          <w:szCs w:val="24"/>
        </w:rPr>
        <w:t>o sociálnom poistení</w:t>
      </w:r>
      <w:r>
        <w:rPr>
          <w:rFonts w:ascii="Times New Roman" w:hAnsi="Times New Roman"/>
          <w:bCs/>
          <w:szCs w:val="24"/>
        </w:rPr>
        <w:t xml:space="preserve"> schválené mimo opatrení tzv. konsolidačného balíka.</w:t>
      </w:r>
      <w:r w:rsidR="00FC0C8C" w:rsidRPr="00FC0C8C">
        <w:rPr>
          <w:rFonts w:ascii="Times New Roman" w:hAnsi="Times New Roman"/>
        </w:rPr>
        <w:t xml:space="preserve"> </w:t>
      </w:r>
      <w:r w:rsidR="00FC0C8C">
        <w:rPr>
          <w:rFonts w:ascii="Times New Roman" w:hAnsi="Times New Roman"/>
        </w:rPr>
        <w:t>Prepočítanie dôchodkov bude postupné a začne v roku 2027.</w:t>
      </w:r>
    </w:p>
    <w:p w14:paraId="1671A8EE" w14:textId="553BB0AA" w:rsidR="00987AB2" w:rsidRPr="00987AB2" w:rsidRDefault="00987AB2" w:rsidP="00987AB2">
      <w:pPr>
        <w:pStyle w:val="Odsekzoznamu"/>
        <w:numPr>
          <w:ilvl w:val="0"/>
          <w:numId w:val="49"/>
        </w:numPr>
        <w:tabs>
          <w:tab w:val="left" w:pos="709"/>
        </w:tabs>
        <w:spacing w:after="120"/>
        <w:ind w:left="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Rozšírenie kompetencií posudkových lekárov.</w:t>
      </w:r>
    </w:p>
    <w:p w14:paraId="047A23CB" w14:textId="689BA665" w:rsidR="00570510" w:rsidRDefault="008115A9" w:rsidP="00174594">
      <w:pPr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materiáli sú</w:t>
      </w:r>
      <w:r w:rsidR="001C53A6">
        <w:rPr>
          <w:rFonts w:ascii="Times New Roman" w:hAnsi="Times New Roman"/>
        </w:rPr>
        <w:t xml:space="preserve"> </w:t>
      </w:r>
      <w:r w:rsidR="001C53A6" w:rsidRPr="001C53A6">
        <w:rPr>
          <w:rFonts w:ascii="Times New Roman" w:hAnsi="Times New Roman"/>
          <w:b/>
        </w:rPr>
        <w:t>v plnom rozsahu</w:t>
      </w:r>
      <w:r>
        <w:rPr>
          <w:rFonts w:ascii="Times New Roman" w:hAnsi="Times New Roman"/>
        </w:rPr>
        <w:t xml:space="preserve"> </w:t>
      </w:r>
      <w:r w:rsidRPr="008115A9">
        <w:rPr>
          <w:rFonts w:ascii="Times New Roman" w:hAnsi="Times New Roman"/>
          <w:b/>
        </w:rPr>
        <w:t>zapracované Ministerstvom financií Slovenskej republiky navrhované limity príjmov</w:t>
      </w:r>
      <w:r w:rsidR="001C53A6">
        <w:rPr>
          <w:rFonts w:ascii="Times New Roman" w:hAnsi="Times New Roman"/>
          <w:b/>
        </w:rPr>
        <w:t xml:space="preserve"> a výdavkov </w:t>
      </w:r>
      <w:r w:rsidRPr="008115A9">
        <w:rPr>
          <w:rFonts w:ascii="Times New Roman" w:hAnsi="Times New Roman"/>
          <w:b/>
        </w:rPr>
        <w:t xml:space="preserve"> Sociálnej poisťovne na roky </w:t>
      </w:r>
      <w:r w:rsidR="00496540">
        <w:rPr>
          <w:rFonts w:ascii="Times New Roman" w:hAnsi="Times New Roman"/>
          <w:b/>
        </w:rPr>
        <w:t>2025</w:t>
      </w:r>
      <w:r w:rsidR="000123DB">
        <w:rPr>
          <w:rFonts w:ascii="Times New Roman" w:hAnsi="Times New Roman"/>
          <w:b/>
        </w:rPr>
        <w:t xml:space="preserve"> </w:t>
      </w:r>
      <w:r w:rsidRPr="008115A9">
        <w:rPr>
          <w:rFonts w:ascii="Times New Roman" w:hAnsi="Times New Roman"/>
          <w:b/>
        </w:rPr>
        <w:t>až </w:t>
      </w:r>
      <w:r w:rsidR="00496540">
        <w:rPr>
          <w:rFonts w:ascii="Times New Roman" w:hAnsi="Times New Roman"/>
          <w:b/>
        </w:rPr>
        <w:t>2028</w:t>
      </w:r>
      <w:r>
        <w:rPr>
          <w:rFonts w:ascii="Times New Roman" w:hAnsi="Times New Roman"/>
        </w:rPr>
        <w:t>.</w:t>
      </w:r>
    </w:p>
    <w:p w14:paraId="5CBBD2A0" w14:textId="6329E3FF" w:rsidR="00A77964" w:rsidRDefault="00A77964" w:rsidP="00A77964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Návrh rozpočtu Sociálnej poisťovne na rok </w:t>
      </w:r>
      <w:r w:rsidR="00496540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a rozpočtový výhľad na roky </w:t>
      </w:r>
      <w:r w:rsidR="00496540">
        <w:rPr>
          <w:rFonts w:ascii="Times New Roman" w:hAnsi="Times New Roman"/>
          <w:szCs w:val="24"/>
        </w:rPr>
        <w:t>2027</w:t>
      </w:r>
      <w:r>
        <w:rPr>
          <w:rFonts w:ascii="Times New Roman" w:hAnsi="Times New Roman"/>
          <w:szCs w:val="24"/>
        </w:rPr>
        <w:t xml:space="preserve"> a </w:t>
      </w:r>
      <w:r w:rsidR="00496540">
        <w:rPr>
          <w:rFonts w:ascii="Times New Roman" w:hAnsi="Times New Roman"/>
          <w:szCs w:val="24"/>
        </w:rPr>
        <w:t>2028</w:t>
      </w:r>
      <w:r>
        <w:rPr>
          <w:rFonts w:ascii="Times New Roman" w:hAnsi="Times New Roman"/>
          <w:szCs w:val="24"/>
        </w:rPr>
        <w:t xml:space="preserve"> </w:t>
      </w:r>
      <w:r w:rsidRPr="00CA4B4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 xml:space="preserve">v podrobnom členení je uvedený v prílohe č. 1, v metodike ESA 2010 v prílohe č. 1a  a podľa ekonomickej klasifikácie v prílohe č. 2. </w:t>
      </w:r>
      <w:r>
        <w:rPr>
          <w:rFonts w:ascii="Times New Roman" w:hAnsi="Times New Roman"/>
          <w:szCs w:val="24"/>
        </w:rPr>
        <w:t>Návrh rozpočtu výdavkov základných fondov</w:t>
      </w:r>
      <w:r w:rsidRPr="00CA4B4A">
        <w:rPr>
          <w:rFonts w:ascii="Times New Roman" w:hAnsi="Times New Roman"/>
          <w:szCs w:val="24"/>
        </w:rPr>
        <w:t xml:space="preserve"> Sociálnej poisťovne na rok </w:t>
      </w:r>
      <w:r w:rsidR="00496540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a rozpočtový výhľad na roky </w:t>
      </w:r>
      <w:r w:rsidR="00496540">
        <w:rPr>
          <w:rFonts w:ascii="Times New Roman" w:hAnsi="Times New Roman"/>
          <w:szCs w:val="24"/>
        </w:rPr>
        <w:t>2027</w:t>
      </w:r>
      <w:r>
        <w:rPr>
          <w:rFonts w:ascii="Times New Roman" w:hAnsi="Times New Roman"/>
          <w:szCs w:val="24"/>
        </w:rPr>
        <w:t xml:space="preserve"> a </w:t>
      </w:r>
      <w:r w:rsidR="00496540">
        <w:rPr>
          <w:rFonts w:ascii="Times New Roman" w:hAnsi="Times New Roman"/>
          <w:szCs w:val="24"/>
        </w:rPr>
        <w:t>2028</w:t>
      </w:r>
      <w:r>
        <w:rPr>
          <w:rFonts w:ascii="Times New Roman" w:hAnsi="Times New Roman"/>
          <w:szCs w:val="24"/>
        </w:rPr>
        <w:t xml:space="preserve"> </w:t>
      </w:r>
      <w:r w:rsidRPr="00CA4B4A">
        <w:rPr>
          <w:rFonts w:ascii="Times New Roman" w:hAnsi="Times New Roman"/>
          <w:szCs w:val="24"/>
        </w:rPr>
        <w:t>podľa rozpočtovej klasifiká</w:t>
      </w:r>
      <w:r>
        <w:rPr>
          <w:rFonts w:ascii="Times New Roman" w:hAnsi="Times New Roman"/>
          <w:szCs w:val="24"/>
        </w:rPr>
        <w:t>cie je uvedený v prílohe č. 3 a </w:t>
      </w:r>
      <w:r w:rsidRPr="00CA4B4A">
        <w:rPr>
          <w:rFonts w:ascii="Times New Roman" w:hAnsi="Times New Roman"/>
          <w:szCs w:val="24"/>
        </w:rPr>
        <w:t xml:space="preserve">návrh rozpočtu správneho fondu na rok </w:t>
      </w:r>
      <w:r w:rsidR="00496540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a rozpočtový výhľad na roky </w:t>
      </w:r>
      <w:r w:rsidR="00496540">
        <w:rPr>
          <w:rFonts w:ascii="Times New Roman" w:hAnsi="Times New Roman"/>
          <w:szCs w:val="24"/>
        </w:rPr>
        <w:t>2027</w:t>
      </w:r>
      <w:r>
        <w:rPr>
          <w:rFonts w:ascii="Times New Roman" w:hAnsi="Times New Roman"/>
          <w:szCs w:val="24"/>
        </w:rPr>
        <w:t xml:space="preserve"> a </w:t>
      </w:r>
      <w:r w:rsidR="00496540">
        <w:rPr>
          <w:rFonts w:ascii="Times New Roman" w:hAnsi="Times New Roman"/>
          <w:szCs w:val="24"/>
        </w:rPr>
        <w:t>2028</w:t>
      </w:r>
      <w:r>
        <w:rPr>
          <w:rFonts w:ascii="Times New Roman" w:hAnsi="Times New Roman"/>
          <w:szCs w:val="24"/>
        </w:rPr>
        <w:t xml:space="preserve"> </w:t>
      </w:r>
      <w:r w:rsidRPr="00CA4B4A">
        <w:rPr>
          <w:rFonts w:ascii="Times New Roman" w:hAnsi="Times New Roman"/>
          <w:szCs w:val="24"/>
        </w:rPr>
        <w:t xml:space="preserve"> je uvedený v prílohe č. 4.</w:t>
      </w:r>
    </w:p>
    <w:p w14:paraId="75C5FF6D" w14:textId="77777777" w:rsidR="00987AB2" w:rsidRDefault="00987AB2" w:rsidP="00A77964">
      <w:pPr>
        <w:spacing w:before="240" w:after="120"/>
        <w:ind w:firstLine="709"/>
        <w:jc w:val="both"/>
        <w:rPr>
          <w:rFonts w:ascii="Times New Roman" w:hAnsi="Times New Roman"/>
        </w:rPr>
      </w:pPr>
    </w:p>
    <w:p w14:paraId="69ADD162" w14:textId="77777777" w:rsidR="008B4B4C" w:rsidRDefault="008B4B4C" w:rsidP="00A77964">
      <w:pPr>
        <w:spacing w:before="240" w:after="120"/>
        <w:ind w:firstLine="709"/>
        <w:jc w:val="both"/>
        <w:rPr>
          <w:rFonts w:ascii="Times New Roman" w:hAnsi="Times New Roman"/>
        </w:rPr>
      </w:pPr>
    </w:p>
    <w:p w14:paraId="2C8C2097" w14:textId="06B8588F" w:rsidR="00F11721" w:rsidRPr="004C7EC8" w:rsidRDefault="00675566" w:rsidP="004C7EC8">
      <w:pPr>
        <w:pStyle w:val="Odsekzoznamu"/>
        <w:numPr>
          <w:ilvl w:val="0"/>
          <w:numId w:val="28"/>
        </w:numPr>
        <w:spacing w:before="240" w:after="120"/>
        <w:ind w:left="709" w:hanging="709"/>
        <w:contextualSpacing w:val="0"/>
        <w:jc w:val="both"/>
        <w:rPr>
          <w:rFonts w:ascii="Times New Roman" w:hAnsi="Times New Roman"/>
          <w:b/>
        </w:rPr>
      </w:pPr>
      <w:r w:rsidRPr="004C7EC8">
        <w:rPr>
          <w:rFonts w:ascii="Times New Roman" w:hAnsi="Times New Roman"/>
          <w:b/>
        </w:rPr>
        <w:lastRenderedPageBreak/>
        <w:t xml:space="preserve">Očakávané výsledky hospodárenia Sociálnej poisťovne v roku </w:t>
      </w:r>
      <w:r w:rsidR="00496540">
        <w:rPr>
          <w:rFonts w:ascii="Times New Roman" w:hAnsi="Times New Roman"/>
          <w:b/>
        </w:rPr>
        <w:t>2025</w:t>
      </w:r>
    </w:p>
    <w:p w14:paraId="16CAF9E1" w14:textId="0D7A8F28" w:rsidR="00F11721" w:rsidRDefault="00F11721" w:rsidP="000F3AC5">
      <w:pPr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Príjmy</w:t>
      </w:r>
      <w:r w:rsidRPr="004C7EC8">
        <w:rPr>
          <w:rFonts w:ascii="Times New Roman" w:hAnsi="Times New Roman"/>
          <w:szCs w:val="24"/>
        </w:rPr>
        <w:t xml:space="preserve"> Sociálnej poisťovne sa </w:t>
      </w:r>
      <w:r w:rsidRPr="004C7EC8">
        <w:rPr>
          <w:rFonts w:ascii="Times New Roman" w:hAnsi="Times New Roman"/>
          <w:b/>
          <w:szCs w:val="24"/>
        </w:rPr>
        <w:t xml:space="preserve">v roku </w:t>
      </w:r>
      <w:r w:rsidR="00496540">
        <w:rPr>
          <w:rFonts w:ascii="Times New Roman" w:hAnsi="Times New Roman"/>
          <w:b/>
          <w:szCs w:val="24"/>
        </w:rPr>
        <w:t>2025</w:t>
      </w:r>
      <w:r w:rsidRPr="004C7EC8">
        <w:rPr>
          <w:rFonts w:ascii="Times New Roman" w:hAnsi="Times New Roman"/>
          <w:b/>
          <w:szCs w:val="24"/>
        </w:rPr>
        <w:t xml:space="preserve"> očakávajú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559"/>
        <w:gridCol w:w="1421"/>
        <w:gridCol w:w="1417"/>
      </w:tblGrid>
      <w:tr w:rsidR="00961CB0" w:rsidRPr="00961CB0" w14:paraId="1703EAC7" w14:textId="77777777" w:rsidTr="00B2684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0E8FC" w14:textId="77777777" w:rsidR="00961CB0" w:rsidRPr="00961CB0" w:rsidRDefault="00961CB0" w:rsidP="00961CB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C085" w14:textId="77777777" w:rsidR="00961CB0" w:rsidRPr="00961CB0" w:rsidRDefault="00961CB0" w:rsidP="00961C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9844" w14:textId="77777777" w:rsidR="00961CB0" w:rsidRPr="00961CB0" w:rsidRDefault="00961CB0" w:rsidP="00961C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23C65" w14:textId="77777777" w:rsidR="00961CB0" w:rsidRPr="00961CB0" w:rsidRDefault="00961CB0" w:rsidP="00961C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7B22BB" w:rsidRPr="00961CB0" w14:paraId="5A3A355C" w14:textId="77777777" w:rsidTr="00B26840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7FFB" w14:textId="77777777"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046FB0" w14:textId="772E251F"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92EC" w14:textId="77777777"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Rozdiel 2-1</w:t>
            </w:r>
          </w:p>
        </w:tc>
      </w:tr>
      <w:tr w:rsidR="007B22BB" w:rsidRPr="00961CB0" w14:paraId="79400457" w14:textId="77777777" w:rsidTr="00B26840"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B28" w14:textId="77777777" w:rsidR="007B22BB" w:rsidRPr="00961CB0" w:rsidRDefault="007B22BB" w:rsidP="00961CB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241D" w14:textId="77777777"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Schválený rozpočet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4A6B" w14:textId="77777777" w:rsidR="007B22BB" w:rsidRPr="00961CB0" w:rsidRDefault="007B22BB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DB90" w14:textId="77777777" w:rsidR="007B22BB" w:rsidRPr="00961CB0" w:rsidRDefault="007B22BB" w:rsidP="00961CB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61CB0" w:rsidRPr="00961CB0" w14:paraId="3FF5AD89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866D" w14:textId="77777777"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D126" w14:textId="77777777"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891" w14:textId="77777777"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43BF" w14:textId="77777777"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A1D04" w:rsidRPr="00961CB0" w14:paraId="69515104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2E9F" w14:textId="372795B7" w:rsidR="004A1D04" w:rsidRPr="00961CB0" w:rsidRDefault="00EE7D71" w:rsidP="004A1D0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Príjmy</w:t>
            </w:r>
            <w:r w:rsidR="004A1D04"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celkom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C590A" w14:textId="78FEEEBE" w:rsidR="004A1D04" w:rsidRPr="004A1D04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A1D04">
              <w:rPr>
                <w:rFonts w:ascii="Times New Roman" w:hAnsi="Times New Roman"/>
                <w:b/>
                <w:bCs/>
                <w:sz w:val="22"/>
                <w:szCs w:val="22"/>
              </w:rPr>
              <w:t>16 029 875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8EDB" w14:textId="6719F31F" w:rsidR="004A1D04" w:rsidRPr="004A1D04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A1D04">
              <w:rPr>
                <w:rFonts w:ascii="Times New Roman" w:hAnsi="Times New Roman"/>
                <w:b/>
                <w:bCs/>
                <w:sz w:val="22"/>
                <w:szCs w:val="22"/>
              </w:rPr>
              <w:t>15 865 036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52034" w14:textId="6990CF17" w:rsidR="004A1D04" w:rsidRPr="004A1D04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A1D04">
              <w:rPr>
                <w:rFonts w:ascii="Times New Roman" w:hAnsi="Times New Roman"/>
                <w:b/>
                <w:bCs/>
                <w:sz w:val="22"/>
                <w:szCs w:val="22"/>
              </w:rPr>
              <w:t>-164 839</w:t>
            </w:r>
          </w:p>
        </w:tc>
      </w:tr>
      <w:tr w:rsidR="004A1D04" w:rsidRPr="00961CB0" w14:paraId="725C5204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01DC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34FC" w14:textId="73659598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F55ED" w14:textId="1B28EC2C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04FA6" w14:textId="0BF90285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A1D04" w:rsidRPr="00961CB0" w14:paraId="48700E94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64EE" w14:textId="77777777" w:rsidR="004A1D04" w:rsidRPr="00EE7D71" w:rsidRDefault="004A1D04" w:rsidP="004A1D0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prevod z minulých rokov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EA96" w14:textId="6AE25412" w:rsidR="004A1D04" w:rsidRPr="00EE7D71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939 823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B3417" w14:textId="07C039BE" w:rsidR="004A1D04" w:rsidRPr="00EE7D71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913 311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A27A8" w14:textId="7473E398" w:rsidR="004A1D04" w:rsidRPr="00EE7D71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-26 512</w:t>
            </w:r>
          </w:p>
        </w:tc>
      </w:tr>
      <w:tr w:rsidR="004A1D04" w:rsidRPr="00961CB0" w14:paraId="2246CB86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2699" w14:textId="23001FD0" w:rsidR="004A1D04" w:rsidRPr="00EE7D71" w:rsidRDefault="00EE7D71" w:rsidP="004A1D0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p</w:t>
            </w:r>
            <w:r w:rsidR="004A1D04"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ríjmy spolu v bežnom roku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18576" w14:textId="1CEF398E" w:rsidR="004A1D04" w:rsidRPr="00EE7D71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15 090 052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DD73" w14:textId="207FAF77" w:rsidR="004A1D04" w:rsidRPr="00EE7D71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14 951 725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7FF6" w14:textId="5D7B2884" w:rsidR="004A1D04" w:rsidRPr="00EE7D71" w:rsidRDefault="004A1D04" w:rsidP="004A1D0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71">
              <w:rPr>
                <w:rFonts w:ascii="Times New Roman" w:hAnsi="Times New Roman"/>
                <w:b/>
                <w:bCs/>
                <w:sz w:val="22"/>
                <w:szCs w:val="22"/>
              </w:rPr>
              <w:t>-138 327</w:t>
            </w:r>
          </w:p>
        </w:tc>
      </w:tr>
      <w:tr w:rsidR="004A1D04" w:rsidRPr="00961CB0" w14:paraId="77EDAA68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8E47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0EEEA" w14:textId="58CE4A4F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7EE5" w14:textId="7D05AA49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2E2A4" w14:textId="5D62C0CF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A1D04" w:rsidRPr="00961CB0" w14:paraId="0D8DAE78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4925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 bežného poistného od ekonomicky aktívneho obyvateľstva (EAO)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609E7" w14:textId="308B9CA4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11 561 644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6A753" w14:textId="77051871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11 744 149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E1523" w14:textId="1987913A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182 505</w:t>
            </w:r>
          </w:p>
        </w:tc>
      </w:tr>
      <w:tr w:rsidR="004A1D04" w:rsidRPr="00961CB0" w14:paraId="4F3A5750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167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poistné podľa osobitného predpisu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5DB8D" w14:textId="00DB2063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2 136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6D5E" w14:textId="71761FEC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2 208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46B05" w14:textId="5BB39626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</w:tr>
      <w:tr w:rsidR="004A1D04" w:rsidRPr="00961CB0" w14:paraId="6A690173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8742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 poistného od štátu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5B7BB" w14:textId="13940719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495 397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6915" w14:textId="30E11503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459 592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A36E6" w14:textId="45EFE024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-35 805</w:t>
            </w:r>
          </w:p>
        </w:tc>
      </w:tr>
      <w:tr w:rsidR="004A1D04" w:rsidRPr="00961CB0" w14:paraId="743ABDF5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8832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od Sociálnej poisťovne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AC3D3" w14:textId="1E76ACEE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5 935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5171" w14:textId="49D4F6DC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5 706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C2316" w14:textId="0A0F2BF1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-229</w:t>
            </w:r>
          </w:p>
        </w:tc>
      </w:tr>
      <w:tr w:rsidR="004A1D04" w:rsidRPr="00961CB0" w14:paraId="61D784E3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5E56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 pokút a penál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DC64E" w14:textId="0315841D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11 912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9FF6" w14:textId="6B79EB8E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10 995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837F" w14:textId="3F4E8812" w:rsidR="004A1D04" w:rsidRPr="004A1D04" w:rsidRDefault="004A1D04" w:rsidP="004A1D04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A1D04">
              <w:rPr>
                <w:rFonts w:ascii="Times New Roman" w:hAnsi="Times New Roman"/>
                <w:i/>
                <w:iCs/>
                <w:sz w:val="22"/>
                <w:szCs w:val="22"/>
              </w:rPr>
              <w:t>-917</w:t>
            </w:r>
          </w:p>
        </w:tc>
      </w:tr>
      <w:tr w:rsidR="004A1D04" w:rsidRPr="00961CB0" w14:paraId="5A1E1A93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EBEE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 xml:space="preserve">príjmy z dlžného poistného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DFC7" w14:textId="42C6F115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218 730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9B8BA" w14:textId="651B8499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219 650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06C78" w14:textId="6BBAD6D8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920</w:t>
            </w:r>
          </w:p>
        </w:tc>
      </w:tr>
      <w:tr w:rsidR="004A1D04" w:rsidRPr="00961CB0" w14:paraId="692D7F5A" w14:textId="77777777" w:rsidTr="00B2684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E5138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 xml:space="preserve">ostatné príjmy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AEA6B1" w14:textId="79D10092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2 782 746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3D8382" w14:textId="620FD4A7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2 497 790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EAD656" w14:textId="145DEF00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-284 956</w:t>
            </w:r>
          </w:p>
        </w:tc>
      </w:tr>
      <w:tr w:rsidR="004A1D04" w:rsidRPr="00961CB0" w14:paraId="3EE5391D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7EEF" w14:textId="77777777" w:rsidR="004A1D04" w:rsidRPr="00961CB0" w:rsidRDefault="004A1D04" w:rsidP="004A1D04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štátneho rozpočtu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Slovenskej republiky (ŠR SR)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14521" w14:textId="72A68ECA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2 750 000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E692" w14:textId="7AC0D9A2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2 455 000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B31E0" w14:textId="536A1E9A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-295 000</w:t>
            </w:r>
          </w:p>
        </w:tc>
      </w:tr>
      <w:tr w:rsidR="004A1D04" w:rsidRPr="00961CB0" w14:paraId="6C4CF0B0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E619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príspevky na starobné dôchodkové sporenie (SDS) zaplatené zamestnávateľom po uplynutí 60 dní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41BF" w14:textId="2924D270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8 698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0F2F" w14:textId="04A9DA06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8 628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24CE6" w14:textId="031DC8AA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-70</w:t>
            </w:r>
          </w:p>
        </w:tc>
      </w:tr>
      <w:tr w:rsidR="004A1D04" w:rsidRPr="00961CB0" w14:paraId="16BC07CD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87AC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správneho fondu z príspevkov na SDS  (EAO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B584" w14:textId="28A7C2E1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2 730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74F3D" w14:textId="46EBF028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2 674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7992C" w14:textId="646904C6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-56</w:t>
            </w:r>
          </w:p>
        </w:tc>
      </w:tr>
      <w:tr w:rsidR="004A1D04" w:rsidRPr="00961CB0" w14:paraId="620CA020" w14:textId="77777777" w:rsidTr="00B26840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FCA5" w14:textId="77777777" w:rsidR="004A1D04" w:rsidRPr="00961CB0" w:rsidRDefault="004A1D04" w:rsidP="004A1D04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správneho fondu z príspevkov na SDS (štát)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101F" w14:textId="2BE8FC65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7485B" w14:textId="242767B7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FB5C2" w14:textId="16C293BA" w:rsidR="004A1D04" w:rsidRPr="004A1D04" w:rsidRDefault="004A1D04" w:rsidP="004A1D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A1D04">
              <w:rPr>
                <w:rFonts w:ascii="Times New Roman" w:hAnsi="Times New Roman"/>
                <w:sz w:val="22"/>
                <w:szCs w:val="22"/>
              </w:rPr>
              <w:t>-4</w:t>
            </w:r>
          </w:p>
        </w:tc>
      </w:tr>
    </w:tbl>
    <w:p w14:paraId="1967E4DD" w14:textId="77777777" w:rsidR="00961CB0" w:rsidRDefault="00961CB0" w:rsidP="00270573">
      <w:pPr>
        <w:spacing w:before="120"/>
        <w:jc w:val="both"/>
        <w:rPr>
          <w:rFonts w:ascii="Times New Roman" w:hAnsi="Times New Roman"/>
          <w:szCs w:val="24"/>
        </w:rPr>
      </w:pPr>
    </w:p>
    <w:p w14:paraId="41C3A1B7" w14:textId="3B62A77D" w:rsidR="00D92BF1" w:rsidRDefault="004A1D04" w:rsidP="00181377">
      <w:pPr>
        <w:spacing w:after="120"/>
        <w:ind w:firstLine="709"/>
        <w:jc w:val="both"/>
        <w:rPr>
          <w:rFonts w:ascii="Times New Roman" w:eastAsia="Calibri" w:hAnsi="Times New Roman"/>
          <w:szCs w:val="24"/>
        </w:rPr>
      </w:pPr>
      <w:r w:rsidRPr="00B24C0C">
        <w:rPr>
          <w:rFonts w:ascii="Times New Roman" w:eastAsia="Calibri" w:hAnsi="Times New Roman"/>
          <w:b/>
          <w:szCs w:val="24"/>
        </w:rPr>
        <w:t xml:space="preserve">V roku </w:t>
      </w:r>
      <w:r>
        <w:rPr>
          <w:rFonts w:ascii="Times New Roman" w:eastAsia="Calibri" w:hAnsi="Times New Roman"/>
          <w:b/>
          <w:szCs w:val="24"/>
        </w:rPr>
        <w:t>2025</w:t>
      </w:r>
      <w:r w:rsidRPr="003F2313">
        <w:rPr>
          <w:rFonts w:ascii="Times New Roman" w:eastAsia="Calibri" w:hAnsi="Times New Roman"/>
          <w:szCs w:val="24"/>
        </w:rPr>
        <w:t xml:space="preserve"> sa </w:t>
      </w:r>
      <w:r w:rsidRPr="00B24C0C">
        <w:rPr>
          <w:rFonts w:ascii="Times New Roman" w:eastAsia="Calibri" w:hAnsi="Times New Roman"/>
          <w:b/>
          <w:szCs w:val="24"/>
        </w:rPr>
        <w:t xml:space="preserve">očakávajú </w:t>
      </w:r>
      <w:r>
        <w:rPr>
          <w:rFonts w:ascii="Times New Roman" w:eastAsia="Calibri" w:hAnsi="Times New Roman"/>
          <w:szCs w:val="24"/>
        </w:rPr>
        <w:t xml:space="preserve">oproti schválenému rozpočtu na rok 2025 </w:t>
      </w:r>
      <w:r w:rsidR="00D92BF1" w:rsidRPr="00B24C0C">
        <w:rPr>
          <w:rFonts w:ascii="Times New Roman" w:eastAsia="Calibri" w:hAnsi="Times New Roman"/>
          <w:b/>
          <w:szCs w:val="24"/>
        </w:rPr>
        <w:t xml:space="preserve">vyššie </w:t>
      </w:r>
      <w:r w:rsidRPr="00145866">
        <w:rPr>
          <w:rFonts w:ascii="Times New Roman" w:eastAsia="Calibri" w:hAnsi="Times New Roman"/>
          <w:b/>
          <w:bCs/>
          <w:szCs w:val="24"/>
        </w:rPr>
        <w:t>príjmy</w:t>
      </w:r>
      <w:r>
        <w:rPr>
          <w:rFonts w:ascii="Times New Roman" w:eastAsia="Calibri" w:hAnsi="Times New Roman"/>
          <w:szCs w:val="24"/>
        </w:rPr>
        <w:t xml:space="preserve"> </w:t>
      </w:r>
      <w:r w:rsidRPr="003F2313">
        <w:rPr>
          <w:rFonts w:ascii="Times New Roman" w:eastAsia="Calibri" w:hAnsi="Times New Roman"/>
          <w:szCs w:val="24"/>
        </w:rPr>
        <w:t xml:space="preserve">z bežného poistného od </w:t>
      </w:r>
      <w:r w:rsidRPr="00145866">
        <w:rPr>
          <w:rFonts w:ascii="Times New Roman" w:eastAsia="Calibri" w:hAnsi="Times New Roman"/>
          <w:b/>
          <w:bCs/>
          <w:szCs w:val="24"/>
        </w:rPr>
        <w:t>EAO</w:t>
      </w:r>
      <w:r>
        <w:rPr>
          <w:rFonts w:ascii="Times New Roman" w:eastAsia="Calibri" w:hAnsi="Times New Roman"/>
          <w:szCs w:val="24"/>
        </w:rPr>
        <w:t xml:space="preserve"> </w:t>
      </w:r>
      <w:r w:rsidRPr="004A1D04">
        <w:rPr>
          <w:rFonts w:ascii="Times New Roman" w:eastAsia="Calibri" w:hAnsi="Times New Roman"/>
          <w:b/>
          <w:bCs/>
          <w:szCs w:val="24"/>
        </w:rPr>
        <w:t>o</w:t>
      </w:r>
      <w:r w:rsidR="00364196">
        <w:rPr>
          <w:rFonts w:ascii="Times New Roman" w:eastAsia="Calibri" w:hAnsi="Times New Roman"/>
          <w:b/>
          <w:bCs/>
          <w:szCs w:val="24"/>
        </w:rPr>
        <w:t> 182 505</w:t>
      </w:r>
      <w:r w:rsidRPr="004A1D04">
        <w:rPr>
          <w:rFonts w:ascii="Times New Roman" w:eastAsia="Calibri" w:hAnsi="Times New Roman"/>
          <w:b/>
          <w:bCs/>
          <w:szCs w:val="24"/>
        </w:rPr>
        <w:t> tis. eur</w:t>
      </w:r>
      <w:r w:rsidR="00145866">
        <w:rPr>
          <w:rFonts w:ascii="Times New Roman" w:eastAsia="Calibri" w:hAnsi="Times New Roman"/>
          <w:b/>
          <w:bCs/>
          <w:szCs w:val="24"/>
        </w:rPr>
        <w:t>,</w:t>
      </w:r>
      <w:r>
        <w:rPr>
          <w:rFonts w:ascii="Times New Roman" w:eastAsia="Calibri" w:hAnsi="Times New Roman"/>
          <w:szCs w:val="24"/>
        </w:rPr>
        <w:t xml:space="preserve"> </w:t>
      </w:r>
      <w:r w:rsidRPr="004A1D04">
        <w:rPr>
          <w:rFonts w:ascii="Times New Roman" w:eastAsia="Calibri" w:hAnsi="Times New Roman"/>
          <w:b/>
          <w:bCs/>
          <w:szCs w:val="24"/>
        </w:rPr>
        <w:t>nižšie</w:t>
      </w:r>
      <w:r>
        <w:rPr>
          <w:rFonts w:ascii="Times New Roman" w:eastAsia="Calibri" w:hAnsi="Times New Roman"/>
          <w:szCs w:val="24"/>
        </w:rPr>
        <w:t xml:space="preserve"> </w:t>
      </w:r>
      <w:r w:rsidR="00A57CA9" w:rsidRPr="00B24C0C">
        <w:rPr>
          <w:rFonts w:ascii="Times New Roman" w:eastAsia="Calibri" w:hAnsi="Times New Roman"/>
          <w:b/>
          <w:szCs w:val="24"/>
        </w:rPr>
        <w:t>príjmy</w:t>
      </w:r>
      <w:r w:rsidR="00145866">
        <w:rPr>
          <w:rFonts w:ascii="Times New Roman" w:eastAsia="Calibri" w:hAnsi="Times New Roman"/>
          <w:b/>
          <w:szCs w:val="24"/>
        </w:rPr>
        <w:t xml:space="preserve"> </w:t>
      </w:r>
      <w:r w:rsidR="00145866" w:rsidRPr="00145866">
        <w:rPr>
          <w:rFonts w:ascii="Times New Roman" w:eastAsia="Calibri" w:hAnsi="Times New Roman"/>
          <w:bCs/>
          <w:szCs w:val="24"/>
        </w:rPr>
        <w:t>z poistného od</w:t>
      </w:r>
      <w:r w:rsidR="00145866">
        <w:rPr>
          <w:rFonts w:ascii="Times New Roman" w:eastAsia="Calibri" w:hAnsi="Times New Roman"/>
          <w:b/>
          <w:szCs w:val="24"/>
        </w:rPr>
        <w:t xml:space="preserve"> štátu o 35 805 tis. eur </w:t>
      </w:r>
      <w:r w:rsidR="00145866">
        <w:rPr>
          <w:rFonts w:ascii="Times New Roman" w:eastAsia="Calibri" w:hAnsi="Times New Roman"/>
          <w:szCs w:val="24"/>
        </w:rPr>
        <w:t xml:space="preserve">a </w:t>
      </w:r>
      <w:r w:rsidR="00145866" w:rsidRPr="00145866">
        <w:rPr>
          <w:rFonts w:ascii="Times New Roman" w:eastAsia="Calibri" w:hAnsi="Times New Roman"/>
          <w:b/>
          <w:bCs/>
          <w:szCs w:val="24"/>
        </w:rPr>
        <w:t>nižší transfer</w:t>
      </w:r>
      <w:r w:rsidR="00145866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zo štátneho rozpočtu </w:t>
      </w:r>
      <w:r w:rsidR="00D92BF1" w:rsidRPr="00B24C0C">
        <w:rPr>
          <w:rFonts w:ascii="Times New Roman" w:eastAsia="Calibri" w:hAnsi="Times New Roman"/>
          <w:b/>
          <w:szCs w:val="24"/>
        </w:rPr>
        <w:t>o</w:t>
      </w:r>
      <w:r>
        <w:rPr>
          <w:rFonts w:ascii="Times New Roman" w:eastAsia="Calibri" w:hAnsi="Times New Roman"/>
          <w:b/>
          <w:szCs w:val="24"/>
        </w:rPr>
        <w:t> 295 000</w:t>
      </w:r>
      <w:r w:rsidR="00D92BF1" w:rsidRPr="00B24C0C">
        <w:rPr>
          <w:rFonts w:ascii="Times New Roman" w:eastAsia="Calibri" w:hAnsi="Times New Roman"/>
          <w:b/>
          <w:szCs w:val="24"/>
        </w:rPr>
        <w:t> tis.</w:t>
      </w:r>
      <w:r w:rsidR="006A03F2" w:rsidRPr="00B24C0C">
        <w:rPr>
          <w:rFonts w:ascii="Times New Roman" w:eastAsia="Calibri" w:hAnsi="Times New Roman"/>
          <w:b/>
          <w:szCs w:val="24"/>
        </w:rPr>
        <w:t> eur</w:t>
      </w:r>
      <w:r w:rsidR="00D92BF1">
        <w:rPr>
          <w:rFonts w:ascii="Times New Roman" w:eastAsia="Calibri" w:hAnsi="Times New Roman"/>
          <w:szCs w:val="24"/>
        </w:rPr>
        <w:t xml:space="preserve">. </w:t>
      </w:r>
    </w:p>
    <w:p w14:paraId="1DE23CC4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7B3ED167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3F923D18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44613471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1F60E445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29C7399A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35D2AB99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24CF401C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3B3BA1C5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684C8A57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2CF7359D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37916F0D" w14:textId="77777777" w:rsidR="00987AB2" w:rsidRDefault="00987AB2" w:rsidP="009B67AD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14:paraId="227553E3" w14:textId="22D0992F" w:rsidR="00F9495D" w:rsidRDefault="00675566" w:rsidP="009B67AD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lastRenderedPageBreak/>
        <w:t xml:space="preserve">Výdavky (náklady) Sociálnej poisťovne v roku </w:t>
      </w:r>
      <w:r w:rsidR="00496540">
        <w:rPr>
          <w:rFonts w:ascii="Times New Roman" w:hAnsi="Times New Roman"/>
          <w:b/>
          <w:szCs w:val="24"/>
        </w:rPr>
        <w:t>2025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sa predpokladajú:</w:t>
      </w:r>
    </w:p>
    <w:tbl>
      <w:tblPr>
        <w:tblW w:w="9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1569"/>
        <w:gridCol w:w="1654"/>
        <w:gridCol w:w="1397"/>
      </w:tblGrid>
      <w:tr w:rsidR="00A57CA9" w:rsidRPr="00A57CA9" w14:paraId="6655798D" w14:textId="77777777" w:rsidTr="007B22BB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E577" w14:textId="77777777" w:rsidR="00A57CA9" w:rsidRPr="00A57CA9" w:rsidRDefault="00A57CA9" w:rsidP="00A57CA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A9FA" w14:textId="77777777" w:rsidR="00A57CA9" w:rsidRPr="00A57CA9" w:rsidRDefault="00A57CA9" w:rsidP="00A57C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8195" w14:textId="77777777" w:rsidR="00A57CA9" w:rsidRPr="00A57CA9" w:rsidRDefault="00A57CA9" w:rsidP="00A57CA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B1FF3" w14:textId="77777777" w:rsidR="00A57CA9" w:rsidRPr="00A57CA9" w:rsidRDefault="00A57CA9" w:rsidP="00A57C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A57CA9" w:rsidRPr="00A57CA9" w14:paraId="288C6A67" w14:textId="77777777" w:rsidTr="007B22BB"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12FA" w14:textId="77777777"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55EB38" w14:textId="1EB51B3D"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9A7D" w14:textId="77777777" w:rsidR="00A57CA9" w:rsidRPr="00A57CA9" w:rsidRDefault="00A57CA9" w:rsidP="00A57CA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A57CA9" w:rsidRPr="00A57CA9" w14:paraId="667D8C6C" w14:textId="77777777" w:rsidTr="007B22BB"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C5B7" w14:textId="77777777" w:rsidR="00A57CA9" w:rsidRPr="00A57CA9" w:rsidRDefault="00A57CA9" w:rsidP="00A57CA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BE38" w14:textId="77777777"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Schválený rozpočet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41C8" w14:textId="77777777"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9594E2" w14:textId="77777777" w:rsidR="00A57CA9" w:rsidRPr="00A57CA9" w:rsidRDefault="00A57CA9" w:rsidP="00A57C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>Rozdiel  2-1</w:t>
            </w:r>
          </w:p>
        </w:tc>
      </w:tr>
      <w:tr w:rsidR="00A57CA9" w:rsidRPr="00A57CA9" w14:paraId="7B82986C" w14:textId="77777777" w:rsidTr="007B22BB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01C5" w14:textId="77777777" w:rsidR="00A57CA9" w:rsidRPr="00A57CA9" w:rsidRDefault="00A57CA9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A0A" w14:textId="77777777" w:rsidR="00A57CA9" w:rsidRPr="00A57CA9" w:rsidRDefault="00A57CA9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DBFE" w14:textId="77777777" w:rsidR="00A57CA9" w:rsidRPr="00A57CA9" w:rsidRDefault="00A57CA9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A81" w14:textId="77777777" w:rsidR="00A57CA9" w:rsidRPr="00A57CA9" w:rsidRDefault="00A57CA9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E422F" w:rsidRPr="00A57CA9" w14:paraId="62A1AE5D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64F6" w14:textId="77777777" w:rsidR="001E422F" w:rsidRPr="00A57CA9" w:rsidRDefault="001E422F" w:rsidP="001E42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7CA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Použitie prostriedkov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429C8" w14:textId="18F71A60" w:rsidR="001E422F" w:rsidRPr="001E422F" w:rsidRDefault="001E422F" w:rsidP="001E422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E422F">
              <w:rPr>
                <w:rFonts w:ascii="Times New Roman" w:hAnsi="Times New Roman"/>
                <w:b/>
                <w:bCs/>
                <w:sz w:val="22"/>
                <w:szCs w:val="22"/>
              </w:rPr>
              <w:t>14 779 018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8D29" w14:textId="5ABB9AB5" w:rsidR="001E422F" w:rsidRPr="001E422F" w:rsidRDefault="001E422F" w:rsidP="001E422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E422F">
              <w:rPr>
                <w:rFonts w:ascii="Times New Roman" w:hAnsi="Times New Roman"/>
                <w:b/>
                <w:bCs/>
                <w:sz w:val="22"/>
                <w:szCs w:val="22"/>
              </w:rPr>
              <w:t>14 644 428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DE0" w14:textId="6A2AF6AE" w:rsidR="001E422F" w:rsidRPr="001E422F" w:rsidRDefault="001E422F" w:rsidP="001E422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E422F">
              <w:rPr>
                <w:rFonts w:ascii="Times New Roman" w:hAnsi="Times New Roman"/>
                <w:b/>
                <w:bCs/>
                <w:sz w:val="22"/>
                <w:szCs w:val="22"/>
              </w:rPr>
              <w:t>-134 590</w:t>
            </w:r>
          </w:p>
        </w:tc>
      </w:tr>
      <w:tr w:rsidR="001E422F" w:rsidRPr="00A57CA9" w14:paraId="1A229A0E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0684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E2E7" w14:textId="0D4664C1" w:rsidR="001E422F" w:rsidRPr="001E422F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E6F97" w14:textId="6093F709" w:rsidR="001E422F" w:rsidRPr="001E422F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CC1E" w14:textId="2778F395" w:rsidR="001E422F" w:rsidRPr="001E422F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E422F" w:rsidRPr="00A57CA9" w14:paraId="1001D2C2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C801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19BB1" w14:textId="66255067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1 178 393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9A29" w14:textId="408A5EE0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1 070 817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CEDF6" w14:textId="1766A0F4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-107 576</w:t>
            </w:r>
          </w:p>
        </w:tc>
      </w:tr>
      <w:tr w:rsidR="001E422F" w:rsidRPr="00A57CA9" w14:paraId="1A8B84E5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F0E88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DD37C5" w14:textId="5739617E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11 451 789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B15B88" w14:textId="4F5E0919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11 396 234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113783" w14:textId="658FD441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-55 555</w:t>
            </w:r>
          </w:p>
        </w:tc>
      </w:tr>
      <w:tr w:rsidR="001E422F" w:rsidRPr="00A57CA9" w14:paraId="39DAA591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5F2AC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EB9424" w14:textId="59CEA917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1 443 640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9EF309" w14:textId="6839AB46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1 429 264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DE5E76" w14:textId="076C870E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-14 376</w:t>
            </w:r>
          </w:p>
        </w:tc>
      </w:tr>
      <w:tr w:rsidR="001E422F" w:rsidRPr="00A57CA9" w14:paraId="3866BBFC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E7735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E354" w14:textId="6985E9C4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12 895 429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0D466" w14:textId="5166018F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12 825 498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2073" w14:textId="5156A05E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-69 931</w:t>
            </w:r>
          </w:p>
        </w:tc>
      </w:tr>
      <w:tr w:rsidR="001E422F" w:rsidRPr="00A57CA9" w14:paraId="1B2A5754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469514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D1F4A3" w14:textId="035312B0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69 378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A2D8EB" w14:textId="2500A9EE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69 859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68A90F" w14:textId="2583C796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481</w:t>
            </w:r>
          </w:p>
        </w:tc>
      </w:tr>
      <w:tr w:rsidR="001E422F" w:rsidRPr="00A57CA9" w14:paraId="4905503D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64F1CE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9D3FD5" w14:textId="4B8C91D8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62 656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A6999B" w14:textId="6AC3E8D4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63 493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5FB73C" w14:textId="78C7F34A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837</w:t>
            </w:r>
          </w:p>
        </w:tc>
      </w:tr>
      <w:tr w:rsidR="001E422F" w:rsidRPr="00A57CA9" w14:paraId="4F4136CA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E40D06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4895B" w14:textId="29CD5BC4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6 722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62A5F" w14:textId="464627AC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6 366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4ED5" w14:textId="0C6CD78A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-356</w:t>
            </w:r>
          </w:p>
        </w:tc>
      </w:tr>
      <w:tr w:rsidR="001E422F" w:rsidRPr="00A57CA9" w14:paraId="5E504CC9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DFD580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0E5B7B" w14:textId="46958BBE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42 827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D83833" w14:textId="721EE438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39 689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F0F769" w14:textId="26261D46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-3 138</w:t>
            </w:r>
          </w:p>
        </w:tc>
      </w:tr>
      <w:tr w:rsidR="001E422F" w:rsidRPr="00A57CA9" w14:paraId="5A195B8A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9EAC76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4B04DB" w14:textId="1F3DD3AF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4 500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06252B" w14:textId="21EE9E78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4 597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CCB3C5" w14:textId="5A42166B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</w:tr>
      <w:tr w:rsidR="001E422F" w:rsidRPr="00A57CA9" w14:paraId="6ED83DD9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D9A835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C262" w14:textId="3462E2E2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38 327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0E3B" w14:textId="50A6D40A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35 092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C519" w14:textId="2B21589A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-3 235</w:t>
            </w:r>
          </w:p>
        </w:tc>
      </w:tr>
      <w:tr w:rsidR="001E422F" w:rsidRPr="00A57CA9" w14:paraId="4D36E370" w14:textId="77777777" w:rsidTr="0049654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9B201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základný fond poistenia v nezamestnanosti,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A57CA9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BEBA16" w14:textId="3950E509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306 987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F5C338" w14:textId="6F6F62FB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336 034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4F2478" w14:textId="1F3539C9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29 047</w:t>
            </w:r>
          </w:p>
        </w:tc>
      </w:tr>
      <w:tr w:rsidR="001E422F" w:rsidRPr="00A57CA9" w14:paraId="651CAC40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C02357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výdavky na dávku v nezamestnanosti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18B0C6" w14:textId="57F69E92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303 244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42728C" w14:textId="2B2E3CFA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333 828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313DCC" w14:textId="27E618EA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30 584</w:t>
            </w:r>
          </w:p>
        </w:tc>
      </w:tr>
      <w:tr w:rsidR="001E422F" w:rsidRPr="00A57CA9" w14:paraId="67DB449C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F7E2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 xml:space="preserve"> - postúpenie fin. prostriedkov, ktoré žiada príslušný orgán na výplatu podpory v čase skrátenej práce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A4A68" w14:textId="41569788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3 743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53F31" w14:textId="32002409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2 206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F240" w14:textId="4A7328C3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-1 537</w:t>
            </w:r>
          </w:p>
        </w:tc>
      </w:tr>
      <w:tr w:rsidR="001E422F" w:rsidRPr="00A57CA9" w14:paraId="031FDC5D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F9D3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F5BD" w14:textId="3EEFA339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282 208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FE39" w14:textId="0A558825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297 560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8AC6" w14:textId="0E549D08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15 352</w:t>
            </w:r>
          </w:p>
        </w:tc>
      </w:tr>
      <w:tr w:rsidR="001E422F" w:rsidRPr="00A57CA9" w14:paraId="7DFF8F45" w14:textId="77777777" w:rsidTr="00496540"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8B83" w14:textId="77777777" w:rsidR="001E422F" w:rsidRPr="00A57CA9" w:rsidRDefault="001E422F" w:rsidP="001E422F">
            <w:pPr>
              <w:rPr>
                <w:rFonts w:ascii="Times New Roman" w:hAnsi="Times New Roman"/>
                <w:sz w:val="22"/>
                <w:szCs w:val="22"/>
              </w:rPr>
            </w:pPr>
            <w:r w:rsidRPr="00A57CA9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6157C" w14:textId="5F18E81D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3 796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E807" w14:textId="598D80D1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4 970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0DF1" w14:textId="2493BB6D" w:rsidR="001E422F" w:rsidRPr="001E422F" w:rsidRDefault="001E422F" w:rsidP="001E422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E422F">
              <w:rPr>
                <w:rFonts w:ascii="Times New Roman" w:hAnsi="Times New Roman"/>
                <w:sz w:val="22"/>
                <w:szCs w:val="22"/>
              </w:rPr>
              <w:t>1 174</w:t>
            </w:r>
          </w:p>
        </w:tc>
      </w:tr>
    </w:tbl>
    <w:p w14:paraId="50283729" w14:textId="77777777" w:rsidR="00DA3A85" w:rsidRDefault="00DA3A85" w:rsidP="00897909">
      <w:pPr>
        <w:jc w:val="both"/>
        <w:rPr>
          <w:rFonts w:ascii="Times New Roman" w:hAnsi="Times New Roman"/>
          <w:sz w:val="22"/>
          <w:szCs w:val="22"/>
        </w:rPr>
      </w:pPr>
    </w:p>
    <w:p w14:paraId="326AF515" w14:textId="4182734C" w:rsidR="0064399F" w:rsidRDefault="002E3AEA" w:rsidP="006D1A23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Sociálna poisťovňa</w:t>
      </w:r>
      <w:r w:rsidR="009506E5">
        <w:rPr>
          <w:rFonts w:ascii="Times New Roman" w:hAnsi="Times New Roman"/>
          <w:szCs w:val="24"/>
        </w:rPr>
        <w:t xml:space="preserve"> </w:t>
      </w:r>
      <w:r w:rsidR="007E2445" w:rsidRPr="00C56E69">
        <w:rPr>
          <w:rFonts w:ascii="Times New Roman" w:hAnsi="Times New Roman"/>
          <w:b/>
          <w:szCs w:val="24"/>
        </w:rPr>
        <w:t xml:space="preserve">očakáva </w:t>
      </w:r>
      <w:r w:rsidR="009506E5" w:rsidRPr="00C56E69">
        <w:rPr>
          <w:rFonts w:ascii="Times New Roman" w:hAnsi="Times New Roman"/>
          <w:b/>
          <w:szCs w:val="24"/>
        </w:rPr>
        <w:t>v</w:t>
      </w:r>
      <w:r w:rsidR="00507B2C" w:rsidRPr="00C56E69">
        <w:rPr>
          <w:rFonts w:ascii="Times New Roman" w:hAnsi="Times New Roman"/>
          <w:b/>
          <w:szCs w:val="24"/>
        </w:rPr>
        <w:t xml:space="preserve"> roku </w:t>
      </w:r>
      <w:r w:rsidR="00496540">
        <w:rPr>
          <w:rFonts w:ascii="Times New Roman" w:hAnsi="Times New Roman"/>
          <w:b/>
          <w:szCs w:val="24"/>
        </w:rPr>
        <w:t>2025</w:t>
      </w:r>
      <w:r w:rsidR="007E2445">
        <w:rPr>
          <w:rFonts w:ascii="Times New Roman" w:hAnsi="Times New Roman"/>
          <w:szCs w:val="24"/>
        </w:rPr>
        <w:t xml:space="preserve">, oproti schválenému rozpočtu na rok </w:t>
      </w:r>
      <w:r w:rsidR="00496540">
        <w:rPr>
          <w:rFonts w:ascii="Times New Roman" w:hAnsi="Times New Roman"/>
          <w:szCs w:val="24"/>
        </w:rPr>
        <w:t>2025</w:t>
      </w:r>
      <w:r w:rsidR="00AA46A4">
        <w:rPr>
          <w:rFonts w:ascii="Times New Roman" w:hAnsi="Times New Roman"/>
          <w:szCs w:val="24"/>
        </w:rPr>
        <w:t>,</w:t>
      </w:r>
      <w:r w:rsidR="00507B2C" w:rsidRPr="002A1BB3">
        <w:rPr>
          <w:rFonts w:ascii="Times New Roman" w:hAnsi="Times New Roman"/>
          <w:szCs w:val="24"/>
        </w:rPr>
        <w:t xml:space="preserve"> </w:t>
      </w:r>
      <w:r w:rsidR="001E422F">
        <w:rPr>
          <w:rFonts w:ascii="Times New Roman" w:hAnsi="Times New Roman"/>
          <w:b/>
          <w:szCs w:val="24"/>
        </w:rPr>
        <w:t>nižšie</w:t>
      </w:r>
      <w:r w:rsidR="00DC4E4E" w:rsidRPr="00C56E69">
        <w:rPr>
          <w:rFonts w:ascii="Times New Roman" w:hAnsi="Times New Roman"/>
          <w:b/>
          <w:szCs w:val="24"/>
        </w:rPr>
        <w:t xml:space="preserve"> výdavky o</w:t>
      </w:r>
      <w:r w:rsidR="001E422F">
        <w:rPr>
          <w:rFonts w:ascii="Times New Roman" w:hAnsi="Times New Roman"/>
          <w:b/>
          <w:szCs w:val="24"/>
        </w:rPr>
        <w:t> 134 590</w:t>
      </w:r>
      <w:r w:rsidR="00DC4E4E" w:rsidRPr="00C56E69">
        <w:rPr>
          <w:rFonts w:ascii="Times New Roman" w:hAnsi="Times New Roman"/>
          <w:b/>
          <w:szCs w:val="24"/>
        </w:rPr>
        <w:t> tis. eur</w:t>
      </w:r>
      <w:r w:rsidR="00DC4E4E">
        <w:rPr>
          <w:rFonts w:ascii="Times New Roman" w:hAnsi="Times New Roman"/>
          <w:szCs w:val="24"/>
        </w:rPr>
        <w:t xml:space="preserve">. </w:t>
      </w:r>
      <w:r w:rsidR="001E422F" w:rsidRPr="001E422F">
        <w:rPr>
          <w:rFonts w:ascii="Times New Roman" w:hAnsi="Times New Roman"/>
          <w:b/>
          <w:bCs/>
          <w:szCs w:val="24"/>
        </w:rPr>
        <w:t>Výrazne</w:t>
      </w:r>
      <w:r w:rsidR="001E422F">
        <w:rPr>
          <w:rFonts w:ascii="Times New Roman" w:hAnsi="Times New Roman"/>
          <w:szCs w:val="24"/>
        </w:rPr>
        <w:t xml:space="preserve"> n</w:t>
      </w:r>
      <w:r w:rsidR="00DB206A" w:rsidRPr="00C56E69">
        <w:rPr>
          <w:rFonts w:ascii="Times New Roman" w:hAnsi="Times New Roman"/>
          <w:b/>
          <w:szCs w:val="24"/>
        </w:rPr>
        <w:t>ižšie</w:t>
      </w:r>
      <w:r w:rsidR="001E422F">
        <w:rPr>
          <w:rFonts w:ascii="Times New Roman" w:hAnsi="Times New Roman"/>
          <w:b/>
          <w:szCs w:val="24"/>
        </w:rPr>
        <w:t xml:space="preserve"> </w:t>
      </w:r>
      <w:r w:rsidR="001E422F" w:rsidRPr="00C56E69">
        <w:rPr>
          <w:rFonts w:ascii="Times New Roman" w:hAnsi="Times New Roman"/>
          <w:b/>
          <w:szCs w:val="24"/>
        </w:rPr>
        <w:t>výdavky</w:t>
      </w:r>
      <w:r w:rsidR="00DB206A">
        <w:rPr>
          <w:rFonts w:ascii="Times New Roman" w:hAnsi="Times New Roman"/>
          <w:szCs w:val="24"/>
        </w:rPr>
        <w:t xml:space="preserve">, ako rozpočtované, sa očakávajú </w:t>
      </w:r>
      <w:r w:rsidR="00DB206A" w:rsidRPr="00C56E69">
        <w:rPr>
          <w:rFonts w:ascii="Times New Roman" w:hAnsi="Times New Roman"/>
          <w:b/>
          <w:szCs w:val="24"/>
        </w:rPr>
        <w:t>v základnom fonde nemocenského poistenia o</w:t>
      </w:r>
      <w:r w:rsidR="001E422F">
        <w:rPr>
          <w:rFonts w:ascii="Times New Roman" w:hAnsi="Times New Roman"/>
          <w:b/>
          <w:szCs w:val="24"/>
        </w:rPr>
        <w:t> 107 576</w:t>
      </w:r>
      <w:r w:rsidR="00DB206A" w:rsidRPr="00C56E69">
        <w:rPr>
          <w:rFonts w:ascii="Times New Roman" w:hAnsi="Times New Roman"/>
          <w:b/>
          <w:szCs w:val="24"/>
        </w:rPr>
        <w:t> tis. eur</w:t>
      </w:r>
      <w:r w:rsidR="001E422F">
        <w:rPr>
          <w:rFonts w:ascii="Times New Roman" w:hAnsi="Times New Roman"/>
          <w:b/>
          <w:szCs w:val="24"/>
        </w:rPr>
        <w:t xml:space="preserve"> a </w:t>
      </w:r>
      <w:r w:rsidR="00EC3FEE">
        <w:rPr>
          <w:rFonts w:ascii="Times New Roman" w:hAnsi="Times New Roman"/>
          <w:b/>
          <w:szCs w:val="24"/>
        </w:rPr>
        <w:t>v</w:t>
      </w:r>
      <w:r w:rsidR="001E422F">
        <w:rPr>
          <w:rFonts w:ascii="Times New Roman" w:hAnsi="Times New Roman"/>
          <w:b/>
          <w:szCs w:val="24"/>
        </w:rPr>
        <w:t> dôchodkov</w:t>
      </w:r>
      <w:r w:rsidR="00EC3FEE">
        <w:rPr>
          <w:rFonts w:ascii="Times New Roman" w:hAnsi="Times New Roman"/>
          <w:b/>
          <w:szCs w:val="24"/>
        </w:rPr>
        <w:t>om</w:t>
      </w:r>
      <w:r w:rsidR="001E422F">
        <w:rPr>
          <w:rFonts w:ascii="Times New Roman" w:hAnsi="Times New Roman"/>
          <w:b/>
          <w:szCs w:val="24"/>
        </w:rPr>
        <w:t xml:space="preserve"> poisten</w:t>
      </w:r>
      <w:r w:rsidR="00EC3FEE">
        <w:rPr>
          <w:rFonts w:ascii="Times New Roman" w:hAnsi="Times New Roman"/>
          <w:b/>
          <w:szCs w:val="24"/>
        </w:rPr>
        <w:t>í</w:t>
      </w:r>
      <w:r w:rsidR="001E422F">
        <w:rPr>
          <w:rFonts w:ascii="Times New Roman" w:hAnsi="Times New Roman"/>
          <w:b/>
          <w:szCs w:val="24"/>
        </w:rPr>
        <w:t xml:space="preserve"> o 69</w:t>
      </w:r>
      <w:r w:rsidR="0064399F">
        <w:rPr>
          <w:rFonts w:ascii="Times New Roman" w:hAnsi="Times New Roman"/>
          <w:b/>
          <w:szCs w:val="24"/>
        </w:rPr>
        <w:t> </w:t>
      </w:r>
      <w:r w:rsidR="001E422F">
        <w:rPr>
          <w:rFonts w:ascii="Times New Roman" w:hAnsi="Times New Roman"/>
          <w:b/>
          <w:szCs w:val="24"/>
        </w:rPr>
        <w:t>931</w:t>
      </w:r>
      <w:r w:rsidR="0064399F">
        <w:rPr>
          <w:rFonts w:ascii="Times New Roman" w:hAnsi="Times New Roman"/>
          <w:b/>
          <w:szCs w:val="24"/>
        </w:rPr>
        <w:t> tis. eur</w:t>
      </w:r>
      <w:r w:rsidR="00DB206A">
        <w:rPr>
          <w:rFonts w:ascii="Times New Roman" w:hAnsi="Times New Roman"/>
          <w:szCs w:val="24"/>
        </w:rPr>
        <w:t xml:space="preserve">. </w:t>
      </w:r>
    </w:p>
    <w:p w14:paraId="31D90BB8" w14:textId="4C490483" w:rsidR="00DB206A" w:rsidRDefault="001E422F" w:rsidP="006D1A23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1E422F">
        <w:rPr>
          <w:rFonts w:ascii="Times New Roman" w:hAnsi="Times New Roman"/>
          <w:b/>
          <w:bCs/>
          <w:szCs w:val="24"/>
        </w:rPr>
        <w:t>V</w:t>
      </w:r>
      <w:r w:rsidR="006804A9" w:rsidRPr="001E422F">
        <w:rPr>
          <w:rFonts w:ascii="Times New Roman" w:hAnsi="Times New Roman"/>
          <w:b/>
          <w:bCs/>
          <w:szCs w:val="24"/>
        </w:rPr>
        <w:t>yššie</w:t>
      </w:r>
      <w:r w:rsidR="006804A9">
        <w:rPr>
          <w:rFonts w:ascii="Times New Roman" w:hAnsi="Times New Roman"/>
          <w:szCs w:val="24"/>
        </w:rPr>
        <w:t xml:space="preserve"> </w:t>
      </w:r>
      <w:r w:rsidR="006804A9" w:rsidRPr="0064399F">
        <w:rPr>
          <w:rFonts w:ascii="Times New Roman" w:hAnsi="Times New Roman"/>
          <w:b/>
          <w:bCs/>
          <w:szCs w:val="24"/>
        </w:rPr>
        <w:t>výdavky</w:t>
      </w:r>
      <w:r w:rsidR="006804A9">
        <w:rPr>
          <w:rFonts w:ascii="Times New Roman" w:hAnsi="Times New Roman"/>
          <w:szCs w:val="24"/>
        </w:rPr>
        <w:t xml:space="preserve">, ako boli stanovené v schválenom rozpočte na rok </w:t>
      </w:r>
      <w:r w:rsidR="00496540">
        <w:rPr>
          <w:rFonts w:ascii="Times New Roman" w:hAnsi="Times New Roman"/>
          <w:szCs w:val="24"/>
        </w:rPr>
        <w:t>2025</w:t>
      </w:r>
      <w:r w:rsidR="0064399F">
        <w:rPr>
          <w:rFonts w:ascii="Times New Roman" w:hAnsi="Times New Roman"/>
          <w:szCs w:val="24"/>
        </w:rPr>
        <w:t>, sa predpokladajú v </w:t>
      </w:r>
      <w:r w:rsidR="0064399F" w:rsidRPr="0064399F">
        <w:rPr>
          <w:rFonts w:ascii="Times New Roman" w:hAnsi="Times New Roman"/>
          <w:b/>
          <w:bCs/>
          <w:szCs w:val="24"/>
        </w:rPr>
        <w:t>základnom fonde poistenia v nezamestnanosti o 29 047 tis. eur</w:t>
      </w:r>
      <w:r w:rsidR="0064399F">
        <w:rPr>
          <w:rFonts w:ascii="Times New Roman" w:hAnsi="Times New Roman"/>
          <w:b/>
          <w:bCs/>
          <w:szCs w:val="24"/>
        </w:rPr>
        <w:t>, v osobitnom fonde o 1 174 tis. eur a v správnom fonde o 15 352 tis. eur.</w:t>
      </w:r>
    </w:p>
    <w:p w14:paraId="0AD7B33F" w14:textId="52C037C8" w:rsidR="007B22BB" w:rsidRPr="00FE16D4" w:rsidRDefault="007B22BB" w:rsidP="006D1A23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181377">
        <w:rPr>
          <w:rFonts w:ascii="Times New Roman" w:hAnsi="Times New Roman"/>
          <w:b/>
          <w:szCs w:val="24"/>
        </w:rPr>
        <w:t xml:space="preserve">Hospodárenie Sociálnej poisťovne </w:t>
      </w:r>
      <w:r>
        <w:rPr>
          <w:rFonts w:ascii="Times New Roman" w:hAnsi="Times New Roman"/>
          <w:b/>
          <w:szCs w:val="24"/>
        </w:rPr>
        <w:t xml:space="preserve">k 31. decembru </w:t>
      </w:r>
      <w:r w:rsidR="00496540">
        <w:rPr>
          <w:rFonts w:ascii="Times New Roman" w:hAnsi="Times New Roman"/>
          <w:b/>
          <w:szCs w:val="24"/>
        </w:rPr>
        <w:t>2025</w:t>
      </w:r>
      <w:r w:rsidRPr="00181377">
        <w:rPr>
          <w:rFonts w:ascii="Times New Roman" w:hAnsi="Times New Roman"/>
          <w:b/>
          <w:szCs w:val="24"/>
        </w:rPr>
        <w:t xml:space="preserve"> by malo skončiť bilančným rozdielom </w:t>
      </w:r>
      <w:r w:rsidR="0064399F">
        <w:rPr>
          <w:rFonts w:ascii="Times New Roman" w:hAnsi="Times New Roman"/>
          <w:b/>
          <w:szCs w:val="24"/>
        </w:rPr>
        <w:t>1 220 608</w:t>
      </w:r>
      <w:r w:rsidRPr="00181377">
        <w:rPr>
          <w:rFonts w:ascii="Times New Roman" w:hAnsi="Times New Roman"/>
          <w:b/>
          <w:szCs w:val="24"/>
        </w:rPr>
        <w:t> tis. eur</w:t>
      </w:r>
      <w:r w:rsidRPr="00181377">
        <w:rPr>
          <w:rFonts w:ascii="Times New Roman" w:hAnsi="Times New Roman"/>
          <w:szCs w:val="24"/>
        </w:rPr>
        <w:t>.</w:t>
      </w:r>
      <w:r w:rsidRPr="001C1AD2">
        <w:rPr>
          <w:rFonts w:ascii="Times New Roman" w:hAnsi="Times New Roman"/>
          <w:szCs w:val="24"/>
        </w:rPr>
        <w:t xml:space="preserve"> </w:t>
      </w:r>
      <w:r w:rsidRPr="00FE16D4">
        <w:rPr>
          <w:rFonts w:ascii="Times New Roman" w:hAnsi="Times New Roman"/>
          <w:szCs w:val="24"/>
        </w:rPr>
        <w:t xml:space="preserve">Hospodárenie Sociálnej poisťovne bude v roku </w:t>
      </w:r>
      <w:r w:rsidR="00496540">
        <w:rPr>
          <w:rFonts w:ascii="Times New Roman" w:hAnsi="Times New Roman"/>
          <w:szCs w:val="24"/>
        </w:rPr>
        <w:t>2025</w:t>
      </w:r>
      <w:r w:rsidRPr="00FE16D4">
        <w:rPr>
          <w:rFonts w:ascii="Times New Roman" w:hAnsi="Times New Roman"/>
          <w:szCs w:val="24"/>
        </w:rPr>
        <w:t xml:space="preserve"> ovplyvňovať deficitné hospodárenie v</w:t>
      </w:r>
      <w:r>
        <w:rPr>
          <w:rFonts w:ascii="Times New Roman" w:hAnsi="Times New Roman"/>
          <w:szCs w:val="24"/>
        </w:rPr>
        <w:t> základnom fonde starobného poistenia</w:t>
      </w:r>
      <w:r w:rsidRPr="00FE16D4">
        <w:rPr>
          <w:rFonts w:ascii="Times New Roman" w:hAnsi="Times New Roman"/>
          <w:szCs w:val="24"/>
        </w:rPr>
        <w:t xml:space="preserve">. Deficit bude Sociálna poisťovňa riešiť v zmysle § 167 ods. 1 zákona o sociálnom poistení z rezervného fondu solidarity a aj z vnútorných zdrojov v zmysle § 122 ods. </w:t>
      </w:r>
      <w:r>
        <w:rPr>
          <w:rFonts w:ascii="Times New Roman" w:hAnsi="Times New Roman"/>
          <w:szCs w:val="24"/>
        </w:rPr>
        <w:t>4 písm. g) a § 123 ods. 2 písm. </w:t>
      </w:r>
      <w:r w:rsidRPr="00FE16D4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 xml:space="preserve"> bod 6</w:t>
      </w:r>
      <w:r w:rsidRPr="00FE16D4">
        <w:rPr>
          <w:rFonts w:ascii="Times New Roman" w:hAnsi="Times New Roman"/>
          <w:szCs w:val="24"/>
        </w:rPr>
        <w:t xml:space="preserve">. </w:t>
      </w:r>
    </w:p>
    <w:p w14:paraId="40E1817B" w14:textId="77777777" w:rsidR="00364196" w:rsidRDefault="00364196" w:rsidP="001874F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14:paraId="44237240" w14:textId="77777777" w:rsidR="00364196" w:rsidRDefault="00364196" w:rsidP="001874F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14:paraId="01E47D0C" w14:textId="77777777" w:rsidR="00364196" w:rsidRDefault="00364196" w:rsidP="001874F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14:paraId="0467BD87" w14:textId="77777777" w:rsidR="00364196" w:rsidRDefault="00364196" w:rsidP="001874F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14:paraId="0B3F9D9E" w14:textId="359DDE59" w:rsidR="0090404B" w:rsidRDefault="00A937B8" w:rsidP="001874F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lastRenderedPageBreak/>
        <w:t xml:space="preserve">Z hľadiska </w:t>
      </w:r>
      <w:r w:rsidRPr="004C7EC8">
        <w:rPr>
          <w:rFonts w:ascii="Times New Roman" w:hAnsi="Times New Roman"/>
          <w:b/>
          <w:szCs w:val="24"/>
        </w:rPr>
        <w:t xml:space="preserve">celkového hospodárenia Sociálnej poisťovne </w:t>
      </w:r>
      <w:r w:rsidRPr="004C7EC8">
        <w:rPr>
          <w:rFonts w:ascii="Times New Roman" w:hAnsi="Times New Roman"/>
          <w:szCs w:val="24"/>
        </w:rPr>
        <w:t>(vrátane prevodu prostriedkov z minulých rokov) je možné očakávať k 31. </w:t>
      </w:r>
      <w:r w:rsidR="00867F00" w:rsidRPr="004C7EC8">
        <w:rPr>
          <w:rFonts w:ascii="Times New Roman" w:hAnsi="Times New Roman"/>
          <w:szCs w:val="24"/>
        </w:rPr>
        <w:t>decembru</w:t>
      </w:r>
      <w:r w:rsidRPr="004C7EC8">
        <w:rPr>
          <w:rFonts w:ascii="Times New Roman" w:hAnsi="Times New Roman"/>
          <w:szCs w:val="24"/>
        </w:rPr>
        <w:t> </w:t>
      </w:r>
      <w:r w:rsidR="00496540">
        <w:rPr>
          <w:rFonts w:ascii="Times New Roman" w:hAnsi="Times New Roman"/>
          <w:szCs w:val="24"/>
        </w:rPr>
        <w:t>2025</w:t>
      </w:r>
      <w:r w:rsidRPr="004C7EC8">
        <w:rPr>
          <w:rFonts w:ascii="Times New Roman" w:hAnsi="Times New Roman"/>
          <w:szCs w:val="24"/>
        </w:rPr>
        <w:t xml:space="preserve"> v jednotlivých fondoch výsledky:</w:t>
      </w:r>
    </w:p>
    <w:tbl>
      <w:tblPr>
        <w:tblW w:w="93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651"/>
        <w:gridCol w:w="1740"/>
        <w:gridCol w:w="1470"/>
      </w:tblGrid>
      <w:tr w:rsidR="002A1BB3" w:rsidRPr="002A1BB3" w14:paraId="569057B9" w14:textId="77777777" w:rsidTr="007B22BB"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E5B7D" w14:textId="77777777"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8A0E1" w14:textId="77777777"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A2BE" w14:textId="77777777"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0260C" w14:textId="77777777" w:rsidR="002A1BB3" w:rsidRPr="002A1BB3" w:rsidRDefault="002A1BB3" w:rsidP="002A1BB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v tis.</w:t>
            </w:r>
            <w:r w:rsidR="006A03F2"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2A1BB3" w:rsidRPr="002A1BB3" w14:paraId="7C26E10F" w14:textId="77777777" w:rsidTr="007B22BB"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4B57" w14:textId="77777777"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Fond  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4176" w14:textId="34A95C65"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Bilančný rozdiel k 31.12.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B9F" w14:textId="77777777"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Rozdiel  2-1</w:t>
            </w:r>
          </w:p>
        </w:tc>
      </w:tr>
      <w:tr w:rsidR="002A1BB3" w:rsidRPr="002A1BB3" w14:paraId="2E944206" w14:textId="77777777" w:rsidTr="007B22BB"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F588" w14:textId="77777777" w:rsidR="002A1BB3" w:rsidRPr="00005F2A" w:rsidRDefault="002A1BB3" w:rsidP="002A1BB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50A0" w14:textId="77777777"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Schválený rozpočet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B74" w14:textId="77777777"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BF77" w14:textId="77777777"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1BB3" w:rsidRPr="002A1BB3" w14:paraId="1A3A032A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BB85" w14:textId="77777777"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0E7" w14:textId="77777777"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919D" w14:textId="77777777"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09C1" w14:textId="77777777"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364196" w:rsidRPr="002A1BB3" w14:paraId="41701AA0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11C3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nemocenského poistenia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45D2" w14:textId="77DD5CBD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65 000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7D47" w14:textId="023BA9F6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65 000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7ED86" w14:textId="45F3FA0A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64196" w:rsidRPr="002A1BB3" w14:paraId="441FCAE2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4A2A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starobného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DF28" w14:textId="3BCC29E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791 637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00AF" w14:textId="22704C5A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789 777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1CDA" w14:textId="492DCC78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-1 860</w:t>
            </w:r>
          </w:p>
        </w:tc>
      </w:tr>
      <w:tr w:rsidR="00364196" w:rsidRPr="002A1BB3" w14:paraId="63A3A10F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2B54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invalidného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E639" w14:textId="7D0A0523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330 629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DCEBB" w14:textId="0473FEFD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304 578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B459" w14:textId="7109D958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-26 051</w:t>
            </w:r>
          </w:p>
        </w:tc>
      </w:tr>
      <w:tr w:rsidR="00364196" w:rsidRPr="002A1BB3" w14:paraId="49DA3D04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977D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úrazového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647C" w14:textId="21E3EFF8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CD39" w14:textId="4079BF41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FE49" w14:textId="19AB095E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64196" w:rsidRPr="002A1BB3" w14:paraId="6F7D45C8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9E17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garančného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B7D1" w14:textId="51930C13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9024" w14:textId="11432632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65EE" w14:textId="581D183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64196" w:rsidRPr="002A1BB3" w14:paraId="108F8048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0045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poistenia v nezamestnanosti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1F39" w14:textId="6F36DDD4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A47A" w14:textId="26E904C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A9CD6" w14:textId="54691C62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64196" w:rsidRPr="002A1BB3" w14:paraId="6A3441D2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0905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Rezervný fond solidarity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EDDD" w14:textId="5F72D07D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2A9A" w14:textId="52B53309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1E54" w14:textId="0C73C221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64196" w:rsidRPr="002A1BB3" w14:paraId="5CE788C6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162A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3349" w14:textId="4FEB2801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17 864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2BE5" w14:textId="0B6A9B2A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16 925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C8C2" w14:textId="13CF43D9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-939</w:t>
            </w:r>
          </w:p>
        </w:tc>
      </w:tr>
      <w:tr w:rsidR="00364196" w:rsidRPr="002A1BB3" w14:paraId="43358067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0D04" w14:textId="77777777" w:rsidR="00364196" w:rsidRPr="002A1BB3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1A50" w14:textId="116A880B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2 727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29F5" w14:textId="3EF1C7EB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1 328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6D00" w14:textId="5C8F4581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-1 399</w:t>
            </w:r>
          </w:p>
        </w:tc>
      </w:tr>
      <w:tr w:rsidR="00364196" w:rsidRPr="005978A9" w14:paraId="08294C0C" w14:textId="77777777" w:rsidTr="007B22BB"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BC5E" w14:textId="77777777" w:rsidR="00364196" w:rsidRPr="005978A9" w:rsidRDefault="00364196" w:rsidP="0036419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50E4" w14:textId="7F6A5C79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1 250 857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26A6" w14:textId="2E6A7C67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1 220 608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96C2" w14:textId="46334B5E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-30 249</w:t>
            </w:r>
          </w:p>
        </w:tc>
      </w:tr>
    </w:tbl>
    <w:p w14:paraId="33572B59" w14:textId="77777777" w:rsidR="00A937B8" w:rsidRPr="004C7EC8" w:rsidRDefault="00A937B8" w:rsidP="00192C03">
      <w:pPr>
        <w:spacing w:before="24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x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  <w:r w:rsidRPr="004C7EC8">
        <w:rPr>
          <w:rFonts w:ascii="Times New Roman" w:hAnsi="Times New Roman"/>
          <w:szCs w:val="24"/>
        </w:rPr>
        <w:t xml:space="preserve">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</w:p>
    <w:p w14:paraId="3226B7A5" w14:textId="77777777" w:rsidR="001C1AD2" w:rsidRDefault="004B1350" w:rsidP="00192C03">
      <w:pPr>
        <w:pStyle w:val="Zarkazkladnhotextu"/>
        <w:tabs>
          <w:tab w:val="decimal" w:pos="8222"/>
        </w:tabs>
        <w:spacing w:before="24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</w:t>
      </w:r>
      <w:r w:rsidR="001C1AD2">
        <w:rPr>
          <w:rFonts w:ascii="Times New Roman" w:hAnsi="Times New Roman"/>
          <w:szCs w:val="24"/>
        </w:rPr>
        <w:t xml:space="preserve">hospodárenie </w:t>
      </w:r>
      <w:r w:rsidR="001C1AD2" w:rsidRPr="005A072F">
        <w:rPr>
          <w:rFonts w:ascii="Times New Roman" w:hAnsi="Times New Roman"/>
          <w:szCs w:val="24"/>
        </w:rPr>
        <w:t xml:space="preserve">Sociálnej poisťovne </w:t>
      </w:r>
      <w:r>
        <w:rPr>
          <w:rFonts w:ascii="Times New Roman" w:hAnsi="Times New Roman"/>
          <w:szCs w:val="24"/>
        </w:rPr>
        <w:t xml:space="preserve">má </w:t>
      </w:r>
      <w:r w:rsidR="001C1AD2">
        <w:rPr>
          <w:rFonts w:ascii="Times New Roman" w:hAnsi="Times New Roman"/>
          <w:szCs w:val="24"/>
        </w:rPr>
        <w:t xml:space="preserve">výrazný vplyv </w:t>
      </w:r>
      <w:r w:rsidR="001C1AD2" w:rsidRPr="005A072F">
        <w:rPr>
          <w:rFonts w:ascii="Times New Roman" w:hAnsi="Times New Roman"/>
          <w:szCs w:val="24"/>
        </w:rPr>
        <w:t>existenci</w:t>
      </w:r>
      <w:r w:rsidR="001C1AD2">
        <w:rPr>
          <w:rFonts w:ascii="Times New Roman" w:hAnsi="Times New Roman"/>
          <w:szCs w:val="24"/>
        </w:rPr>
        <w:t>a</w:t>
      </w:r>
      <w:r w:rsidR="001C1AD2" w:rsidRPr="005A072F">
        <w:rPr>
          <w:rFonts w:ascii="Times New Roman" w:hAnsi="Times New Roman"/>
          <w:szCs w:val="24"/>
        </w:rPr>
        <w:t xml:space="preserve"> </w:t>
      </w:r>
      <w:r w:rsidR="00646773">
        <w:rPr>
          <w:rFonts w:ascii="Times New Roman" w:hAnsi="Times New Roman"/>
          <w:szCs w:val="24"/>
        </w:rPr>
        <w:t>SDS</w:t>
      </w:r>
      <w:r w:rsidR="001C1AD2">
        <w:rPr>
          <w:rFonts w:ascii="Times New Roman" w:hAnsi="Times New Roman"/>
          <w:szCs w:val="24"/>
        </w:rPr>
        <w:t>. Prehľad vybraných a postúpených príspevkov na SDS:</w:t>
      </w:r>
      <w:r w:rsidR="001C1AD2" w:rsidRPr="005A072F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60"/>
        <w:gridCol w:w="1960"/>
        <w:gridCol w:w="1656"/>
      </w:tblGrid>
      <w:tr w:rsidR="00364196" w:rsidRPr="00364196" w14:paraId="2FB6DF16" w14:textId="77777777" w:rsidTr="0036419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315F" w14:textId="77777777" w:rsidR="00364196" w:rsidRPr="00364196" w:rsidRDefault="00364196" w:rsidP="0036419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C0E2" w14:textId="77777777" w:rsidR="00364196" w:rsidRPr="00364196" w:rsidRDefault="00364196" w:rsidP="0036419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80DB" w14:textId="77777777" w:rsidR="00364196" w:rsidRPr="00364196" w:rsidRDefault="00364196" w:rsidP="0036419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3AD6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364196" w:rsidRPr="00364196" w14:paraId="2029E12A" w14:textId="77777777" w:rsidTr="00364196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2370" w14:textId="77777777" w:rsidR="00364196" w:rsidRPr="00364196" w:rsidRDefault="00364196" w:rsidP="0036419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F14E5D" w14:textId="18021D6B" w:rsidR="00364196" w:rsidRPr="00364196" w:rsidRDefault="00364196" w:rsidP="0036419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Rok 202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14FB" w14:textId="77777777" w:rsidR="00364196" w:rsidRPr="00364196" w:rsidRDefault="00364196" w:rsidP="0036419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64196" w:rsidRPr="00364196" w14:paraId="6430013C" w14:textId="77777777" w:rsidTr="0036419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C507" w14:textId="77777777" w:rsidR="00364196" w:rsidRPr="00364196" w:rsidRDefault="00364196" w:rsidP="0036419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5CEF" w14:textId="77777777" w:rsidR="00364196" w:rsidRPr="00364196" w:rsidRDefault="00364196" w:rsidP="0036419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Schválený rozpočet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09EE" w14:textId="77777777" w:rsidR="00364196" w:rsidRPr="00364196" w:rsidRDefault="00364196" w:rsidP="0036419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31B66B" w14:textId="77777777" w:rsidR="00364196" w:rsidRPr="00364196" w:rsidRDefault="00364196" w:rsidP="0036419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Rozdiel  2-1</w:t>
            </w:r>
          </w:p>
        </w:tc>
      </w:tr>
      <w:tr w:rsidR="00364196" w:rsidRPr="00364196" w14:paraId="0AD219D9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36E3" w14:textId="77777777" w:rsidR="00364196" w:rsidRPr="00364196" w:rsidRDefault="00364196" w:rsidP="003641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5F03" w14:textId="77777777" w:rsidR="00364196" w:rsidRPr="00364196" w:rsidRDefault="00364196" w:rsidP="003641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A094" w14:textId="77777777" w:rsidR="00364196" w:rsidRPr="00364196" w:rsidRDefault="00364196" w:rsidP="003641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00DD" w14:textId="77777777" w:rsidR="00364196" w:rsidRPr="00364196" w:rsidRDefault="00364196" w:rsidP="003641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364196" w:rsidRPr="00364196" w14:paraId="20DD0C98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3646B7" w14:textId="77777777" w:rsidR="00364196" w:rsidRPr="00364196" w:rsidRDefault="00364196" w:rsidP="0036419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Vybraté príspevky na SDS celkom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3ACC0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1 133 809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472C86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1 107 605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83E460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-26 204</w:t>
            </w:r>
          </w:p>
        </w:tc>
      </w:tr>
      <w:tr w:rsidR="00364196" w:rsidRPr="00364196" w14:paraId="67B47291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8F544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60792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D4C05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A4FCF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64196" w:rsidRPr="00364196" w14:paraId="7FCCBB8E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C11A0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CDEA5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1 083 305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650A2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1 058 906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037E2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-24 399</w:t>
            </w:r>
          </w:p>
        </w:tc>
      </w:tr>
      <w:tr w:rsidR="00364196" w:rsidRPr="00364196" w14:paraId="49976274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442A59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198A9A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49 717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6E993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48 039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B65A6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-1 678</w:t>
            </w:r>
          </w:p>
        </w:tc>
      </w:tr>
      <w:tr w:rsidR="00364196" w:rsidRPr="00364196" w14:paraId="1B09011D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CB1D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029C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787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E3CE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660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141B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-127</w:t>
            </w:r>
          </w:p>
        </w:tc>
      </w:tr>
      <w:tr w:rsidR="00364196" w:rsidRPr="00364196" w14:paraId="1426074E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C7CF1" w14:textId="77777777" w:rsidR="00364196" w:rsidRPr="00364196" w:rsidRDefault="00364196" w:rsidP="0036419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Postúpené príspevky na SDS celkom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2075D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1 169 303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13E26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1 139 928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9F697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4196">
              <w:rPr>
                <w:rFonts w:ascii="Times New Roman" w:hAnsi="Times New Roman"/>
                <w:b/>
                <w:bCs/>
                <w:sz w:val="22"/>
                <w:szCs w:val="22"/>
              </w:rPr>
              <w:t>-29 375</w:t>
            </w:r>
          </w:p>
        </w:tc>
      </w:tr>
      <w:tr w:rsidR="00364196" w:rsidRPr="00364196" w14:paraId="399BB0F8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2E5F9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D427F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9CCF17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16DBD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64196" w:rsidRPr="00364196" w14:paraId="57283024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0F49C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4C855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1 080 597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63F8A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1 056 259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08918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-24 338</w:t>
            </w:r>
          </w:p>
        </w:tc>
      </w:tr>
      <w:tr w:rsidR="00364196" w:rsidRPr="00364196" w14:paraId="290A88A8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BA76D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2CBFB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49 592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80552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47 918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0E9EB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-1 674</w:t>
            </w:r>
          </w:p>
        </w:tc>
      </w:tr>
      <w:tr w:rsidR="00364196" w:rsidRPr="00364196" w14:paraId="55EB65E1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955EC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D1FDC1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787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07F5F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660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34A70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-127</w:t>
            </w:r>
          </w:p>
        </w:tc>
      </w:tr>
      <w:tr w:rsidR="00364196" w:rsidRPr="00364196" w14:paraId="0D19FC42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0559C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zúčtované penále zo správneho fondu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11898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9274E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55BBFE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64196" w:rsidRPr="00364196" w14:paraId="0BC9D3FA" w14:textId="77777777" w:rsidTr="00364196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228E" w14:textId="77777777" w:rsidR="00364196" w:rsidRPr="00364196" w:rsidRDefault="00364196" w:rsidP="00364196">
            <w:pPr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uhradené príspevky zo ZFGP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6C5D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38 327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1044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35 092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CA6F" w14:textId="77777777" w:rsidR="00364196" w:rsidRPr="00364196" w:rsidRDefault="00364196" w:rsidP="003641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4196">
              <w:rPr>
                <w:rFonts w:ascii="Times New Roman" w:hAnsi="Times New Roman"/>
                <w:sz w:val="22"/>
                <w:szCs w:val="22"/>
              </w:rPr>
              <w:t>-3 235</w:t>
            </w:r>
          </w:p>
        </w:tc>
      </w:tr>
    </w:tbl>
    <w:p w14:paraId="1124C445" w14:textId="3A041CC6" w:rsidR="00F11721" w:rsidRPr="004C7EC8" w:rsidRDefault="00A937B8" w:rsidP="00B91FDB">
      <w:pPr>
        <w:tabs>
          <w:tab w:val="left" w:pos="709"/>
        </w:tabs>
        <w:spacing w:before="480" w:after="120"/>
        <w:ind w:left="703" w:hanging="703"/>
        <w:jc w:val="both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II. </w:t>
      </w:r>
      <w:r w:rsidRPr="004C7EC8">
        <w:rPr>
          <w:rFonts w:ascii="Times New Roman" w:hAnsi="Times New Roman"/>
          <w:b/>
          <w:szCs w:val="24"/>
        </w:rPr>
        <w:tab/>
      </w:r>
      <w:r w:rsidR="00F11721" w:rsidRPr="004C7EC8">
        <w:rPr>
          <w:rFonts w:ascii="Times New Roman" w:hAnsi="Times New Roman"/>
          <w:b/>
          <w:szCs w:val="24"/>
        </w:rPr>
        <w:t xml:space="preserve">Návrh rozpočtu </w:t>
      </w:r>
      <w:r w:rsidR="00E90153">
        <w:rPr>
          <w:rFonts w:ascii="Times New Roman" w:hAnsi="Times New Roman"/>
          <w:b/>
          <w:szCs w:val="24"/>
        </w:rPr>
        <w:t xml:space="preserve">príjmov a výdavkov (nákladov) </w:t>
      </w:r>
      <w:r w:rsidR="00F11721" w:rsidRPr="004C7EC8">
        <w:rPr>
          <w:rFonts w:ascii="Times New Roman" w:hAnsi="Times New Roman"/>
          <w:b/>
          <w:szCs w:val="24"/>
        </w:rPr>
        <w:t xml:space="preserve">Sociálnej poisťovne na rok </w:t>
      </w:r>
      <w:r w:rsidR="00496540">
        <w:rPr>
          <w:rFonts w:ascii="Times New Roman" w:hAnsi="Times New Roman"/>
          <w:b/>
          <w:szCs w:val="24"/>
        </w:rPr>
        <w:t>2026</w:t>
      </w:r>
      <w:r w:rsidR="00F11721" w:rsidRPr="004C7EC8">
        <w:rPr>
          <w:rFonts w:ascii="Times New Roman" w:hAnsi="Times New Roman"/>
          <w:b/>
          <w:szCs w:val="24"/>
        </w:rPr>
        <w:t xml:space="preserve"> </w:t>
      </w:r>
      <w:r w:rsidR="00716880" w:rsidRPr="004C7EC8">
        <w:rPr>
          <w:rFonts w:ascii="Times New Roman" w:hAnsi="Times New Roman"/>
          <w:b/>
          <w:szCs w:val="24"/>
        </w:rPr>
        <w:t>a rozpočtový výhľad na roky</w:t>
      </w:r>
      <w:r w:rsidR="00BE614D">
        <w:rPr>
          <w:rFonts w:ascii="Times New Roman" w:hAnsi="Times New Roman"/>
          <w:b/>
          <w:szCs w:val="24"/>
        </w:rPr>
        <w:t xml:space="preserve"> </w:t>
      </w:r>
      <w:r w:rsidR="00496540">
        <w:rPr>
          <w:rFonts w:ascii="Times New Roman" w:hAnsi="Times New Roman"/>
          <w:b/>
          <w:szCs w:val="24"/>
        </w:rPr>
        <w:t>2027</w:t>
      </w:r>
      <w:r w:rsidR="00D6723F">
        <w:rPr>
          <w:rFonts w:ascii="Times New Roman" w:hAnsi="Times New Roman"/>
          <w:b/>
          <w:szCs w:val="24"/>
        </w:rPr>
        <w:t xml:space="preserve"> a </w:t>
      </w:r>
      <w:r w:rsidR="00496540">
        <w:rPr>
          <w:rFonts w:ascii="Times New Roman" w:hAnsi="Times New Roman"/>
          <w:b/>
          <w:szCs w:val="24"/>
        </w:rPr>
        <w:t>2028</w:t>
      </w:r>
    </w:p>
    <w:p w14:paraId="4A8A3DDE" w14:textId="77777777" w:rsidR="00D6723F" w:rsidRDefault="00D6723F" w:rsidP="006D1A23">
      <w:pPr>
        <w:pStyle w:val="Zarkazkladnhotextu"/>
        <w:tabs>
          <w:tab w:val="decimal" w:pos="8222"/>
        </w:tabs>
        <w:spacing w:before="240"/>
        <w:ind w:left="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Príjmy Sociálnej poisťovne</w:t>
      </w:r>
    </w:p>
    <w:p w14:paraId="7AFA3FA6" w14:textId="77777777" w:rsidR="00223296" w:rsidRDefault="00917C7B" w:rsidP="006D1A23">
      <w:pPr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K</w:t>
      </w:r>
      <w:r w:rsidRPr="008701BE">
        <w:rPr>
          <w:rFonts w:ascii="Times New Roman" w:hAnsi="Times New Roman"/>
          <w:szCs w:val="24"/>
        </w:rPr>
        <w:t xml:space="preserve">vantifikácia príjmov Sociálnej poisťovne </w:t>
      </w:r>
      <w:r>
        <w:rPr>
          <w:rFonts w:ascii="Times New Roman" w:hAnsi="Times New Roman"/>
          <w:szCs w:val="24"/>
        </w:rPr>
        <w:t>r</w:t>
      </w:r>
      <w:r w:rsidRPr="008701BE">
        <w:rPr>
          <w:rFonts w:ascii="Times New Roman" w:hAnsi="Times New Roman"/>
          <w:szCs w:val="24"/>
        </w:rPr>
        <w:t xml:space="preserve">ešpektuje </w:t>
      </w:r>
      <w:r>
        <w:rPr>
          <w:rFonts w:ascii="Times New Roman" w:hAnsi="Times New Roman"/>
          <w:szCs w:val="24"/>
        </w:rPr>
        <w:t>zákonom stanovené</w:t>
      </w:r>
      <w:r w:rsidRPr="008701BE">
        <w:rPr>
          <w:rFonts w:ascii="Times New Roman" w:hAnsi="Times New Roman"/>
          <w:szCs w:val="24"/>
        </w:rPr>
        <w:t xml:space="preserve"> sadzby pre platby</w:t>
      </w:r>
      <w:r w:rsidRPr="001D375F">
        <w:rPr>
          <w:rFonts w:ascii="Times New Roman" w:hAnsi="Times New Roman"/>
          <w:szCs w:val="24"/>
        </w:rPr>
        <w:t xml:space="preserve"> poistného</w:t>
      </w:r>
      <w:r>
        <w:rPr>
          <w:rFonts w:ascii="Times New Roman" w:hAnsi="Times New Roman"/>
          <w:szCs w:val="24"/>
        </w:rPr>
        <w:t xml:space="preserve">, vychádza z </w:t>
      </w:r>
      <w:r w:rsidRPr="00C0076F">
        <w:rPr>
          <w:rFonts w:ascii="Times New Roman" w:hAnsi="Times New Roman"/>
        </w:rPr>
        <w:t>predpokladaného priemerného počtu poistencov a vymeriavacieho základu, z ktorého sa platí poistné</w:t>
      </w:r>
      <w:r w:rsidR="006D1A23">
        <w:rPr>
          <w:rFonts w:ascii="Times New Roman" w:hAnsi="Times New Roman"/>
        </w:rPr>
        <w:t>,</w:t>
      </w:r>
      <w:r w:rsidRPr="00C0076F">
        <w:rPr>
          <w:rFonts w:ascii="Times New Roman" w:hAnsi="Times New Roman"/>
        </w:rPr>
        <w:t xml:space="preserve"> z informačného systému jednotného výberu poistného </w:t>
      </w:r>
      <w:r w:rsidRPr="00646958">
        <w:rPr>
          <w:rFonts w:ascii="Times New Roman" w:hAnsi="Times New Roman"/>
        </w:rPr>
        <w:t xml:space="preserve">Sociálnej poisťovne a zohľadňuje makroekonomické prognózy zo septembra </w:t>
      </w:r>
      <w:r w:rsidR="00496540" w:rsidRPr="00646958">
        <w:rPr>
          <w:rFonts w:ascii="Times New Roman" w:hAnsi="Times New Roman"/>
        </w:rPr>
        <w:t>2025</w:t>
      </w:r>
      <w:r w:rsidRPr="00646958">
        <w:rPr>
          <w:rFonts w:ascii="Times New Roman" w:hAnsi="Times New Roman"/>
        </w:rPr>
        <w:t xml:space="preserve">. </w:t>
      </w:r>
    </w:p>
    <w:p w14:paraId="34744D55" w14:textId="38BB0D4E" w:rsidR="00917C7B" w:rsidRDefault="00917C7B" w:rsidP="006D1A23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646958">
        <w:rPr>
          <w:rFonts w:ascii="Times New Roman" w:hAnsi="Times New Roman"/>
          <w:szCs w:val="24"/>
        </w:rPr>
        <w:t>Príjmy</w:t>
      </w:r>
      <w:r w:rsidRPr="008927DF">
        <w:rPr>
          <w:rFonts w:ascii="Times New Roman" w:hAnsi="Times New Roman"/>
          <w:szCs w:val="24"/>
        </w:rPr>
        <w:t xml:space="preserve"> z poistného </w:t>
      </w:r>
      <w:r w:rsidRPr="00917C7B">
        <w:rPr>
          <w:rFonts w:ascii="Times New Roman" w:hAnsi="Times New Roman"/>
          <w:szCs w:val="24"/>
        </w:rPr>
        <w:t xml:space="preserve">v rokoch </w:t>
      </w:r>
      <w:r w:rsidR="00496540">
        <w:rPr>
          <w:rFonts w:ascii="Times New Roman" w:hAnsi="Times New Roman"/>
          <w:szCs w:val="24"/>
        </w:rPr>
        <w:t>2027</w:t>
      </w:r>
      <w:r w:rsidRPr="00917C7B">
        <w:rPr>
          <w:rFonts w:ascii="Times New Roman" w:hAnsi="Times New Roman"/>
          <w:szCs w:val="24"/>
        </w:rPr>
        <w:t xml:space="preserve"> a </w:t>
      </w:r>
      <w:r w:rsidR="00496540">
        <w:rPr>
          <w:rFonts w:ascii="Times New Roman" w:hAnsi="Times New Roman"/>
          <w:szCs w:val="24"/>
        </w:rPr>
        <w:t>2028</w:t>
      </w:r>
      <w:r w:rsidRPr="00917C7B">
        <w:rPr>
          <w:rFonts w:ascii="Times New Roman" w:hAnsi="Times New Roman"/>
          <w:szCs w:val="24"/>
        </w:rPr>
        <w:t xml:space="preserve"> </w:t>
      </w:r>
      <w:r w:rsidRPr="008927DF">
        <w:rPr>
          <w:rFonts w:ascii="Times New Roman" w:hAnsi="Times New Roman"/>
          <w:szCs w:val="24"/>
        </w:rPr>
        <w:t xml:space="preserve">sú stanovené indexom, ktorý sa odvíja najmä od medziročného rastu priemernej mzdy v hospodárstve </w:t>
      </w:r>
      <w:r>
        <w:rPr>
          <w:rFonts w:ascii="Times New Roman" w:hAnsi="Times New Roman"/>
          <w:szCs w:val="24"/>
        </w:rPr>
        <w:t>Slovenskej republiky</w:t>
      </w:r>
      <w:r w:rsidR="00B131B5">
        <w:rPr>
          <w:rFonts w:ascii="Times New Roman" w:hAnsi="Times New Roman"/>
          <w:szCs w:val="24"/>
        </w:rPr>
        <w:t xml:space="preserve"> a zamestnanosti</w:t>
      </w:r>
      <w:r w:rsidRPr="008927DF">
        <w:rPr>
          <w:rFonts w:ascii="Times New Roman" w:hAnsi="Times New Roman"/>
          <w:szCs w:val="24"/>
        </w:rPr>
        <w:t>.</w:t>
      </w:r>
      <w:r w:rsidRPr="00723DB2">
        <w:rPr>
          <w:rFonts w:ascii="Times New Roman" w:hAnsi="Times New Roman"/>
          <w:szCs w:val="24"/>
        </w:rPr>
        <w:t xml:space="preserve"> </w:t>
      </w:r>
    </w:p>
    <w:p w14:paraId="1EE455C4" w14:textId="77777777" w:rsidR="00223296" w:rsidRDefault="00223296" w:rsidP="006D1A23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14:paraId="6CC78DFE" w14:textId="7B3F11F7" w:rsidR="00DF4A2A" w:rsidRDefault="00DF4A2A" w:rsidP="00DF4A2A">
      <w:pPr>
        <w:pStyle w:val="Zarkazkladnhotextu"/>
        <w:tabs>
          <w:tab w:val="decimal" w:pos="8222"/>
        </w:tabs>
        <w:spacing w:before="240"/>
        <w:ind w:left="0" w:firstLine="709"/>
        <w:jc w:val="both"/>
        <w:rPr>
          <w:rFonts w:ascii="Times New Roman" w:hAnsi="Times New Roman"/>
          <w:szCs w:val="24"/>
        </w:rPr>
      </w:pPr>
      <w:r w:rsidRPr="00A85D16">
        <w:rPr>
          <w:rFonts w:ascii="Times New Roman" w:hAnsi="Times New Roman"/>
          <w:b/>
          <w:szCs w:val="24"/>
        </w:rPr>
        <w:lastRenderedPageBreak/>
        <w:t>Zdroje</w:t>
      </w:r>
      <w:r w:rsidRPr="00CA4B4A">
        <w:rPr>
          <w:rFonts w:ascii="Times New Roman" w:hAnsi="Times New Roman"/>
          <w:szCs w:val="24"/>
        </w:rPr>
        <w:t xml:space="preserve"> Sociálnej poisťovne sa </w:t>
      </w:r>
      <w:r w:rsidRPr="00A85D16">
        <w:rPr>
          <w:rFonts w:ascii="Times New Roman" w:hAnsi="Times New Roman"/>
          <w:b/>
          <w:szCs w:val="24"/>
        </w:rPr>
        <w:t xml:space="preserve">v roku </w:t>
      </w:r>
      <w:r w:rsidR="00496540">
        <w:rPr>
          <w:rFonts w:ascii="Times New Roman" w:hAnsi="Times New Roman"/>
          <w:b/>
          <w:szCs w:val="24"/>
        </w:rPr>
        <w:t>2026</w:t>
      </w:r>
      <w:r w:rsidRPr="00CA4B4A">
        <w:rPr>
          <w:rFonts w:ascii="Times New Roman" w:hAnsi="Times New Roman"/>
          <w:szCs w:val="24"/>
        </w:rPr>
        <w:t xml:space="preserve"> predpokladajú vo výške </w:t>
      </w:r>
      <w:r>
        <w:rPr>
          <w:rFonts w:ascii="Times New Roman" w:hAnsi="Times New Roman"/>
          <w:b/>
          <w:szCs w:val="24"/>
        </w:rPr>
        <w:t>16 </w:t>
      </w:r>
      <w:r w:rsidR="00C7167E">
        <w:rPr>
          <w:rFonts w:ascii="Times New Roman" w:hAnsi="Times New Roman"/>
          <w:b/>
          <w:szCs w:val="24"/>
        </w:rPr>
        <w:t>424</w:t>
      </w:r>
      <w:r>
        <w:rPr>
          <w:rFonts w:ascii="Times New Roman" w:hAnsi="Times New Roman"/>
          <w:b/>
          <w:szCs w:val="24"/>
        </w:rPr>
        <w:t> 7</w:t>
      </w:r>
      <w:r w:rsidR="00C7167E">
        <w:rPr>
          <w:rFonts w:ascii="Times New Roman" w:hAnsi="Times New Roman"/>
          <w:b/>
          <w:szCs w:val="24"/>
        </w:rPr>
        <w:t>48</w:t>
      </w:r>
      <w:r w:rsidRPr="00A85D16">
        <w:rPr>
          <w:rFonts w:ascii="Times New Roman" w:hAnsi="Times New Roman"/>
          <w:b/>
          <w:szCs w:val="24"/>
        </w:rPr>
        <w:t> tis. eur</w:t>
      </w:r>
      <w:r w:rsidRPr="00CA4B4A">
        <w:rPr>
          <w:rFonts w:ascii="Times New Roman" w:hAnsi="Times New Roman"/>
          <w:szCs w:val="24"/>
        </w:rPr>
        <w:t xml:space="preserve"> pri zohľadnení očakávaného prevodu </w:t>
      </w:r>
      <w:r>
        <w:rPr>
          <w:rFonts w:ascii="Times New Roman" w:hAnsi="Times New Roman"/>
          <w:szCs w:val="24"/>
        </w:rPr>
        <w:t>zostatku finančných prostriedkov</w:t>
      </w:r>
      <w:r w:rsidRPr="00CA4B4A">
        <w:rPr>
          <w:rFonts w:ascii="Times New Roman" w:hAnsi="Times New Roman"/>
          <w:szCs w:val="24"/>
        </w:rPr>
        <w:t xml:space="preserve"> z roku </w:t>
      </w:r>
      <w:r w:rsidR="00496540">
        <w:rPr>
          <w:rFonts w:ascii="Times New Roman" w:hAnsi="Times New Roman"/>
          <w:szCs w:val="24"/>
        </w:rPr>
        <w:t>2025</w:t>
      </w:r>
      <w:r w:rsidRPr="00CA4B4A">
        <w:rPr>
          <w:rFonts w:ascii="Times New Roman" w:hAnsi="Times New Roman"/>
          <w:szCs w:val="24"/>
        </w:rPr>
        <w:t xml:space="preserve"> vo výške </w:t>
      </w:r>
      <w:r w:rsidR="00C7167E">
        <w:rPr>
          <w:rFonts w:ascii="Times New Roman" w:hAnsi="Times New Roman"/>
          <w:szCs w:val="24"/>
        </w:rPr>
        <w:t>1 220 608</w:t>
      </w:r>
      <w:r>
        <w:rPr>
          <w:rFonts w:ascii="Times New Roman" w:hAnsi="Times New Roman"/>
          <w:szCs w:val="24"/>
        </w:rPr>
        <w:t> t</w:t>
      </w:r>
      <w:r w:rsidRPr="00CA4B4A">
        <w:rPr>
          <w:rFonts w:ascii="Times New Roman" w:hAnsi="Times New Roman"/>
          <w:szCs w:val="24"/>
        </w:rPr>
        <w:t>is.</w:t>
      </w:r>
      <w:r>
        <w:rPr>
          <w:rFonts w:ascii="Times New Roman" w:hAnsi="Times New Roman"/>
          <w:szCs w:val="24"/>
        </w:rPr>
        <w:t xml:space="preserve"> eur. Predpokladá sa, že </w:t>
      </w:r>
      <w:r w:rsidRPr="00A85D16">
        <w:rPr>
          <w:rFonts w:ascii="Times New Roman" w:hAnsi="Times New Roman"/>
          <w:b/>
          <w:szCs w:val="24"/>
        </w:rPr>
        <w:t xml:space="preserve">v roku </w:t>
      </w:r>
      <w:r w:rsidR="00496540">
        <w:rPr>
          <w:rFonts w:ascii="Times New Roman" w:hAnsi="Times New Roman"/>
          <w:b/>
          <w:szCs w:val="24"/>
        </w:rPr>
        <w:t>2026</w:t>
      </w:r>
      <w:r>
        <w:rPr>
          <w:rFonts w:ascii="Times New Roman" w:hAnsi="Times New Roman"/>
          <w:b/>
          <w:szCs w:val="24"/>
        </w:rPr>
        <w:t xml:space="preserve"> </w:t>
      </w:r>
      <w:r w:rsidRPr="00A85D16">
        <w:rPr>
          <w:rFonts w:ascii="Times New Roman" w:hAnsi="Times New Roman"/>
          <w:b/>
          <w:szCs w:val="24"/>
        </w:rPr>
        <w:t>bud</w:t>
      </w:r>
      <w:r>
        <w:rPr>
          <w:rFonts w:ascii="Times New Roman" w:hAnsi="Times New Roman"/>
          <w:b/>
          <w:szCs w:val="24"/>
        </w:rPr>
        <w:t>ú</w:t>
      </w:r>
      <w:r w:rsidRPr="004434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Sociálnej poisťovni </w:t>
      </w:r>
      <w:r w:rsidRPr="00A85D16">
        <w:rPr>
          <w:rFonts w:ascii="Times New Roman" w:hAnsi="Times New Roman"/>
          <w:b/>
          <w:szCs w:val="24"/>
        </w:rPr>
        <w:t>poskytnut</w:t>
      </w:r>
      <w:r>
        <w:rPr>
          <w:rFonts w:ascii="Times New Roman" w:hAnsi="Times New Roman"/>
          <w:b/>
          <w:szCs w:val="24"/>
        </w:rPr>
        <w:t>é</w:t>
      </w:r>
      <w:r w:rsidRPr="00A85D16">
        <w:rPr>
          <w:rFonts w:ascii="Times New Roman" w:hAnsi="Times New Roman"/>
          <w:b/>
          <w:szCs w:val="24"/>
        </w:rPr>
        <w:t xml:space="preserve"> finančn</w:t>
      </w:r>
      <w:r>
        <w:rPr>
          <w:rFonts w:ascii="Times New Roman" w:hAnsi="Times New Roman"/>
          <w:b/>
          <w:szCs w:val="24"/>
        </w:rPr>
        <w:t xml:space="preserve">é </w:t>
      </w:r>
      <w:r w:rsidRPr="00A85D16">
        <w:rPr>
          <w:rFonts w:ascii="Times New Roman" w:hAnsi="Times New Roman"/>
          <w:b/>
          <w:szCs w:val="24"/>
        </w:rPr>
        <w:t>prostriedkov zo ŠR SR</w:t>
      </w:r>
      <w:r>
        <w:rPr>
          <w:rFonts w:ascii="Times New Roman" w:hAnsi="Times New Roman"/>
          <w:b/>
          <w:szCs w:val="24"/>
        </w:rPr>
        <w:t xml:space="preserve"> </w:t>
      </w:r>
      <w:r w:rsidRPr="001859E2">
        <w:rPr>
          <w:rFonts w:ascii="Times New Roman" w:hAnsi="Times New Roman"/>
          <w:szCs w:val="24"/>
        </w:rPr>
        <w:t>vo výške</w:t>
      </w:r>
      <w:r>
        <w:rPr>
          <w:rFonts w:ascii="Times New Roman" w:hAnsi="Times New Roman"/>
          <w:b/>
          <w:szCs w:val="24"/>
        </w:rPr>
        <w:t xml:space="preserve"> 2 </w:t>
      </w:r>
      <w:r w:rsidR="00C7167E">
        <w:rPr>
          <w:rFonts w:ascii="Times New Roman" w:hAnsi="Times New Roman"/>
          <w:b/>
          <w:szCs w:val="24"/>
        </w:rPr>
        <w:t>344</w:t>
      </w:r>
      <w:r>
        <w:rPr>
          <w:rFonts w:ascii="Times New Roman" w:hAnsi="Times New Roman"/>
          <w:b/>
          <w:szCs w:val="24"/>
        </w:rPr>
        <w:t> </w:t>
      </w:r>
      <w:r w:rsidR="00C7167E">
        <w:rPr>
          <w:rFonts w:ascii="Times New Roman" w:hAnsi="Times New Roman"/>
          <w:b/>
          <w:szCs w:val="24"/>
        </w:rPr>
        <w:t>174</w:t>
      </w:r>
      <w:r>
        <w:rPr>
          <w:rFonts w:ascii="Times New Roman" w:hAnsi="Times New Roman"/>
          <w:b/>
          <w:szCs w:val="24"/>
        </w:rPr>
        <w:t> tis. eur</w:t>
      </w:r>
      <w:r>
        <w:rPr>
          <w:rFonts w:ascii="Times New Roman" w:hAnsi="Times New Roman"/>
          <w:szCs w:val="24"/>
        </w:rPr>
        <w:t>.</w:t>
      </w:r>
    </w:p>
    <w:p w14:paraId="3E9F3A7E" w14:textId="6E21037F" w:rsidR="00D6723F" w:rsidRDefault="00D6723F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  <w:b/>
        </w:rPr>
        <w:t xml:space="preserve">V rokoch </w:t>
      </w:r>
      <w:r w:rsidR="00496540">
        <w:rPr>
          <w:rFonts w:ascii="Times New Roman" w:hAnsi="Times New Roman"/>
          <w:b/>
        </w:rPr>
        <w:t>2026</w:t>
      </w:r>
      <w:r>
        <w:rPr>
          <w:rFonts w:ascii="Times New Roman" w:hAnsi="Times New Roman"/>
          <w:b/>
        </w:rPr>
        <w:t xml:space="preserve"> až </w:t>
      </w:r>
      <w:r w:rsidR="00496540">
        <w:rPr>
          <w:rFonts w:ascii="Times New Roman" w:hAnsi="Times New Roman"/>
          <w:b/>
        </w:rPr>
        <w:t>2028</w:t>
      </w:r>
      <w:r w:rsidRPr="004C7EC8">
        <w:rPr>
          <w:rFonts w:ascii="Times New Roman" w:hAnsi="Times New Roman"/>
          <w:b/>
        </w:rPr>
        <w:t xml:space="preserve"> sa príjmy Sociálnej poisťovne</w:t>
      </w:r>
      <w:r w:rsidRPr="004C7EC8">
        <w:rPr>
          <w:rFonts w:ascii="Times New Roman" w:hAnsi="Times New Roman"/>
        </w:rPr>
        <w:t xml:space="preserve"> predpokladajú:</w:t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603"/>
        <w:gridCol w:w="1689"/>
        <w:gridCol w:w="1428"/>
      </w:tblGrid>
      <w:tr w:rsidR="00B131B5" w:rsidRPr="00B131B5" w14:paraId="0EFDF8D1" w14:textId="77777777" w:rsidTr="00DF4A2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B8EE" w14:textId="77777777" w:rsidR="00B131B5" w:rsidRPr="00B131B5" w:rsidRDefault="00B131B5" w:rsidP="00B131B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7567" w14:textId="77777777" w:rsidR="00B131B5" w:rsidRPr="00B131B5" w:rsidRDefault="00B131B5" w:rsidP="00B13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BC79" w14:textId="77777777" w:rsidR="00B131B5" w:rsidRPr="00B131B5" w:rsidRDefault="00B131B5" w:rsidP="00B13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92F73" w14:textId="77777777" w:rsidR="00B131B5" w:rsidRPr="00B131B5" w:rsidRDefault="00B131B5" w:rsidP="00B131B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B131B5" w:rsidRPr="00B131B5" w14:paraId="4E124C45" w14:textId="77777777" w:rsidTr="00DF4A2A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995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30AF" w14:textId="49405340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Návrh rozpočtu na 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9552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B131B5" w:rsidRPr="00B131B5" w14:paraId="6DD86283" w14:textId="77777777" w:rsidTr="00DF4A2A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D8F8" w14:textId="77777777" w:rsidR="00B131B5" w:rsidRPr="00B131B5" w:rsidRDefault="00B131B5" w:rsidP="00B131B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7D21" w14:textId="77777777" w:rsidR="00B131B5" w:rsidRPr="00B131B5" w:rsidRDefault="00B131B5" w:rsidP="00B131B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4F6E" w14:textId="2586477D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CC7" w14:textId="07130110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2028</w:t>
            </w:r>
          </w:p>
        </w:tc>
      </w:tr>
      <w:tr w:rsidR="00B131B5" w:rsidRPr="00B131B5" w14:paraId="31A00AB4" w14:textId="77777777" w:rsidTr="00DF4A2A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1BBA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63D8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34EE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51AC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0503AB" w:rsidRPr="00B131B5" w14:paraId="5613C70E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6ADA" w14:textId="6DC01FDD" w:rsidR="000503AB" w:rsidRPr="00B131B5" w:rsidRDefault="000503AB" w:rsidP="000503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Príjmy</w:t>
            </w: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celkom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B0C04" w14:textId="5A725EE9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16 424 748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8DD4D" w14:textId="290B19FA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17 092 370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EC9E1" w14:textId="04FD6724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17 763 957</w:t>
            </w:r>
          </w:p>
        </w:tc>
      </w:tr>
      <w:tr w:rsidR="000503AB" w:rsidRPr="00B131B5" w14:paraId="645FD339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49EA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6A14" w14:textId="7A3CE522" w:rsidR="000503AB" w:rsidRPr="000503AB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A5377" w14:textId="68B5AEE2" w:rsidR="000503AB" w:rsidRPr="000503AB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0B9AD" w14:textId="19B8EB50" w:rsidR="000503AB" w:rsidRPr="000503AB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503AB" w:rsidRPr="00B131B5" w14:paraId="50F81577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2672" w14:textId="77777777" w:rsidR="000503AB" w:rsidRPr="002B594A" w:rsidRDefault="000503AB" w:rsidP="000503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prevod z minulých rokov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ABD1B" w14:textId="2C2AB8D0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1 220 608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788C" w14:textId="7EC2520C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1 279 228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E4E22" w14:textId="4DF517E7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1 350 440</w:t>
            </w:r>
          </w:p>
        </w:tc>
      </w:tr>
      <w:tr w:rsidR="000503AB" w:rsidRPr="00B131B5" w14:paraId="3419D6DC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4906" w14:textId="77777777" w:rsidR="000503AB" w:rsidRPr="002B594A" w:rsidRDefault="000503AB" w:rsidP="000503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príjmy spolu v bežnom roku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A605E" w14:textId="57E9693C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15 204 140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FD348" w14:textId="5F3CD118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15 813 142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968E4" w14:textId="7DE9790C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16 413 517</w:t>
            </w:r>
          </w:p>
        </w:tc>
      </w:tr>
      <w:tr w:rsidR="000503AB" w:rsidRPr="00B131B5" w14:paraId="09198EAB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7C34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DBF43" w14:textId="23A9007A" w:rsidR="000503AB" w:rsidRPr="000503AB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F6E83" w14:textId="537F3CDC" w:rsidR="000503AB" w:rsidRPr="000503AB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F9D7E" w14:textId="0B1C76FF" w:rsidR="000503AB" w:rsidRPr="000503AB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503AB" w:rsidRPr="00B131B5" w14:paraId="48978B36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2E9D3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z bežného poistného od EAO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11ADD" w14:textId="54D0AF08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12 578 131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44FF" w14:textId="3DC50352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13 272 825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CF62" w14:textId="5C709A67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13 765 138</w:t>
            </w:r>
          </w:p>
        </w:tc>
      </w:tr>
      <w:tr w:rsidR="000503AB" w:rsidRPr="00B131B5" w14:paraId="7794B03C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481B0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poistné podľa osobitného predpisu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2C6F" w14:textId="45FA45DE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2 306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55C96" w14:textId="07328427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2 393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DE485" w14:textId="1E657CD7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2 485</w:t>
            </w:r>
          </w:p>
        </w:tc>
      </w:tr>
      <w:tr w:rsidR="000503AB" w:rsidRPr="00B131B5" w14:paraId="5174915E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D98C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z poistného od štátu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B8B21" w14:textId="78312B84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3E77" w14:textId="12788D21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2E07" w14:textId="42BCAD4A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503AB" w:rsidRPr="00B131B5" w14:paraId="5F991C44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A048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od Sociálnej poisťovne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6E1E5" w14:textId="47209B51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5 392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4CBDC" w14:textId="383A8474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6 584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7D35" w14:textId="478C1F66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8 040</w:t>
            </w:r>
          </w:p>
        </w:tc>
      </w:tr>
      <w:tr w:rsidR="000503AB" w:rsidRPr="00B131B5" w14:paraId="71BBB2F9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3785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z pokút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B131B5">
              <w:rPr>
                <w:rFonts w:ascii="Times New Roman" w:hAnsi="Times New Roman"/>
                <w:sz w:val="22"/>
                <w:szCs w:val="22"/>
              </w:rPr>
              <w:t>pen</w:t>
            </w:r>
            <w:r>
              <w:rPr>
                <w:rFonts w:ascii="Times New Roman" w:hAnsi="Times New Roman"/>
                <w:sz w:val="22"/>
                <w:szCs w:val="22"/>
              </w:rPr>
              <w:t>á</w:t>
            </w:r>
            <w:r w:rsidRPr="00B131B5"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A27C" w14:textId="620D375A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10 995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A5F96" w14:textId="288DAB9A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10 995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1F6F3" w14:textId="4AC46789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10 995</w:t>
            </w:r>
          </w:p>
        </w:tc>
      </w:tr>
      <w:tr w:rsidR="000503AB" w:rsidRPr="00B131B5" w14:paraId="66B030EE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ED79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príjmy z dlžného poistného  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0DE8" w14:textId="7723F744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218 891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33AF" w14:textId="41E45C9A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217 671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16F1A" w14:textId="44DAA2FA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215 852</w:t>
            </w:r>
          </w:p>
        </w:tc>
      </w:tr>
      <w:tr w:rsidR="000503AB" w:rsidRPr="00B131B5" w14:paraId="5DC96352" w14:textId="77777777" w:rsidTr="004965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1F74D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ostatné príjmy 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88FA79" w14:textId="4A0978A8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2 376 925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FDC1F6" w14:textId="41997D53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2 291 021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06B137" w14:textId="4AB1042F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2 399 165</w:t>
            </w:r>
          </w:p>
        </w:tc>
      </w:tr>
      <w:tr w:rsidR="000503AB" w:rsidRPr="00B131B5" w14:paraId="4797494A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208D" w14:textId="574CC450" w:rsidR="000503AB" w:rsidRPr="00B131B5" w:rsidRDefault="000503AB" w:rsidP="000503AB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</w:t>
            </w:r>
            <w:r w:rsidR="00C7167E">
              <w:rPr>
                <w:rFonts w:ascii="Times New Roman" w:hAnsi="Times New Roman"/>
                <w:i/>
                <w:iCs/>
                <w:sz w:val="22"/>
                <w:szCs w:val="22"/>
              </w:rPr>
              <w:t>ŠR</w:t>
            </w:r>
            <w:r w:rsidRPr="00B131B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179F1" w14:textId="7CF5A0CD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2 344 174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FFFA6" w14:textId="47C6DF76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2 258 203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48C3" w14:textId="0CE3E8AB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2 366 014</w:t>
            </w:r>
          </w:p>
        </w:tc>
      </w:tr>
      <w:tr w:rsidR="000503AB" w:rsidRPr="00B131B5" w14:paraId="699E06D8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37DAB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príspevky na SDS zaplatené zamestnávateľom po uplynutí 60 dní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BE2B" w14:textId="678817A1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8 651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6889" w14:textId="613140E9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8 675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B45B4" w14:textId="7F2952F5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8 698</w:t>
            </w:r>
          </w:p>
        </w:tc>
      </w:tr>
      <w:tr w:rsidR="000503AB" w:rsidRPr="00B131B5" w14:paraId="626B29C5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9816E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správneho fondu z príspevkov na SDS  (EAO)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7478E" w14:textId="61A8FE43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2 837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0F053" w14:textId="4D3823F3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2 966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05C8C" w14:textId="7C107E88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3 130</w:t>
            </w:r>
          </w:p>
        </w:tc>
      </w:tr>
      <w:tr w:rsidR="000503AB" w:rsidRPr="00B131B5" w14:paraId="4169E2A2" w14:textId="77777777" w:rsidTr="00496540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6344" w14:textId="77777777" w:rsidR="000503AB" w:rsidRPr="00B131B5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príjmy správneho fondu z príspevkov na SDS (štát)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0A29" w14:textId="0366D4A1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944D" w14:textId="305E9954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AF36F" w14:textId="2EC0CD6F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</w:tbl>
    <w:p w14:paraId="16283D9E" w14:textId="77777777" w:rsidR="00B131B5" w:rsidRDefault="00B131B5" w:rsidP="00496264">
      <w:pPr>
        <w:pStyle w:val="Zarkazkladnhotextu"/>
        <w:tabs>
          <w:tab w:val="decimal" w:pos="8222"/>
        </w:tabs>
        <w:spacing w:after="0"/>
        <w:ind w:left="0"/>
        <w:jc w:val="both"/>
        <w:rPr>
          <w:rFonts w:ascii="Times New Roman" w:hAnsi="Times New Roman"/>
        </w:rPr>
      </w:pPr>
    </w:p>
    <w:p w14:paraId="20D084EE" w14:textId="30CB90B4" w:rsidR="00DF4A2A" w:rsidRDefault="00B91FDB" w:rsidP="00DF4A2A">
      <w:pPr>
        <w:pStyle w:val="Zarkazkladnhotextu"/>
        <w:tabs>
          <w:tab w:val="decimal" w:pos="8222"/>
        </w:tabs>
        <w:ind w:left="0" w:firstLine="709"/>
        <w:jc w:val="both"/>
        <w:rPr>
          <w:rFonts w:ascii="Times New Roman" w:hAnsi="Times New Roman"/>
          <w:szCs w:val="24"/>
        </w:rPr>
      </w:pPr>
      <w:r w:rsidRPr="00A85D16">
        <w:rPr>
          <w:rFonts w:ascii="Times New Roman" w:hAnsi="Times New Roman"/>
          <w:b/>
          <w:szCs w:val="24"/>
        </w:rPr>
        <w:t>Príjmy</w:t>
      </w:r>
      <w:r w:rsidR="00646773">
        <w:rPr>
          <w:rFonts w:ascii="Times New Roman" w:hAnsi="Times New Roman"/>
          <w:b/>
          <w:szCs w:val="24"/>
        </w:rPr>
        <w:t xml:space="preserve"> spolu</w:t>
      </w:r>
      <w:r>
        <w:rPr>
          <w:rFonts w:ascii="Times New Roman" w:hAnsi="Times New Roman"/>
          <w:szCs w:val="24"/>
        </w:rPr>
        <w:t xml:space="preserve"> v </w:t>
      </w:r>
      <w:r w:rsidRPr="00A85D16">
        <w:rPr>
          <w:rFonts w:ascii="Times New Roman" w:hAnsi="Times New Roman"/>
          <w:b/>
          <w:szCs w:val="24"/>
        </w:rPr>
        <w:t>bežnom roku</w:t>
      </w:r>
      <w:r>
        <w:rPr>
          <w:rFonts w:ascii="Times New Roman" w:hAnsi="Times New Roman"/>
          <w:szCs w:val="24"/>
        </w:rPr>
        <w:t xml:space="preserve"> na rok </w:t>
      </w:r>
      <w:r w:rsidR="00496540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sú </w:t>
      </w:r>
      <w:r w:rsidR="008F2018">
        <w:rPr>
          <w:rFonts w:ascii="Times New Roman" w:hAnsi="Times New Roman"/>
          <w:szCs w:val="24"/>
        </w:rPr>
        <w:t>stanovené</w:t>
      </w:r>
      <w:r>
        <w:rPr>
          <w:rFonts w:ascii="Times New Roman" w:hAnsi="Times New Roman"/>
          <w:szCs w:val="24"/>
        </w:rPr>
        <w:t xml:space="preserve"> vo výške  </w:t>
      </w:r>
      <w:r w:rsidR="00FF0E1B">
        <w:rPr>
          <w:rFonts w:ascii="Times New Roman" w:hAnsi="Times New Roman"/>
          <w:b/>
          <w:szCs w:val="24"/>
        </w:rPr>
        <w:t>15 204 140</w:t>
      </w:r>
      <w:r>
        <w:rPr>
          <w:rFonts w:ascii="Times New Roman" w:hAnsi="Times New Roman"/>
          <w:szCs w:val="24"/>
        </w:rPr>
        <w:t> </w:t>
      </w:r>
      <w:r w:rsidRPr="00A85D16">
        <w:rPr>
          <w:rFonts w:ascii="Times New Roman" w:hAnsi="Times New Roman"/>
          <w:b/>
          <w:szCs w:val="24"/>
        </w:rPr>
        <w:t>tis. eur</w:t>
      </w:r>
      <w:r w:rsidR="00646773">
        <w:rPr>
          <w:rFonts w:ascii="Times New Roman" w:hAnsi="Times New Roman"/>
          <w:b/>
          <w:szCs w:val="24"/>
        </w:rPr>
        <w:t xml:space="preserve">, </w:t>
      </w:r>
      <w:r w:rsidR="00646773" w:rsidRPr="00646773">
        <w:rPr>
          <w:rFonts w:ascii="Times New Roman" w:hAnsi="Times New Roman"/>
          <w:szCs w:val="24"/>
        </w:rPr>
        <w:t>z toho príjmy z bežného poistného</w:t>
      </w:r>
      <w:r w:rsidR="00646773">
        <w:rPr>
          <w:rFonts w:ascii="Times New Roman" w:hAnsi="Times New Roman"/>
          <w:szCs w:val="24"/>
        </w:rPr>
        <w:t xml:space="preserve"> od EAO </w:t>
      </w:r>
      <w:r w:rsidR="00FF0E1B">
        <w:rPr>
          <w:rFonts w:ascii="Times New Roman" w:hAnsi="Times New Roman"/>
          <w:szCs w:val="24"/>
        </w:rPr>
        <w:t xml:space="preserve">(vrátane poistného podľa osobitného predpisu) </w:t>
      </w:r>
      <w:r w:rsidR="00646773">
        <w:rPr>
          <w:rFonts w:ascii="Times New Roman" w:hAnsi="Times New Roman"/>
          <w:szCs w:val="24"/>
        </w:rPr>
        <w:t xml:space="preserve">predstavujú sumu </w:t>
      </w:r>
      <w:r w:rsidR="00FF0E1B">
        <w:rPr>
          <w:rFonts w:ascii="Times New Roman" w:hAnsi="Times New Roman"/>
          <w:szCs w:val="24"/>
        </w:rPr>
        <w:t>12 580 437</w:t>
      </w:r>
      <w:r w:rsidR="0001600D" w:rsidRPr="00E53D83">
        <w:rPr>
          <w:rFonts w:ascii="Times New Roman" w:hAnsi="Times New Roman"/>
          <w:szCs w:val="24"/>
        </w:rPr>
        <w:t> </w:t>
      </w:r>
      <w:r w:rsidR="00646773" w:rsidRPr="00E53D83">
        <w:rPr>
          <w:rFonts w:ascii="Times New Roman" w:hAnsi="Times New Roman"/>
          <w:szCs w:val="24"/>
        </w:rPr>
        <w:t xml:space="preserve">tis. eur (čo je cca </w:t>
      </w:r>
      <w:r w:rsidR="00FF0E1B">
        <w:rPr>
          <w:rFonts w:ascii="Times New Roman" w:hAnsi="Times New Roman"/>
          <w:szCs w:val="24"/>
        </w:rPr>
        <w:t>82,74</w:t>
      </w:r>
      <w:r w:rsidR="00646773" w:rsidRPr="00E53D83">
        <w:rPr>
          <w:rFonts w:ascii="Times New Roman" w:hAnsi="Times New Roman"/>
          <w:szCs w:val="24"/>
        </w:rPr>
        <w:t xml:space="preserve"> % z príjmov spolu)</w:t>
      </w:r>
      <w:r w:rsidRPr="00E53D8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A887094" w14:textId="69E07759" w:rsidR="00B91FDB" w:rsidRDefault="00DF4A2A" w:rsidP="00DF4A2A">
      <w:pPr>
        <w:pStyle w:val="Zarkazkladnhotextu"/>
        <w:tabs>
          <w:tab w:val="decimal" w:pos="8222"/>
        </w:tabs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Príjmy podľa jednotlivých druhov poistenia na roky </w:t>
      </w:r>
      <w:r w:rsidR="00496540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až </w:t>
      </w:r>
      <w:r w:rsidR="00496540">
        <w:rPr>
          <w:rFonts w:ascii="Times New Roman" w:hAnsi="Times New Roman"/>
          <w:szCs w:val="24"/>
        </w:rPr>
        <w:t>2028</w:t>
      </w:r>
      <w:r>
        <w:rPr>
          <w:rFonts w:ascii="Times New Roman" w:hAnsi="Times New Roman"/>
          <w:szCs w:val="24"/>
        </w:rPr>
        <w:t xml:space="preserve"> sa predpokladajú:</w:t>
      </w:r>
    </w:p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60"/>
        <w:gridCol w:w="1960"/>
        <w:gridCol w:w="1656"/>
      </w:tblGrid>
      <w:tr w:rsidR="00F504C8" w:rsidRPr="00F504C8" w14:paraId="3D62DD26" w14:textId="77777777" w:rsidTr="00F504C8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4FE6" w14:textId="77777777" w:rsidR="00F504C8" w:rsidRPr="00F504C8" w:rsidRDefault="00F504C8" w:rsidP="00F504C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EE11" w14:textId="77777777" w:rsidR="00F504C8" w:rsidRPr="00F504C8" w:rsidRDefault="00F504C8" w:rsidP="00F504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1CEE6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B4DC2" w14:textId="77777777" w:rsidR="00F504C8" w:rsidRPr="00F504C8" w:rsidRDefault="00F504C8" w:rsidP="00F504C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F504C8" w:rsidRPr="00F504C8" w14:paraId="2079699C" w14:textId="77777777" w:rsidTr="00F504C8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CAD432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b/>
                <w:bCs/>
                <w:sz w:val="22"/>
                <w:szCs w:val="22"/>
              </w:rPr>
              <w:t>Príjmy v bežnom roku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5064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2026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D815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F504C8" w:rsidRPr="00F504C8" w14:paraId="7B355567" w14:textId="77777777" w:rsidTr="00F504C8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54030" w14:textId="77777777" w:rsidR="00F504C8" w:rsidRPr="00F504C8" w:rsidRDefault="00F504C8" w:rsidP="00F504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C6C52" w14:textId="77777777" w:rsidR="00F504C8" w:rsidRPr="00F504C8" w:rsidRDefault="00F504C8" w:rsidP="00F504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B6F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7C68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b/>
                <w:bCs/>
                <w:sz w:val="22"/>
                <w:szCs w:val="22"/>
              </w:rPr>
              <w:t>rok 2028</w:t>
            </w:r>
          </w:p>
        </w:tc>
      </w:tr>
      <w:tr w:rsidR="00F504C8" w:rsidRPr="00F504C8" w14:paraId="5E00E0EB" w14:textId="77777777" w:rsidTr="00F504C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A5664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0B7A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164B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2652" w14:textId="77777777" w:rsidR="00F504C8" w:rsidRPr="00F504C8" w:rsidRDefault="00F504C8" w:rsidP="00F504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0503AB" w:rsidRPr="00F504C8" w14:paraId="21079AEC" w14:textId="77777777" w:rsidTr="006566DB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17BFF" w14:textId="77777777" w:rsidR="000503AB" w:rsidRPr="00F504C8" w:rsidRDefault="000503AB" w:rsidP="000503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b/>
                <w:bCs/>
                <w:sz w:val="22"/>
                <w:szCs w:val="22"/>
              </w:rPr>
              <w:t>Príjmy v bežnom roku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3AB" w14:textId="05F3D680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15 204 140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DE87" w14:textId="0B05DDDC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15 813 142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BEDB" w14:textId="223D2EB1" w:rsidR="000503AB" w:rsidRPr="000503AB" w:rsidRDefault="000503AB" w:rsidP="000503A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b/>
                <w:bCs/>
                <w:sz w:val="22"/>
                <w:szCs w:val="22"/>
              </w:rPr>
              <w:t>16 413 517</w:t>
            </w:r>
          </w:p>
        </w:tc>
      </w:tr>
      <w:tr w:rsidR="000503AB" w:rsidRPr="00F504C8" w14:paraId="393FB081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F0E86" w14:textId="77777777" w:rsidR="000503AB" w:rsidRPr="00F504C8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0CC4" w14:textId="2DBC4A7A" w:rsidR="000503AB" w:rsidRPr="000503AB" w:rsidRDefault="000503AB" w:rsidP="00050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65C4" w14:textId="361A283D" w:rsidR="000503AB" w:rsidRPr="000503AB" w:rsidRDefault="000503AB" w:rsidP="00050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CA45" w14:textId="581FFC0D" w:rsidR="000503AB" w:rsidRPr="000503AB" w:rsidRDefault="000503AB" w:rsidP="00050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503AB" w:rsidRPr="00F504C8" w14:paraId="0492A8D6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30CDE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 xml:space="preserve"> nemocenské poistenie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8FD9" w14:textId="73D69F46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1 196 284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1A3A" w14:textId="777D5475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1 267 933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E4DC" w14:textId="00507F4C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1 324 082</w:t>
            </w:r>
          </w:p>
        </w:tc>
      </w:tr>
      <w:tr w:rsidR="000503AB" w:rsidRPr="00F504C8" w14:paraId="10C555B3" w14:textId="77777777" w:rsidTr="00F504C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63D637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 xml:space="preserve"> starobné poistenie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D9F7F" w14:textId="7495CB23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8 567 739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CA8B9" w14:textId="39386C4C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8 819 577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19606" w14:textId="33D53008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9 200 488</w:t>
            </w:r>
          </w:p>
        </w:tc>
      </w:tr>
      <w:tr w:rsidR="000503AB" w:rsidRPr="00F504C8" w14:paraId="76690BF5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756E9E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z toho: poistné od štátu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1A540" w14:textId="67A88D8E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D59D9" w14:textId="0F68674C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CAC42" w14:textId="0C91B3EB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</w:tr>
      <w:tr w:rsidR="000503AB" w:rsidRPr="00F504C8" w14:paraId="126AA53C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FCA7BF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Sociálna poisťovňa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BC1A0A" w14:textId="14230BEA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5 392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FA854" w14:textId="76091FA8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6 584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98F48" w14:textId="2A613A22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8 040</w:t>
            </w:r>
          </w:p>
        </w:tc>
      </w:tr>
      <w:tr w:rsidR="000503AB" w:rsidRPr="00F504C8" w14:paraId="4D2A6B0B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51ADBD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príjmy zo ŠR SR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2F550" w14:textId="6B12E6FC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2 339 874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9ED1B" w14:textId="2228E76B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2 251 303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A0624" w14:textId="171AA77F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2 357 014</w:t>
            </w:r>
          </w:p>
        </w:tc>
      </w:tr>
      <w:tr w:rsidR="000503AB" w:rsidRPr="00F504C8" w14:paraId="165CD60E" w14:textId="77777777" w:rsidTr="00F504C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596846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 xml:space="preserve">invalidné poistenie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2391E" w14:textId="181AEA63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2 355 129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61F1E" w14:textId="6F0460F1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2 482 826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4BF55" w14:textId="484BCD24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2 591 696</w:t>
            </w:r>
          </w:p>
        </w:tc>
      </w:tr>
      <w:tr w:rsidR="000503AB" w:rsidRPr="00F504C8" w14:paraId="3130552E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C9714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z toho: poistné od štátu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9263" w14:textId="52B0A63E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BBAE" w14:textId="6BAD17BE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D947" w14:textId="1A5B5C4E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</w:tr>
      <w:tr w:rsidR="000503AB" w:rsidRPr="00F504C8" w14:paraId="4D784FCD" w14:textId="77777777" w:rsidTr="00F504C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409E21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úrazové poistenie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185B" w14:textId="5E8020C5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307 675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0FA9" w14:textId="7112C513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321 262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8D80" w14:textId="67E5E32D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335 304</w:t>
            </w:r>
          </w:p>
        </w:tc>
      </w:tr>
      <w:tr w:rsidR="000503AB" w:rsidRPr="00F504C8" w14:paraId="7AE6C77D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A3F52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 xml:space="preserve">garančné poistenie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EA16" w14:textId="03E0EA37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82 222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F16F" w14:textId="3C7A99EF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85 518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05F1" w14:textId="5B1EF03D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88 923</w:t>
            </w:r>
          </w:p>
        </w:tc>
      </w:tr>
      <w:tr w:rsidR="000503AB" w:rsidRPr="00F504C8" w14:paraId="5D64B167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FF78E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 xml:space="preserve">poistenie v nezamestnanosti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C0DB" w14:textId="2B0CE715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737 799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42DD" w14:textId="7BFC14B2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769 920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F6B0" w14:textId="38EF6781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802 913</w:t>
            </w:r>
          </w:p>
        </w:tc>
      </w:tr>
      <w:tr w:rsidR="000503AB" w:rsidRPr="00F504C8" w14:paraId="2272D59C" w14:textId="77777777" w:rsidTr="00F504C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F692CF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 xml:space="preserve">rezervný fond solidarity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AF999" w14:textId="06C995EC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1 944 493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639BA" w14:textId="7129E9D8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2 050 556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15190" w14:textId="595D2567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2 052 231</w:t>
            </w:r>
          </w:p>
        </w:tc>
      </w:tr>
      <w:tr w:rsidR="000503AB" w:rsidRPr="00F504C8" w14:paraId="7B766B50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9996A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z toho: poistné od štátu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45E3" w14:textId="30B1C722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C8CA" w14:textId="0C7BAFB4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D77C" w14:textId="0BF5E7BC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</w:tr>
      <w:tr w:rsidR="000503AB" w:rsidRPr="00F504C8" w14:paraId="36444EBC" w14:textId="77777777" w:rsidTr="00F504C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FCFE8" w14:textId="77777777" w:rsidR="000503AB" w:rsidRPr="00F504C8" w:rsidRDefault="000503AB" w:rsidP="000503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príjmy správneho fondu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A3DD" w14:textId="54E8942B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6 159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320B" w14:textId="1A28B348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6 223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CB40" w14:textId="16C95950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6 362</w:t>
            </w:r>
          </w:p>
        </w:tc>
      </w:tr>
      <w:tr w:rsidR="000503AB" w:rsidRPr="00F504C8" w14:paraId="3C5D16D0" w14:textId="77777777" w:rsidTr="00F504C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D5F21" w14:textId="77777777" w:rsidR="000503AB" w:rsidRPr="00F504C8" w:rsidRDefault="000503AB" w:rsidP="000503AB">
            <w:pPr>
              <w:rPr>
                <w:rFonts w:ascii="Times New Roman" w:hAnsi="Times New Roman"/>
                <w:sz w:val="22"/>
                <w:szCs w:val="22"/>
              </w:rPr>
            </w:pPr>
            <w:r w:rsidRPr="00F504C8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77737" w14:textId="119A7310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6 640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54722" w14:textId="551335EE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9 327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6A823" w14:textId="378849FC" w:rsidR="000503AB" w:rsidRPr="000503AB" w:rsidRDefault="000503AB" w:rsidP="000503A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503AB">
              <w:rPr>
                <w:rFonts w:ascii="Times New Roman" w:hAnsi="Times New Roman"/>
                <w:sz w:val="22"/>
                <w:szCs w:val="22"/>
              </w:rPr>
              <w:t>11 518</w:t>
            </w:r>
          </w:p>
        </w:tc>
      </w:tr>
      <w:tr w:rsidR="000503AB" w:rsidRPr="00F504C8" w14:paraId="0E1166A2" w14:textId="77777777" w:rsidTr="006566DB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0A12" w14:textId="77777777" w:rsidR="000503AB" w:rsidRPr="00F504C8" w:rsidRDefault="000503AB" w:rsidP="000503AB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504C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z toho príjmy zo ŠR SR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2C95" w14:textId="2FD83472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4 300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1404" w14:textId="61C34B38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6 900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A6A9" w14:textId="7EE5238B" w:rsidR="000503AB" w:rsidRPr="000503AB" w:rsidRDefault="000503AB" w:rsidP="000503AB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503AB">
              <w:rPr>
                <w:rFonts w:ascii="Times New Roman" w:hAnsi="Times New Roman"/>
                <w:i/>
                <w:iCs/>
                <w:sz w:val="22"/>
                <w:szCs w:val="22"/>
              </w:rPr>
              <w:t>9 000</w:t>
            </w:r>
          </w:p>
        </w:tc>
      </w:tr>
    </w:tbl>
    <w:p w14:paraId="4A53816B" w14:textId="77777777" w:rsidR="00D6723F" w:rsidRPr="00934EA4" w:rsidRDefault="00D6723F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934EA4">
        <w:rPr>
          <w:rFonts w:ascii="Times New Roman" w:hAnsi="Times New Roman"/>
          <w:b/>
          <w:szCs w:val="24"/>
        </w:rPr>
        <w:lastRenderedPageBreak/>
        <w:t>Výdavky (náklady) Sociálnej poisťovne</w:t>
      </w:r>
    </w:p>
    <w:p w14:paraId="0098CD20" w14:textId="5A947D36" w:rsidR="00D6723F" w:rsidRDefault="00D6723F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Výdavky (náklady) Sociálnej poisťovne na</w:t>
      </w:r>
      <w:r>
        <w:rPr>
          <w:rFonts w:ascii="Times New Roman" w:hAnsi="Times New Roman"/>
          <w:b/>
          <w:szCs w:val="24"/>
        </w:rPr>
        <w:t xml:space="preserve"> roky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="00496540">
        <w:rPr>
          <w:rFonts w:ascii="Times New Roman" w:hAnsi="Times New Roman"/>
          <w:b/>
          <w:szCs w:val="24"/>
        </w:rPr>
        <w:t>2026</w:t>
      </w:r>
      <w:r>
        <w:rPr>
          <w:rFonts w:ascii="Times New Roman" w:hAnsi="Times New Roman"/>
          <w:b/>
          <w:szCs w:val="24"/>
        </w:rPr>
        <w:t xml:space="preserve"> až </w:t>
      </w:r>
      <w:r w:rsidR="00496540">
        <w:rPr>
          <w:rFonts w:ascii="Times New Roman" w:hAnsi="Times New Roman"/>
          <w:b/>
          <w:szCs w:val="24"/>
        </w:rPr>
        <w:t>2028</w:t>
      </w:r>
      <w:r w:rsidRPr="004C7EC8">
        <w:rPr>
          <w:rFonts w:ascii="Times New Roman" w:hAnsi="Times New Roman"/>
          <w:szCs w:val="24"/>
        </w:rPr>
        <w:t xml:space="preserve"> </w:t>
      </w:r>
      <w:r w:rsidR="00E90153">
        <w:rPr>
          <w:rFonts w:ascii="Times New Roman" w:hAnsi="Times New Roman"/>
          <w:szCs w:val="24"/>
        </w:rPr>
        <w:t xml:space="preserve">sa </w:t>
      </w:r>
      <w:r>
        <w:rPr>
          <w:rFonts w:ascii="Times New Roman" w:hAnsi="Times New Roman"/>
          <w:szCs w:val="24"/>
        </w:rPr>
        <w:t xml:space="preserve">podľa fondov </w:t>
      </w:r>
      <w:r w:rsidRPr="004C7EC8">
        <w:rPr>
          <w:rFonts w:ascii="Times New Roman" w:hAnsi="Times New Roman"/>
          <w:szCs w:val="24"/>
        </w:rPr>
        <w:t>rozpočtujú:</w:t>
      </w:r>
    </w:p>
    <w:tbl>
      <w:tblPr>
        <w:tblW w:w="9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0"/>
        <w:gridCol w:w="1624"/>
        <w:gridCol w:w="1711"/>
        <w:gridCol w:w="1446"/>
      </w:tblGrid>
      <w:tr w:rsidR="00B131B5" w:rsidRPr="00B131B5" w14:paraId="568B569B" w14:textId="77777777" w:rsidTr="006D1A23"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03A5" w14:textId="77777777" w:rsidR="00B131B5" w:rsidRPr="00B131B5" w:rsidRDefault="00B131B5" w:rsidP="00B131B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7B34" w14:textId="77777777" w:rsidR="00B131B5" w:rsidRPr="00B131B5" w:rsidRDefault="00B131B5" w:rsidP="00B13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49F4" w14:textId="77777777" w:rsidR="00B131B5" w:rsidRPr="00B131B5" w:rsidRDefault="00B131B5" w:rsidP="00B131B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AC885" w14:textId="77777777" w:rsidR="00B131B5" w:rsidRPr="00B131B5" w:rsidRDefault="00B131B5" w:rsidP="00B131B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B131B5" w:rsidRPr="00B131B5" w14:paraId="670C1686" w14:textId="77777777" w:rsidTr="006D1A23"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864C4E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1790" w14:textId="0F3C8DBB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Návrh rozpočtu na 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D73C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B131B5" w:rsidRPr="00B131B5" w14:paraId="4EBC7A3E" w14:textId="77777777" w:rsidTr="006D1A23"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90AF0" w14:textId="77777777" w:rsidR="00B131B5" w:rsidRPr="00B131B5" w:rsidRDefault="00B131B5" w:rsidP="00B131B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5877C" w14:textId="77777777" w:rsidR="00B131B5" w:rsidRPr="00B131B5" w:rsidRDefault="00B131B5" w:rsidP="00B131B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61E8" w14:textId="41C1303E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F485" w14:textId="53496B69" w:rsidR="00B131B5" w:rsidRPr="00B131B5" w:rsidRDefault="00B131B5" w:rsidP="00B131B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2028</w:t>
            </w:r>
          </w:p>
        </w:tc>
      </w:tr>
      <w:tr w:rsidR="00B131B5" w:rsidRPr="00B131B5" w14:paraId="77829872" w14:textId="77777777" w:rsidTr="006D1A23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73E4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C3BA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7E81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B9" w14:textId="77777777" w:rsidR="00B131B5" w:rsidRPr="00B131B5" w:rsidRDefault="00B131B5" w:rsidP="00B131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F0E1B" w:rsidRPr="00B131B5" w14:paraId="2C98FB57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3556" w14:textId="77777777" w:rsidR="00FF0E1B" w:rsidRPr="00B131B5" w:rsidRDefault="00FF0E1B" w:rsidP="00FF0E1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31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Použitie prostriedkov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E220D" w14:textId="67E2CE69" w:rsidR="00FF0E1B" w:rsidRPr="00FF0E1B" w:rsidRDefault="00FF0E1B" w:rsidP="00FF0E1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0E1B">
              <w:rPr>
                <w:rFonts w:ascii="Times New Roman" w:hAnsi="Times New Roman"/>
                <w:b/>
                <w:bCs/>
                <w:sz w:val="22"/>
                <w:szCs w:val="22"/>
              </w:rPr>
              <w:t>15 145 520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CFF3A" w14:textId="03157760" w:rsidR="00FF0E1B" w:rsidRPr="00FF0E1B" w:rsidRDefault="00FF0E1B" w:rsidP="00FF0E1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0E1B">
              <w:rPr>
                <w:rFonts w:ascii="Times New Roman" w:hAnsi="Times New Roman"/>
                <w:b/>
                <w:bCs/>
                <w:sz w:val="22"/>
                <w:szCs w:val="22"/>
              </w:rPr>
              <w:t>15 741 930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817E1" w14:textId="6991608F" w:rsidR="00FF0E1B" w:rsidRPr="00FF0E1B" w:rsidRDefault="00FF0E1B" w:rsidP="00FF0E1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0E1B">
              <w:rPr>
                <w:rFonts w:ascii="Times New Roman" w:hAnsi="Times New Roman"/>
                <w:b/>
                <w:bCs/>
                <w:sz w:val="22"/>
                <w:szCs w:val="22"/>
              </w:rPr>
              <w:t>16 418 441</w:t>
            </w:r>
          </w:p>
        </w:tc>
      </w:tr>
      <w:tr w:rsidR="00FF0E1B" w:rsidRPr="00B131B5" w14:paraId="0BF53D98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01F7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B0D8B" w14:textId="0932411F" w:rsidR="00FF0E1B" w:rsidRPr="00FF0E1B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33270" w14:textId="67F8ED58" w:rsidR="00FF0E1B" w:rsidRPr="00FF0E1B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BB38" w14:textId="53B633D1" w:rsidR="00FF0E1B" w:rsidRPr="00FF0E1B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F0E1B" w:rsidRPr="00B131B5" w14:paraId="10F28A08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B96C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4FD5" w14:textId="0FEEB384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1 094 681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71EC" w14:textId="53699995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1 160 484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58E1" w14:textId="1535BFAD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1 202 543</w:t>
            </w:r>
          </w:p>
        </w:tc>
      </w:tr>
      <w:tr w:rsidR="00FF0E1B" w:rsidRPr="00B131B5" w14:paraId="73EB9475" w14:textId="77777777" w:rsidTr="00496540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603A9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E7516C" w14:textId="4A06FB75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11 822 839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2B6CB6" w14:textId="08E98668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12 342 864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F638BE" w14:textId="01D60187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12 942 723</w:t>
            </w:r>
          </w:p>
        </w:tc>
      </w:tr>
      <w:tr w:rsidR="00FF0E1B" w:rsidRPr="00B131B5" w14:paraId="73159AC7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B38A0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A83029" w14:textId="0A053EEF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1 472 824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4C6D2A" w14:textId="0771E5FD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 xml:space="preserve">1 467 </w:t>
            </w:r>
            <w:r w:rsidR="004F714C">
              <w:rPr>
                <w:rFonts w:ascii="Times New Roman" w:hAnsi="Times New Roman"/>
                <w:sz w:val="22"/>
                <w:szCs w:val="22"/>
              </w:rPr>
              <w:t>599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0496AF" w14:textId="2FC3A2AA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1 478 506</w:t>
            </w:r>
          </w:p>
        </w:tc>
      </w:tr>
      <w:tr w:rsidR="00FF0E1B" w:rsidRPr="00B131B5" w14:paraId="62E2E8E0" w14:textId="77777777" w:rsidTr="00496540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90647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A28366" w14:textId="060836D5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73 503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979CF9" w14:textId="042C36F0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79 182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6DC9C8" w14:textId="2F445973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84 400</w:t>
            </w:r>
          </w:p>
        </w:tc>
      </w:tr>
      <w:tr w:rsidR="00FF0E1B" w:rsidRPr="00B131B5" w14:paraId="539D5BDF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CD6CE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997939" w14:textId="6C285675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67 340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CC5820" w14:textId="6289C3DB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71 657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5D83FD" w14:textId="5A2BA46A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75 210</w:t>
            </w:r>
          </w:p>
        </w:tc>
      </w:tr>
      <w:tr w:rsidR="00FF0E1B" w:rsidRPr="00B131B5" w14:paraId="012BE45B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677B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C1FD" w14:textId="574F5A03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6 163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EB464" w14:textId="1A3D0753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7 525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B43FB" w14:textId="324EB3A6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9 190</w:t>
            </w:r>
          </w:p>
        </w:tc>
      </w:tr>
      <w:tr w:rsidR="00FF0E1B" w:rsidRPr="00B131B5" w14:paraId="128B08F7" w14:textId="77777777" w:rsidTr="00496540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42751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C50101" w14:textId="104EBF80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41 761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C459A6" w14:textId="38153CF6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43 747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AFDBAB" w14:textId="21D06A55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45 645</w:t>
            </w:r>
          </w:p>
        </w:tc>
      </w:tr>
      <w:tr w:rsidR="00FF0E1B" w:rsidRPr="00B131B5" w14:paraId="22BE2F2E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3AE0A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98AC53" w14:textId="538C04DC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4 918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1794D6" w14:textId="3DA35ECA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5 239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B5C7C8" w14:textId="3F783051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5 559</w:t>
            </w:r>
          </w:p>
        </w:tc>
      </w:tr>
      <w:tr w:rsidR="00FF0E1B" w:rsidRPr="00B131B5" w14:paraId="1CE49F64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C449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16CA" w14:textId="00E27177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36 843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F702" w14:textId="0A279423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38 508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E755" w14:textId="2B6AB525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40 086</w:t>
            </w:r>
          </w:p>
        </w:tc>
      </w:tr>
      <w:tr w:rsidR="00FF0E1B" w:rsidRPr="00B131B5" w14:paraId="540B82AB" w14:textId="77777777" w:rsidTr="006D1A23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38E62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základný fond poistenia v nezamestnanosti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39EAEB" w14:textId="37B414C9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345 397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F5FE60" w14:textId="128E3807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355 927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2CB43E" w14:textId="75082DF8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362 305</w:t>
            </w:r>
          </w:p>
        </w:tc>
      </w:tr>
      <w:tr w:rsidR="00FF0E1B" w:rsidRPr="00B131B5" w14:paraId="7207A236" w14:textId="77777777" w:rsidTr="006D1A23">
        <w:tc>
          <w:tcPr>
            <w:tcW w:w="46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A0B349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výdavky na dávku v nezamestnanosti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0AD734" w14:textId="55D88398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343 049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EEBE02" w14:textId="6E3D4BD6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353 450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FC1D94" w14:textId="409346FB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359 676</w:t>
            </w:r>
          </w:p>
        </w:tc>
      </w:tr>
      <w:tr w:rsidR="00FF0E1B" w:rsidRPr="00B131B5" w14:paraId="1A1463CB" w14:textId="77777777" w:rsidTr="006D1A23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DD97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 xml:space="preserve"> - postúpenie fin. prostriedkov, ktoré žiada príslušný orgán na výplatu podpory v čase skrátenej práce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B9F5" w14:textId="6D16D6EF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2 348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DA625" w14:textId="2040812B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2 478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BD7D9" w14:textId="65A8094A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2 628</w:t>
            </w:r>
          </w:p>
        </w:tc>
      </w:tr>
      <w:tr w:rsidR="00FF0E1B" w:rsidRPr="00B131B5" w14:paraId="55EE98A2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EC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48D9" w14:textId="7A793E56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287 330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A80C0" w14:textId="18595D02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282 827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305F" w14:textId="3751E1A1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290 886</w:t>
            </w:r>
          </w:p>
        </w:tc>
      </w:tr>
      <w:tr w:rsidR="00FF0E1B" w:rsidRPr="00B131B5" w14:paraId="427C3F1C" w14:textId="77777777" w:rsidTr="00496540"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5CD0" w14:textId="77777777" w:rsidR="00FF0E1B" w:rsidRPr="00B131B5" w:rsidRDefault="00FF0E1B" w:rsidP="00FF0E1B">
            <w:pPr>
              <w:rPr>
                <w:rFonts w:ascii="Times New Roman" w:hAnsi="Times New Roman"/>
                <w:sz w:val="22"/>
                <w:szCs w:val="22"/>
              </w:rPr>
            </w:pPr>
            <w:r w:rsidRPr="00B131B5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68DD" w14:textId="5B49B767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7 185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9CD4" w14:textId="360DC30F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9 298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7A35" w14:textId="4900EBB8" w:rsidR="00FF0E1B" w:rsidRPr="00FF0E1B" w:rsidRDefault="00FF0E1B" w:rsidP="00FF0E1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F0E1B">
              <w:rPr>
                <w:rFonts w:ascii="Times New Roman" w:hAnsi="Times New Roman"/>
                <w:sz w:val="22"/>
                <w:szCs w:val="22"/>
              </w:rPr>
              <w:t>11 433</w:t>
            </w:r>
          </w:p>
        </w:tc>
      </w:tr>
    </w:tbl>
    <w:p w14:paraId="338DF8C1" w14:textId="77777777" w:rsidR="00B131B5" w:rsidRDefault="00B131B5" w:rsidP="00AF1437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</w:p>
    <w:p w14:paraId="08781D53" w14:textId="3FB956A7" w:rsidR="007851EF" w:rsidRPr="007851EF" w:rsidRDefault="00672A79" w:rsidP="00AF1437">
      <w:pPr>
        <w:spacing w:after="120"/>
        <w:ind w:firstLine="709"/>
        <w:jc w:val="both"/>
        <w:rPr>
          <w:rFonts w:ascii="Times New Roman" w:hAnsi="Times New Roman"/>
          <w:bCs/>
          <w:szCs w:val="24"/>
        </w:rPr>
      </w:pPr>
      <w:r w:rsidRPr="00CA4B4A">
        <w:rPr>
          <w:rFonts w:ascii="Times New Roman" w:hAnsi="Times New Roman"/>
          <w:b/>
          <w:szCs w:val="24"/>
        </w:rPr>
        <w:t>Výdavky na nemocenské dávky</w:t>
      </w:r>
      <w:r w:rsidRPr="00CA4B4A">
        <w:rPr>
          <w:rFonts w:ascii="Times New Roman" w:hAnsi="Times New Roman"/>
          <w:szCs w:val="24"/>
        </w:rPr>
        <w:t xml:space="preserve"> na rok </w:t>
      </w:r>
      <w:r w:rsidR="00496540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</w:t>
      </w:r>
      <w:r w:rsidRPr="00CA4B4A">
        <w:rPr>
          <w:rFonts w:ascii="Times New Roman" w:hAnsi="Times New Roman"/>
          <w:szCs w:val="24"/>
        </w:rPr>
        <w:t xml:space="preserve">sa predpokladajú vo výške </w:t>
      </w:r>
      <w:r>
        <w:rPr>
          <w:rFonts w:ascii="Times New Roman" w:hAnsi="Times New Roman"/>
          <w:b/>
          <w:szCs w:val="24"/>
        </w:rPr>
        <w:t>1</w:t>
      </w:r>
      <w:r w:rsidR="00F504C8">
        <w:rPr>
          <w:rFonts w:ascii="Times New Roman" w:hAnsi="Times New Roman"/>
          <w:b/>
          <w:szCs w:val="24"/>
        </w:rPr>
        <w:t> 094 681</w:t>
      </w:r>
      <w:r w:rsidRPr="00CA4B4A">
        <w:rPr>
          <w:rFonts w:ascii="Times New Roman" w:hAnsi="Times New Roman"/>
          <w:b/>
          <w:szCs w:val="24"/>
        </w:rPr>
        <w:t> tis. </w:t>
      </w:r>
      <w:r>
        <w:rPr>
          <w:rFonts w:ascii="Times New Roman" w:hAnsi="Times New Roman"/>
          <w:b/>
          <w:szCs w:val="24"/>
        </w:rPr>
        <w:t>eur</w:t>
      </w:r>
      <w:r w:rsidRPr="00CA4B4A">
        <w:rPr>
          <w:rFonts w:ascii="Times New Roman" w:hAnsi="Times New Roman"/>
          <w:b/>
          <w:szCs w:val="24"/>
        </w:rPr>
        <w:t xml:space="preserve">. </w:t>
      </w:r>
      <w:r w:rsidR="007851EF" w:rsidRPr="007851EF">
        <w:rPr>
          <w:rFonts w:ascii="Times New Roman" w:hAnsi="Times New Roman"/>
          <w:bCs/>
          <w:szCs w:val="24"/>
        </w:rPr>
        <w:t xml:space="preserve">V uvedenej výške je </w:t>
      </w:r>
      <w:r w:rsidR="007851EF">
        <w:rPr>
          <w:rFonts w:ascii="Times New Roman" w:hAnsi="Times New Roman"/>
          <w:bCs/>
          <w:szCs w:val="24"/>
        </w:rPr>
        <w:t>p</w:t>
      </w:r>
      <w:r w:rsidR="007851EF" w:rsidRPr="007851EF">
        <w:rPr>
          <w:rFonts w:ascii="Times New Roman" w:hAnsi="Times New Roman"/>
          <w:bCs/>
          <w:szCs w:val="24"/>
        </w:rPr>
        <w:t>remietnutý vplyv</w:t>
      </w:r>
      <w:r w:rsidR="007851EF">
        <w:rPr>
          <w:rFonts w:ascii="Times New Roman" w:hAnsi="Times New Roman"/>
          <w:b/>
          <w:szCs w:val="24"/>
        </w:rPr>
        <w:t xml:space="preserve"> </w:t>
      </w:r>
      <w:r w:rsidR="007851EF" w:rsidRPr="007851EF">
        <w:rPr>
          <w:rFonts w:ascii="Times New Roman" w:hAnsi="Times New Roman"/>
          <w:bCs/>
          <w:szCs w:val="24"/>
        </w:rPr>
        <w:t>novely zákona o sociálnom poistení</w:t>
      </w:r>
      <w:r w:rsidR="007851EF">
        <w:rPr>
          <w:rFonts w:ascii="Times New Roman" w:hAnsi="Times New Roman"/>
          <w:bCs/>
          <w:szCs w:val="24"/>
        </w:rPr>
        <w:t xml:space="preserve"> týkajúcej sa vzniku nároku na dávku nemocenské zamestnanca od 15. dňa dočasnej pracovnej neschopnosti, ktorú bude vyplácať Sociálna poisťovňa.</w:t>
      </w:r>
    </w:p>
    <w:p w14:paraId="7FD4A06B" w14:textId="77777777" w:rsidR="00A53F2A" w:rsidRPr="0097043D" w:rsidRDefault="00A53F2A" w:rsidP="00A53F2A">
      <w:pPr>
        <w:pStyle w:val="Zarkazkladnhotextu2"/>
        <w:tabs>
          <w:tab w:val="decimal" w:pos="8222"/>
        </w:tabs>
        <w:spacing w:before="240" w:after="0" w:line="240" w:lineRule="auto"/>
        <w:ind w:left="0" w:firstLine="709"/>
        <w:rPr>
          <w:rFonts w:ascii="Times New Roman" w:hAnsi="Times New Roman"/>
          <w:szCs w:val="24"/>
        </w:rPr>
      </w:pPr>
      <w:r w:rsidRPr="0097043D">
        <w:rPr>
          <w:rFonts w:ascii="Times New Roman" w:hAnsi="Times New Roman"/>
          <w:b/>
          <w:szCs w:val="24"/>
        </w:rPr>
        <w:t xml:space="preserve">Výdavky </w:t>
      </w:r>
      <w:r>
        <w:rPr>
          <w:rFonts w:ascii="Times New Roman" w:hAnsi="Times New Roman"/>
          <w:b/>
          <w:szCs w:val="24"/>
        </w:rPr>
        <w:t>na dôchodkové dávky</w:t>
      </w:r>
      <w:r>
        <w:rPr>
          <w:rFonts w:ascii="Times New Roman" w:hAnsi="Times New Roman"/>
          <w:szCs w:val="24"/>
        </w:rPr>
        <w:t xml:space="preserve"> na rok 2026</w:t>
      </w:r>
      <w:r w:rsidRPr="0097043D">
        <w:rPr>
          <w:rFonts w:ascii="Times New Roman" w:hAnsi="Times New Roman"/>
          <w:szCs w:val="24"/>
        </w:rPr>
        <w:t xml:space="preserve"> sú stanovené </w:t>
      </w:r>
      <w:r>
        <w:rPr>
          <w:rFonts w:ascii="Times New Roman" w:hAnsi="Times New Roman"/>
          <w:szCs w:val="24"/>
        </w:rPr>
        <w:br/>
      </w:r>
      <w:r w:rsidRPr="0097043D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 xml:space="preserve"> sum</w:t>
      </w:r>
      <w:r w:rsidRPr="0097043D">
        <w:rPr>
          <w:rFonts w:ascii="Times New Roman" w:hAnsi="Times New Roman"/>
          <w:szCs w:val="24"/>
        </w:rPr>
        <w:t xml:space="preserve">e </w:t>
      </w:r>
      <w:r w:rsidRPr="0097043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13</w:t>
      </w:r>
      <w:r w:rsidRPr="0097043D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295 663</w:t>
      </w:r>
      <w:r w:rsidRPr="0097043D">
        <w:rPr>
          <w:rFonts w:ascii="Times New Roman" w:hAnsi="Times New Roman"/>
          <w:b/>
          <w:szCs w:val="24"/>
        </w:rPr>
        <w:t> tis. </w:t>
      </w:r>
      <w:r>
        <w:rPr>
          <w:rFonts w:ascii="Times New Roman" w:hAnsi="Times New Roman"/>
          <w:b/>
          <w:szCs w:val="24"/>
        </w:rPr>
        <w:t>e</w:t>
      </w:r>
      <w:r w:rsidRPr="0097043D">
        <w:rPr>
          <w:rFonts w:ascii="Times New Roman" w:hAnsi="Times New Roman"/>
          <w:b/>
          <w:szCs w:val="24"/>
        </w:rPr>
        <w:t>ur</w:t>
      </w:r>
      <w:r w:rsidRPr="0097043D">
        <w:rPr>
          <w:rFonts w:ascii="Times New Roman" w:hAnsi="Times New Roman"/>
          <w:szCs w:val="24"/>
        </w:rPr>
        <w:t>,</w:t>
      </w:r>
      <w:r w:rsidRPr="0097043D">
        <w:rPr>
          <w:rFonts w:ascii="Times New Roman" w:hAnsi="Times New Roman"/>
          <w:szCs w:val="24"/>
        </w:rPr>
        <w:br/>
        <w:t xml:space="preserve">v tom výdavky </w:t>
      </w:r>
      <w:r>
        <w:rPr>
          <w:rFonts w:ascii="Times New Roman" w:hAnsi="Times New Roman"/>
          <w:szCs w:val="24"/>
        </w:rPr>
        <w:t>zo:</w:t>
      </w:r>
    </w:p>
    <w:p w14:paraId="1B1B2FE5" w14:textId="77777777" w:rsidR="00A53F2A" w:rsidRPr="0097043D" w:rsidRDefault="00A53F2A" w:rsidP="00A53F2A">
      <w:pPr>
        <w:pStyle w:val="Zarkazkladnhotextu2"/>
        <w:numPr>
          <w:ilvl w:val="0"/>
          <w:numId w:val="23"/>
        </w:numPr>
        <w:tabs>
          <w:tab w:val="decimal" w:pos="8222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ZFSP</w:t>
      </w:r>
      <w:r w:rsidRPr="0097043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11</w:t>
      </w:r>
      <w:r w:rsidRPr="0097043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822 839</w:t>
      </w:r>
      <w:r w:rsidRPr="0097043D">
        <w:rPr>
          <w:rFonts w:ascii="Times New Roman" w:hAnsi="Times New Roman"/>
          <w:szCs w:val="24"/>
        </w:rPr>
        <w:t> tis. </w:t>
      </w:r>
      <w:r>
        <w:rPr>
          <w:rFonts w:ascii="Times New Roman" w:hAnsi="Times New Roman"/>
          <w:szCs w:val="24"/>
        </w:rPr>
        <w:t>e</w:t>
      </w:r>
      <w:r w:rsidRPr="0097043D">
        <w:rPr>
          <w:rFonts w:ascii="Times New Roman" w:hAnsi="Times New Roman"/>
          <w:szCs w:val="24"/>
        </w:rPr>
        <w:t>ur,</w:t>
      </w:r>
    </w:p>
    <w:p w14:paraId="7D0923F4" w14:textId="77777777" w:rsidR="00A53F2A" w:rsidRDefault="00A53F2A" w:rsidP="00A53F2A">
      <w:pPr>
        <w:pStyle w:val="Zarkazkladnhotextu2"/>
        <w:numPr>
          <w:ilvl w:val="0"/>
          <w:numId w:val="23"/>
        </w:numPr>
        <w:tabs>
          <w:tab w:val="decimal" w:pos="8222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ZFIP</w:t>
      </w:r>
      <w:r>
        <w:rPr>
          <w:rFonts w:ascii="Times New Roman" w:hAnsi="Times New Roman"/>
          <w:szCs w:val="24"/>
        </w:rPr>
        <w:tab/>
        <w:t>1 472 824</w:t>
      </w:r>
      <w:r w:rsidRPr="0097043D">
        <w:rPr>
          <w:rFonts w:ascii="Times New Roman" w:hAnsi="Times New Roman"/>
          <w:szCs w:val="24"/>
        </w:rPr>
        <w:t> tis. </w:t>
      </w:r>
      <w:r>
        <w:rPr>
          <w:rFonts w:ascii="Times New Roman" w:hAnsi="Times New Roman"/>
          <w:szCs w:val="24"/>
        </w:rPr>
        <w:t>e</w:t>
      </w:r>
      <w:r w:rsidRPr="0097043D">
        <w:rPr>
          <w:rFonts w:ascii="Times New Roman" w:hAnsi="Times New Roman"/>
          <w:szCs w:val="24"/>
        </w:rPr>
        <w:t>ur.</w:t>
      </w:r>
    </w:p>
    <w:p w14:paraId="04B26AF0" w14:textId="77777777" w:rsidR="00A53F2A" w:rsidRDefault="00A53F2A" w:rsidP="00A53F2A">
      <w:pPr>
        <w:pStyle w:val="Zarkazkladnhotextu2"/>
        <w:tabs>
          <w:tab w:val="decimal" w:pos="8222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Pri novopriznaných dôchodkoch sa vychádzalo z predpokladu, že starobných dôchodkov bude priznaných celkom 24 067 s priemernou výškou dôchodku 730,40 eur, predčasných starobných dôchodkov bude priznaných celkom 17 472 s priemernou výškou dôchodku 728,30 eur a invalidných dôchodkov bude priznaných celkom 16</w:t>
      </w:r>
      <w:r w:rsidRPr="00E9570B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469 s priemernou výškou dôchodku 472,40 eur.</w:t>
      </w:r>
    </w:p>
    <w:p w14:paraId="3B551004" w14:textId="4EAD46F6" w:rsidR="00A53F2A" w:rsidRDefault="00A53F2A" w:rsidP="00A53F2A">
      <w:pPr>
        <w:pStyle w:val="Zarkazkladnhotextu2"/>
        <w:spacing w:before="240" w:after="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97043D">
        <w:rPr>
          <w:rFonts w:ascii="Times New Roman" w:hAnsi="Times New Roman"/>
          <w:szCs w:val="24"/>
        </w:rPr>
        <w:t xml:space="preserve">Výška výdavkov na dôchodkové dávky je </w:t>
      </w:r>
      <w:proofErr w:type="spellStart"/>
      <w:r>
        <w:rPr>
          <w:rFonts w:ascii="Times New Roman" w:hAnsi="Times New Roman"/>
          <w:szCs w:val="24"/>
        </w:rPr>
        <w:t>vy</w:t>
      </w:r>
      <w:r w:rsidRPr="0097043D">
        <w:rPr>
          <w:rFonts w:ascii="Times New Roman" w:hAnsi="Times New Roman"/>
          <w:szCs w:val="24"/>
        </w:rPr>
        <w:t>kvantifikovaná</w:t>
      </w:r>
      <w:proofErr w:type="spellEnd"/>
      <w:r w:rsidRPr="0097043D">
        <w:rPr>
          <w:rFonts w:ascii="Times New Roman" w:hAnsi="Times New Roman"/>
          <w:szCs w:val="24"/>
        </w:rPr>
        <w:t xml:space="preserve"> najmä na </w:t>
      </w:r>
      <w:r w:rsidRPr="0097043D">
        <w:rPr>
          <w:rFonts w:ascii="Times New Roman" w:hAnsi="Times New Roman"/>
          <w:color w:val="000000"/>
          <w:szCs w:val="24"/>
        </w:rPr>
        <w:t>základe</w:t>
      </w:r>
      <w:r>
        <w:rPr>
          <w:rFonts w:ascii="Times New Roman" w:hAnsi="Times New Roman"/>
          <w:color w:val="000000"/>
          <w:szCs w:val="24"/>
        </w:rPr>
        <w:t>:</w:t>
      </w:r>
      <w:r w:rsidRPr="0097043D">
        <w:rPr>
          <w:rFonts w:ascii="Times New Roman" w:hAnsi="Times New Roman"/>
          <w:color w:val="000000"/>
          <w:szCs w:val="24"/>
        </w:rPr>
        <w:t xml:space="preserve"> </w:t>
      </w:r>
    </w:p>
    <w:p w14:paraId="495430A2" w14:textId="77777777" w:rsidR="00A53F2A" w:rsidRPr="009A305D" w:rsidRDefault="00A53F2A" w:rsidP="00A53F2A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after="0" w:line="240" w:lineRule="auto"/>
        <w:ind w:left="709" w:hanging="709"/>
        <w:jc w:val="both"/>
        <w:rPr>
          <w:rFonts w:ascii="Times New Roman" w:hAnsi="Times New Roman"/>
          <w:szCs w:val="24"/>
        </w:rPr>
      </w:pPr>
      <w:r w:rsidRPr="009A305D">
        <w:rPr>
          <w:rFonts w:ascii="Times New Roman" w:hAnsi="Times New Roman"/>
          <w:szCs w:val="24"/>
        </w:rPr>
        <w:t>očakávaných výdavkov v roku 20</w:t>
      </w:r>
      <w:r>
        <w:rPr>
          <w:rFonts w:ascii="Times New Roman" w:hAnsi="Times New Roman"/>
          <w:szCs w:val="24"/>
        </w:rPr>
        <w:t>25</w:t>
      </w:r>
      <w:r w:rsidRPr="009A305D">
        <w:rPr>
          <w:rFonts w:ascii="Times New Roman" w:hAnsi="Times New Roman"/>
          <w:szCs w:val="24"/>
        </w:rPr>
        <w:t xml:space="preserve"> v sume </w:t>
      </w:r>
      <w:r>
        <w:rPr>
          <w:rFonts w:ascii="Times New Roman" w:hAnsi="Times New Roman"/>
          <w:szCs w:val="24"/>
        </w:rPr>
        <w:t>12</w:t>
      </w:r>
      <w:r w:rsidRPr="009A305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 xml:space="preserve">825 498 </w:t>
      </w:r>
      <w:r w:rsidRPr="009A305D">
        <w:rPr>
          <w:rFonts w:ascii="Times New Roman" w:hAnsi="Times New Roman"/>
          <w:szCs w:val="24"/>
        </w:rPr>
        <w:t>tis. </w:t>
      </w:r>
      <w:r>
        <w:rPr>
          <w:rFonts w:ascii="Times New Roman" w:hAnsi="Times New Roman"/>
          <w:szCs w:val="24"/>
        </w:rPr>
        <w:t>e</w:t>
      </w:r>
      <w:r w:rsidRPr="009A305D">
        <w:rPr>
          <w:rFonts w:ascii="Times New Roman" w:hAnsi="Times New Roman"/>
          <w:szCs w:val="24"/>
        </w:rPr>
        <w:t>ur</w:t>
      </w:r>
      <w:r>
        <w:rPr>
          <w:rFonts w:ascii="Times New Roman" w:hAnsi="Times New Roman"/>
          <w:szCs w:val="24"/>
        </w:rPr>
        <w:t xml:space="preserve">, </w:t>
      </w:r>
    </w:p>
    <w:p w14:paraId="3DDAA61F" w14:textId="77777777" w:rsidR="00A53F2A" w:rsidRPr="0097043D" w:rsidRDefault="00A53F2A" w:rsidP="00A53F2A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97043D">
        <w:rPr>
          <w:rFonts w:ascii="Times New Roman" w:hAnsi="Times New Roman"/>
          <w:szCs w:val="24"/>
        </w:rPr>
        <w:t>val</w:t>
      </w:r>
      <w:r>
        <w:rPr>
          <w:rFonts w:ascii="Times New Roman" w:hAnsi="Times New Roman"/>
          <w:szCs w:val="24"/>
        </w:rPr>
        <w:t xml:space="preserve">orizácie dôchodkov v roku 2026 </w:t>
      </w:r>
      <w:r w:rsidRPr="0097043D">
        <w:rPr>
          <w:rFonts w:ascii="Times New Roman" w:hAnsi="Times New Roman"/>
          <w:szCs w:val="24"/>
        </w:rPr>
        <w:t xml:space="preserve">v </w:t>
      </w:r>
      <w:r>
        <w:rPr>
          <w:rFonts w:ascii="Times New Roman" w:hAnsi="Times New Roman"/>
          <w:szCs w:val="24"/>
        </w:rPr>
        <w:t>sum</w:t>
      </w:r>
      <w:r w:rsidRPr="0097043D"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szCs w:val="24"/>
        </w:rPr>
        <w:t>460 201</w:t>
      </w:r>
      <w:r w:rsidRPr="0097043D">
        <w:rPr>
          <w:rFonts w:ascii="Times New Roman" w:hAnsi="Times New Roman"/>
          <w:szCs w:val="24"/>
        </w:rPr>
        <w:t> tis. </w:t>
      </w:r>
      <w:r>
        <w:rPr>
          <w:rFonts w:ascii="Times New Roman" w:hAnsi="Times New Roman"/>
          <w:szCs w:val="24"/>
        </w:rPr>
        <w:t>e</w:t>
      </w:r>
      <w:r w:rsidRPr="0097043D">
        <w:rPr>
          <w:rFonts w:ascii="Times New Roman" w:hAnsi="Times New Roman"/>
          <w:szCs w:val="24"/>
        </w:rPr>
        <w:t>ur,</w:t>
      </w:r>
    </w:p>
    <w:p w14:paraId="5EFC2193" w14:textId="426E483B" w:rsidR="00A53F2A" w:rsidRPr="00A53F2A" w:rsidRDefault="00A53F2A" w:rsidP="00A53F2A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after="0" w:line="240" w:lineRule="auto"/>
        <w:ind w:left="709" w:hanging="709"/>
        <w:jc w:val="both"/>
        <w:rPr>
          <w:rFonts w:ascii="Times New Roman" w:hAnsi="Times New Roman"/>
          <w:szCs w:val="24"/>
        </w:rPr>
      </w:pPr>
      <w:r w:rsidRPr="0097043D">
        <w:rPr>
          <w:rFonts w:ascii="Times New Roman" w:hAnsi="Times New Roman"/>
          <w:szCs w:val="24"/>
        </w:rPr>
        <w:t xml:space="preserve">bežného medziročného nárastu, </w:t>
      </w:r>
      <w:r w:rsidRPr="00006A97">
        <w:rPr>
          <w:rFonts w:ascii="Times New Roman" w:hAnsi="Times New Roman"/>
          <w:szCs w:val="24"/>
        </w:rPr>
        <w:t>ktorý súvisí s novopriznávanými a zaniknutými dôchodkami</w:t>
      </w:r>
      <w:r>
        <w:rPr>
          <w:rFonts w:ascii="Times New Roman" w:hAnsi="Times New Roman"/>
          <w:szCs w:val="24"/>
        </w:rPr>
        <w:t xml:space="preserve"> v sume celkom 9 964 tis. eur.</w:t>
      </w:r>
    </w:p>
    <w:p w14:paraId="7E4C41BB" w14:textId="170BB61D" w:rsidR="00A53F2A" w:rsidRDefault="00A53F2A" w:rsidP="00A53F2A">
      <w:pPr>
        <w:pStyle w:val="Zarkazkladnhotextu2"/>
        <w:tabs>
          <w:tab w:val="decimal" w:pos="8222"/>
        </w:tabs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Výška 13. dôchodkov pre roky 2026 až 2028 zostane na úrovni roka 2025, ako súčasť konsolidačných opatrení.</w:t>
      </w:r>
    </w:p>
    <w:p w14:paraId="7F93C775" w14:textId="1F623EB0" w:rsidR="00A53F2A" w:rsidRPr="00F26863" w:rsidRDefault="00A53F2A" w:rsidP="00A53F2A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</w:t>
      </w:r>
      <w:r w:rsidRPr="00D54EA4">
        <w:rPr>
          <w:rFonts w:ascii="Times New Roman" w:hAnsi="Times New Roman"/>
          <w:color w:val="000000"/>
          <w:szCs w:val="24"/>
        </w:rPr>
        <w:t>ôchodkov</w:t>
      </w:r>
      <w:r>
        <w:rPr>
          <w:rFonts w:ascii="Times New Roman" w:hAnsi="Times New Roman"/>
          <w:color w:val="000000"/>
          <w:szCs w:val="24"/>
        </w:rPr>
        <w:t>é</w:t>
      </w:r>
      <w:r w:rsidRPr="00D54EA4">
        <w:rPr>
          <w:rFonts w:ascii="Times New Roman" w:hAnsi="Times New Roman"/>
          <w:color w:val="000000"/>
          <w:szCs w:val="24"/>
        </w:rPr>
        <w:t xml:space="preserve"> dávk</w:t>
      </w:r>
      <w:r>
        <w:rPr>
          <w:rFonts w:ascii="Times New Roman" w:hAnsi="Times New Roman"/>
          <w:color w:val="000000"/>
          <w:szCs w:val="24"/>
        </w:rPr>
        <w:t>y</w:t>
      </w:r>
      <w:r w:rsidRPr="00D54EA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sa v rokoch 2026 až 2028</w:t>
      </w:r>
      <w:r w:rsidRPr="00D54EA4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zvyšujú o percento medziročného rastu spotrebiteľských cien za domácnosti dôchodcov vykázané štatistickým úradom za prvých deväť mesiacov kalendárneho roka, ktorý predchádza príslušnému kalendárnemu roku a za jednotlivé roky sa rozpočtujú nasledovne</w:t>
      </w:r>
      <w:r w:rsidRPr="00D54EA4"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</w:p>
    <w:tbl>
      <w:tblPr>
        <w:tblW w:w="794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43"/>
        <w:gridCol w:w="1366"/>
        <w:gridCol w:w="1166"/>
      </w:tblGrid>
      <w:tr w:rsidR="00A53F2A" w:rsidRPr="006B28D6" w14:paraId="66532407" w14:textId="77777777" w:rsidTr="006B28D6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7D25B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28D6">
              <w:rPr>
                <w:rFonts w:ascii="Times New Roman" w:hAnsi="Times New Roman"/>
                <w:b/>
                <w:bCs/>
                <w:sz w:val="22"/>
                <w:szCs w:val="22"/>
              </w:rPr>
              <w:t>Text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DDAD4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28D6">
              <w:rPr>
                <w:rFonts w:ascii="Times New Roman" w:hAnsi="Times New Roman"/>
                <w:b/>
                <w:bCs/>
                <w:sz w:val="22"/>
                <w:szCs w:val="22"/>
              </w:rPr>
              <w:t>Rok 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0D4D3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28D6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8C61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28D6">
              <w:rPr>
                <w:rFonts w:ascii="Times New Roman" w:hAnsi="Times New Roman"/>
                <w:b/>
                <w:bCs/>
                <w:sz w:val="22"/>
                <w:szCs w:val="22"/>
              </w:rPr>
              <w:t>Rok 2028</w:t>
            </w:r>
          </w:p>
        </w:tc>
      </w:tr>
      <w:tr w:rsidR="00A53F2A" w:rsidRPr="006B28D6" w14:paraId="1623B14C" w14:textId="77777777" w:rsidTr="006B28D6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A02A0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3850D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3FDCB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25D2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53F2A" w:rsidRPr="006B28D6" w14:paraId="40660CB7" w14:textId="77777777" w:rsidTr="00C7167E">
        <w:trPr>
          <w:trHeight w:val="2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57970" w14:textId="77777777" w:rsidR="00A53F2A" w:rsidRPr="006B28D6" w:rsidRDefault="00A53F2A" w:rsidP="00E76002">
            <w:pPr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Zvýšenie (v%)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0ACCE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24311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389B0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</w:tr>
      <w:tr w:rsidR="00A53F2A" w:rsidRPr="006B28D6" w14:paraId="36126B5A" w14:textId="77777777" w:rsidTr="00C7167E">
        <w:trPr>
          <w:trHeight w:val="3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291FD" w14:textId="77777777" w:rsidR="00A53F2A" w:rsidRPr="006B28D6" w:rsidRDefault="00A53F2A" w:rsidP="00E76002">
            <w:pPr>
              <w:rPr>
                <w:rFonts w:ascii="Times New Roman" w:hAnsi="Times New Roman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sz w:val="22"/>
                <w:szCs w:val="22"/>
              </w:rPr>
              <w:t>Výdavky na zvýšenie dôchodkov (v tis. eur)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751A7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color w:val="000000"/>
                <w:sz w:val="22"/>
                <w:szCs w:val="22"/>
              </w:rPr>
              <w:t>460 201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45D17" w14:textId="77777777" w:rsidR="00A53F2A" w:rsidRPr="006B28D6" w:rsidRDefault="00A53F2A" w:rsidP="00E76002">
            <w:pPr>
              <w:ind w:left="-193" w:firstLine="19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color w:val="000000"/>
                <w:sz w:val="22"/>
                <w:szCs w:val="22"/>
              </w:rPr>
              <w:t>595 961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42AFF" w14:textId="77777777" w:rsidR="00A53F2A" w:rsidRPr="006B28D6" w:rsidRDefault="00A53F2A" w:rsidP="00E760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B28D6">
              <w:rPr>
                <w:rFonts w:ascii="Times New Roman" w:hAnsi="Times New Roman"/>
                <w:color w:val="000000"/>
                <w:sz w:val="22"/>
                <w:szCs w:val="22"/>
              </w:rPr>
              <w:t>387 507</w:t>
            </w:r>
          </w:p>
        </w:tc>
      </w:tr>
    </w:tbl>
    <w:p w14:paraId="71B4BDC2" w14:textId="49DCAD6F" w:rsidR="00672A79" w:rsidRDefault="00672A79" w:rsidP="00FA7D37">
      <w:pPr>
        <w:pStyle w:val="Zarkazkladnhotextu2"/>
        <w:spacing w:before="36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A35F7A">
        <w:rPr>
          <w:rFonts w:ascii="Times New Roman" w:hAnsi="Times New Roman"/>
          <w:color w:val="000000"/>
          <w:szCs w:val="24"/>
        </w:rPr>
        <w:t>V rok</w:t>
      </w:r>
      <w:r w:rsidR="00B44628">
        <w:rPr>
          <w:rFonts w:ascii="Times New Roman" w:hAnsi="Times New Roman"/>
          <w:color w:val="000000"/>
          <w:szCs w:val="24"/>
        </w:rPr>
        <w:t>u</w:t>
      </w:r>
      <w:r w:rsidRPr="00A35F7A">
        <w:rPr>
          <w:rFonts w:ascii="Times New Roman" w:hAnsi="Times New Roman"/>
          <w:color w:val="000000"/>
          <w:szCs w:val="24"/>
        </w:rPr>
        <w:t xml:space="preserve"> </w:t>
      </w:r>
      <w:r w:rsidR="00496540">
        <w:rPr>
          <w:rFonts w:ascii="Times New Roman" w:hAnsi="Times New Roman"/>
          <w:color w:val="000000"/>
          <w:szCs w:val="24"/>
        </w:rPr>
        <w:t>2026</w:t>
      </w:r>
      <w:r w:rsidRPr="00A35F7A">
        <w:rPr>
          <w:rFonts w:ascii="Times New Roman" w:hAnsi="Times New Roman"/>
          <w:color w:val="000000"/>
          <w:szCs w:val="24"/>
        </w:rPr>
        <w:t xml:space="preserve"> sa predpokladajú</w:t>
      </w:r>
      <w:r>
        <w:rPr>
          <w:rFonts w:ascii="Times New Roman" w:hAnsi="Times New Roman"/>
          <w:color w:val="000000"/>
          <w:szCs w:val="24"/>
        </w:rPr>
        <w:t xml:space="preserve"> výdavky z použitia </w:t>
      </w:r>
      <w:r w:rsidRPr="00974724">
        <w:rPr>
          <w:rFonts w:ascii="Times New Roman" w:hAnsi="Times New Roman"/>
          <w:b/>
          <w:color w:val="000000"/>
          <w:szCs w:val="24"/>
        </w:rPr>
        <w:t>osobitného fondu</w:t>
      </w:r>
      <w:r>
        <w:rPr>
          <w:rFonts w:ascii="Times New Roman" w:hAnsi="Times New Roman"/>
          <w:color w:val="000000"/>
          <w:szCs w:val="24"/>
        </w:rPr>
        <w:t xml:space="preserve"> pre obecných policajtov v sume </w:t>
      </w:r>
      <w:r w:rsidR="0013484C" w:rsidRPr="00B44628">
        <w:rPr>
          <w:rFonts w:ascii="Times New Roman" w:hAnsi="Times New Roman"/>
          <w:b/>
          <w:bCs/>
          <w:color w:val="000000"/>
          <w:szCs w:val="24"/>
        </w:rPr>
        <w:t>7 185</w:t>
      </w:r>
      <w:r w:rsidRPr="00B44628">
        <w:rPr>
          <w:rFonts w:ascii="Times New Roman" w:hAnsi="Times New Roman"/>
          <w:b/>
          <w:bCs/>
          <w:color w:val="000000"/>
          <w:szCs w:val="24"/>
        </w:rPr>
        <w:t xml:space="preserve"> tis. eur</w:t>
      </w:r>
      <w:r>
        <w:rPr>
          <w:rFonts w:ascii="Times New Roman" w:hAnsi="Times New Roman"/>
          <w:color w:val="000000"/>
          <w:szCs w:val="24"/>
        </w:rPr>
        <w:t xml:space="preserve">.   </w:t>
      </w:r>
    </w:p>
    <w:p w14:paraId="3DE0A7AD" w14:textId="72C317D6" w:rsidR="00B66FFA" w:rsidRDefault="00672A79" w:rsidP="00A35F7A">
      <w:pPr>
        <w:spacing w:before="360" w:after="120"/>
        <w:ind w:firstLine="709"/>
        <w:jc w:val="both"/>
        <w:rPr>
          <w:rFonts w:ascii="Times New Roman" w:hAnsi="Times New Roman"/>
          <w:szCs w:val="24"/>
        </w:rPr>
      </w:pPr>
      <w:r w:rsidRPr="00200536">
        <w:rPr>
          <w:rFonts w:ascii="Times New Roman" w:hAnsi="Times New Roman"/>
          <w:b/>
          <w:szCs w:val="24"/>
        </w:rPr>
        <w:t>Výdavky základného fondu úrazového poistenia</w:t>
      </w:r>
      <w:r w:rsidRPr="00200536">
        <w:rPr>
          <w:rFonts w:ascii="Times New Roman" w:hAnsi="Times New Roman"/>
          <w:szCs w:val="24"/>
        </w:rPr>
        <w:t xml:space="preserve"> </w:t>
      </w:r>
      <w:r w:rsidRPr="003A6132">
        <w:rPr>
          <w:rFonts w:ascii="Times New Roman" w:hAnsi="Times New Roman"/>
          <w:b/>
          <w:szCs w:val="24"/>
        </w:rPr>
        <w:t xml:space="preserve">v </w:t>
      </w:r>
      <w:r w:rsidRPr="00200536">
        <w:rPr>
          <w:rFonts w:ascii="Times New Roman" w:hAnsi="Times New Roman"/>
          <w:b/>
          <w:szCs w:val="24"/>
        </w:rPr>
        <w:t xml:space="preserve">roku </w:t>
      </w:r>
      <w:r w:rsidR="00496540">
        <w:rPr>
          <w:rFonts w:ascii="Times New Roman" w:hAnsi="Times New Roman"/>
          <w:b/>
          <w:szCs w:val="24"/>
        </w:rPr>
        <w:t>2026</w:t>
      </w:r>
      <w:r w:rsidRPr="00200536">
        <w:rPr>
          <w:rFonts w:ascii="Times New Roman" w:hAnsi="Times New Roman"/>
          <w:b/>
          <w:szCs w:val="24"/>
        </w:rPr>
        <w:t xml:space="preserve"> </w:t>
      </w:r>
      <w:r w:rsidRPr="00200536">
        <w:rPr>
          <w:rFonts w:ascii="Times New Roman" w:hAnsi="Times New Roman"/>
          <w:szCs w:val="24"/>
        </w:rPr>
        <w:t xml:space="preserve">sa predpokladajú vo výške </w:t>
      </w:r>
      <w:r w:rsidR="0013484C">
        <w:rPr>
          <w:rFonts w:ascii="Times New Roman" w:hAnsi="Times New Roman"/>
          <w:b/>
          <w:szCs w:val="24"/>
        </w:rPr>
        <w:t>73 503</w:t>
      </w:r>
      <w:r w:rsidRPr="00200536">
        <w:rPr>
          <w:rFonts w:ascii="Times New Roman" w:hAnsi="Times New Roman"/>
          <w:b/>
          <w:szCs w:val="24"/>
        </w:rPr>
        <w:t> tis.</w:t>
      </w:r>
      <w:r>
        <w:rPr>
          <w:rFonts w:ascii="Times New Roman" w:hAnsi="Times New Roman"/>
          <w:b/>
          <w:szCs w:val="24"/>
        </w:rPr>
        <w:t> eur</w:t>
      </w:r>
      <w:r w:rsidRPr="00200536">
        <w:rPr>
          <w:rFonts w:ascii="Times New Roman" w:hAnsi="Times New Roman"/>
          <w:szCs w:val="24"/>
        </w:rPr>
        <w:t xml:space="preserve"> (</w:t>
      </w:r>
      <w:r w:rsidR="00B131B5">
        <w:rPr>
          <w:rFonts w:ascii="Times New Roman" w:hAnsi="Times New Roman"/>
          <w:szCs w:val="24"/>
        </w:rPr>
        <w:t xml:space="preserve">z toho </w:t>
      </w:r>
      <w:r w:rsidRPr="00200536">
        <w:rPr>
          <w:rFonts w:ascii="Times New Roman" w:hAnsi="Times New Roman"/>
          <w:szCs w:val="24"/>
        </w:rPr>
        <w:t>úhrada</w:t>
      </w:r>
      <w:r w:rsidRPr="004C7EC8">
        <w:rPr>
          <w:rFonts w:ascii="Times New Roman" w:hAnsi="Times New Roman"/>
          <w:szCs w:val="24"/>
        </w:rPr>
        <w:t xml:space="preserve"> poistného na starobné poistenie a príspevkov na SDS za poberateľov úrazovej renty </w:t>
      </w:r>
      <w:r>
        <w:rPr>
          <w:rFonts w:ascii="Times New Roman" w:hAnsi="Times New Roman"/>
          <w:szCs w:val="24"/>
        </w:rPr>
        <w:t xml:space="preserve">vo výške </w:t>
      </w:r>
      <w:r w:rsidR="00B131B5">
        <w:rPr>
          <w:rFonts w:ascii="Times New Roman" w:hAnsi="Times New Roman"/>
          <w:szCs w:val="24"/>
        </w:rPr>
        <w:t>6 </w:t>
      </w:r>
      <w:r w:rsidR="0013484C">
        <w:rPr>
          <w:rFonts w:ascii="Times New Roman" w:hAnsi="Times New Roman"/>
          <w:szCs w:val="24"/>
        </w:rPr>
        <w:t>163</w:t>
      </w:r>
      <w:r w:rsidRPr="004C7EC8">
        <w:rPr>
          <w:rFonts w:ascii="Times New Roman" w:hAnsi="Times New Roman"/>
          <w:szCs w:val="24"/>
        </w:rPr>
        <w:t> tis.</w:t>
      </w:r>
      <w:r>
        <w:rPr>
          <w:rFonts w:ascii="Times New Roman" w:hAnsi="Times New Roman"/>
          <w:szCs w:val="24"/>
        </w:rPr>
        <w:t> eur</w:t>
      </w:r>
      <w:r w:rsidR="00A35F7A">
        <w:rPr>
          <w:rFonts w:ascii="Times New Roman" w:hAnsi="Times New Roman"/>
          <w:szCs w:val="24"/>
        </w:rPr>
        <w:t xml:space="preserve">). </w:t>
      </w:r>
    </w:p>
    <w:p w14:paraId="6E8D61F3" w14:textId="0F3EC798" w:rsidR="00672A79" w:rsidRDefault="00672A79" w:rsidP="00C56E6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color w:val="000000"/>
          <w:szCs w:val="24"/>
        </w:rPr>
        <w:t xml:space="preserve">Úrazové dávky sa </w:t>
      </w:r>
      <w:r>
        <w:rPr>
          <w:rFonts w:ascii="Times New Roman" w:hAnsi="Times New Roman"/>
          <w:color w:val="000000"/>
          <w:szCs w:val="24"/>
        </w:rPr>
        <w:t xml:space="preserve">v rokoch </w:t>
      </w:r>
      <w:r w:rsidR="00496540">
        <w:rPr>
          <w:rFonts w:ascii="Times New Roman" w:hAnsi="Times New Roman"/>
          <w:color w:val="000000"/>
          <w:szCs w:val="24"/>
        </w:rPr>
        <w:t>2026</w:t>
      </w:r>
      <w:r>
        <w:rPr>
          <w:rFonts w:ascii="Times New Roman" w:hAnsi="Times New Roman"/>
          <w:color w:val="000000"/>
          <w:szCs w:val="24"/>
        </w:rPr>
        <w:t xml:space="preserve"> až </w:t>
      </w:r>
      <w:r w:rsidR="00496540">
        <w:rPr>
          <w:rFonts w:ascii="Times New Roman" w:hAnsi="Times New Roman"/>
          <w:color w:val="000000"/>
          <w:szCs w:val="24"/>
        </w:rPr>
        <w:t>2028</w:t>
      </w:r>
      <w:r>
        <w:rPr>
          <w:rFonts w:ascii="Times New Roman" w:hAnsi="Times New Roman"/>
          <w:color w:val="000000"/>
          <w:szCs w:val="24"/>
        </w:rPr>
        <w:t xml:space="preserve"> zvyšujú</w:t>
      </w:r>
      <w:r w:rsidRPr="004C7EC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podľa § 89 zákona o sociálnom poistení. </w:t>
      </w:r>
      <w:r w:rsidRPr="00CA4B4A">
        <w:rPr>
          <w:rFonts w:ascii="Times New Roman" w:hAnsi="Times New Roman"/>
          <w:szCs w:val="24"/>
        </w:rPr>
        <w:t>Valorizácia  úrazových dávok sa týka piatich z desiatich určených dávok a to: úrazová renta, pozostalostná úrazová renta, jednorazové odškodnenie, náhrada nákladov spojených s liečením a náhrada nákladov spojených s pohrebom.</w:t>
      </w:r>
      <w:r w:rsidR="00B66FFA">
        <w:rPr>
          <w:rFonts w:ascii="Times New Roman" w:hAnsi="Times New Roman"/>
          <w:szCs w:val="24"/>
        </w:rPr>
        <w:t xml:space="preserve"> </w:t>
      </w:r>
    </w:p>
    <w:p w14:paraId="40F399C5" w14:textId="05730E4E" w:rsidR="00B66FFA" w:rsidRDefault="00B66FFA" w:rsidP="00B66FFA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</w:t>
      </w:r>
      <w:r w:rsidRPr="004C7EC8">
        <w:rPr>
          <w:rFonts w:ascii="Times New Roman" w:hAnsi="Times New Roman"/>
          <w:color w:val="000000"/>
          <w:szCs w:val="24"/>
        </w:rPr>
        <w:t xml:space="preserve">ýdavky na </w:t>
      </w:r>
      <w:r>
        <w:rPr>
          <w:rFonts w:ascii="Times New Roman" w:hAnsi="Times New Roman"/>
          <w:color w:val="000000"/>
          <w:szCs w:val="24"/>
        </w:rPr>
        <w:t>zvýšenie</w:t>
      </w:r>
      <w:r w:rsidRPr="004C7EC8">
        <w:rPr>
          <w:rFonts w:ascii="Times New Roman" w:hAnsi="Times New Roman"/>
          <w:color w:val="000000"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úrazových dávok</w:t>
      </w:r>
      <w:r w:rsidRPr="004C7EC8">
        <w:rPr>
          <w:rFonts w:ascii="Times New Roman" w:hAnsi="Times New Roman"/>
          <w:color w:val="000000"/>
          <w:szCs w:val="24"/>
        </w:rPr>
        <w:t xml:space="preserve"> v rokoch </w:t>
      </w:r>
      <w:r w:rsidR="00496540">
        <w:rPr>
          <w:rFonts w:ascii="Times New Roman" w:hAnsi="Times New Roman"/>
          <w:color w:val="000000"/>
          <w:szCs w:val="24"/>
        </w:rPr>
        <w:t>2026</w:t>
      </w:r>
      <w:r>
        <w:rPr>
          <w:rFonts w:ascii="Times New Roman" w:hAnsi="Times New Roman"/>
          <w:color w:val="000000"/>
          <w:szCs w:val="24"/>
        </w:rPr>
        <w:t xml:space="preserve"> až </w:t>
      </w:r>
      <w:r w:rsidR="00496540">
        <w:rPr>
          <w:rFonts w:ascii="Times New Roman" w:hAnsi="Times New Roman"/>
          <w:color w:val="000000"/>
          <w:szCs w:val="24"/>
        </w:rPr>
        <w:t>2028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C7EC8">
        <w:rPr>
          <w:rFonts w:ascii="Times New Roman" w:hAnsi="Times New Roman"/>
          <w:color w:val="000000"/>
          <w:szCs w:val="24"/>
        </w:rPr>
        <w:t xml:space="preserve"> rozpočtujú:</w:t>
      </w:r>
    </w:p>
    <w:tbl>
      <w:tblPr>
        <w:tblW w:w="86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485"/>
        <w:gridCol w:w="1485"/>
        <w:gridCol w:w="1485"/>
      </w:tblGrid>
      <w:tr w:rsidR="00B66FFA" w:rsidRPr="004C7EC8" w14:paraId="3D6C81FF" w14:textId="77777777" w:rsidTr="00B66FFA">
        <w:trPr>
          <w:trHeight w:val="27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EE305" w14:textId="77777777" w:rsidR="00B66FFA" w:rsidRPr="007E6027" w:rsidRDefault="00B66FFA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sz w:val="22"/>
                <w:szCs w:val="22"/>
              </w:rPr>
              <w:t>Text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2975" w14:textId="3D296971" w:rsidR="00B66FFA" w:rsidRPr="007E6027" w:rsidRDefault="00B66FFA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43E5" w14:textId="45783793" w:rsidR="00B66FFA" w:rsidRPr="007E6027" w:rsidRDefault="00B66FFA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89297" w14:textId="3CAD711C" w:rsidR="00B66FFA" w:rsidRPr="007E6027" w:rsidRDefault="00B66FFA" w:rsidP="00B66F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027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2028</w:t>
            </w:r>
          </w:p>
        </w:tc>
      </w:tr>
      <w:tr w:rsidR="00B66FFA" w:rsidRPr="004C7EC8" w14:paraId="20E01D2A" w14:textId="77777777" w:rsidTr="00B66FFA">
        <w:trPr>
          <w:trHeight w:val="274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F6FF" w14:textId="77777777" w:rsidR="00B66FFA" w:rsidRPr="004C7EC8" w:rsidRDefault="00B66FFA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74292" w14:textId="77777777" w:rsidR="00B66FFA" w:rsidRPr="004C7EC8" w:rsidRDefault="00B66FFA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19BC8" w14:textId="77777777" w:rsidR="00B66FFA" w:rsidRPr="004C7EC8" w:rsidRDefault="00B66FFA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1F8BD" w14:textId="77777777" w:rsidR="00B66FFA" w:rsidRPr="004C7EC8" w:rsidRDefault="00B66FFA" w:rsidP="00B66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6FFA" w:rsidRPr="004C7EC8" w14:paraId="149229A0" w14:textId="77777777" w:rsidTr="00B66FFA">
        <w:trPr>
          <w:trHeight w:val="274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9811" w14:textId="77777777" w:rsidR="00B66FFA" w:rsidRPr="004C7EC8" w:rsidRDefault="00B66FFA" w:rsidP="00C56E69">
            <w:pPr>
              <w:rPr>
                <w:rFonts w:ascii="Times New Roman" w:hAnsi="Times New Roman"/>
                <w:sz w:val="22"/>
                <w:szCs w:val="22"/>
              </w:rPr>
            </w:pPr>
            <w:r w:rsidRPr="00597EAD">
              <w:rPr>
                <w:rFonts w:ascii="Times New Roman" w:hAnsi="Times New Roman"/>
                <w:sz w:val="22"/>
                <w:szCs w:val="22"/>
              </w:rPr>
              <w:t>Zvýšenie</w:t>
            </w:r>
            <w:r w:rsidR="00C56E69">
              <w:rPr>
                <w:rFonts w:ascii="Times New Roman" w:hAnsi="Times New Roman"/>
                <w:sz w:val="22"/>
                <w:szCs w:val="22"/>
              </w:rPr>
              <w:t xml:space="preserve"> (v %) 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5ACC7" w14:textId="05E5FF23" w:rsidR="00B66FFA" w:rsidRPr="00B44628" w:rsidRDefault="00B44628" w:rsidP="00C56E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4628"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17A5" w14:textId="32D37F70" w:rsidR="00B66FFA" w:rsidRPr="00B44628" w:rsidRDefault="00B44628" w:rsidP="00C56E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4628">
              <w:rPr>
                <w:rFonts w:ascii="Times New Roman" w:hAnsi="Times New Roman"/>
                <w:sz w:val="22"/>
                <w:szCs w:val="22"/>
              </w:rPr>
              <w:t>4,5</w:t>
            </w:r>
            <w:r w:rsidR="00C56E69" w:rsidRPr="00B44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20E79" w14:textId="212214A8" w:rsidR="00B66FFA" w:rsidRPr="00B44628" w:rsidRDefault="00B44628" w:rsidP="00C56E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4628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</w:tr>
      <w:tr w:rsidR="00B66FFA" w:rsidRPr="004C7EC8" w14:paraId="07F8327C" w14:textId="77777777" w:rsidTr="00B66FFA">
        <w:trPr>
          <w:trHeight w:val="36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3A7BB" w14:textId="77777777" w:rsidR="00B66FFA" w:rsidRPr="004C7EC8" w:rsidRDefault="00B66FFA" w:rsidP="00B66FF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Výdavky na zvýšenie úrazových dávok podľa zákona o sociálnom poistení (v tis.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4C7EC8">
              <w:rPr>
                <w:rFonts w:ascii="Times New Roman" w:hAnsi="Times New Roman"/>
                <w:sz w:val="22"/>
                <w:szCs w:val="22"/>
              </w:rPr>
              <w:t>ur)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68B26" w14:textId="423D6FB5" w:rsidR="00B66FFA" w:rsidRPr="004C7EC8" w:rsidRDefault="00C90737" w:rsidP="00B66F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1 710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FEF5" w14:textId="192A544B" w:rsidR="00B66FFA" w:rsidRPr="004C7EC8" w:rsidRDefault="00C90737" w:rsidP="00B66F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2 002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5C1CA" w14:textId="35FC86F0" w:rsidR="00B66FFA" w:rsidRDefault="00C90737" w:rsidP="00B66F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1 414</w:t>
            </w:r>
          </w:p>
        </w:tc>
      </w:tr>
    </w:tbl>
    <w:p w14:paraId="57B57931" w14:textId="77777777" w:rsidR="00B66FFA" w:rsidRDefault="00B66FFA" w:rsidP="00B66FFA">
      <w:pPr>
        <w:pStyle w:val="Zarkazkladnhotextu2"/>
        <w:spacing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</w:p>
    <w:p w14:paraId="67F724D7" w14:textId="35B88932" w:rsidR="00672A79" w:rsidRPr="00645613" w:rsidRDefault="00672A79" w:rsidP="00090695">
      <w:pPr>
        <w:tabs>
          <w:tab w:val="decimal" w:pos="-3240"/>
          <w:tab w:val="decimal" w:pos="8280"/>
        </w:tabs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645613">
        <w:rPr>
          <w:rFonts w:ascii="Times New Roman" w:hAnsi="Times New Roman"/>
          <w:b/>
          <w:szCs w:val="24"/>
        </w:rPr>
        <w:t xml:space="preserve">Na rok </w:t>
      </w:r>
      <w:r w:rsidR="00496540">
        <w:rPr>
          <w:rFonts w:ascii="Times New Roman" w:hAnsi="Times New Roman"/>
          <w:b/>
          <w:szCs w:val="24"/>
        </w:rPr>
        <w:t>2026</w:t>
      </w:r>
      <w:r w:rsidRPr="00645613">
        <w:rPr>
          <w:rFonts w:ascii="Times New Roman" w:hAnsi="Times New Roman"/>
          <w:b/>
          <w:szCs w:val="24"/>
        </w:rPr>
        <w:t xml:space="preserve"> </w:t>
      </w:r>
      <w:r w:rsidRPr="00645613">
        <w:rPr>
          <w:rFonts w:ascii="Times New Roman" w:hAnsi="Times New Roman"/>
          <w:szCs w:val="24"/>
        </w:rPr>
        <w:t>sa</w:t>
      </w:r>
      <w:r w:rsidRPr="00645613">
        <w:rPr>
          <w:rFonts w:ascii="Times New Roman" w:hAnsi="Times New Roman"/>
          <w:b/>
          <w:szCs w:val="24"/>
        </w:rPr>
        <w:t xml:space="preserve"> </w:t>
      </w:r>
      <w:r w:rsidRPr="00645613">
        <w:rPr>
          <w:rFonts w:ascii="Times New Roman" w:hAnsi="Times New Roman"/>
          <w:szCs w:val="24"/>
        </w:rPr>
        <w:t>predpokladajú</w:t>
      </w:r>
      <w:r w:rsidRPr="00645613">
        <w:rPr>
          <w:rFonts w:ascii="Times New Roman" w:hAnsi="Times New Roman"/>
          <w:b/>
          <w:szCs w:val="24"/>
        </w:rPr>
        <w:t xml:space="preserve"> výdavky základného fondu garančného poistenia</w:t>
      </w:r>
      <w:r w:rsidRPr="00645613">
        <w:rPr>
          <w:rFonts w:ascii="Times New Roman" w:hAnsi="Times New Roman"/>
          <w:szCs w:val="24"/>
        </w:rPr>
        <w:t xml:space="preserve"> vo výške </w:t>
      </w:r>
      <w:r w:rsidR="0013484C">
        <w:rPr>
          <w:rFonts w:ascii="Times New Roman" w:hAnsi="Times New Roman"/>
          <w:b/>
          <w:szCs w:val="24"/>
        </w:rPr>
        <w:t>41 </w:t>
      </w:r>
      <w:r w:rsidR="00C7167E">
        <w:rPr>
          <w:rFonts w:ascii="Times New Roman" w:hAnsi="Times New Roman"/>
          <w:b/>
          <w:szCs w:val="24"/>
        </w:rPr>
        <w:t>761</w:t>
      </w:r>
      <w:r w:rsidRPr="00645613">
        <w:rPr>
          <w:rFonts w:ascii="Times New Roman" w:hAnsi="Times New Roman"/>
          <w:b/>
          <w:szCs w:val="24"/>
        </w:rPr>
        <w:t> tis. eur,</w:t>
      </w:r>
      <w:r w:rsidRPr="00645613">
        <w:rPr>
          <w:rFonts w:ascii="Times New Roman" w:hAnsi="Times New Roman"/>
          <w:szCs w:val="24"/>
        </w:rPr>
        <w:t xml:space="preserve"> v tom výdavky na dávku garančného poistenia vo výške </w:t>
      </w:r>
      <w:r w:rsidR="00645613" w:rsidRPr="00645613">
        <w:rPr>
          <w:rFonts w:ascii="Times New Roman" w:hAnsi="Times New Roman"/>
          <w:szCs w:val="24"/>
        </w:rPr>
        <w:t>4 </w:t>
      </w:r>
      <w:r w:rsidR="0013484C">
        <w:rPr>
          <w:rFonts w:ascii="Times New Roman" w:hAnsi="Times New Roman"/>
          <w:szCs w:val="24"/>
        </w:rPr>
        <w:t>918</w:t>
      </w:r>
      <w:r w:rsidRPr="00645613">
        <w:rPr>
          <w:rFonts w:ascii="Times New Roman" w:hAnsi="Times New Roman"/>
          <w:szCs w:val="24"/>
        </w:rPr>
        <w:t xml:space="preserve"> tis. eur a úhrada príspevkov na SDS nezaplatených zamestnávateľom do základného fondu príspevkov na starobné dôchodkové sporenie vo výške </w:t>
      </w:r>
      <w:r w:rsidR="00645613" w:rsidRPr="00645613">
        <w:rPr>
          <w:rFonts w:ascii="Times New Roman" w:hAnsi="Times New Roman"/>
          <w:szCs w:val="24"/>
        </w:rPr>
        <w:t>3</w:t>
      </w:r>
      <w:r w:rsidR="0013484C">
        <w:rPr>
          <w:rFonts w:ascii="Times New Roman" w:hAnsi="Times New Roman"/>
          <w:szCs w:val="24"/>
        </w:rPr>
        <w:t>6</w:t>
      </w:r>
      <w:r w:rsidRPr="00645613">
        <w:rPr>
          <w:rFonts w:ascii="Times New Roman" w:hAnsi="Times New Roman"/>
          <w:szCs w:val="24"/>
        </w:rPr>
        <w:t> </w:t>
      </w:r>
      <w:r w:rsidR="0013484C">
        <w:rPr>
          <w:rFonts w:ascii="Times New Roman" w:hAnsi="Times New Roman"/>
          <w:szCs w:val="24"/>
        </w:rPr>
        <w:t>843</w:t>
      </w:r>
      <w:r w:rsidRPr="00645613">
        <w:rPr>
          <w:rFonts w:ascii="Times New Roman" w:hAnsi="Times New Roman"/>
          <w:szCs w:val="24"/>
        </w:rPr>
        <w:t xml:space="preserve"> tis. eur. Výdavky na dávku garančného poistenia sú, vzhľadom na ich náhodný charakter, stanovené odhadom. Čerpanie týchto prostriedkov je viazané výlučne na insolventnosť zamestnávateľov. </w:t>
      </w:r>
    </w:p>
    <w:p w14:paraId="6B7F9544" w14:textId="3E050255" w:rsidR="00496540" w:rsidRDefault="00672A79" w:rsidP="00E74190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645613">
        <w:rPr>
          <w:rFonts w:ascii="Times New Roman" w:hAnsi="Times New Roman"/>
          <w:b/>
          <w:szCs w:val="24"/>
        </w:rPr>
        <w:t>Výdavky základného fondu poistenia v nezamestnanosti</w:t>
      </w:r>
      <w:r w:rsidRPr="00645613">
        <w:rPr>
          <w:rFonts w:ascii="Times New Roman" w:hAnsi="Times New Roman"/>
          <w:szCs w:val="24"/>
        </w:rPr>
        <w:t xml:space="preserve"> sa </w:t>
      </w:r>
      <w:r w:rsidRPr="00645613">
        <w:rPr>
          <w:rFonts w:ascii="Times New Roman" w:hAnsi="Times New Roman"/>
          <w:b/>
          <w:szCs w:val="24"/>
        </w:rPr>
        <w:t>v</w:t>
      </w:r>
      <w:r w:rsidRPr="00645613">
        <w:rPr>
          <w:rFonts w:ascii="Times New Roman" w:hAnsi="Times New Roman"/>
          <w:szCs w:val="24"/>
        </w:rPr>
        <w:t xml:space="preserve"> </w:t>
      </w:r>
      <w:r w:rsidRPr="00645613">
        <w:rPr>
          <w:rFonts w:ascii="Times New Roman" w:hAnsi="Times New Roman"/>
          <w:b/>
          <w:szCs w:val="24"/>
        </w:rPr>
        <w:t>roku</w:t>
      </w:r>
      <w:r w:rsidRPr="00645613">
        <w:rPr>
          <w:rFonts w:ascii="Times New Roman" w:hAnsi="Times New Roman"/>
          <w:szCs w:val="24"/>
        </w:rPr>
        <w:t xml:space="preserve"> </w:t>
      </w:r>
      <w:r w:rsidR="00496540">
        <w:rPr>
          <w:rFonts w:ascii="Times New Roman" w:hAnsi="Times New Roman"/>
          <w:b/>
          <w:szCs w:val="24"/>
        </w:rPr>
        <w:t>2026</w:t>
      </w:r>
      <w:r w:rsidRPr="00645613">
        <w:rPr>
          <w:rFonts w:ascii="Times New Roman" w:hAnsi="Times New Roman"/>
          <w:b/>
          <w:szCs w:val="24"/>
        </w:rPr>
        <w:t xml:space="preserve"> </w:t>
      </w:r>
      <w:r w:rsidRPr="00645613">
        <w:rPr>
          <w:rFonts w:ascii="Times New Roman" w:hAnsi="Times New Roman"/>
          <w:szCs w:val="24"/>
        </w:rPr>
        <w:t xml:space="preserve">predpokladajú vo výške </w:t>
      </w:r>
      <w:r w:rsidR="00645613" w:rsidRPr="00645613">
        <w:rPr>
          <w:rFonts w:ascii="Times New Roman" w:hAnsi="Times New Roman"/>
          <w:b/>
          <w:szCs w:val="24"/>
        </w:rPr>
        <w:t>3</w:t>
      </w:r>
      <w:r w:rsidR="0013484C">
        <w:rPr>
          <w:rFonts w:ascii="Times New Roman" w:hAnsi="Times New Roman"/>
          <w:b/>
          <w:szCs w:val="24"/>
        </w:rPr>
        <w:t>45</w:t>
      </w:r>
      <w:r w:rsidR="00645613" w:rsidRPr="00645613">
        <w:rPr>
          <w:rFonts w:ascii="Times New Roman" w:hAnsi="Times New Roman"/>
          <w:b/>
          <w:szCs w:val="24"/>
        </w:rPr>
        <w:t> </w:t>
      </w:r>
      <w:r w:rsidR="0013484C">
        <w:rPr>
          <w:rFonts w:ascii="Times New Roman" w:hAnsi="Times New Roman"/>
          <w:b/>
          <w:szCs w:val="24"/>
        </w:rPr>
        <w:t>397</w:t>
      </w:r>
      <w:r w:rsidRPr="00645613">
        <w:rPr>
          <w:rFonts w:ascii="Times New Roman" w:hAnsi="Times New Roman"/>
          <w:b/>
          <w:szCs w:val="24"/>
        </w:rPr>
        <w:t xml:space="preserve"> tis. eur. </w:t>
      </w:r>
      <w:r w:rsidRPr="00645613">
        <w:rPr>
          <w:rFonts w:ascii="Times New Roman" w:hAnsi="Times New Roman"/>
          <w:szCs w:val="24"/>
        </w:rPr>
        <w:t>V uvedenej</w:t>
      </w:r>
      <w:r w:rsidRPr="00645613">
        <w:rPr>
          <w:rFonts w:ascii="Times New Roman" w:hAnsi="Times New Roman"/>
          <w:b/>
          <w:szCs w:val="24"/>
        </w:rPr>
        <w:t xml:space="preserve"> </w:t>
      </w:r>
      <w:r w:rsidRPr="00645613">
        <w:rPr>
          <w:rFonts w:ascii="Times New Roman" w:hAnsi="Times New Roman"/>
          <w:szCs w:val="24"/>
        </w:rPr>
        <w:t xml:space="preserve">sume je zapracované postúpenie finančných prostriedkov, ktoré žiada príslušný orgán na výplatu podpory v čase skrátenej práce vo výške </w:t>
      </w:r>
      <w:r w:rsidR="00C7167E">
        <w:rPr>
          <w:rFonts w:ascii="Times New Roman" w:hAnsi="Times New Roman"/>
          <w:szCs w:val="24"/>
        </w:rPr>
        <w:t>2</w:t>
      </w:r>
      <w:r w:rsidR="0013484C">
        <w:rPr>
          <w:rFonts w:ascii="Times New Roman" w:hAnsi="Times New Roman"/>
          <w:szCs w:val="24"/>
        </w:rPr>
        <w:t> 348</w:t>
      </w:r>
      <w:r w:rsidRPr="00645613">
        <w:rPr>
          <w:rFonts w:ascii="Times New Roman" w:hAnsi="Times New Roman"/>
          <w:szCs w:val="24"/>
        </w:rPr>
        <w:t> tis. eur.</w:t>
      </w:r>
      <w:r w:rsidR="00A35F7A">
        <w:rPr>
          <w:rFonts w:ascii="Times New Roman" w:hAnsi="Times New Roman"/>
          <w:szCs w:val="24"/>
        </w:rPr>
        <w:t xml:space="preserve"> </w:t>
      </w:r>
    </w:p>
    <w:p w14:paraId="4496D916" w14:textId="00F25191" w:rsidR="0013484C" w:rsidRPr="0013484C" w:rsidRDefault="00672A79" w:rsidP="00E74190">
      <w:pPr>
        <w:spacing w:before="240" w:after="120"/>
        <w:ind w:firstLine="720"/>
        <w:jc w:val="both"/>
        <w:rPr>
          <w:rFonts w:ascii="Times New Roman" w:hAnsi="Times New Roman"/>
          <w:bCs/>
          <w:szCs w:val="24"/>
        </w:rPr>
      </w:pPr>
      <w:r w:rsidRPr="00645613">
        <w:rPr>
          <w:rFonts w:ascii="Times New Roman" w:hAnsi="Times New Roman"/>
          <w:szCs w:val="24"/>
        </w:rPr>
        <w:t xml:space="preserve">Pri kvantifikácii výdavkov na dávku v nezamestnanosti bol </w:t>
      </w:r>
      <w:r w:rsidR="00C7167E">
        <w:rPr>
          <w:rFonts w:ascii="Times New Roman" w:hAnsi="Times New Roman"/>
          <w:szCs w:val="24"/>
        </w:rPr>
        <w:t>zapracovaný</w:t>
      </w:r>
      <w:r w:rsidRPr="00645613">
        <w:rPr>
          <w:rFonts w:ascii="Times New Roman" w:hAnsi="Times New Roman"/>
          <w:b/>
          <w:szCs w:val="24"/>
        </w:rPr>
        <w:t xml:space="preserve"> </w:t>
      </w:r>
      <w:r w:rsidR="0013484C">
        <w:rPr>
          <w:rFonts w:ascii="Times New Roman" w:hAnsi="Times New Roman"/>
          <w:bCs/>
          <w:szCs w:val="24"/>
        </w:rPr>
        <w:t xml:space="preserve">vplyv novely zákona o sociálnom poistení </w:t>
      </w:r>
      <w:r w:rsidR="00C7167E">
        <w:rPr>
          <w:rFonts w:ascii="Times New Roman" w:hAnsi="Times New Roman"/>
          <w:bCs/>
          <w:szCs w:val="24"/>
        </w:rPr>
        <w:t xml:space="preserve">- </w:t>
      </w:r>
      <w:r w:rsidR="00893F44">
        <w:rPr>
          <w:rFonts w:ascii="Times New Roman" w:hAnsi="Times New Roman"/>
          <w:bCs/>
          <w:szCs w:val="24"/>
        </w:rPr>
        <w:t>postupný pokles dávky v nezamestnanosti v závislosti od dĺžky obdobia poberania</w:t>
      </w:r>
      <w:r w:rsidR="00AE6A10">
        <w:rPr>
          <w:rFonts w:ascii="Times New Roman" w:hAnsi="Times New Roman"/>
          <w:bCs/>
          <w:szCs w:val="24"/>
        </w:rPr>
        <w:t>.</w:t>
      </w:r>
      <w:r w:rsidR="00893F44">
        <w:rPr>
          <w:rFonts w:ascii="Times New Roman" w:hAnsi="Times New Roman"/>
          <w:bCs/>
          <w:szCs w:val="24"/>
        </w:rPr>
        <w:t xml:space="preserve"> </w:t>
      </w:r>
      <w:r w:rsidR="00AE6A10">
        <w:rPr>
          <w:rFonts w:ascii="Times New Roman" w:hAnsi="Times New Roman"/>
          <w:bCs/>
          <w:szCs w:val="24"/>
        </w:rPr>
        <w:t xml:space="preserve"> Úroveň dávky v nezamestnanosti sa znižuje zo súčasných 50 % na 40 % vymeriavacieho základu pre štvrtý</w:t>
      </w:r>
      <w:r w:rsidR="00893F44">
        <w:rPr>
          <w:rFonts w:ascii="Times New Roman" w:hAnsi="Times New Roman"/>
          <w:bCs/>
          <w:szCs w:val="24"/>
        </w:rPr>
        <w:t xml:space="preserve"> mesiac, 30 % pre piaty mesiac a 20 % pre šiesty mesiac poberania </w:t>
      </w:r>
      <w:r w:rsidR="0013484C">
        <w:rPr>
          <w:rFonts w:ascii="Times New Roman" w:hAnsi="Times New Roman"/>
          <w:bCs/>
          <w:szCs w:val="24"/>
        </w:rPr>
        <w:t>dávky v nezamestnanosti.</w:t>
      </w:r>
      <w:r w:rsidR="00893F44">
        <w:rPr>
          <w:rFonts w:ascii="Times New Roman" w:hAnsi="Times New Roman"/>
          <w:bCs/>
          <w:szCs w:val="24"/>
        </w:rPr>
        <w:t xml:space="preserve"> Prvé tri mesiace poberania zostávajú vo výške 50 % vymeriavacieho základu.</w:t>
      </w:r>
    </w:p>
    <w:p w14:paraId="46FDB36C" w14:textId="77777777" w:rsidR="00AF1437" w:rsidRDefault="00AF1437" w:rsidP="00AF1437">
      <w:pPr>
        <w:spacing w:before="240"/>
        <w:ind w:firstLine="709"/>
        <w:jc w:val="both"/>
        <w:rPr>
          <w:rFonts w:ascii="Times New Roman" w:hAnsi="Times New Roman"/>
          <w:b/>
          <w:szCs w:val="24"/>
        </w:rPr>
      </w:pPr>
    </w:p>
    <w:p w14:paraId="0E200B5A" w14:textId="4EF5CE71" w:rsidR="00AF1437" w:rsidRDefault="00AF1437" w:rsidP="00AF1437">
      <w:pPr>
        <w:spacing w:before="240"/>
        <w:ind w:firstLine="709"/>
        <w:jc w:val="both"/>
        <w:rPr>
          <w:rFonts w:ascii="Times New Roman" w:hAnsi="Times New Roman"/>
          <w:szCs w:val="24"/>
        </w:rPr>
      </w:pPr>
      <w:r w:rsidRPr="00AF1437">
        <w:rPr>
          <w:rFonts w:ascii="Times New Roman" w:hAnsi="Times New Roman"/>
          <w:b/>
          <w:szCs w:val="24"/>
        </w:rPr>
        <w:lastRenderedPageBreak/>
        <w:t>V rokoch 2026 až 2028</w:t>
      </w:r>
      <w:r w:rsidRPr="00AF1437">
        <w:rPr>
          <w:rFonts w:ascii="Times New Roman" w:hAnsi="Times New Roman"/>
          <w:szCs w:val="24"/>
        </w:rPr>
        <w:t xml:space="preserve"> sa </w:t>
      </w:r>
      <w:r w:rsidRPr="00AF1437">
        <w:rPr>
          <w:rFonts w:ascii="Times New Roman" w:hAnsi="Times New Roman"/>
          <w:b/>
          <w:szCs w:val="24"/>
        </w:rPr>
        <w:t xml:space="preserve">výdavky (náklady) správneho fondu </w:t>
      </w:r>
      <w:r w:rsidRPr="00AF1437">
        <w:rPr>
          <w:rFonts w:ascii="Times New Roman" w:hAnsi="Times New Roman"/>
          <w:szCs w:val="24"/>
        </w:rPr>
        <w:t>predpokladajú:</w:t>
      </w:r>
    </w:p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60"/>
        <w:gridCol w:w="1960"/>
        <w:gridCol w:w="1656"/>
      </w:tblGrid>
      <w:tr w:rsidR="002C7E81" w:rsidRPr="002C7E81" w14:paraId="5669DAA5" w14:textId="77777777" w:rsidTr="006B28D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1A45" w14:textId="77777777" w:rsidR="002C7E81" w:rsidRPr="002C7E81" w:rsidRDefault="002C7E81" w:rsidP="002C7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8588" w14:textId="77777777" w:rsidR="002C7E81" w:rsidRPr="002C7E81" w:rsidRDefault="002C7E81" w:rsidP="002C7E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A2A6" w14:textId="77777777" w:rsidR="002C7E81" w:rsidRPr="002C7E81" w:rsidRDefault="002C7E81" w:rsidP="002C7E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97E3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v tis.  eur</w:t>
            </w:r>
          </w:p>
        </w:tc>
      </w:tr>
      <w:tr w:rsidR="002C7E81" w:rsidRPr="002C7E81" w14:paraId="5C895894" w14:textId="77777777" w:rsidTr="006B28D6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DD75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B276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2026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345B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Rozpočtový výhľad na </w:t>
            </w:r>
          </w:p>
        </w:tc>
      </w:tr>
      <w:tr w:rsidR="002C7E81" w:rsidRPr="002C7E81" w14:paraId="49B08F52" w14:textId="77777777" w:rsidTr="006B28D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1796" w14:textId="77777777" w:rsidR="002C7E81" w:rsidRPr="002C7E81" w:rsidRDefault="002C7E81" w:rsidP="002C7E8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8598" w14:textId="77777777" w:rsidR="002C7E81" w:rsidRPr="002C7E81" w:rsidRDefault="002C7E81" w:rsidP="002C7E8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0996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9284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>rok 2028</w:t>
            </w:r>
          </w:p>
        </w:tc>
      </w:tr>
      <w:tr w:rsidR="002C7E81" w:rsidRPr="002C7E81" w14:paraId="2B42C37E" w14:textId="77777777" w:rsidTr="006B28D6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0D91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1FD0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2185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8C35" w14:textId="77777777" w:rsidR="002C7E81" w:rsidRPr="002C7E81" w:rsidRDefault="002C7E81" w:rsidP="002C7E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2C7E81" w:rsidRPr="002C7E81" w14:paraId="43BD0281" w14:textId="77777777" w:rsidTr="006B28D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528487" w14:textId="77777777" w:rsidR="002C7E81" w:rsidRPr="002C7E81" w:rsidRDefault="002C7E81" w:rsidP="002C7E81">
            <w:pPr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 xml:space="preserve"> Bežné výdavky (náklady) v tom: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7B2FB05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270 782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854CFB3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266 349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8B0DA8C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275 031</w:t>
            </w:r>
          </w:p>
        </w:tc>
      </w:tr>
      <w:tr w:rsidR="002C7E81" w:rsidRPr="002C7E81" w14:paraId="0E91F9F6" w14:textId="77777777" w:rsidTr="006B28D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5D9F1" w14:textId="77777777" w:rsidR="002C7E81" w:rsidRPr="002C7E81" w:rsidRDefault="002C7E81" w:rsidP="002C7E81">
            <w:pPr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 xml:space="preserve"> - mzdy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56CC89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126 850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F1A9BF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129 001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09AF2D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136 095</w:t>
            </w:r>
          </w:p>
        </w:tc>
      </w:tr>
      <w:tr w:rsidR="002C7E81" w:rsidRPr="002C7E81" w14:paraId="67A6DBE5" w14:textId="77777777" w:rsidTr="006B28D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F1715" w14:textId="77777777" w:rsidR="002C7E81" w:rsidRPr="002C7E81" w:rsidRDefault="002C7E81" w:rsidP="002C7E81">
            <w:pPr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 xml:space="preserve"> - poistné a príspevok do poisťovní.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95310D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50 106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879EC0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50 956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E20A02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53 758</w:t>
            </w:r>
          </w:p>
        </w:tc>
      </w:tr>
      <w:tr w:rsidR="002C7E81" w:rsidRPr="002C7E81" w14:paraId="68B14CD8" w14:textId="77777777" w:rsidTr="006B28D6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ED2FC" w14:textId="77777777" w:rsidR="002C7E81" w:rsidRPr="002C7E81" w:rsidRDefault="002C7E81" w:rsidP="002C7E81">
            <w:pPr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 xml:space="preserve"> - tovary a služby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600CB82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87 516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78C42C0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79 992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AE9716D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78 768</w:t>
            </w:r>
          </w:p>
        </w:tc>
      </w:tr>
      <w:tr w:rsidR="002C7E81" w:rsidRPr="002C7E81" w14:paraId="4F3CF339" w14:textId="77777777" w:rsidTr="006B28D6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EA2F" w14:textId="77777777" w:rsidR="002C7E81" w:rsidRPr="002C7E81" w:rsidRDefault="002C7E81" w:rsidP="002C7E81">
            <w:pPr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 xml:space="preserve"> - bežné transfery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E069D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6 310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5A21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6 400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5417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sz w:val="22"/>
                <w:szCs w:val="22"/>
              </w:rPr>
              <w:t>6 410</w:t>
            </w:r>
          </w:p>
        </w:tc>
      </w:tr>
      <w:tr w:rsidR="002C7E81" w:rsidRPr="002C7E81" w14:paraId="3DDF6FA1" w14:textId="77777777" w:rsidTr="006B28D6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B369" w14:textId="77777777" w:rsidR="002C7E81" w:rsidRPr="002C7E81" w:rsidRDefault="002C7E81" w:rsidP="002C7E81">
            <w:pPr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 xml:space="preserve"> Kapitálové výdavky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BDF4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16 523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0864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16 453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0BA7E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15 830</w:t>
            </w:r>
          </w:p>
        </w:tc>
      </w:tr>
      <w:tr w:rsidR="002C7E81" w:rsidRPr="002C7E81" w14:paraId="2BC79A3F" w14:textId="77777777" w:rsidTr="006B28D6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5711" w14:textId="77777777" w:rsidR="002C7E81" w:rsidRPr="002C7E81" w:rsidRDefault="002C7E81" w:rsidP="002C7E81">
            <w:pPr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 xml:space="preserve"> Výdavky z transakcií s finančnými aktívami a finančnými pasívami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1060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0D9E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71899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</w:tr>
      <w:tr w:rsidR="002C7E81" w:rsidRPr="002C7E81" w14:paraId="33AAA3DD" w14:textId="77777777" w:rsidTr="006B28D6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35AF" w14:textId="77777777" w:rsidR="002C7E81" w:rsidRPr="002C7E81" w:rsidRDefault="002C7E81" w:rsidP="002C7E8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>Spolu výdavky (náklady) správneho fondu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4966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>287 330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AB31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>282 827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482D" w14:textId="77777777" w:rsidR="002C7E81" w:rsidRPr="002C7E81" w:rsidRDefault="002C7E81" w:rsidP="002C7E8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C7E81">
              <w:rPr>
                <w:rFonts w:ascii="Times New Roman" w:hAnsi="Times New Roman"/>
                <w:b/>
                <w:bCs/>
                <w:sz w:val="22"/>
                <w:szCs w:val="22"/>
              </w:rPr>
              <w:t>290 886</w:t>
            </w:r>
          </w:p>
        </w:tc>
      </w:tr>
    </w:tbl>
    <w:p w14:paraId="182A2776" w14:textId="77777777" w:rsidR="002C7E81" w:rsidRDefault="002C7E81" w:rsidP="002C7E81">
      <w:pPr>
        <w:spacing w:before="240"/>
        <w:jc w:val="both"/>
        <w:rPr>
          <w:rFonts w:ascii="Times New Roman" w:hAnsi="Times New Roman"/>
          <w:szCs w:val="24"/>
        </w:rPr>
      </w:pPr>
    </w:p>
    <w:p w14:paraId="30D1AD2E" w14:textId="77777777" w:rsidR="00AF1437" w:rsidRPr="00AF1437" w:rsidRDefault="00AF1437" w:rsidP="002C7E81">
      <w:pPr>
        <w:tabs>
          <w:tab w:val="right" w:pos="8931"/>
        </w:tabs>
        <w:spacing w:after="120"/>
        <w:ind w:firstLine="720"/>
        <w:jc w:val="both"/>
        <w:rPr>
          <w:rFonts w:ascii="Times New Roman" w:hAnsi="Times New Roman"/>
        </w:rPr>
      </w:pPr>
      <w:r w:rsidRPr="00AF1437">
        <w:rPr>
          <w:rFonts w:ascii="Times New Roman" w:hAnsi="Times New Roman"/>
        </w:rPr>
        <w:t>V návrhu rozpočtu na rok 2026 sa na celkových výdavkoch (nákladoch) správneho fondu najväčšou mierou podieľajú prostriedky na mzdy v objeme 44,15 %. S tým súvisiace plnenia (poistné a príspevok do poisťovní) predstavujú 17,44 %. Ostatné prevádzkové náklady tvoria 32,66 % podiel. Zostávajúcich 5,75 % je určených na  kapitálové výdavky.</w:t>
      </w:r>
    </w:p>
    <w:p w14:paraId="2FF9459F" w14:textId="77777777" w:rsidR="00D9777B" w:rsidRPr="00DD5DEF" w:rsidRDefault="00D9777B" w:rsidP="00D9777B">
      <w:pPr>
        <w:tabs>
          <w:tab w:val="right" w:pos="8931"/>
        </w:tabs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DD5DEF">
        <w:rPr>
          <w:rFonts w:ascii="Times New Roman" w:hAnsi="Times New Roman"/>
          <w:szCs w:val="24"/>
        </w:rPr>
        <w:t>V oblasti ľudských zdrojov rozpočtované finančné prostriedky určujú nasledujúci vývoj: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1417"/>
        <w:gridCol w:w="993"/>
        <w:gridCol w:w="992"/>
        <w:gridCol w:w="992"/>
      </w:tblGrid>
      <w:tr w:rsidR="00D9777B" w:rsidRPr="00DD5DEF" w14:paraId="19E27386" w14:textId="77777777" w:rsidTr="008B67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B5FD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5DEF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5A7E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5DEF">
              <w:rPr>
                <w:rFonts w:ascii="Times New Roman" w:hAnsi="Times New Roman"/>
                <w:b/>
                <w:bCs/>
                <w:sz w:val="22"/>
                <w:szCs w:val="22"/>
              </w:rPr>
              <w:t>Merná jednotka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545D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5DEF">
              <w:rPr>
                <w:rFonts w:ascii="Times New Roman" w:hAnsi="Times New Roman"/>
                <w:b/>
                <w:bCs/>
                <w:sz w:val="22"/>
                <w:szCs w:val="22"/>
              </w:rPr>
              <w:t>Očakávaná skutočnosť k 31.12 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3D4A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5DEF">
              <w:rPr>
                <w:rFonts w:ascii="Times New Roman" w:hAnsi="Times New Roman"/>
                <w:b/>
                <w:bCs/>
                <w:sz w:val="22"/>
                <w:szCs w:val="22"/>
              </w:rPr>
              <w:t>Rok 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20FD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5DEF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7356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5DEF">
              <w:rPr>
                <w:rFonts w:ascii="Times New Roman" w:hAnsi="Times New Roman"/>
                <w:b/>
                <w:bCs/>
                <w:sz w:val="22"/>
                <w:szCs w:val="22"/>
              </w:rPr>
              <w:t>Rok 2028</w:t>
            </w:r>
          </w:p>
        </w:tc>
      </w:tr>
      <w:tr w:rsidR="00D9777B" w:rsidRPr="00DD5DEF" w14:paraId="58421C29" w14:textId="77777777" w:rsidTr="008B677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A7E2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5887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FB33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AA4C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E61F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9777B" w:rsidRPr="00DD5DEF" w14:paraId="2CF6BAD2" w14:textId="77777777" w:rsidTr="008B6778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361F" w14:textId="77777777" w:rsidR="00D9777B" w:rsidRPr="00DD5DEF" w:rsidRDefault="00D9777B" w:rsidP="008B6778">
            <w:pPr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Priemerný evidenčný počet zamestnancov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2C50" w14:textId="77777777" w:rsidR="00D9777B" w:rsidRPr="00DD5DEF" w:rsidRDefault="00D9777B" w:rsidP="008B67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osoby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C604" w14:textId="77777777" w:rsidR="00D9777B" w:rsidRPr="00DD5DEF" w:rsidRDefault="00D9777B" w:rsidP="008B677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5 557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4FD6" w14:textId="77777777" w:rsidR="00D9777B" w:rsidRPr="00DD5DEF" w:rsidRDefault="00D9777B" w:rsidP="008B677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5 4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D5DE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8A0D" w14:textId="77777777" w:rsidR="00D9777B" w:rsidRPr="00DD5DEF" w:rsidRDefault="00D9777B" w:rsidP="008B677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5 332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EF3D" w14:textId="77777777" w:rsidR="00D9777B" w:rsidRPr="00DD5DEF" w:rsidRDefault="00D9777B" w:rsidP="008B677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D5DEF">
              <w:rPr>
                <w:rFonts w:ascii="Times New Roman" w:hAnsi="Times New Roman"/>
                <w:sz w:val="22"/>
                <w:szCs w:val="22"/>
              </w:rPr>
              <w:t>5 332</w:t>
            </w:r>
          </w:p>
        </w:tc>
      </w:tr>
    </w:tbl>
    <w:p w14:paraId="1069E4F5" w14:textId="77777777" w:rsidR="00D9777B" w:rsidRPr="00DD5DEF" w:rsidRDefault="00D9777B" w:rsidP="00D9777B">
      <w:pPr>
        <w:tabs>
          <w:tab w:val="right" w:pos="8931"/>
        </w:tabs>
        <w:spacing w:after="120"/>
        <w:jc w:val="both"/>
        <w:rPr>
          <w:rFonts w:ascii="Times New Roman" w:hAnsi="Times New Roman"/>
          <w:szCs w:val="24"/>
        </w:rPr>
      </w:pPr>
    </w:p>
    <w:p w14:paraId="4981363D" w14:textId="77777777" w:rsidR="00D9777B" w:rsidRPr="00DD5DEF" w:rsidRDefault="00D9777B" w:rsidP="00D9777B">
      <w:pPr>
        <w:tabs>
          <w:tab w:val="right" w:pos="8931"/>
        </w:tabs>
        <w:spacing w:before="120" w:after="120"/>
        <w:ind w:firstLine="720"/>
        <w:jc w:val="both"/>
        <w:rPr>
          <w:rFonts w:ascii="Times New Roman" w:hAnsi="Times New Roman"/>
        </w:rPr>
      </w:pPr>
      <w:r w:rsidRPr="00DD5DEF">
        <w:rPr>
          <w:rFonts w:ascii="Times New Roman" w:hAnsi="Times New Roman"/>
        </w:rPr>
        <w:t>Zníženie počtu  zamestnancov v roku 2026 z 5 557 na 5 4</w:t>
      </w:r>
      <w:r>
        <w:rPr>
          <w:rFonts w:ascii="Times New Roman" w:hAnsi="Times New Roman"/>
        </w:rPr>
        <w:t>0</w:t>
      </w:r>
      <w:r w:rsidRPr="00DD5DEF">
        <w:rPr>
          <w:rFonts w:ascii="Times New Roman" w:hAnsi="Times New Roman"/>
        </w:rPr>
        <w:t>7 (zníženie o 1</w:t>
      </w:r>
      <w:r>
        <w:rPr>
          <w:rFonts w:ascii="Times New Roman" w:hAnsi="Times New Roman"/>
        </w:rPr>
        <w:t>5</w:t>
      </w:r>
      <w:r w:rsidRPr="00DD5DEF">
        <w:rPr>
          <w:rFonts w:ascii="Times New Roman" w:hAnsi="Times New Roman"/>
        </w:rPr>
        <w:t xml:space="preserve">0 zamestnancov), v roku 2027 na 5 332 zamestnancov (zníženie o </w:t>
      </w:r>
      <w:r>
        <w:rPr>
          <w:rFonts w:ascii="Times New Roman" w:hAnsi="Times New Roman"/>
        </w:rPr>
        <w:t>7</w:t>
      </w:r>
      <w:r w:rsidRPr="00DD5DEF">
        <w:rPr>
          <w:rFonts w:ascii="Times New Roman" w:hAnsi="Times New Roman"/>
        </w:rPr>
        <w:t>5  zamestnancov) súvisí s ukončením stabilizačného opatrenia v strategickom personálnom plánovaní Sociálnej poisťovne v rokoch 2023 až 2026</w:t>
      </w:r>
      <w:r>
        <w:rPr>
          <w:rFonts w:ascii="Times New Roman" w:hAnsi="Times New Roman"/>
        </w:rPr>
        <w:t xml:space="preserve"> a konsolidačného opatrenia</w:t>
      </w:r>
      <w:r w:rsidRPr="00DD5DEF">
        <w:rPr>
          <w:rFonts w:ascii="Times New Roman" w:hAnsi="Times New Roman"/>
        </w:rPr>
        <w:t>.</w:t>
      </w:r>
    </w:p>
    <w:p w14:paraId="3E33296D" w14:textId="77777777" w:rsidR="00AF1437" w:rsidRDefault="00AF1437" w:rsidP="00AF1437">
      <w:pPr>
        <w:tabs>
          <w:tab w:val="right" w:pos="8931"/>
        </w:tabs>
        <w:spacing w:before="360" w:after="120"/>
        <w:ind w:firstLine="720"/>
        <w:jc w:val="both"/>
        <w:rPr>
          <w:rFonts w:ascii="Times New Roman" w:hAnsi="Times New Roman"/>
        </w:rPr>
      </w:pPr>
      <w:r w:rsidRPr="00AF1437">
        <w:rPr>
          <w:rFonts w:ascii="Times New Roman" w:hAnsi="Times New Roman"/>
        </w:rPr>
        <w:t>Kvantifikácia návrhu rozpočtu kategórie tovarov a služieb na jednotlivé roky podľa rozpočtových položiek je uvedená v nasledujúcej tabuľke:</w:t>
      </w:r>
    </w:p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60"/>
        <w:gridCol w:w="1960"/>
        <w:gridCol w:w="1656"/>
      </w:tblGrid>
      <w:tr w:rsidR="00793263" w:rsidRPr="00793263" w14:paraId="0014770D" w14:textId="77777777" w:rsidTr="0079326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C42E" w14:textId="77777777" w:rsidR="00793263" w:rsidRPr="00793263" w:rsidRDefault="00793263" w:rsidP="00793263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F506" w14:textId="77777777" w:rsidR="00793263" w:rsidRPr="00793263" w:rsidRDefault="00793263" w:rsidP="007932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B8A0" w14:textId="77777777" w:rsidR="00793263" w:rsidRPr="00793263" w:rsidRDefault="00793263" w:rsidP="007932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BCF9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793263" w:rsidRPr="00793263" w14:paraId="407508E6" w14:textId="77777777" w:rsidTr="00793263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27D1FD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Ukazovateľ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AD75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2026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1AC1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Rozpočtový výhľad na </w:t>
            </w:r>
          </w:p>
        </w:tc>
      </w:tr>
      <w:tr w:rsidR="00793263" w:rsidRPr="00793263" w14:paraId="7FF3D0A6" w14:textId="77777777" w:rsidTr="00793263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2E87" w14:textId="77777777" w:rsidR="00793263" w:rsidRPr="00793263" w:rsidRDefault="00793263" w:rsidP="0079326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C1D" w14:textId="77777777" w:rsidR="00793263" w:rsidRPr="00793263" w:rsidRDefault="00793263" w:rsidP="0079326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3408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D52B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>rok 2028</w:t>
            </w:r>
          </w:p>
        </w:tc>
      </w:tr>
      <w:tr w:rsidR="00793263" w:rsidRPr="00793263" w14:paraId="1C4B8113" w14:textId="77777777" w:rsidTr="00793263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5E39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9C88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CF7D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F68D" w14:textId="77777777" w:rsidR="00793263" w:rsidRPr="00793263" w:rsidRDefault="00793263" w:rsidP="007932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93263" w:rsidRPr="00793263" w14:paraId="0958701A" w14:textId="77777777" w:rsidTr="007932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38781" w14:textId="77777777" w:rsidR="00793263" w:rsidRPr="00793263" w:rsidRDefault="00793263" w:rsidP="0079326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>Tovary a služby v tom 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20BEB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>87 516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02F15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>79 992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B0416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3263">
              <w:rPr>
                <w:rFonts w:ascii="Times New Roman" w:hAnsi="Times New Roman"/>
                <w:b/>
                <w:bCs/>
                <w:sz w:val="22"/>
                <w:szCs w:val="22"/>
              </w:rPr>
              <w:t>78 768</w:t>
            </w:r>
          </w:p>
        </w:tc>
      </w:tr>
      <w:tr w:rsidR="00793263" w:rsidRPr="00793263" w14:paraId="32A1384F" w14:textId="77777777" w:rsidTr="00793263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13A16" w14:textId="77777777" w:rsidR="00793263" w:rsidRPr="00793263" w:rsidRDefault="00793263" w:rsidP="00793263">
            <w:pPr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 xml:space="preserve"> Cestovné náhrady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E3104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B23D1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A0011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793263" w:rsidRPr="00793263" w14:paraId="090553AC" w14:textId="77777777" w:rsidTr="00793263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A0803" w14:textId="77777777" w:rsidR="00793263" w:rsidRPr="00793263" w:rsidRDefault="00793263" w:rsidP="00793263">
            <w:pPr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 xml:space="preserve"> Energia, voda a komunikácie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248B6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45 002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C3E11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42 298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5E4BF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42 628</w:t>
            </w:r>
          </w:p>
        </w:tc>
      </w:tr>
      <w:tr w:rsidR="00793263" w:rsidRPr="00793263" w14:paraId="25C185A8" w14:textId="77777777" w:rsidTr="00793263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7B09F" w14:textId="77777777" w:rsidR="00793263" w:rsidRPr="00793263" w:rsidRDefault="00793263" w:rsidP="00793263">
            <w:pPr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 xml:space="preserve"> Materiál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F9403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3 556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DFF2C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3 446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30AC9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3 206</w:t>
            </w:r>
          </w:p>
        </w:tc>
      </w:tr>
      <w:tr w:rsidR="00793263" w:rsidRPr="00793263" w14:paraId="13CDEC28" w14:textId="77777777" w:rsidTr="00793263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314032" w14:textId="77777777" w:rsidR="00793263" w:rsidRPr="00793263" w:rsidRDefault="00793263" w:rsidP="00793263">
            <w:pPr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 xml:space="preserve"> Dopravné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8808D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449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87884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449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42AE1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457</w:t>
            </w:r>
          </w:p>
        </w:tc>
      </w:tr>
      <w:tr w:rsidR="00793263" w:rsidRPr="00793263" w14:paraId="068815B5" w14:textId="77777777" w:rsidTr="00793263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97C18" w14:textId="77777777" w:rsidR="00793263" w:rsidRPr="00793263" w:rsidRDefault="00793263" w:rsidP="00793263">
            <w:pPr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 xml:space="preserve"> Rutinná a štandardná údržba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A7C15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2 120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729E5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2 010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ED7C3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2 010</w:t>
            </w:r>
          </w:p>
        </w:tc>
      </w:tr>
      <w:tr w:rsidR="00793263" w:rsidRPr="00793263" w14:paraId="1B8B1C7D" w14:textId="77777777" w:rsidTr="00793263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572BC" w14:textId="77777777" w:rsidR="00793263" w:rsidRPr="00793263" w:rsidRDefault="00793263" w:rsidP="00793263">
            <w:pPr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 xml:space="preserve"> Nájomné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F4FB2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3 330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11862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3 330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154B2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3 330</w:t>
            </w:r>
          </w:p>
        </w:tc>
      </w:tr>
      <w:tr w:rsidR="00793263" w:rsidRPr="00793263" w14:paraId="3D5823FA" w14:textId="77777777" w:rsidTr="00793263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A97F" w14:textId="77777777" w:rsidR="00793263" w:rsidRPr="00793263" w:rsidRDefault="00793263" w:rsidP="00793263">
            <w:pPr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 xml:space="preserve"> Služby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4EEB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32 839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68C9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28 259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B192" w14:textId="77777777" w:rsidR="00793263" w:rsidRPr="00793263" w:rsidRDefault="00793263" w:rsidP="007932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93263">
              <w:rPr>
                <w:rFonts w:ascii="Times New Roman" w:hAnsi="Times New Roman"/>
                <w:sz w:val="22"/>
                <w:szCs w:val="22"/>
              </w:rPr>
              <w:t>26 938</w:t>
            </w:r>
          </w:p>
        </w:tc>
      </w:tr>
    </w:tbl>
    <w:p w14:paraId="2CA67994" w14:textId="2EA908D8" w:rsidR="00AF1437" w:rsidRPr="00793263" w:rsidRDefault="00AF1437" w:rsidP="00793263">
      <w:pPr>
        <w:pStyle w:val="Odsekzoznamu"/>
        <w:tabs>
          <w:tab w:val="left" w:pos="9356"/>
        </w:tabs>
        <w:spacing w:before="240" w:after="120"/>
        <w:ind w:left="0" w:firstLine="709"/>
        <w:contextualSpacing w:val="0"/>
        <w:jc w:val="both"/>
        <w:rPr>
          <w:rFonts w:ascii="Times New Roman" w:hAnsi="Times New Roman"/>
        </w:rPr>
      </w:pPr>
      <w:r w:rsidRPr="00AF1437">
        <w:rPr>
          <w:rFonts w:ascii="Times New Roman" w:hAnsi="Times New Roman"/>
        </w:rPr>
        <w:t xml:space="preserve">Návrh rozpočtu na tovary a služby v roku 2026 predstavuje 30,46 % z celkových predpokladaných výdavkov správneho fondu na tento rok. Ich medziročný pokles je pôsobený nevyhnutnosťou zapracovania konsolidačných opatrení na celkový správny fond. </w:t>
      </w:r>
    </w:p>
    <w:p w14:paraId="620668C1" w14:textId="4BCDAE59" w:rsidR="00AF1437" w:rsidRDefault="00AF1437" w:rsidP="00AF1437">
      <w:pPr>
        <w:pStyle w:val="Odsekzoznamu"/>
        <w:tabs>
          <w:tab w:val="left" w:pos="9356"/>
        </w:tabs>
        <w:spacing w:before="240" w:after="120"/>
        <w:ind w:left="0" w:firstLine="709"/>
        <w:contextualSpacing w:val="0"/>
        <w:jc w:val="both"/>
        <w:rPr>
          <w:rFonts w:ascii="Times New Roman" w:hAnsi="Times New Roman"/>
        </w:rPr>
      </w:pPr>
      <w:r w:rsidRPr="00AF1437">
        <w:rPr>
          <w:rFonts w:ascii="Times New Roman" w:hAnsi="Times New Roman"/>
        </w:rPr>
        <w:lastRenderedPageBreak/>
        <w:t>Návrh rozpočtu kapitálových výdavkov na roky 2026 až 2028:</w:t>
      </w:r>
    </w:p>
    <w:tbl>
      <w:tblPr>
        <w:tblW w:w="9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60"/>
        <w:gridCol w:w="1542"/>
        <w:gridCol w:w="1656"/>
        <w:gridCol w:w="6"/>
      </w:tblGrid>
      <w:tr w:rsidR="002B594A" w:rsidRPr="002B594A" w14:paraId="1616DF1C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82E72" w14:textId="77777777" w:rsidR="002B594A" w:rsidRPr="002B594A" w:rsidRDefault="002B594A" w:rsidP="002B594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ABA0" w14:textId="77777777" w:rsidR="002B594A" w:rsidRPr="002B594A" w:rsidRDefault="002B594A" w:rsidP="002B59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D54B" w14:textId="77777777" w:rsidR="002B594A" w:rsidRPr="002B594A" w:rsidRDefault="002B594A" w:rsidP="002B59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1729E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 xml:space="preserve">      v tis. eur</w:t>
            </w:r>
          </w:p>
        </w:tc>
      </w:tr>
      <w:tr w:rsidR="002B594A" w:rsidRPr="002B594A" w14:paraId="1E333534" w14:textId="77777777" w:rsidTr="002B594A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E222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E53B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2026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3AC8B9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Rozpočtový výhľad na </w:t>
            </w:r>
          </w:p>
        </w:tc>
      </w:tr>
      <w:tr w:rsidR="002B594A" w:rsidRPr="002B594A" w14:paraId="11260C6A" w14:textId="77777777" w:rsidTr="002B594A">
        <w:trPr>
          <w:gridAfter w:val="1"/>
          <w:wAfter w:w="6" w:type="dxa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D71F" w14:textId="77777777" w:rsidR="002B594A" w:rsidRPr="002B594A" w:rsidRDefault="002B594A" w:rsidP="002B594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81D4" w14:textId="77777777" w:rsidR="002B594A" w:rsidRPr="002B594A" w:rsidRDefault="002B594A" w:rsidP="002B594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5305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rok 2027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B8B6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rok 2028</w:t>
            </w:r>
          </w:p>
        </w:tc>
      </w:tr>
      <w:tr w:rsidR="002B594A" w:rsidRPr="002B594A" w14:paraId="6EBA9C0F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005E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0964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02E4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BC31" w14:textId="77777777" w:rsidR="002B594A" w:rsidRPr="002B594A" w:rsidRDefault="002B594A" w:rsidP="002B5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B594A" w:rsidRPr="002B594A" w14:paraId="2FECD1D9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D9BF" w14:textId="77777777" w:rsidR="002B594A" w:rsidRPr="002B594A" w:rsidRDefault="002B594A" w:rsidP="002B594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Kapitálové výdavky v tom 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3640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16 523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0221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16 453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6D66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sz w:val="22"/>
                <w:szCs w:val="22"/>
              </w:rPr>
              <w:t>15 830</w:t>
            </w:r>
          </w:p>
        </w:tc>
      </w:tr>
      <w:tr w:rsidR="002B594A" w:rsidRPr="002B594A" w14:paraId="4D32A798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3B4BF9" w14:textId="77777777" w:rsidR="002B594A" w:rsidRPr="002B594A" w:rsidRDefault="002B594A" w:rsidP="002B594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Nákup pozemkov a nehmotných aktív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E56A4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E9A7C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1 550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956C4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1 400</w:t>
            </w:r>
          </w:p>
        </w:tc>
      </w:tr>
      <w:tr w:rsidR="002B594A" w:rsidRPr="002B594A" w14:paraId="627470EE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545EF1" w14:textId="77777777" w:rsidR="002B594A" w:rsidRPr="002B594A" w:rsidRDefault="002B594A" w:rsidP="002B594A">
            <w:pPr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Pozemkov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B0C88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 xml:space="preserve">      -  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C941A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 xml:space="preserve">       -  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A62FE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 xml:space="preserve">      -   </w:t>
            </w:r>
          </w:p>
        </w:tc>
      </w:tr>
      <w:tr w:rsidR="002B594A" w:rsidRPr="002B594A" w14:paraId="56B2A7CD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3F51" w14:textId="77777777" w:rsidR="002B594A" w:rsidRPr="002B594A" w:rsidRDefault="002B594A" w:rsidP="002B594A">
            <w:pPr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Softvéru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CCA3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4442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1 550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76EA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1 400</w:t>
            </w:r>
          </w:p>
        </w:tc>
      </w:tr>
      <w:tr w:rsidR="002B594A" w:rsidRPr="002B594A" w14:paraId="50B40028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EDC578A" w14:textId="77777777" w:rsidR="002B594A" w:rsidRPr="002B594A" w:rsidRDefault="002B594A" w:rsidP="002B594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Nákup strojov, prístrojov, zariadení, techniky a náradia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70A79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3 223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F9866B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1 903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69521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1 930</w:t>
            </w:r>
          </w:p>
        </w:tc>
      </w:tr>
      <w:tr w:rsidR="002B594A" w:rsidRPr="002B594A" w14:paraId="79016A22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476F153" w14:textId="77777777" w:rsidR="002B594A" w:rsidRPr="002B594A" w:rsidRDefault="002B594A" w:rsidP="002B594A">
            <w:pPr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Interiérového vybavenia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4BB1F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 xml:space="preserve">     -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B500D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B00FA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</w:tr>
      <w:tr w:rsidR="002B594A" w:rsidRPr="002B594A" w14:paraId="486BC14C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51892C" w14:textId="77777777" w:rsidR="002B594A" w:rsidRPr="002B594A" w:rsidRDefault="002B594A" w:rsidP="002B594A">
            <w:pPr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Výpočtovej techniky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82956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2 923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6A59A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1 523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BEB38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1 600</w:t>
            </w:r>
          </w:p>
        </w:tc>
      </w:tr>
      <w:tr w:rsidR="002B594A" w:rsidRPr="002B594A" w14:paraId="0C8AADAA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8E3677C" w14:textId="77777777" w:rsidR="002B594A" w:rsidRPr="002B594A" w:rsidRDefault="002B594A" w:rsidP="002B594A">
            <w:pPr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Telekomunikačnej techniky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5E8F2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67125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F5B34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</w:tr>
      <w:tr w:rsidR="002B594A" w:rsidRPr="002B594A" w14:paraId="11836194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350915" w14:textId="77777777" w:rsidR="002B594A" w:rsidRPr="002B594A" w:rsidRDefault="002B594A" w:rsidP="002B594A">
            <w:pPr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Prevádzkových strojov, prístrojov, zariadení, techniky a náradia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A388D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875D4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DD228D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2B594A" w:rsidRPr="002B594A" w14:paraId="0BCD9CB7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32309" w14:textId="77777777" w:rsidR="002B594A" w:rsidRPr="002B594A" w:rsidRDefault="002B594A" w:rsidP="002B594A">
            <w:pPr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 xml:space="preserve">Špeciálnych strojov, prístrojov, zariadení, techniky, náradia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F9EB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8AB5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0F88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594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B594A" w:rsidRPr="002B594A" w14:paraId="17156139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D6D2" w14:textId="77777777" w:rsidR="002B594A" w:rsidRPr="002B594A" w:rsidRDefault="002B594A" w:rsidP="002B594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Nákup dopravných prostriedkov všetkých druhov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14EC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8B62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0CC9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</w:tr>
      <w:tr w:rsidR="002B594A" w:rsidRPr="002B594A" w14:paraId="19DE343E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9842" w14:textId="77777777" w:rsidR="002B594A" w:rsidRPr="002B594A" w:rsidRDefault="002B594A" w:rsidP="002B594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Prípravná a projektová dokumentácia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D991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755A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EA30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</w:tr>
      <w:tr w:rsidR="002B594A" w:rsidRPr="002B594A" w14:paraId="61D5F63C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EB49" w14:textId="77777777" w:rsidR="002B594A" w:rsidRPr="002B594A" w:rsidRDefault="002B594A" w:rsidP="002B594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Realizácia stavieb a ich technické zhodnotenie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5BA2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2 600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4977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3E7D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3 000</w:t>
            </w:r>
          </w:p>
        </w:tc>
      </w:tr>
      <w:tr w:rsidR="002B594A" w:rsidRPr="002B594A" w14:paraId="3CC12A7A" w14:textId="77777777" w:rsidTr="002B594A">
        <w:trPr>
          <w:gridAfter w:val="1"/>
          <w:wAfter w:w="6" w:type="dxa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37CF" w14:textId="77777777" w:rsidR="002B594A" w:rsidRPr="002B594A" w:rsidRDefault="002B594A" w:rsidP="002B594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Rekonštrukcia a modernizácia softvéru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DC24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FFB0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B5AA" w14:textId="77777777" w:rsidR="002B594A" w:rsidRPr="002B594A" w:rsidRDefault="002B594A" w:rsidP="002B594A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B594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9 000</w:t>
            </w:r>
          </w:p>
        </w:tc>
      </w:tr>
    </w:tbl>
    <w:p w14:paraId="090AF74D" w14:textId="77777777" w:rsidR="002B594A" w:rsidRDefault="002B594A" w:rsidP="002B594A">
      <w:pPr>
        <w:pStyle w:val="Odsekzoznamu"/>
        <w:tabs>
          <w:tab w:val="left" w:pos="9356"/>
        </w:tabs>
        <w:spacing w:before="240" w:after="120"/>
        <w:ind w:left="0"/>
        <w:contextualSpacing w:val="0"/>
        <w:jc w:val="both"/>
        <w:rPr>
          <w:rFonts w:ascii="Times New Roman" w:hAnsi="Times New Roman"/>
        </w:rPr>
      </w:pPr>
    </w:p>
    <w:p w14:paraId="6BA3ED05" w14:textId="77777777" w:rsidR="00AF1437" w:rsidRPr="00AF1437" w:rsidRDefault="00AF1437" w:rsidP="00AF1437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AF1437">
        <w:rPr>
          <w:rFonts w:ascii="Times New Roman" w:hAnsi="Times New Roman"/>
        </w:rPr>
        <w:t>Na zabezpečenie kapitálových výdavkov v návrhu rozpočtu je vyčlenený objem finančných prostriedkov v celkovej sume 16 523 tis. eur.</w:t>
      </w:r>
    </w:p>
    <w:p w14:paraId="0AC8BF19" w14:textId="10A07806" w:rsidR="00AF1437" w:rsidRPr="00AF1437" w:rsidRDefault="00AF1437" w:rsidP="00AF1437">
      <w:pPr>
        <w:pStyle w:val="Zarkazkladnhotextu3"/>
        <w:spacing w:before="24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210118666"/>
      <w:r w:rsidRPr="00AF1437">
        <w:rPr>
          <w:rFonts w:ascii="Times New Roman" w:hAnsi="Times New Roman"/>
          <w:sz w:val="24"/>
          <w:szCs w:val="24"/>
        </w:rPr>
        <w:t>Finančné prostriedky na zabezpečenie všeobecných investícií v roku 2026 sú rozpočtované v celkovej sume 3</w:t>
      </w:r>
      <w:r w:rsidR="00EE7D71">
        <w:rPr>
          <w:rFonts w:ascii="Times New Roman" w:hAnsi="Times New Roman"/>
          <w:sz w:val="24"/>
          <w:szCs w:val="24"/>
        </w:rPr>
        <w:t> </w:t>
      </w:r>
      <w:r w:rsidRPr="00AF1437">
        <w:rPr>
          <w:rFonts w:ascii="Times New Roman" w:hAnsi="Times New Roman"/>
          <w:sz w:val="24"/>
          <w:szCs w:val="24"/>
        </w:rPr>
        <w:t xml:space="preserve">150 tis. eur najmä na zabezpečenie </w:t>
      </w:r>
      <w:r w:rsidR="006340EF">
        <w:rPr>
          <w:rFonts w:ascii="Times New Roman" w:hAnsi="Times New Roman"/>
          <w:sz w:val="24"/>
          <w:szCs w:val="24"/>
        </w:rPr>
        <w:t xml:space="preserve">rozpracovaných </w:t>
      </w:r>
      <w:r w:rsidRPr="00AF1437">
        <w:rPr>
          <w:rFonts w:ascii="Times New Roman" w:hAnsi="Times New Roman"/>
          <w:sz w:val="24"/>
          <w:szCs w:val="24"/>
        </w:rPr>
        <w:t>investičn</w:t>
      </w:r>
      <w:r w:rsidR="006340EF">
        <w:rPr>
          <w:rFonts w:ascii="Times New Roman" w:hAnsi="Times New Roman"/>
          <w:sz w:val="24"/>
          <w:szCs w:val="24"/>
        </w:rPr>
        <w:t>ých</w:t>
      </w:r>
      <w:r w:rsidRPr="00AF1437">
        <w:rPr>
          <w:rFonts w:ascii="Times New Roman" w:hAnsi="Times New Roman"/>
          <w:sz w:val="24"/>
          <w:szCs w:val="24"/>
        </w:rPr>
        <w:t xml:space="preserve"> akc</w:t>
      </w:r>
      <w:r w:rsidR="006340EF">
        <w:rPr>
          <w:rFonts w:ascii="Times New Roman" w:hAnsi="Times New Roman"/>
          <w:sz w:val="24"/>
          <w:szCs w:val="24"/>
        </w:rPr>
        <w:t>ií.</w:t>
      </w:r>
      <w:r w:rsidRPr="00AF1437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5257D34F" w14:textId="77777777" w:rsidR="00AF1437" w:rsidRPr="00AF1437" w:rsidRDefault="00AF1437" w:rsidP="00AF1437">
      <w:pPr>
        <w:pStyle w:val="Zarkazkladnhotextu"/>
        <w:spacing w:before="240"/>
        <w:ind w:left="0" w:firstLine="708"/>
        <w:jc w:val="both"/>
        <w:rPr>
          <w:rFonts w:ascii="Times New Roman" w:hAnsi="Times New Roman"/>
          <w:i/>
          <w:u w:val="single"/>
        </w:rPr>
      </w:pPr>
      <w:r w:rsidRPr="00AF1437">
        <w:rPr>
          <w:rFonts w:ascii="Times New Roman" w:hAnsi="Times New Roman"/>
        </w:rPr>
        <w:t xml:space="preserve">Výdavky na </w:t>
      </w:r>
      <w:proofErr w:type="spellStart"/>
      <w:r w:rsidRPr="00AF1437">
        <w:rPr>
          <w:rFonts w:ascii="Times New Roman" w:hAnsi="Times New Roman"/>
        </w:rPr>
        <w:t>informačno</w:t>
      </w:r>
      <w:proofErr w:type="spellEnd"/>
      <w:r w:rsidRPr="00AF1437">
        <w:rPr>
          <w:rFonts w:ascii="Times New Roman" w:hAnsi="Times New Roman"/>
        </w:rPr>
        <w:t>–komunikačné technológie sú rozpočtované v objeme</w:t>
      </w:r>
      <w:r w:rsidRPr="00AF1437">
        <w:rPr>
          <w:rFonts w:ascii="Times New Roman" w:hAnsi="Times New Roman"/>
        </w:rPr>
        <w:br/>
        <w:t xml:space="preserve">13 373 tis. eur na finančné krytie kľúčových projektov, ktoré sú súčasťou dokumentu Strategické zámery a činnosti Sociálnej poisťovne na obdobie rokov 2024 až 2029. </w:t>
      </w:r>
    </w:p>
    <w:p w14:paraId="0E526481" w14:textId="77777777" w:rsidR="00AF1437" w:rsidRDefault="00AF1437" w:rsidP="00AF1437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  <w:r w:rsidRPr="00AF1437">
        <w:rPr>
          <w:rFonts w:ascii="Times New Roman" w:hAnsi="Times New Roman"/>
        </w:rPr>
        <w:t>Výdavky správneho fondu navrhované pre roky 2026 až 2028 vychádzajú zo zreálnenej očakávanej skutočnosti roku 2025 berúc do úvahy náklady súvisiace s  predpokladanými legislatívnymi zmenami, ako aj nevyhnuté konsolidačné opatrenia. Pri realizovaní nákladov (výdavkov) v roku 2026 je potrebné uplatniť maximálne úsporný režim v oblasti celého správneho fondu.</w:t>
      </w:r>
    </w:p>
    <w:p w14:paraId="65FA631A" w14:textId="77777777" w:rsidR="00AF1437" w:rsidRDefault="00AF1437" w:rsidP="00AF1437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14:paraId="37835131" w14:textId="77777777" w:rsidR="00AF1437" w:rsidRDefault="00AF1437" w:rsidP="00AF1437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14:paraId="65F12A8B" w14:textId="77777777" w:rsidR="00AF1437" w:rsidRDefault="00AF1437" w:rsidP="00AF1437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14:paraId="62CE9391" w14:textId="77777777" w:rsidR="006B28D6" w:rsidRDefault="006B28D6" w:rsidP="00AF1437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14:paraId="682EA3BB" w14:textId="77777777" w:rsidR="00AF1437" w:rsidRDefault="00AF1437" w:rsidP="00AF1437">
      <w:pPr>
        <w:tabs>
          <w:tab w:val="left" w:pos="9356"/>
        </w:tabs>
        <w:spacing w:before="240" w:after="120"/>
        <w:ind w:firstLine="709"/>
        <w:jc w:val="both"/>
        <w:rPr>
          <w:rFonts w:ascii="Times New Roman" w:hAnsi="Times New Roman"/>
        </w:rPr>
      </w:pPr>
    </w:p>
    <w:p w14:paraId="2AED67F0" w14:textId="77777777" w:rsidR="00AF1437" w:rsidRPr="00AF1437" w:rsidRDefault="00AF1437" w:rsidP="00AF1437">
      <w:pPr>
        <w:tabs>
          <w:tab w:val="left" w:pos="9356"/>
        </w:tabs>
        <w:spacing w:before="240" w:after="120"/>
        <w:jc w:val="both"/>
        <w:rPr>
          <w:rFonts w:ascii="Times New Roman" w:hAnsi="Times New Roman"/>
        </w:rPr>
      </w:pPr>
    </w:p>
    <w:p w14:paraId="0D45B535" w14:textId="77777777" w:rsidR="00D6723F" w:rsidRPr="00AF1437" w:rsidRDefault="00D6723F" w:rsidP="00593964">
      <w:pPr>
        <w:pStyle w:val="Zarkazkladnhotextu2"/>
        <w:tabs>
          <w:tab w:val="left" w:pos="709"/>
        </w:tabs>
        <w:spacing w:before="24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F1437">
        <w:rPr>
          <w:rFonts w:ascii="Times New Roman" w:hAnsi="Times New Roman"/>
          <w:b/>
          <w:szCs w:val="24"/>
        </w:rPr>
        <w:lastRenderedPageBreak/>
        <w:t xml:space="preserve">III. </w:t>
      </w:r>
      <w:r w:rsidRPr="00AF1437">
        <w:rPr>
          <w:rFonts w:ascii="Times New Roman" w:hAnsi="Times New Roman"/>
          <w:b/>
          <w:szCs w:val="24"/>
        </w:rPr>
        <w:tab/>
        <w:t>Záver</w:t>
      </w:r>
    </w:p>
    <w:p w14:paraId="46455A91" w14:textId="040F21F3" w:rsidR="00D6723F" w:rsidRDefault="00D6723F" w:rsidP="00E74190">
      <w:pPr>
        <w:spacing w:before="24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v rokoch </w:t>
      </w:r>
      <w:r w:rsidR="00496540"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 xml:space="preserve"> až </w:t>
      </w:r>
      <w:r w:rsidR="00496540">
        <w:rPr>
          <w:rFonts w:ascii="Times New Roman" w:hAnsi="Times New Roman"/>
          <w:szCs w:val="24"/>
        </w:rPr>
        <w:t>2028</w:t>
      </w:r>
      <w:r w:rsidRPr="00D467C0">
        <w:rPr>
          <w:rFonts w:ascii="Times New Roman" w:hAnsi="Times New Roman"/>
          <w:szCs w:val="24"/>
        </w:rPr>
        <w:t xml:space="preserve"> výsledky:</w:t>
      </w:r>
    </w:p>
    <w:tbl>
      <w:tblPr>
        <w:tblW w:w="9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477"/>
        <w:gridCol w:w="1556"/>
        <w:gridCol w:w="1302"/>
        <w:gridCol w:w="1303"/>
      </w:tblGrid>
      <w:tr w:rsidR="00D6723F" w:rsidRPr="00232A0A" w14:paraId="2655107F" w14:textId="77777777" w:rsidTr="00E7419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03BDF" w14:textId="77777777" w:rsidR="00D6723F" w:rsidRPr="00232A0A" w:rsidRDefault="00D6723F" w:rsidP="00D6723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D9FE" w14:textId="77777777"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A20B" w14:textId="77777777"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D3F63" w14:textId="77777777"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58611" w14:textId="77777777" w:rsidR="00D6723F" w:rsidRPr="00232A0A" w:rsidRDefault="00D6723F" w:rsidP="00D6723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 tis. eur</w:t>
            </w:r>
          </w:p>
        </w:tc>
      </w:tr>
      <w:tr w:rsidR="00D6723F" w:rsidRPr="00232A0A" w14:paraId="28C43B1C" w14:textId="77777777" w:rsidTr="00E7419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669534" w14:textId="77777777"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6C728" w14:textId="42AF5737" w:rsidR="00D6723F" w:rsidRPr="00232A0A" w:rsidRDefault="00D6723F" w:rsidP="0059396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v roku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0627" w14:textId="1DBD8B56" w:rsidR="00D6723F" w:rsidRPr="00232A0A" w:rsidRDefault="00D6723F" w:rsidP="0059396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Návrh rozpočtu  na 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CFB79F" w14:textId="77777777"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D6723F" w:rsidRPr="00232A0A" w14:paraId="18FF8570" w14:textId="77777777" w:rsidTr="00E7419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1C6DAD" w14:textId="77777777" w:rsidR="00D6723F" w:rsidRPr="00232A0A" w:rsidRDefault="00D6723F" w:rsidP="00D6723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84AC8" w14:textId="77777777" w:rsidR="00D6723F" w:rsidRPr="00232A0A" w:rsidRDefault="00D6723F" w:rsidP="00D672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9B8B1" w14:textId="77777777" w:rsidR="00D6723F" w:rsidRPr="00232A0A" w:rsidRDefault="00D6723F" w:rsidP="00D672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3692" w14:textId="0507002D"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3177" w14:textId="608C9CEE"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bCs/>
                <w:sz w:val="22"/>
                <w:szCs w:val="22"/>
              </w:rPr>
              <w:t>2028</w:t>
            </w:r>
          </w:p>
        </w:tc>
      </w:tr>
      <w:tr w:rsidR="00D6723F" w:rsidRPr="00232A0A" w14:paraId="18109950" w14:textId="77777777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AEE00C" w14:textId="77777777"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F557" w14:textId="77777777" w:rsidR="00D6723F" w:rsidRPr="00232A0A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E14D" w14:textId="77777777"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0084" w14:textId="77777777"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B4F9" w14:textId="77777777"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1C2F8D" w:rsidRPr="00232A0A" w14:paraId="11BE4E23" w14:textId="77777777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D65845" w14:textId="760169B3" w:rsidR="001C2F8D" w:rsidRPr="00232A0A" w:rsidRDefault="001C2F8D" w:rsidP="001C2F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Príjmy spolu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3079" w14:textId="79333761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15 865 036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70E3" w14:textId="0E0340D5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16 424 748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BA10" w14:textId="3EEC7D05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17 092 370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CC8E" w14:textId="3373BEDB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17 763 957</w:t>
            </w:r>
          </w:p>
        </w:tc>
      </w:tr>
      <w:tr w:rsidR="001C2F8D" w:rsidRPr="00232A0A" w14:paraId="7609BA13" w14:textId="77777777" w:rsidTr="00E7419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C8536E" w14:textId="77777777" w:rsidR="001C2F8D" w:rsidRPr="00232A0A" w:rsidRDefault="001C2F8D" w:rsidP="001C2F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Príjmy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spolu </w:t>
            </w: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 bežnom roku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357E13" w14:textId="5B611D10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14 951 725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3273F2" w14:textId="4BCE9102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15 204 140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96EAFA" w14:textId="15E74914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15 813 142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C12733" w14:textId="2EFA035E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16 413 517</w:t>
            </w:r>
          </w:p>
        </w:tc>
      </w:tr>
      <w:tr w:rsidR="001C2F8D" w:rsidRPr="00232A0A" w14:paraId="4409C1FF" w14:textId="77777777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345021" w14:textId="77777777" w:rsidR="001C2F8D" w:rsidRPr="00232A0A" w:rsidRDefault="001C2F8D" w:rsidP="001C2F8D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z toho transfer zo ŠR SR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2EB1C" w14:textId="274965F6" w:rsidR="001C2F8D" w:rsidRPr="001C2F8D" w:rsidRDefault="001C2F8D" w:rsidP="001C2F8D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i/>
                <w:iCs/>
                <w:sz w:val="22"/>
                <w:szCs w:val="22"/>
              </w:rPr>
              <w:t>2 455 000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28B61" w14:textId="4062CC38" w:rsidR="001C2F8D" w:rsidRPr="001C2F8D" w:rsidRDefault="001C2F8D" w:rsidP="001C2F8D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i/>
                <w:iCs/>
                <w:sz w:val="22"/>
                <w:szCs w:val="22"/>
              </w:rPr>
              <w:t>2 344 174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9EBE5" w14:textId="4B898A9B" w:rsidR="001C2F8D" w:rsidRPr="001C2F8D" w:rsidRDefault="001C2F8D" w:rsidP="001C2F8D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i/>
                <w:iCs/>
                <w:sz w:val="22"/>
                <w:szCs w:val="22"/>
              </w:rPr>
              <w:t>2 258 203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7A25" w14:textId="252FBD02" w:rsidR="001C2F8D" w:rsidRPr="001C2F8D" w:rsidRDefault="001C2F8D" w:rsidP="001C2F8D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i/>
                <w:iCs/>
                <w:sz w:val="22"/>
                <w:szCs w:val="22"/>
              </w:rPr>
              <w:t>2 366 014</w:t>
            </w:r>
          </w:p>
        </w:tc>
      </w:tr>
      <w:tr w:rsidR="001C2F8D" w:rsidRPr="00232A0A" w14:paraId="0EAFC45E" w14:textId="77777777" w:rsidTr="00E7419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642456" w14:textId="77777777" w:rsidR="001C2F8D" w:rsidRPr="00232A0A" w:rsidRDefault="001C2F8D" w:rsidP="001C2F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Výdavky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spolu</w:t>
            </w: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v tom: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2C2C5" w14:textId="54D15386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14 644 428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86DD01" w14:textId="6796B1CC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15 145 520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93640" w14:textId="1651D4D7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15 741 930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2E248" w14:textId="445B934C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16 418 441</w:t>
            </w:r>
          </w:p>
        </w:tc>
      </w:tr>
      <w:tr w:rsidR="001C2F8D" w:rsidRPr="00232A0A" w14:paraId="1B00FD2C" w14:textId="77777777" w:rsidTr="00E7419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0D0652" w14:textId="77777777" w:rsidR="001C2F8D" w:rsidRPr="00232A0A" w:rsidRDefault="001C2F8D" w:rsidP="001C2F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výdavky poistenia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825CB" w14:textId="7F762C4F" w:rsidR="001C2F8D" w:rsidRPr="001C2F8D" w:rsidRDefault="001C2F8D" w:rsidP="001C2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color w:val="000000"/>
                <w:sz w:val="22"/>
                <w:szCs w:val="22"/>
              </w:rPr>
              <w:t>14 307 178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8ECAD2" w14:textId="494EF8E3" w:rsidR="001C2F8D" w:rsidRPr="001C2F8D" w:rsidRDefault="001C2F8D" w:rsidP="001C2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color w:val="000000"/>
                <w:sz w:val="22"/>
                <w:szCs w:val="22"/>
              </w:rPr>
              <w:t>14 816 429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78753" w14:textId="5733FD17" w:rsidR="001C2F8D" w:rsidRPr="001C2F8D" w:rsidRDefault="001C2F8D" w:rsidP="001C2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color w:val="000000"/>
                <w:sz w:val="22"/>
                <w:szCs w:val="22"/>
              </w:rPr>
              <w:t>15 415 356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F34FF" w14:textId="77CB91DE" w:rsidR="001C2F8D" w:rsidRPr="001C2F8D" w:rsidRDefault="001C2F8D" w:rsidP="001C2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color w:val="000000"/>
                <w:sz w:val="22"/>
                <w:szCs w:val="22"/>
              </w:rPr>
              <w:t>16 081 910</w:t>
            </w:r>
          </w:p>
        </w:tc>
      </w:tr>
      <w:tr w:rsidR="001C2F8D" w:rsidRPr="00232A0A" w14:paraId="4D03C6E0" w14:textId="77777777" w:rsidTr="00E7419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FD2F12" w14:textId="77777777" w:rsidR="001C2F8D" w:rsidRPr="00232A0A" w:rsidRDefault="001C2F8D" w:rsidP="001C2F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správny fond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36DD9" w14:textId="6015DF91" w:rsidR="001C2F8D" w:rsidRPr="001C2F8D" w:rsidRDefault="001C2F8D" w:rsidP="001C2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color w:val="000000"/>
                <w:sz w:val="22"/>
                <w:szCs w:val="22"/>
              </w:rPr>
              <w:t>297 560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A1365" w14:textId="1376F219" w:rsidR="001C2F8D" w:rsidRPr="001C2F8D" w:rsidRDefault="001C2F8D" w:rsidP="001C2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color w:val="000000"/>
                <w:sz w:val="22"/>
                <w:szCs w:val="22"/>
              </w:rPr>
              <w:t>287 330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6E361" w14:textId="09D8F752" w:rsidR="001C2F8D" w:rsidRPr="001C2F8D" w:rsidRDefault="001C2F8D" w:rsidP="001C2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color w:val="000000"/>
                <w:sz w:val="22"/>
                <w:szCs w:val="22"/>
              </w:rPr>
              <w:t>282 827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ADEA57" w14:textId="5C22F23A" w:rsidR="001C2F8D" w:rsidRPr="001C2F8D" w:rsidRDefault="001C2F8D" w:rsidP="001C2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color w:val="000000"/>
                <w:sz w:val="22"/>
                <w:szCs w:val="22"/>
              </w:rPr>
              <w:t>290 886</w:t>
            </w:r>
          </w:p>
        </w:tc>
      </w:tr>
      <w:tr w:rsidR="001C2F8D" w:rsidRPr="00232A0A" w14:paraId="3EC8D15C" w14:textId="77777777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F14CDA" w14:textId="77777777" w:rsidR="001C2F8D" w:rsidRPr="00232A0A" w:rsidRDefault="001C2F8D" w:rsidP="001C2F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výdavky z transakcií (úver poskytnutý z garančného fondu)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19FD" w14:textId="57DDB1B4" w:rsidR="001C2F8D" w:rsidRPr="001C2F8D" w:rsidRDefault="001C2F8D" w:rsidP="001C2F8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sz w:val="22"/>
                <w:szCs w:val="22"/>
              </w:rPr>
              <w:t>39 689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7F41A" w14:textId="18BEF311" w:rsidR="001C2F8D" w:rsidRPr="001C2F8D" w:rsidRDefault="001C2F8D" w:rsidP="001C2F8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sz w:val="22"/>
                <w:szCs w:val="22"/>
              </w:rPr>
              <w:t>41 761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C4038" w14:textId="68DEB502" w:rsidR="001C2F8D" w:rsidRPr="001C2F8D" w:rsidRDefault="001C2F8D" w:rsidP="001C2F8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sz w:val="22"/>
                <w:szCs w:val="22"/>
              </w:rPr>
              <w:t>43 747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75B8" w14:textId="33745009" w:rsidR="001C2F8D" w:rsidRPr="001C2F8D" w:rsidRDefault="001C2F8D" w:rsidP="001C2F8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2F8D">
              <w:rPr>
                <w:rFonts w:ascii="Times New Roman" w:hAnsi="Times New Roman"/>
                <w:sz w:val="22"/>
                <w:szCs w:val="22"/>
              </w:rPr>
              <w:t>45 645</w:t>
            </w:r>
          </w:p>
        </w:tc>
      </w:tr>
      <w:tr w:rsidR="001C2F8D" w:rsidRPr="00232A0A" w14:paraId="41D7B3F3" w14:textId="77777777" w:rsidTr="00E7419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9522" w14:textId="77777777" w:rsidR="001C2F8D" w:rsidRPr="00232A0A" w:rsidRDefault="001C2F8D" w:rsidP="001C2F8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Bilančný rozdiel v bežnom roku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A039B" w14:textId="7C574712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307 297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92B5F" w14:textId="4BA845E0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58 620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1C216" w14:textId="7D16ADD0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71 212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FB962" w14:textId="0D362660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-4 924</w:t>
            </w:r>
          </w:p>
        </w:tc>
      </w:tr>
      <w:tr w:rsidR="001C2F8D" w:rsidRPr="00232A0A" w14:paraId="11FC5BA9" w14:textId="77777777" w:rsidTr="00E7419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58D5" w14:textId="77777777" w:rsidR="001C2F8D" w:rsidRPr="00232A0A" w:rsidRDefault="001C2F8D" w:rsidP="001C2F8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Bilančný rozdiel celkom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97E7" w14:textId="2BB04EEA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1 220 608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5F6C" w14:textId="3DF07D90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1 279 228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0784B" w14:textId="00BC6A9B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1 350 440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3A8B7" w14:textId="12A26C29" w:rsidR="001C2F8D" w:rsidRPr="001C2F8D" w:rsidRDefault="001C2F8D" w:rsidP="001C2F8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2F8D">
              <w:rPr>
                <w:rFonts w:ascii="Times New Roman" w:hAnsi="Times New Roman"/>
                <w:b/>
                <w:bCs/>
                <w:sz w:val="22"/>
                <w:szCs w:val="22"/>
              </w:rPr>
              <w:t>1 345 516</w:t>
            </w:r>
          </w:p>
        </w:tc>
      </w:tr>
    </w:tbl>
    <w:p w14:paraId="19551A72" w14:textId="77777777" w:rsidR="00D6723F" w:rsidRDefault="00D6723F" w:rsidP="00E74190">
      <w:pPr>
        <w:jc w:val="both"/>
        <w:rPr>
          <w:rFonts w:ascii="Times New Roman" w:hAnsi="Times New Roman"/>
          <w:szCs w:val="24"/>
        </w:rPr>
      </w:pPr>
    </w:p>
    <w:p w14:paraId="70E435CB" w14:textId="2F40DCF5" w:rsidR="00D6723F" w:rsidRDefault="00D6723F" w:rsidP="00D6723F">
      <w:pPr>
        <w:ind w:firstLine="720"/>
        <w:jc w:val="both"/>
        <w:rPr>
          <w:rFonts w:ascii="Trebuchet MS" w:hAnsi="Trebuchet MS"/>
          <w:color w:val="000000"/>
          <w:sz w:val="20"/>
        </w:rPr>
      </w:pPr>
      <w:r w:rsidRPr="00BA63ED">
        <w:rPr>
          <w:rFonts w:ascii="Times New Roman" w:hAnsi="Times New Roman"/>
          <w:szCs w:val="24"/>
        </w:rPr>
        <w:t xml:space="preserve">Hospodárenie Sociálnej poisťovne bude v rokoch </w:t>
      </w:r>
      <w:r w:rsidR="00496540"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 xml:space="preserve"> až </w:t>
      </w:r>
      <w:r w:rsidR="00496540">
        <w:rPr>
          <w:rFonts w:ascii="Times New Roman" w:hAnsi="Times New Roman"/>
          <w:szCs w:val="24"/>
        </w:rPr>
        <w:t>2028</w:t>
      </w:r>
      <w:r w:rsidRPr="00BA63ED">
        <w:rPr>
          <w:rFonts w:ascii="Times New Roman" w:hAnsi="Times New Roman"/>
          <w:szCs w:val="24"/>
        </w:rPr>
        <w:t xml:space="preserve"> ovplyvňovať deficitné hospodárenie</w:t>
      </w:r>
      <w:r>
        <w:rPr>
          <w:rFonts w:ascii="Times New Roman" w:hAnsi="Times New Roman"/>
          <w:szCs w:val="24"/>
        </w:rPr>
        <w:t xml:space="preserve"> </w:t>
      </w:r>
      <w:r w:rsidRPr="00BA63ED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 základnom fonde starobného poistenia</w:t>
      </w:r>
      <w:r w:rsidRPr="00BA63ED">
        <w:rPr>
          <w:rFonts w:ascii="Times New Roman" w:hAnsi="Times New Roman"/>
          <w:szCs w:val="24"/>
        </w:rPr>
        <w:t xml:space="preserve">. Deficit bude Sociálna poisťovňa </w:t>
      </w:r>
      <w:r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 xml:space="preserve">aj z vnútorných zdrojov </w:t>
      </w:r>
      <w:r>
        <w:rPr>
          <w:rFonts w:ascii="Times New Roman" w:hAnsi="Times New Roman"/>
          <w:szCs w:val="24"/>
        </w:rPr>
        <w:t xml:space="preserve">v zmysle </w:t>
      </w:r>
      <w:r w:rsidRPr="00FE16D4">
        <w:rPr>
          <w:rFonts w:ascii="Times New Roman" w:hAnsi="Times New Roman"/>
          <w:szCs w:val="24"/>
        </w:rPr>
        <w:t xml:space="preserve">§ 122 ods. </w:t>
      </w:r>
      <w:r>
        <w:rPr>
          <w:rFonts w:ascii="Times New Roman" w:hAnsi="Times New Roman"/>
          <w:szCs w:val="24"/>
        </w:rPr>
        <w:t>4 písm. g) a § 123 ods. 2 písm. </w:t>
      </w:r>
      <w:r w:rsidRPr="00FE16D4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 xml:space="preserve"> bod 6</w:t>
      </w:r>
      <w:r>
        <w:rPr>
          <w:rFonts w:ascii="Trebuchet MS" w:hAnsi="Trebuchet MS"/>
          <w:color w:val="000000"/>
          <w:sz w:val="20"/>
        </w:rPr>
        <w:t>.</w:t>
      </w:r>
    </w:p>
    <w:p w14:paraId="5BF5C5F7" w14:textId="5F90DA3B" w:rsidR="00F3679F" w:rsidRPr="00F3679F" w:rsidRDefault="00F3679F" w:rsidP="00F3679F">
      <w:pPr>
        <w:spacing w:before="360" w:after="120"/>
        <w:ind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 účinnosťou od 1. januára 2026 v</w:t>
      </w:r>
      <w:r w:rsidRPr="001758BB">
        <w:rPr>
          <w:rFonts w:ascii="Times New Roman" w:hAnsi="Times New Roman"/>
          <w:szCs w:val="24"/>
        </w:rPr>
        <w:t xml:space="preserve"> prípade platobnej neschopnosti osobitného fondu v rokoch 2026 a 2027 poskytne štát Sociálnej poisťovni finančnú výpomoc</w:t>
      </w:r>
      <w:r>
        <w:rPr>
          <w:rFonts w:ascii="Times New Roman" w:hAnsi="Times New Roman"/>
          <w:szCs w:val="24"/>
        </w:rPr>
        <w:t xml:space="preserve"> </w:t>
      </w:r>
      <w:r w:rsidRPr="001758BB">
        <w:rPr>
          <w:rFonts w:ascii="Times New Roman" w:hAnsi="Times New Roman"/>
          <w:szCs w:val="24"/>
        </w:rPr>
        <w:t>(§ 293gm zákona o sociálnom poistení).</w:t>
      </w:r>
      <w:r>
        <w:rPr>
          <w:rFonts w:ascii="Times New Roman" w:hAnsi="Times New Roman"/>
          <w:b/>
          <w:szCs w:val="24"/>
        </w:rPr>
        <w:t xml:space="preserve"> </w:t>
      </w:r>
    </w:p>
    <w:p w14:paraId="7DF0974A" w14:textId="77777777" w:rsidR="00D6723F" w:rsidRPr="004C7EC8" w:rsidRDefault="00D6723F" w:rsidP="00D6723F">
      <w:pPr>
        <w:spacing w:before="12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x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  <w:r w:rsidRPr="004C7EC8">
        <w:rPr>
          <w:rFonts w:ascii="Times New Roman" w:hAnsi="Times New Roman"/>
          <w:szCs w:val="24"/>
        </w:rPr>
        <w:t xml:space="preserve">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</w:p>
    <w:p w14:paraId="11E8FD7A" w14:textId="4067EBA7" w:rsidR="00E90153" w:rsidRPr="0062260F" w:rsidRDefault="0062260F" w:rsidP="0062260F">
      <w:pPr>
        <w:pStyle w:val="Zarkazkladnhotextu"/>
        <w:tabs>
          <w:tab w:val="decimal" w:pos="8222"/>
        </w:tabs>
        <w:spacing w:before="240" w:after="0"/>
        <w:ind w:left="0" w:firstLine="720"/>
        <w:jc w:val="center"/>
        <w:rPr>
          <w:rFonts w:ascii="Times New Roman" w:hAnsi="Times New Roman"/>
          <w:b/>
        </w:rPr>
      </w:pPr>
      <w:r w:rsidRPr="0062260F">
        <w:rPr>
          <w:rFonts w:ascii="Times New Roman" w:hAnsi="Times New Roman"/>
          <w:b/>
        </w:rPr>
        <w:t xml:space="preserve">Príspevky na starobné dôchodkové sporenie v rokoch </w:t>
      </w:r>
      <w:r w:rsidR="00496540">
        <w:rPr>
          <w:rFonts w:ascii="Times New Roman" w:hAnsi="Times New Roman"/>
          <w:b/>
        </w:rPr>
        <w:t>2026</w:t>
      </w:r>
      <w:r w:rsidRPr="0062260F">
        <w:rPr>
          <w:rFonts w:ascii="Times New Roman" w:hAnsi="Times New Roman"/>
          <w:b/>
        </w:rPr>
        <w:t xml:space="preserve"> až </w:t>
      </w:r>
      <w:r w:rsidR="00496540">
        <w:rPr>
          <w:rFonts w:ascii="Times New Roman" w:hAnsi="Times New Roman"/>
          <w:b/>
        </w:rPr>
        <w:t>2028</w:t>
      </w:r>
    </w:p>
    <w:p w14:paraId="3250F415" w14:textId="335F10C0" w:rsidR="00E90153" w:rsidRPr="004C7EC8" w:rsidRDefault="00E90153" w:rsidP="00E90153">
      <w:pPr>
        <w:pStyle w:val="Zarkazkladnhotextu"/>
        <w:tabs>
          <w:tab w:val="decimal" w:pos="8222"/>
        </w:tabs>
        <w:spacing w:before="240" w:after="0"/>
        <w:ind w:left="0" w:firstLine="720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Vybraté príspevky na SDS sa v rokoch </w:t>
      </w:r>
      <w:r w:rsidR="00496540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až </w:t>
      </w:r>
      <w:r w:rsidR="00496540">
        <w:rPr>
          <w:rFonts w:ascii="Times New Roman" w:hAnsi="Times New Roman"/>
        </w:rPr>
        <w:t>2028</w:t>
      </w:r>
      <w:r>
        <w:rPr>
          <w:rFonts w:ascii="Times New Roman" w:hAnsi="Times New Roman"/>
        </w:rPr>
        <w:t xml:space="preserve"> </w:t>
      </w:r>
      <w:r w:rsidR="008F2018">
        <w:rPr>
          <w:rFonts w:ascii="Times New Roman" w:hAnsi="Times New Roman"/>
        </w:rPr>
        <w:t>odhadujú</w:t>
      </w:r>
      <w:r w:rsidRPr="004C7EC8">
        <w:rPr>
          <w:rFonts w:ascii="Times New Roman" w:hAnsi="Times New Roman"/>
        </w:rPr>
        <w:t>:</w:t>
      </w:r>
    </w:p>
    <w:tbl>
      <w:tblPr>
        <w:tblW w:w="94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773"/>
        <w:gridCol w:w="1559"/>
        <w:gridCol w:w="1560"/>
      </w:tblGrid>
      <w:tr w:rsidR="00E90153" w:rsidRPr="004C7EC8" w14:paraId="5A6AE6C7" w14:textId="77777777" w:rsidTr="00A57CA9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9D66" w14:textId="77777777" w:rsidR="00E90153" w:rsidRPr="004C7EC8" w:rsidRDefault="00E90153" w:rsidP="00A57C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2EBE" w14:textId="77777777"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4FCF3" w14:textId="77777777" w:rsidR="00E90153" w:rsidRPr="004C7EC8" w:rsidRDefault="00E90153" w:rsidP="00A57C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CC86" w14:textId="77777777" w:rsidR="00E90153" w:rsidRPr="004C7EC8" w:rsidRDefault="00E90153" w:rsidP="00A57C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</w:t>
            </w:r>
            <w:r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E90153" w:rsidRPr="004C7EC8" w14:paraId="34621D45" w14:textId="77777777" w:rsidTr="00A57CA9"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243FAD" w14:textId="77777777"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Vybraté príspevky na SDS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B274" w14:textId="172275A4"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Návrh rozpočtu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na </w:t>
            </w: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E77A" w14:textId="77777777"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Rozpočtový výhľad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na</w:t>
            </w:r>
          </w:p>
        </w:tc>
      </w:tr>
      <w:tr w:rsidR="00E90153" w:rsidRPr="004C7EC8" w14:paraId="13CE1F96" w14:textId="77777777" w:rsidTr="00A57CA9"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B3EA" w14:textId="77777777" w:rsidR="00E90153" w:rsidRPr="00005F2A" w:rsidRDefault="00E90153" w:rsidP="00A57CA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7D54D" w14:textId="77777777" w:rsidR="00E90153" w:rsidRPr="00005F2A" w:rsidRDefault="00E90153" w:rsidP="00A57CA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B4C7" w14:textId="73504880"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0CEA" w14:textId="56EF3E1C" w:rsidR="00E90153" w:rsidRPr="00005F2A" w:rsidRDefault="00E90153" w:rsidP="00A57CA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2028</w:t>
            </w:r>
          </w:p>
        </w:tc>
      </w:tr>
      <w:tr w:rsidR="00E90153" w:rsidRPr="004C7EC8" w14:paraId="2FED40FF" w14:textId="77777777" w:rsidTr="00A57CA9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8845" w14:textId="77777777"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AF0D" w14:textId="77777777"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37C7" w14:textId="77777777"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8DA7" w14:textId="77777777" w:rsidR="00E90153" w:rsidRPr="004C7EC8" w:rsidRDefault="00E90153" w:rsidP="00A57C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37175A" w:rsidRPr="005978A9" w14:paraId="4AB974CA" w14:textId="77777777" w:rsidTr="00A57CA9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33DE5" w14:textId="77777777" w:rsidR="0037175A" w:rsidRPr="005978A9" w:rsidRDefault="0037175A" w:rsidP="003717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 xml:space="preserve">Vybraté príspevky na SDS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CA4A11" w14:textId="00A66404" w:rsidR="0037175A" w:rsidRPr="0037175A" w:rsidRDefault="0037175A" w:rsidP="0037175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75A">
              <w:rPr>
                <w:rFonts w:ascii="Times New Roman" w:hAnsi="Times New Roman"/>
                <w:b/>
                <w:bCs/>
                <w:sz w:val="22"/>
                <w:szCs w:val="22"/>
              </w:rPr>
              <w:t>1 131 336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8839C7" w14:textId="0A578DE7" w:rsidR="0037175A" w:rsidRPr="0037175A" w:rsidRDefault="0037175A" w:rsidP="0037175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75A">
              <w:rPr>
                <w:rFonts w:ascii="Times New Roman" w:hAnsi="Times New Roman"/>
                <w:b/>
                <w:bCs/>
                <w:sz w:val="22"/>
                <w:szCs w:val="22"/>
              </w:rPr>
              <w:t>1 183 684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1D6BB2" w14:textId="5BEB7CFB" w:rsidR="0037175A" w:rsidRPr="0037175A" w:rsidRDefault="0037175A" w:rsidP="0037175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75A">
              <w:rPr>
                <w:rFonts w:ascii="Times New Roman" w:hAnsi="Times New Roman"/>
                <w:b/>
                <w:bCs/>
                <w:sz w:val="22"/>
                <w:szCs w:val="22"/>
              </w:rPr>
              <w:t>1 249 862</w:t>
            </w:r>
          </w:p>
        </w:tc>
      </w:tr>
      <w:tr w:rsidR="0037175A" w:rsidRPr="004C7EC8" w14:paraId="2855E8B8" w14:textId="77777777" w:rsidTr="00A57CA9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C23D3A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B3BDBB" w14:textId="74269903" w:rsidR="0037175A" w:rsidRPr="0037175A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82525F" w14:textId="07C8F8F0" w:rsidR="0037175A" w:rsidRPr="0037175A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9F037F" w14:textId="4402B194" w:rsidR="0037175A" w:rsidRPr="0037175A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7175A" w:rsidRPr="004C7EC8" w14:paraId="307ACE20" w14:textId="77777777" w:rsidTr="00A57CA9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D9C8F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FBD8E4" w14:textId="366362EB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1 125 946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BC6C7C" w14:textId="1DD69748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1 177 743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9AB0BC" w14:textId="4C766AB0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1 243 152</w:t>
            </w:r>
          </w:p>
        </w:tc>
      </w:tr>
      <w:tr w:rsidR="0037175A" w:rsidRPr="004C7EC8" w14:paraId="23B74135" w14:textId="77777777" w:rsidTr="00A57CA9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27372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53C3BD" w14:textId="75E7D15A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4 619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891614" w14:textId="59576DB8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20F72C" w14:textId="0A1907C9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5 560</w:t>
            </w:r>
          </w:p>
        </w:tc>
      </w:tr>
      <w:tr w:rsidR="0037175A" w:rsidRPr="004C7EC8" w14:paraId="708D5643" w14:textId="77777777" w:rsidTr="00A57CA9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4939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EE7AC" w14:textId="7D4C589F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94C3" w14:textId="74F0CB36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941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F087" w14:textId="54B0D5C5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1 150</w:t>
            </w:r>
          </w:p>
        </w:tc>
      </w:tr>
    </w:tbl>
    <w:p w14:paraId="793345C4" w14:textId="77777777" w:rsidR="00E90153" w:rsidRPr="004C7EC8" w:rsidRDefault="00E90153" w:rsidP="00E90153">
      <w:pPr>
        <w:pStyle w:val="Zarkazkladnhotextu"/>
        <w:tabs>
          <w:tab w:val="decimal" w:pos="8222"/>
        </w:tabs>
        <w:spacing w:before="120" w:after="0"/>
        <w:ind w:left="0"/>
        <w:rPr>
          <w:rFonts w:ascii="Times New Roman" w:hAnsi="Times New Roman"/>
        </w:rPr>
      </w:pPr>
    </w:p>
    <w:p w14:paraId="6D26406E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6E0641FB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7D685417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0A71439A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1701F047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79480731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13BE2BC5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39710997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7F32D0CE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102E9D24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62AA2C0A" w14:textId="77777777" w:rsidR="00AF1437" w:rsidRDefault="00AF1437" w:rsidP="00E74190">
      <w:pPr>
        <w:ind w:firstLine="720"/>
        <w:jc w:val="both"/>
        <w:rPr>
          <w:rFonts w:ascii="Times New Roman" w:hAnsi="Times New Roman"/>
          <w:szCs w:val="24"/>
        </w:rPr>
      </w:pPr>
    </w:p>
    <w:p w14:paraId="3F08731A" w14:textId="674F2779" w:rsidR="00D6723F" w:rsidRPr="004C7EC8" w:rsidRDefault="00D6723F" w:rsidP="00E74190">
      <w:pPr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lastRenderedPageBreak/>
        <w:t xml:space="preserve">Predpokladá sa, že </w:t>
      </w:r>
      <w:r w:rsidRPr="00AE263F">
        <w:rPr>
          <w:rFonts w:ascii="Times New Roman" w:hAnsi="Times New Roman"/>
          <w:b/>
          <w:szCs w:val="24"/>
        </w:rPr>
        <w:t>Sociálna poisťovňa postúpi príspevky na SDS</w:t>
      </w:r>
      <w:r w:rsidRPr="004C7EC8">
        <w:rPr>
          <w:rFonts w:ascii="Times New Roman" w:hAnsi="Times New Roman"/>
          <w:szCs w:val="24"/>
        </w:rPr>
        <w:t xml:space="preserve"> v rokoch </w:t>
      </w:r>
      <w:r w:rsidR="00496540"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až </w:t>
      </w:r>
      <w:r w:rsidR="00496540">
        <w:rPr>
          <w:rFonts w:ascii="Times New Roman" w:hAnsi="Times New Roman"/>
          <w:szCs w:val="24"/>
        </w:rPr>
        <w:t>2028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W w:w="91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1559"/>
        <w:gridCol w:w="1014"/>
        <w:gridCol w:w="403"/>
        <w:gridCol w:w="1276"/>
      </w:tblGrid>
      <w:tr w:rsidR="00D6723F" w:rsidRPr="00DD48E0" w14:paraId="6E6D8528" w14:textId="77777777" w:rsidTr="00E74190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92DF" w14:textId="77777777" w:rsidR="00D6723F" w:rsidRPr="004C7EC8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5A76" w14:textId="77777777" w:rsidR="00D6723F" w:rsidRPr="004C7EC8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25ED3" w14:textId="77777777" w:rsidR="00D6723F" w:rsidRPr="004C7EC8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C852A" w14:textId="77777777" w:rsidR="00D6723F" w:rsidRPr="00DD48E0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D48E0">
              <w:rPr>
                <w:rFonts w:ascii="Times New Roman" w:hAnsi="Times New Roman"/>
                <w:sz w:val="22"/>
                <w:szCs w:val="22"/>
              </w:rPr>
              <w:t>v tis. eur</w:t>
            </w:r>
          </w:p>
        </w:tc>
      </w:tr>
      <w:tr w:rsidR="00D6723F" w:rsidRPr="004C7EC8" w14:paraId="1C682B0A" w14:textId="77777777" w:rsidTr="00E74190">
        <w:tc>
          <w:tcPr>
            <w:tcW w:w="4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9A34C2" w14:textId="77777777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Príspevky na SDS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DF9B" w14:textId="4068EE9A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Návrh rozpočtu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</w:t>
            </w: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  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EACB" w14:textId="77777777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Rozpočtový výhľad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na</w:t>
            </w:r>
          </w:p>
        </w:tc>
      </w:tr>
      <w:tr w:rsidR="00D6723F" w:rsidRPr="004C7EC8" w14:paraId="3C3ACFAB" w14:textId="77777777" w:rsidTr="00E74190">
        <w:tc>
          <w:tcPr>
            <w:tcW w:w="4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E86F" w14:textId="77777777" w:rsidR="00D6723F" w:rsidRPr="0015437A" w:rsidRDefault="00D6723F" w:rsidP="00D672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E74E" w14:textId="77777777" w:rsidR="00D6723F" w:rsidRPr="0015437A" w:rsidRDefault="00D6723F" w:rsidP="00D672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7446" w14:textId="421C9D50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9293" w14:textId="1C9EFAC5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496540">
              <w:rPr>
                <w:rFonts w:ascii="Times New Roman" w:hAnsi="Times New Roman"/>
                <w:b/>
                <w:sz w:val="22"/>
                <w:szCs w:val="22"/>
              </w:rPr>
              <w:t>2028</w:t>
            </w:r>
          </w:p>
        </w:tc>
      </w:tr>
      <w:tr w:rsidR="00D6723F" w:rsidRPr="004C7EC8" w14:paraId="73CD17D4" w14:textId="77777777" w:rsidTr="00E7419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AACA" w14:textId="77777777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CECA" w14:textId="77777777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F932" w14:textId="77777777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B686" w14:textId="77777777"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37175A" w:rsidRPr="004C7EC8" w14:paraId="2665FF36" w14:textId="77777777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82876" w14:textId="77777777" w:rsidR="0037175A" w:rsidRPr="0015437A" w:rsidRDefault="0037175A" w:rsidP="003717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Postúpené príspevky na SDS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D507DE" w14:textId="2BD88C3B" w:rsidR="0037175A" w:rsidRPr="0037175A" w:rsidRDefault="0037175A" w:rsidP="0037175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75A">
              <w:rPr>
                <w:rFonts w:ascii="Times New Roman" w:hAnsi="Times New Roman"/>
                <w:b/>
                <w:bCs/>
                <w:sz w:val="22"/>
                <w:szCs w:val="22"/>
              </w:rPr>
              <w:t>1 165 353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9B90B0" w14:textId="2D887AC4" w:rsidR="0037175A" w:rsidRPr="0037175A" w:rsidRDefault="0037175A" w:rsidP="0037175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75A">
              <w:rPr>
                <w:rFonts w:ascii="Times New Roman" w:hAnsi="Times New Roman"/>
                <w:b/>
                <w:bCs/>
                <w:sz w:val="22"/>
                <w:szCs w:val="22"/>
              </w:rPr>
              <w:t>1 219 235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0A7CE3" w14:textId="67DA880B" w:rsidR="0037175A" w:rsidRPr="0037175A" w:rsidRDefault="0037175A" w:rsidP="0037175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175A">
              <w:rPr>
                <w:rFonts w:ascii="Times New Roman" w:hAnsi="Times New Roman"/>
                <w:b/>
                <w:bCs/>
                <w:sz w:val="22"/>
                <w:szCs w:val="22"/>
              </w:rPr>
              <w:t>1 286 825</w:t>
            </w:r>
          </w:p>
        </w:tc>
      </w:tr>
      <w:tr w:rsidR="0037175A" w:rsidRPr="004C7EC8" w14:paraId="383E121D" w14:textId="77777777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C7FED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C4819D" w14:textId="45A1FBD7" w:rsidR="0037175A" w:rsidRPr="0037175A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AD27B3" w14:textId="72474BE2" w:rsidR="0037175A" w:rsidRPr="0037175A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D8B253" w14:textId="343702B5" w:rsidR="0037175A" w:rsidRPr="0037175A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7175A" w:rsidRPr="004C7EC8" w14:paraId="79BF470F" w14:textId="77777777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9B508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B2CD38" w14:textId="3D6F98EB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1 123 131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77CAF6" w14:textId="7D4A4DED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1 174 799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B2359B" w14:textId="269C8625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1 240 043</w:t>
            </w:r>
          </w:p>
        </w:tc>
      </w:tr>
      <w:tr w:rsidR="0037175A" w:rsidRPr="004C7EC8" w14:paraId="775EEEEB" w14:textId="77777777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5FCCA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8FB269" w14:textId="5DD2F575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4 608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BC6EF7" w14:textId="011F764E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4 987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F9C748" w14:textId="2F0A37EC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5 546</w:t>
            </w:r>
          </w:p>
        </w:tc>
      </w:tr>
      <w:tr w:rsidR="0037175A" w:rsidRPr="004C7EC8" w14:paraId="02FA9F62" w14:textId="77777777" w:rsidTr="00E74190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009E71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CB0C47" w14:textId="36102B4F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771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A2AE40" w14:textId="255A3B1F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039867" w14:textId="119AE616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1 150</w:t>
            </w:r>
          </w:p>
        </w:tc>
      </w:tr>
      <w:tr w:rsidR="0037175A" w:rsidRPr="00BA63ED" w14:paraId="28B5124D" w14:textId="77777777" w:rsidTr="00E74190"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1EBC" w14:textId="77777777" w:rsidR="0037175A" w:rsidRPr="004C7EC8" w:rsidRDefault="0037175A" w:rsidP="0037175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uhradené príspevky zo základného fondu garančného poistenia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4EB9E" w14:textId="7E799AF4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36 843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C44B" w14:textId="1A3A6EFD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38 508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A5E6B" w14:textId="4EC0AC90" w:rsidR="0037175A" w:rsidRPr="0037175A" w:rsidRDefault="0037175A" w:rsidP="0037175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7175A">
              <w:rPr>
                <w:rFonts w:ascii="Times New Roman" w:hAnsi="Times New Roman"/>
                <w:sz w:val="22"/>
                <w:szCs w:val="22"/>
              </w:rPr>
              <w:t>40 086</w:t>
            </w:r>
          </w:p>
        </w:tc>
      </w:tr>
    </w:tbl>
    <w:p w14:paraId="458BEF3C" w14:textId="77777777" w:rsidR="006B7F65" w:rsidRPr="00BA63ED" w:rsidRDefault="006B7F65" w:rsidP="00820899">
      <w:pPr>
        <w:jc w:val="both"/>
        <w:rPr>
          <w:rFonts w:ascii="Times New Roman" w:hAnsi="Times New Roman"/>
        </w:rPr>
      </w:pPr>
    </w:p>
    <w:sectPr w:rsidR="006B7F65" w:rsidRPr="00BA63ED" w:rsidSect="000E120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1134" w:bottom="851" w:left="1418" w:header="703" w:footer="4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EE63" w14:textId="77777777" w:rsidR="00BB6C7B" w:rsidRDefault="00BB6C7B">
      <w:r>
        <w:separator/>
      </w:r>
    </w:p>
  </w:endnote>
  <w:endnote w:type="continuationSeparator" w:id="0">
    <w:p w14:paraId="6E88B9C3" w14:textId="77777777" w:rsidR="00BB6C7B" w:rsidRDefault="00BB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6058" w14:textId="77777777" w:rsidR="00BB6C7B" w:rsidRDefault="00BB6C7B" w:rsidP="009329C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93F652" w14:textId="77777777" w:rsidR="00BB6C7B" w:rsidRDefault="00BB6C7B" w:rsidP="00E12DD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2875000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/>
          </w:rPr>
          <w:id w:val="352395227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2AF50725" w14:textId="77777777" w:rsidR="00BB6C7B" w:rsidRPr="00C320A4" w:rsidRDefault="00BB6C7B" w:rsidP="00915D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903136">
              <w:rPr>
                <w:rFonts w:ascii="Times New Roman" w:hAnsi="Times New Roman"/>
                <w:bCs/>
                <w:noProof/>
                <w:sz w:val="22"/>
                <w:szCs w:val="22"/>
              </w:rPr>
              <w:t>9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C320A4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903136">
              <w:rPr>
                <w:rFonts w:ascii="Times New Roman" w:hAnsi="Times New Roman"/>
                <w:bCs/>
                <w:noProof/>
                <w:sz w:val="22"/>
                <w:szCs w:val="22"/>
              </w:rPr>
              <w:t>9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0943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2"/>
            <w:szCs w:val="22"/>
          </w:rPr>
        </w:sdtEndPr>
        <w:sdtContent>
          <w:p w14:paraId="0174F852" w14:textId="77777777" w:rsidR="00BB6C7B" w:rsidRPr="001C1AD2" w:rsidRDefault="00BB6C7B" w:rsidP="003F4466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903136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3F4466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903136">
              <w:rPr>
                <w:rFonts w:ascii="Times New Roman" w:hAnsi="Times New Roman"/>
                <w:bCs/>
                <w:noProof/>
                <w:sz w:val="22"/>
                <w:szCs w:val="22"/>
              </w:rPr>
              <w:t>9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B11B" w14:textId="77777777" w:rsidR="00BB6C7B" w:rsidRDefault="00BB6C7B">
      <w:r>
        <w:separator/>
      </w:r>
    </w:p>
  </w:footnote>
  <w:footnote w:type="continuationSeparator" w:id="0">
    <w:p w14:paraId="54302198" w14:textId="77777777" w:rsidR="00BB6C7B" w:rsidRDefault="00BB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A091" w14:textId="55CB8D98" w:rsidR="00BB6C7B" w:rsidRPr="001C1AD2" w:rsidRDefault="00BB6C7B" w:rsidP="00430A51">
    <w:pPr>
      <w:pStyle w:val="Hlavika"/>
      <w:jc w:val="center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Návrh rozpočtu Sociálnej poisťovne na rok 202</w:t>
    </w:r>
    <w:r w:rsidR="00364196">
      <w:rPr>
        <w:rFonts w:ascii="Times New Roman" w:hAnsi="Times New Roman"/>
        <w:i/>
        <w:sz w:val="22"/>
        <w:szCs w:val="22"/>
      </w:rPr>
      <w:t>6</w:t>
    </w:r>
    <w:r>
      <w:rPr>
        <w:rFonts w:ascii="Times New Roman" w:hAnsi="Times New Roman"/>
        <w:i/>
        <w:sz w:val="22"/>
        <w:szCs w:val="22"/>
      </w:rPr>
      <w:t xml:space="preserve"> a rozpočtový výhľad na roky 202</w:t>
    </w:r>
    <w:r w:rsidR="00364196">
      <w:rPr>
        <w:rFonts w:ascii="Times New Roman" w:hAnsi="Times New Roman"/>
        <w:i/>
        <w:sz w:val="22"/>
        <w:szCs w:val="22"/>
      </w:rPr>
      <w:t>7</w:t>
    </w:r>
    <w:r>
      <w:rPr>
        <w:rFonts w:ascii="Times New Roman" w:hAnsi="Times New Roman"/>
        <w:i/>
        <w:sz w:val="22"/>
        <w:szCs w:val="22"/>
      </w:rPr>
      <w:t xml:space="preserve"> a 202</w:t>
    </w:r>
    <w:r w:rsidR="00364196">
      <w:rPr>
        <w:rFonts w:ascii="Times New Roman" w:hAnsi="Times New Roman"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048"/>
    <w:multiLevelType w:val="singleLevel"/>
    <w:tmpl w:val="A88A26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" w15:restartNumberingAfterBreak="0">
    <w:nsid w:val="03266FA7"/>
    <w:multiLevelType w:val="hybridMultilevel"/>
    <w:tmpl w:val="7834DDAE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57383F"/>
    <w:multiLevelType w:val="hybridMultilevel"/>
    <w:tmpl w:val="DE96D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4BEF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A24239"/>
    <w:multiLevelType w:val="hybridMultilevel"/>
    <w:tmpl w:val="94C01306"/>
    <w:lvl w:ilvl="0" w:tplc="9E16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A6FD5"/>
    <w:multiLevelType w:val="hybridMultilevel"/>
    <w:tmpl w:val="1334FC0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F732C2"/>
    <w:multiLevelType w:val="hybridMultilevel"/>
    <w:tmpl w:val="89061C6E"/>
    <w:lvl w:ilvl="0" w:tplc="275AF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4239F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9648D3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49549C3"/>
    <w:multiLevelType w:val="hybridMultilevel"/>
    <w:tmpl w:val="EB549B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72D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647533E"/>
    <w:multiLevelType w:val="hybridMultilevel"/>
    <w:tmpl w:val="8DCAF820"/>
    <w:lvl w:ilvl="0" w:tplc="0284CF70">
      <w:start w:val="1"/>
      <w:numFmt w:val="bullet"/>
      <w:lvlText w:val="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F4ACD"/>
    <w:multiLevelType w:val="hybridMultilevel"/>
    <w:tmpl w:val="C01EBA6A"/>
    <w:lvl w:ilvl="0" w:tplc="041B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D48779B"/>
    <w:multiLevelType w:val="hybridMultilevel"/>
    <w:tmpl w:val="89F88EB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FE95767"/>
    <w:multiLevelType w:val="hybridMultilevel"/>
    <w:tmpl w:val="CA3E55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90A27"/>
    <w:multiLevelType w:val="hybridMultilevel"/>
    <w:tmpl w:val="366C1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D3C9D"/>
    <w:multiLevelType w:val="hybridMultilevel"/>
    <w:tmpl w:val="1B1AFE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B4E1C"/>
    <w:multiLevelType w:val="hybridMultilevel"/>
    <w:tmpl w:val="9AF4221A"/>
    <w:lvl w:ilvl="0" w:tplc="C4407CDE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00D0F6E"/>
    <w:multiLevelType w:val="hybridMultilevel"/>
    <w:tmpl w:val="205A6CA0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337B2110"/>
    <w:multiLevelType w:val="hybridMultilevel"/>
    <w:tmpl w:val="248EB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640469"/>
    <w:multiLevelType w:val="hybridMultilevel"/>
    <w:tmpl w:val="9E989D8C"/>
    <w:lvl w:ilvl="0" w:tplc="9E16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F0224"/>
    <w:multiLevelType w:val="hybridMultilevel"/>
    <w:tmpl w:val="806044A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389A2CC6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E086EC6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B73096"/>
    <w:multiLevelType w:val="hybridMultilevel"/>
    <w:tmpl w:val="4C92D45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D6019"/>
    <w:multiLevelType w:val="hybridMultilevel"/>
    <w:tmpl w:val="CB1C7D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157FF"/>
    <w:multiLevelType w:val="hybridMultilevel"/>
    <w:tmpl w:val="B81694EE"/>
    <w:lvl w:ilvl="0" w:tplc="C4407C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821EE"/>
    <w:multiLevelType w:val="hybridMultilevel"/>
    <w:tmpl w:val="BDAA9948"/>
    <w:lvl w:ilvl="0" w:tplc="041B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48761E5F"/>
    <w:multiLevelType w:val="hybridMultilevel"/>
    <w:tmpl w:val="C92C1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D040A"/>
    <w:multiLevelType w:val="hybridMultilevel"/>
    <w:tmpl w:val="3F282DA4"/>
    <w:lvl w:ilvl="0" w:tplc="C4407CD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A38119B"/>
    <w:multiLevelType w:val="hybridMultilevel"/>
    <w:tmpl w:val="7DB641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F4438"/>
    <w:multiLevelType w:val="hybridMultilevel"/>
    <w:tmpl w:val="A84CF6E6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7338C"/>
    <w:multiLevelType w:val="hybridMultilevel"/>
    <w:tmpl w:val="91EA5B4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44C92"/>
    <w:multiLevelType w:val="hybridMultilevel"/>
    <w:tmpl w:val="89B44AD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37D2E4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3F8182C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84C3597"/>
    <w:multiLevelType w:val="hybridMultilevel"/>
    <w:tmpl w:val="46688EA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21D3C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0074AA7"/>
    <w:multiLevelType w:val="hybridMultilevel"/>
    <w:tmpl w:val="607CEA48"/>
    <w:lvl w:ilvl="0" w:tplc="C4407CD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32A0D57"/>
    <w:multiLevelType w:val="hybridMultilevel"/>
    <w:tmpl w:val="D0A266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27B6F"/>
    <w:multiLevelType w:val="hybridMultilevel"/>
    <w:tmpl w:val="603A22B4"/>
    <w:lvl w:ilvl="0" w:tplc="0284CF70">
      <w:start w:val="1"/>
      <w:numFmt w:val="bullet"/>
      <w:lvlText w:val=""/>
      <w:lvlJc w:val="left"/>
      <w:pPr>
        <w:tabs>
          <w:tab w:val="num" w:pos="537"/>
        </w:tabs>
        <w:ind w:left="18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879333B"/>
    <w:multiLevelType w:val="hybridMultilevel"/>
    <w:tmpl w:val="5DC6089C"/>
    <w:lvl w:ilvl="0" w:tplc="C2500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82168"/>
    <w:multiLevelType w:val="hybridMultilevel"/>
    <w:tmpl w:val="D6448940"/>
    <w:lvl w:ilvl="0" w:tplc="B1720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00D94"/>
    <w:multiLevelType w:val="hybridMultilevel"/>
    <w:tmpl w:val="0400D2C0"/>
    <w:lvl w:ilvl="0" w:tplc="32FEB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BF4DF6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FA1CAA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7F9C465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16576">
    <w:abstractNumId w:val="36"/>
  </w:num>
  <w:num w:numId="2" w16cid:durableId="975256344">
    <w:abstractNumId w:val="24"/>
  </w:num>
  <w:num w:numId="3" w16cid:durableId="360403032">
    <w:abstractNumId w:val="40"/>
  </w:num>
  <w:num w:numId="4" w16cid:durableId="935558504">
    <w:abstractNumId w:val="11"/>
  </w:num>
  <w:num w:numId="5" w16cid:durableId="569312172">
    <w:abstractNumId w:val="37"/>
  </w:num>
  <w:num w:numId="6" w16cid:durableId="589118700">
    <w:abstractNumId w:val="10"/>
  </w:num>
  <w:num w:numId="7" w16cid:durableId="1052080259">
    <w:abstractNumId w:val="22"/>
  </w:num>
  <w:num w:numId="8" w16cid:durableId="1644388466">
    <w:abstractNumId w:val="34"/>
  </w:num>
  <w:num w:numId="9" w16cid:durableId="633828128">
    <w:abstractNumId w:val="23"/>
  </w:num>
  <w:num w:numId="10" w16cid:durableId="1841658410">
    <w:abstractNumId w:val="47"/>
  </w:num>
  <w:num w:numId="11" w16cid:durableId="364451549">
    <w:abstractNumId w:val="35"/>
  </w:num>
  <w:num w:numId="12" w16cid:durableId="1703358837">
    <w:abstractNumId w:val="9"/>
  </w:num>
  <w:num w:numId="13" w16cid:durableId="1330136004">
    <w:abstractNumId w:val="46"/>
  </w:num>
  <w:num w:numId="14" w16cid:durableId="1533224983">
    <w:abstractNumId w:val="8"/>
  </w:num>
  <w:num w:numId="15" w16cid:durableId="1718161057">
    <w:abstractNumId w:val="45"/>
  </w:num>
  <w:num w:numId="16" w16cid:durableId="1331711445">
    <w:abstractNumId w:val="7"/>
  </w:num>
  <w:num w:numId="17" w16cid:durableId="51854351">
    <w:abstractNumId w:val="3"/>
  </w:num>
  <w:num w:numId="18" w16cid:durableId="332496299">
    <w:abstractNumId w:val="26"/>
  </w:num>
  <w:num w:numId="19" w16cid:durableId="937568297">
    <w:abstractNumId w:val="6"/>
  </w:num>
  <w:num w:numId="20" w16cid:durableId="1324510826">
    <w:abstractNumId w:val="0"/>
  </w:num>
  <w:num w:numId="21" w16cid:durableId="1994021836">
    <w:abstractNumId w:val="20"/>
  </w:num>
  <w:num w:numId="22" w16cid:durableId="1046762651">
    <w:abstractNumId w:val="4"/>
  </w:num>
  <w:num w:numId="23" w16cid:durableId="537468955">
    <w:abstractNumId w:val="31"/>
  </w:num>
  <w:num w:numId="24" w16cid:durableId="1202206249">
    <w:abstractNumId w:val="18"/>
  </w:num>
  <w:num w:numId="25" w16cid:durableId="1571842310">
    <w:abstractNumId w:val="32"/>
  </w:num>
  <w:num w:numId="26" w16cid:durableId="1034505736">
    <w:abstractNumId w:val="21"/>
  </w:num>
  <w:num w:numId="27" w16cid:durableId="857154718">
    <w:abstractNumId w:val="41"/>
  </w:num>
  <w:num w:numId="28" w16cid:durableId="554202495">
    <w:abstractNumId w:val="42"/>
  </w:num>
  <w:num w:numId="29" w16cid:durableId="1217359051">
    <w:abstractNumId w:val="39"/>
  </w:num>
  <w:num w:numId="30" w16cid:durableId="1925602183">
    <w:abstractNumId w:val="33"/>
  </w:num>
  <w:num w:numId="31" w16cid:durableId="808210754">
    <w:abstractNumId w:val="1"/>
  </w:num>
  <w:num w:numId="32" w16cid:durableId="2078357452">
    <w:abstractNumId w:val="13"/>
  </w:num>
  <w:num w:numId="33" w16cid:durableId="695547005">
    <w:abstractNumId w:val="12"/>
  </w:num>
  <w:num w:numId="34" w16cid:durableId="1293365662">
    <w:abstractNumId w:val="28"/>
  </w:num>
  <w:num w:numId="35" w16cid:durableId="67924324">
    <w:abstractNumId w:val="14"/>
  </w:num>
  <w:num w:numId="36" w16cid:durableId="169565267">
    <w:abstractNumId w:val="15"/>
  </w:num>
  <w:num w:numId="37" w16cid:durableId="2101827399">
    <w:abstractNumId w:val="43"/>
  </w:num>
  <w:num w:numId="38" w16cid:durableId="1897081256">
    <w:abstractNumId w:val="38"/>
  </w:num>
  <w:num w:numId="39" w16cid:durableId="1301766446">
    <w:abstractNumId w:val="25"/>
  </w:num>
  <w:num w:numId="40" w16cid:durableId="2047244892">
    <w:abstractNumId w:val="5"/>
  </w:num>
  <w:num w:numId="41" w16cid:durableId="1900048832">
    <w:abstractNumId w:val="29"/>
  </w:num>
  <w:num w:numId="42" w16cid:durableId="8799042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6600893">
    <w:abstractNumId w:val="19"/>
  </w:num>
  <w:num w:numId="44" w16cid:durableId="1091587779">
    <w:abstractNumId w:val="44"/>
  </w:num>
  <w:num w:numId="45" w16cid:durableId="481894466">
    <w:abstractNumId w:val="17"/>
  </w:num>
  <w:num w:numId="46" w16cid:durableId="2128304371">
    <w:abstractNumId w:val="16"/>
  </w:num>
  <w:num w:numId="47" w16cid:durableId="1828089463">
    <w:abstractNumId w:val="2"/>
  </w:num>
  <w:num w:numId="48" w16cid:durableId="1832719907">
    <w:abstractNumId w:val="30"/>
  </w:num>
  <w:num w:numId="49" w16cid:durableId="18202682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E4"/>
    <w:rsid w:val="00002E6B"/>
    <w:rsid w:val="000054DA"/>
    <w:rsid w:val="00005AA4"/>
    <w:rsid w:val="00005DB7"/>
    <w:rsid w:val="00005F2A"/>
    <w:rsid w:val="00006687"/>
    <w:rsid w:val="00006EB6"/>
    <w:rsid w:val="00006F32"/>
    <w:rsid w:val="00011314"/>
    <w:rsid w:val="000123DB"/>
    <w:rsid w:val="000132D0"/>
    <w:rsid w:val="0001484E"/>
    <w:rsid w:val="0001600D"/>
    <w:rsid w:val="000178EC"/>
    <w:rsid w:val="00020C41"/>
    <w:rsid w:val="00022346"/>
    <w:rsid w:val="0002248D"/>
    <w:rsid w:val="000232B5"/>
    <w:rsid w:val="00025CC0"/>
    <w:rsid w:val="00026E0E"/>
    <w:rsid w:val="00031BFF"/>
    <w:rsid w:val="000360DC"/>
    <w:rsid w:val="00036F71"/>
    <w:rsid w:val="0004013A"/>
    <w:rsid w:val="000405E4"/>
    <w:rsid w:val="000407A6"/>
    <w:rsid w:val="00043044"/>
    <w:rsid w:val="00043BA4"/>
    <w:rsid w:val="00045FF4"/>
    <w:rsid w:val="0004624C"/>
    <w:rsid w:val="000503AB"/>
    <w:rsid w:val="00051644"/>
    <w:rsid w:val="000528EC"/>
    <w:rsid w:val="000536AA"/>
    <w:rsid w:val="000544CE"/>
    <w:rsid w:val="00056EF2"/>
    <w:rsid w:val="000570F4"/>
    <w:rsid w:val="00060340"/>
    <w:rsid w:val="00060D15"/>
    <w:rsid w:val="00061FDB"/>
    <w:rsid w:val="0006494C"/>
    <w:rsid w:val="00065B9D"/>
    <w:rsid w:val="00071EC4"/>
    <w:rsid w:val="00074BDC"/>
    <w:rsid w:val="000761A1"/>
    <w:rsid w:val="00077801"/>
    <w:rsid w:val="000778A8"/>
    <w:rsid w:val="00081044"/>
    <w:rsid w:val="000850E0"/>
    <w:rsid w:val="00086008"/>
    <w:rsid w:val="00090610"/>
    <w:rsid w:val="00090695"/>
    <w:rsid w:val="00091DE3"/>
    <w:rsid w:val="000921C4"/>
    <w:rsid w:val="00095E26"/>
    <w:rsid w:val="000A08E2"/>
    <w:rsid w:val="000A0BD0"/>
    <w:rsid w:val="000A2E9F"/>
    <w:rsid w:val="000A30D2"/>
    <w:rsid w:val="000A4CE1"/>
    <w:rsid w:val="000A5525"/>
    <w:rsid w:val="000A5701"/>
    <w:rsid w:val="000A590B"/>
    <w:rsid w:val="000A67B0"/>
    <w:rsid w:val="000A69B3"/>
    <w:rsid w:val="000A73EB"/>
    <w:rsid w:val="000B095D"/>
    <w:rsid w:val="000B0DD8"/>
    <w:rsid w:val="000B0E29"/>
    <w:rsid w:val="000B0E2E"/>
    <w:rsid w:val="000B1E08"/>
    <w:rsid w:val="000B53FF"/>
    <w:rsid w:val="000B5E3E"/>
    <w:rsid w:val="000B6477"/>
    <w:rsid w:val="000B6795"/>
    <w:rsid w:val="000B7BC3"/>
    <w:rsid w:val="000C16AA"/>
    <w:rsid w:val="000C246C"/>
    <w:rsid w:val="000C4A87"/>
    <w:rsid w:val="000C690A"/>
    <w:rsid w:val="000C7765"/>
    <w:rsid w:val="000D04E8"/>
    <w:rsid w:val="000D134A"/>
    <w:rsid w:val="000D2352"/>
    <w:rsid w:val="000D5B26"/>
    <w:rsid w:val="000E01D4"/>
    <w:rsid w:val="000E041F"/>
    <w:rsid w:val="000E120E"/>
    <w:rsid w:val="000E1DA3"/>
    <w:rsid w:val="000E22BB"/>
    <w:rsid w:val="000E3CD8"/>
    <w:rsid w:val="000E6706"/>
    <w:rsid w:val="000F1FFD"/>
    <w:rsid w:val="000F3168"/>
    <w:rsid w:val="000F3851"/>
    <w:rsid w:val="000F3AC5"/>
    <w:rsid w:val="000F4A30"/>
    <w:rsid w:val="000F4D89"/>
    <w:rsid w:val="000F7344"/>
    <w:rsid w:val="0010254C"/>
    <w:rsid w:val="0010360E"/>
    <w:rsid w:val="00107CE0"/>
    <w:rsid w:val="001109FA"/>
    <w:rsid w:val="00112CC7"/>
    <w:rsid w:val="00115946"/>
    <w:rsid w:val="001160C6"/>
    <w:rsid w:val="00117B42"/>
    <w:rsid w:val="001210AE"/>
    <w:rsid w:val="0012236A"/>
    <w:rsid w:val="0012285E"/>
    <w:rsid w:val="00123329"/>
    <w:rsid w:val="00123FBF"/>
    <w:rsid w:val="00126429"/>
    <w:rsid w:val="001264D2"/>
    <w:rsid w:val="00127635"/>
    <w:rsid w:val="00127D86"/>
    <w:rsid w:val="00131C9C"/>
    <w:rsid w:val="001327F4"/>
    <w:rsid w:val="00132B0B"/>
    <w:rsid w:val="0013484C"/>
    <w:rsid w:val="00137AF6"/>
    <w:rsid w:val="00141EE7"/>
    <w:rsid w:val="001457C7"/>
    <w:rsid w:val="00145866"/>
    <w:rsid w:val="001476B6"/>
    <w:rsid w:val="001508A6"/>
    <w:rsid w:val="00151F21"/>
    <w:rsid w:val="00152AC8"/>
    <w:rsid w:val="0015437A"/>
    <w:rsid w:val="00154504"/>
    <w:rsid w:val="00154B62"/>
    <w:rsid w:val="00156632"/>
    <w:rsid w:val="001567DE"/>
    <w:rsid w:val="00161729"/>
    <w:rsid w:val="00161C01"/>
    <w:rsid w:val="00162E21"/>
    <w:rsid w:val="001643F5"/>
    <w:rsid w:val="00167051"/>
    <w:rsid w:val="00167E50"/>
    <w:rsid w:val="0017177F"/>
    <w:rsid w:val="0017307D"/>
    <w:rsid w:val="001733D5"/>
    <w:rsid w:val="001741E0"/>
    <w:rsid w:val="00174594"/>
    <w:rsid w:val="001747F5"/>
    <w:rsid w:val="001752A9"/>
    <w:rsid w:val="001767C5"/>
    <w:rsid w:val="001775CA"/>
    <w:rsid w:val="00177A3F"/>
    <w:rsid w:val="00180883"/>
    <w:rsid w:val="00181377"/>
    <w:rsid w:val="00182058"/>
    <w:rsid w:val="0018221E"/>
    <w:rsid w:val="001830E1"/>
    <w:rsid w:val="001859E2"/>
    <w:rsid w:val="001874F9"/>
    <w:rsid w:val="00191B82"/>
    <w:rsid w:val="00192C03"/>
    <w:rsid w:val="0019475C"/>
    <w:rsid w:val="0019675C"/>
    <w:rsid w:val="00197823"/>
    <w:rsid w:val="00197B18"/>
    <w:rsid w:val="001A12B0"/>
    <w:rsid w:val="001A12D8"/>
    <w:rsid w:val="001A1B53"/>
    <w:rsid w:val="001A27A4"/>
    <w:rsid w:val="001A374E"/>
    <w:rsid w:val="001A4046"/>
    <w:rsid w:val="001A56DC"/>
    <w:rsid w:val="001A79D5"/>
    <w:rsid w:val="001A7DCB"/>
    <w:rsid w:val="001B042E"/>
    <w:rsid w:val="001B04DB"/>
    <w:rsid w:val="001B0A10"/>
    <w:rsid w:val="001B3690"/>
    <w:rsid w:val="001B50DF"/>
    <w:rsid w:val="001C0721"/>
    <w:rsid w:val="001C133C"/>
    <w:rsid w:val="001C1AD2"/>
    <w:rsid w:val="001C2F8D"/>
    <w:rsid w:val="001C30EA"/>
    <w:rsid w:val="001C3C3A"/>
    <w:rsid w:val="001C53A6"/>
    <w:rsid w:val="001C6947"/>
    <w:rsid w:val="001C7081"/>
    <w:rsid w:val="001D116E"/>
    <w:rsid w:val="001D1C97"/>
    <w:rsid w:val="001D3D02"/>
    <w:rsid w:val="001D46D6"/>
    <w:rsid w:val="001D537D"/>
    <w:rsid w:val="001E0A87"/>
    <w:rsid w:val="001E3593"/>
    <w:rsid w:val="001E38B1"/>
    <w:rsid w:val="001E3DAD"/>
    <w:rsid w:val="001E422F"/>
    <w:rsid w:val="001E5216"/>
    <w:rsid w:val="001E72BA"/>
    <w:rsid w:val="001E7BFC"/>
    <w:rsid w:val="001F060F"/>
    <w:rsid w:val="001F092D"/>
    <w:rsid w:val="001F2EEA"/>
    <w:rsid w:val="001F7F63"/>
    <w:rsid w:val="00200536"/>
    <w:rsid w:val="00202A41"/>
    <w:rsid w:val="002060AB"/>
    <w:rsid w:val="0021336C"/>
    <w:rsid w:val="0021365F"/>
    <w:rsid w:val="00216C51"/>
    <w:rsid w:val="0021738E"/>
    <w:rsid w:val="002176F7"/>
    <w:rsid w:val="00221268"/>
    <w:rsid w:val="00221659"/>
    <w:rsid w:val="00221963"/>
    <w:rsid w:val="00223296"/>
    <w:rsid w:val="0022386F"/>
    <w:rsid w:val="00225041"/>
    <w:rsid w:val="00226E1F"/>
    <w:rsid w:val="002278F5"/>
    <w:rsid w:val="00231303"/>
    <w:rsid w:val="00233120"/>
    <w:rsid w:val="002358D7"/>
    <w:rsid w:val="00236616"/>
    <w:rsid w:val="002373A6"/>
    <w:rsid w:val="00240632"/>
    <w:rsid w:val="002411F7"/>
    <w:rsid w:val="00244DAE"/>
    <w:rsid w:val="00244FCA"/>
    <w:rsid w:val="002452E9"/>
    <w:rsid w:val="00247FC5"/>
    <w:rsid w:val="00251817"/>
    <w:rsid w:val="00253D31"/>
    <w:rsid w:val="00257A7D"/>
    <w:rsid w:val="00261244"/>
    <w:rsid w:val="00270573"/>
    <w:rsid w:val="002709EF"/>
    <w:rsid w:val="00272C1E"/>
    <w:rsid w:val="00276381"/>
    <w:rsid w:val="00276A39"/>
    <w:rsid w:val="002776BB"/>
    <w:rsid w:val="00280DAC"/>
    <w:rsid w:val="00283CAC"/>
    <w:rsid w:val="0029033B"/>
    <w:rsid w:val="00290591"/>
    <w:rsid w:val="002907C3"/>
    <w:rsid w:val="002930D2"/>
    <w:rsid w:val="0029349B"/>
    <w:rsid w:val="002943DC"/>
    <w:rsid w:val="00295377"/>
    <w:rsid w:val="002A1BB3"/>
    <w:rsid w:val="002A2EB4"/>
    <w:rsid w:val="002A3AEF"/>
    <w:rsid w:val="002A4176"/>
    <w:rsid w:val="002A5C96"/>
    <w:rsid w:val="002A5DF0"/>
    <w:rsid w:val="002A636F"/>
    <w:rsid w:val="002A6F06"/>
    <w:rsid w:val="002A7133"/>
    <w:rsid w:val="002A7282"/>
    <w:rsid w:val="002B470E"/>
    <w:rsid w:val="002B4EF2"/>
    <w:rsid w:val="002B594A"/>
    <w:rsid w:val="002B5F68"/>
    <w:rsid w:val="002B6E88"/>
    <w:rsid w:val="002B7C90"/>
    <w:rsid w:val="002C06DE"/>
    <w:rsid w:val="002C0A28"/>
    <w:rsid w:val="002C1BCD"/>
    <w:rsid w:val="002C2078"/>
    <w:rsid w:val="002C209F"/>
    <w:rsid w:val="002C7E81"/>
    <w:rsid w:val="002D0023"/>
    <w:rsid w:val="002E0D5D"/>
    <w:rsid w:val="002E1F43"/>
    <w:rsid w:val="002E3AEA"/>
    <w:rsid w:val="002E6AD5"/>
    <w:rsid w:val="002E7816"/>
    <w:rsid w:val="002F5706"/>
    <w:rsid w:val="002F78ED"/>
    <w:rsid w:val="002F7D48"/>
    <w:rsid w:val="003003DC"/>
    <w:rsid w:val="0030616E"/>
    <w:rsid w:val="00313E6B"/>
    <w:rsid w:val="00313F47"/>
    <w:rsid w:val="00315703"/>
    <w:rsid w:val="00316D70"/>
    <w:rsid w:val="00320BB2"/>
    <w:rsid w:val="00322096"/>
    <w:rsid w:val="003223FE"/>
    <w:rsid w:val="00322E35"/>
    <w:rsid w:val="0032617C"/>
    <w:rsid w:val="00326A7D"/>
    <w:rsid w:val="00327FD1"/>
    <w:rsid w:val="0033036C"/>
    <w:rsid w:val="0033598C"/>
    <w:rsid w:val="00342431"/>
    <w:rsid w:val="00342844"/>
    <w:rsid w:val="00343A6C"/>
    <w:rsid w:val="00344BB9"/>
    <w:rsid w:val="003451F6"/>
    <w:rsid w:val="0035356D"/>
    <w:rsid w:val="00353651"/>
    <w:rsid w:val="0035795C"/>
    <w:rsid w:val="00360FB5"/>
    <w:rsid w:val="00361CB9"/>
    <w:rsid w:val="00363C70"/>
    <w:rsid w:val="00364196"/>
    <w:rsid w:val="003644C2"/>
    <w:rsid w:val="003671B5"/>
    <w:rsid w:val="00367D5F"/>
    <w:rsid w:val="0037175A"/>
    <w:rsid w:val="00371B8D"/>
    <w:rsid w:val="003748CE"/>
    <w:rsid w:val="00375F4D"/>
    <w:rsid w:val="00376625"/>
    <w:rsid w:val="003771E4"/>
    <w:rsid w:val="00382801"/>
    <w:rsid w:val="00383615"/>
    <w:rsid w:val="003857F2"/>
    <w:rsid w:val="00386838"/>
    <w:rsid w:val="00387013"/>
    <w:rsid w:val="003A3A30"/>
    <w:rsid w:val="003A64A2"/>
    <w:rsid w:val="003A7716"/>
    <w:rsid w:val="003B049C"/>
    <w:rsid w:val="003B229F"/>
    <w:rsid w:val="003B236B"/>
    <w:rsid w:val="003B47D7"/>
    <w:rsid w:val="003B529E"/>
    <w:rsid w:val="003B64F8"/>
    <w:rsid w:val="003B724C"/>
    <w:rsid w:val="003C2585"/>
    <w:rsid w:val="003C2F37"/>
    <w:rsid w:val="003C6CFA"/>
    <w:rsid w:val="003D4FD5"/>
    <w:rsid w:val="003D6E6F"/>
    <w:rsid w:val="003D7191"/>
    <w:rsid w:val="003E0193"/>
    <w:rsid w:val="003E1018"/>
    <w:rsid w:val="003E760B"/>
    <w:rsid w:val="003E7B08"/>
    <w:rsid w:val="003E7B5A"/>
    <w:rsid w:val="003F2C6A"/>
    <w:rsid w:val="003F40C6"/>
    <w:rsid w:val="003F41CC"/>
    <w:rsid w:val="003F4466"/>
    <w:rsid w:val="003F7490"/>
    <w:rsid w:val="003F79B7"/>
    <w:rsid w:val="00400886"/>
    <w:rsid w:val="0040181D"/>
    <w:rsid w:val="00401DBE"/>
    <w:rsid w:val="004033A3"/>
    <w:rsid w:val="004077B3"/>
    <w:rsid w:val="00410089"/>
    <w:rsid w:val="004170D2"/>
    <w:rsid w:val="00424068"/>
    <w:rsid w:val="0042583A"/>
    <w:rsid w:val="00426361"/>
    <w:rsid w:val="0042681D"/>
    <w:rsid w:val="00426F83"/>
    <w:rsid w:val="00427B6B"/>
    <w:rsid w:val="004302AD"/>
    <w:rsid w:val="00430A51"/>
    <w:rsid w:val="00437D9F"/>
    <w:rsid w:val="00437ED8"/>
    <w:rsid w:val="0044214E"/>
    <w:rsid w:val="00442BB7"/>
    <w:rsid w:val="004430C5"/>
    <w:rsid w:val="00444879"/>
    <w:rsid w:val="004526DF"/>
    <w:rsid w:val="00455981"/>
    <w:rsid w:val="00455B1A"/>
    <w:rsid w:val="0046040C"/>
    <w:rsid w:val="00461962"/>
    <w:rsid w:val="00461E0B"/>
    <w:rsid w:val="0046477B"/>
    <w:rsid w:val="00464E1D"/>
    <w:rsid w:val="00465E01"/>
    <w:rsid w:val="0047221C"/>
    <w:rsid w:val="00473C5E"/>
    <w:rsid w:val="00474213"/>
    <w:rsid w:val="00476218"/>
    <w:rsid w:val="004770AC"/>
    <w:rsid w:val="00481695"/>
    <w:rsid w:val="0048254C"/>
    <w:rsid w:val="00482780"/>
    <w:rsid w:val="0048516F"/>
    <w:rsid w:val="004869FE"/>
    <w:rsid w:val="00486FDA"/>
    <w:rsid w:val="004949C1"/>
    <w:rsid w:val="00496264"/>
    <w:rsid w:val="0049644C"/>
    <w:rsid w:val="00496540"/>
    <w:rsid w:val="00496E8E"/>
    <w:rsid w:val="004A0214"/>
    <w:rsid w:val="004A0BC0"/>
    <w:rsid w:val="004A1D04"/>
    <w:rsid w:val="004A2C2A"/>
    <w:rsid w:val="004A4A8E"/>
    <w:rsid w:val="004A5B6C"/>
    <w:rsid w:val="004A6549"/>
    <w:rsid w:val="004B1350"/>
    <w:rsid w:val="004B2189"/>
    <w:rsid w:val="004C1A31"/>
    <w:rsid w:val="004C29BD"/>
    <w:rsid w:val="004C446E"/>
    <w:rsid w:val="004C61AE"/>
    <w:rsid w:val="004C7EC8"/>
    <w:rsid w:val="004D06B4"/>
    <w:rsid w:val="004D55CE"/>
    <w:rsid w:val="004E0DE6"/>
    <w:rsid w:val="004E5053"/>
    <w:rsid w:val="004E5332"/>
    <w:rsid w:val="004E6656"/>
    <w:rsid w:val="004E66CD"/>
    <w:rsid w:val="004F4844"/>
    <w:rsid w:val="004F5630"/>
    <w:rsid w:val="004F640A"/>
    <w:rsid w:val="004F674E"/>
    <w:rsid w:val="004F6E62"/>
    <w:rsid w:val="004F714C"/>
    <w:rsid w:val="004F726A"/>
    <w:rsid w:val="004F77E0"/>
    <w:rsid w:val="0050080B"/>
    <w:rsid w:val="00501AAB"/>
    <w:rsid w:val="00501F16"/>
    <w:rsid w:val="005025E6"/>
    <w:rsid w:val="00505B00"/>
    <w:rsid w:val="005065B6"/>
    <w:rsid w:val="00506A3E"/>
    <w:rsid w:val="005070BA"/>
    <w:rsid w:val="005078EB"/>
    <w:rsid w:val="00507B2C"/>
    <w:rsid w:val="00510152"/>
    <w:rsid w:val="0051691F"/>
    <w:rsid w:val="00517233"/>
    <w:rsid w:val="00517328"/>
    <w:rsid w:val="0052206B"/>
    <w:rsid w:val="00522A8F"/>
    <w:rsid w:val="00523407"/>
    <w:rsid w:val="005275FB"/>
    <w:rsid w:val="00531393"/>
    <w:rsid w:val="005331C6"/>
    <w:rsid w:val="005337FA"/>
    <w:rsid w:val="00534837"/>
    <w:rsid w:val="005355B8"/>
    <w:rsid w:val="005376B1"/>
    <w:rsid w:val="0054137B"/>
    <w:rsid w:val="00543FAF"/>
    <w:rsid w:val="00547911"/>
    <w:rsid w:val="00551A62"/>
    <w:rsid w:val="005552E7"/>
    <w:rsid w:val="0056239A"/>
    <w:rsid w:val="00564893"/>
    <w:rsid w:val="00570510"/>
    <w:rsid w:val="00570B42"/>
    <w:rsid w:val="0057240B"/>
    <w:rsid w:val="00572462"/>
    <w:rsid w:val="005724D9"/>
    <w:rsid w:val="00574744"/>
    <w:rsid w:val="005769EF"/>
    <w:rsid w:val="00580CED"/>
    <w:rsid w:val="00580E57"/>
    <w:rsid w:val="005818EC"/>
    <w:rsid w:val="00582805"/>
    <w:rsid w:val="0059041F"/>
    <w:rsid w:val="0059069C"/>
    <w:rsid w:val="005907CB"/>
    <w:rsid w:val="0059197E"/>
    <w:rsid w:val="00593964"/>
    <w:rsid w:val="00593DD9"/>
    <w:rsid w:val="00595BFF"/>
    <w:rsid w:val="005978A9"/>
    <w:rsid w:val="005A1D90"/>
    <w:rsid w:val="005A3062"/>
    <w:rsid w:val="005A3215"/>
    <w:rsid w:val="005A75A6"/>
    <w:rsid w:val="005B1F27"/>
    <w:rsid w:val="005B32A7"/>
    <w:rsid w:val="005B347F"/>
    <w:rsid w:val="005B3DE7"/>
    <w:rsid w:val="005B4279"/>
    <w:rsid w:val="005B6555"/>
    <w:rsid w:val="005B75AA"/>
    <w:rsid w:val="005B78D9"/>
    <w:rsid w:val="005C0C9F"/>
    <w:rsid w:val="005C4CE5"/>
    <w:rsid w:val="005C5205"/>
    <w:rsid w:val="005C6730"/>
    <w:rsid w:val="005C684B"/>
    <w:rsid w:val="005C7952"/>
    <w:rsid w:val="005D1444"/>
    <w:rsid w:val="005D17E0"/>
    <w:rsid w:val="005E14C2"/>
    <w:rsid w:val="005E2CC0"/>
    <w:rsid w:val="005E579B"/>
    <w:rsid w:val="005E5E4E"/>
    <w:rsid w:val="005E76EF"/>
    <w:rsid w:val="005E7D18"/>
    <w:rsid w:val="005F07A1"/>
    <w:rsid w:val="005F4755"/>
    <w:rsid w:val="006005CB"/>
    <w:rsid w:val="00604913"/>
    <w:rsid w:val="00605CF4"/>
    <w:rsid w:val="00614B72"/>
    <w:rsid w:val="00617DE0"/>
    <w:rsid w:val="00621BCA"/>
    <w:rsid w:val="0062260F"/>
    <w:rsid w:val="00626B55"/>
    <w:rsid w:val="0062775A"/>
    <w:rsid w:val="00630C55"/>
    <w:rsid w:val="00631361"/>
    <w:rsid w:val="006340EF"/>
    <w:rsid w:val="006344BD"/>
    <w:rsid w:val="00635B82"/>
    <w:rsid w:val="00636379"/>
    <w:rsid w:val="0064126B"/>
    <w:rsid w:val="00643611"/>
    <w:rsid w:val="0064399F"/>
    <w:rsid w:val="006439F4"/>
    <w:rsid w:val="00645613"/>
    <w:rsid w:val="00646773"/>
    <w:rsid w:val="00646958"/>
    <w:rsid w:val="0065014C"/>
    <w:rsid w:val="00650CD6"/>
    <w:rsid w:val="006514D4"/>
    <w:rsid w:val="00653BD0"/>
    <w:rsid w:val="00653E83"/>
    <w:rsid w:val="00663DCC"/>
    <w:rsid w:val="006642FB"/>
    <w:rsid w:val="0066461B"/>
    <w:rsid w:val="00664A3B"/>
    <w:rsid w:val="00665B79"/>
    <w:rsid w:val="00671D98"/>
    <w:rsid w:val="00672A79"/>
    <w:rsid w:val="00675333"/>
    <w:rsid w:val="00675566"/>
    <w:rsid w:val="006804A9"/>
    <w:rsid w:val="00682EEF"/>
    <w:rsid w:val="00685AD0"/>
    <w:rsid w:val="00691F60"/>
    <w:rsid w:val="00692345"/>
    <w:rsid w:val="006938BB"/>
    <w:rsid w:val="006960C3"/>
    <w:rsid w:val="00696B4A"/>
    <w:rsid w:val="006A03F2"/>
    <w:rsid w:val="006A4C7C"/>
    <w:rsid w:val="006B00B4"/>
    <w:rsid w:val="006B03DE"/>
    <w:rsid w:val="006B0F55"/>
    <w:rsid w:val="006B153B"/>
    <w:rsid w:val="006B2677"/>
    <w:rsid w:val="006B26AF"/>
    <w:rsid w:val="006B28D6"/>
    <w:rsid w:val="006B336F"/>
    <w:rsid w:val="006B43DE"/>
    <w:rsid w:val="006B58D7"/>
    <w:rsid w:val="006B5F66"/>
    <w:rsid w:val="006B6794"/>
    <w:rsid w:val="006B6C45"/>
    <w:rsid w:val="006B7CEC"/>
    <w:rsid w:val="006B7F65"/>
    <w:rsid w:val="006C0477"/>
    <w:rsid w:val="006C0690"/>
    <w:rsid w:val="006C0F88"/>
    <w:rsid w:val="006C60A6"/>
    <w:rsid w:val="006C6AE6"/>
    <w:rsid w:val="006C6BC2"/>
    <w:rsid w:val="006C77B0"/>
    <w:rsid w:val="006D06A6"/>
    <w:rsid w:val="006D1A23"/>
    <w:rsid w:val="006D1DA4"/>
    <w:rsid w:val="006D573C"/>
    <w:rsid w:val="006D74C6"/>
    <w:rsid w:val="006D7644"/>
    <w:rsid w:val="006E0E5E"/>
    <w:rsid w:val="006E1B90"/>
    <w:rsid w:val="006E2ABA"/>
    <w:rsid w:val="006E4725"/>
    <w:rsid w:val="006E545D"/>
    <w:rsid w:val="006E6C59"/>
    <w:rsid w:val="006F1F34"/>
    <w:rsid w:val="006F5E43"/>
    <w:rsid w:val="006F5F88"/>
    <w:rsid w:val="006F660E"/>
    <w:rsid w:val="007011F6"/>
    <w:rsid w:val="00706840"/>
    <w:rsid w:val="00706844"/>
    <w:rsid w:val="00710839"/>
    <w:rsid w:val="007136DF"/>
    <w:rsid w:val="00713E3D"/>
    <w:rsid w:val="007144F8"/>
    <w:rsid w:val="007146C2"/>
    <w:rsid w:val="00714985"/>
    <w:rsid w:val="00716880"/>
    <w:rsid w:val="00717A2D"/>
    <w:rsid w:val="00723DB2"/>
    <w:rsid w:val="007245CC"/>
    <w:rsid w:val="0072465C"/>
    <w:rsid w:val="007253EE"/>
    <w:rsid w:val="00727FE8"/>
    <w:rsid w:val="00730DC0"/>
    <w:rsid w:val="0073177A"/>
    <w:rsid w:val="007319C3"/>
    <w:rsid w:val="007327D6"/>
    <w:rsid w:val="00734164"/>
    <w:rsid w:val="0073582B"/>
    <w:rsid w:val="00735C03"/>
    <w:rsid w:val="00736E36"/>
    <w:rsid w:val="007377F6"/>
    <w:rsid w:val="007378B0"/>
    <w:rsid w:val="00740B5F"/>
    <w:rsid w:val="00741B87"/>
    <w:rsid w:val="0074695C"/>
    <w:rsid w:val="00751AA6"/>
    <w:rsid w:val="0075445C"/>
    <w:rsid w:val="00754D6F"/>
    <w:rsid w:val="00756859"/>
    <w:rsid w:val="0075773E"/>
    <w:rsid w:val="0076138F"/>
    <w:rsid w:val="00766501"/>
    <w:rsid w:val="00770BA0"/>
    <w:rsid w:val="00770F20"/>
    <w:rsid w:val="007735D0"/>
    <w:rsid w:val="00777A08"/>
    <w:rsid w:val="007833B5"/>
    <w:rsid w:val="007846A8"/>
    <w:rsid w:val="007851EF"/>
    <w:rsid w:val="00786542"/>
    <w:rsid w:val="00787E25"/>
    <w:rsid w:val="00790DFE"/>
    <w:rsid w:val="00791458"/>
    <w:rsid w:val="00791510"/>
    <w:rsid w:val="00793263"/>
    <w:rsid w:val="007947D5"/>
    <w:rsid w:val="00796FA9"/>
    <w:rsid w:val="00797D74"/>
    <w:rsid w:val="007A1075"/>
    <w:rsid w:val="007A5E54"/>
    <w:rsid w:val="007A62B0"/>
    <w:rsid w:val="007A6665"/>
    <w:rsid w:val="007A72E3"/>
    <w:rsid w:val="007A7DDE"/>
    <w:rsid w:val="007B22BB"/>
    <w:rsid w:val="007B320F"/>
    <w:rsid w:val="007C091D"/>
    <w:rsid w:val="007C409E"/>
    <w:rsid w:val="007C43CB"/>
    <w:rsid w:val="007C4A8C"/>
    <w:rsid w:val="007C68BC"/>
    <w:rsid w:val="007D1401"/>
    <w:rsid w:val="007D1452"/>
    <w:rsid w:val="007D146A"/>
    <w:rsid w:val="007D3BD2"/>
    <w:rsid w:val="007D4383"/>
    <w:rsid w:val="007D533C"/>
    <w:rsid w:val="007D6608"/>
    <w:rsid w:val="007E0862"/>
    <w:rsid w:val="007E2402"/>
    <w:rsid w:val="007E2445"/>
    <w:rsid w:val="007E35DB"/>
    <w:rsid w:val="007E38AB"/>
    <w:rsid w:val="007E4660"/>
    <w:rsid w:val="007E5352"/>
    <w:rsid w:val="007E6027"/>
    <w:rsid w:val="007F2DF3"/>
    <w:rsid w:val="007F4B9F"/>
    <w:rsid w:val="007F7B26"/>
    <w:rsid w:val="008010D8"/>
    <w:rsid w:val="00801787"/>
    <w:rsid w:val="00801F0E"/>
    <w:rsid w:val="00802377"/>
    <w:rsid w:val="008027E9"/>
    <w:rsid w:val="00802998"/>
    <w:rsid w:val="00803AB6"/>
    <w:rsid w:val="00803EA4"/>
    <w:rsid w:val="00804C12"/>
    <w:rsid w:val="00806890"/>
    <w:rsid w:val="00807D53"/>
    <w:rsid w:val="008115A9"/>
    <w:rsid w:val="008118AF"/>
    <w:rsid w:val="0081216E"/>
    <w:rsid w:val="0081576D"/>
    <w:rsid w:val="00820899"/>
    <w:rsid w:val="00822609"/>
    <w:rsid w:val="008231B9"/>
    <w:rsid w:val="008234AD"/>
    <w:rsid w:val="00823A40"/>
    <w:rsid w:val="0082411B"/>
    <w:rsid w:val="00825463"/>
    <w:rsid w:val="00825CCA"/>
    <w:rsid w:val="00827E0B"/>
    <w:rsid w:val="008309DA"/>
    <w:rsid w:val="0083138A"/>
    <w:rsid w:val="0083261A"/>
    <w:rsid w:val="008346CF"/>
    <w:rsid w:val="00836F8D"/>
    <w:rsid w:val="00837676"/>
    <w:rsid w:val="00840786"/>
    <w:rsid w:val="00843324"/>
    <w:rsid w:val="00844EFE"/>
    <w:rsid w:val="008463FE"/>
    <w:rsid w:val="00850F37"/>
    <w:rsid w:val="008570E5"/>
    <w:rsid w:val="00863366"/>
    <w:rsid w:val="00863741"/>
    <w:rsid w:val="00864AF4"/>
    <w:rsid w:val="008676DD"/>
    <w:rsid w:val="00867F00"/>
    <w:rsid w:val="008701EE"/>
    <w:rsid w:val="00870C0D"/>
    <w:rsid w:val="00871792"/>
    <w:rsid w:val="00874771"/>
    <w:rsid w:val="00881951"/>
    <w:rsid w:val="00885DF5"/>
    <w:rsid w:val="00887DFF"/>
    <w:rsid w:val="0089117F"/>
    <w:rsid w:val="008924D8"/>
    <w:rsid w:val="008927DF"/>
    <w:rsid w:val="00893651"/>
    <w:rsid w:val="00893E2C"/>
    <w:rsid w:val="00893F44"/>
    <w:rsid w:val="0089493E"/>
    <w:rsid w:val="00894BAA"/>
    <w:rsid w:val="00897909"/>
    <w:rsid w:val="008A0716"/>
    <w:rsid w:val="008A0DC2"/>
    <w:rsid w:val="008A2496"/>
    <w:rsid w:val="008A438B"/>
    <w:rsid w:val="008A5626"/>
    <w:rsid w:val="008B2CF7"/>
    <w:rsid w:val="008B4B4C"/>
    <w:rsid w:val="008B5DE4"/>
    <w:rsid w:val="008B62BF"/>
    <w:rsid w:val="008B64C9"/>
    <w:rsid w:val="008B66DC"/>
    <w:rsid w:val="008B6BB8"/>
    <w:rsid w:val="008B71A6"/>
    <w:rsid w:val="008B7BB2"/>
    <w:rsid w:val="008C033B"/>
    <w:rsid w:val="008C2367"/>
    <w:rsid w:val="008C3D84"/>
    <w:rsid w:val="008C4C24"/>
    <w:rsid w:val="008C746B"/>
    <w:rsid w:val="008C7495"/>
    <w:rsid w:val="008D05A8"/>
    <w:rsid w:val="008D0CBB"/>
    <w:rsid w:val="008D0DC3"/>
    <w:rsid w:val="008D14AE"/>
    <w:rsid w:val="008D2A7F"/>
    <w:rsid w:val="008D3023"/>
    <w:rsid w:val="008D3AA4"/>
    <w:rsid w:val="008D4FB5"/>
    <w:rsid w:val="008D62FF"/>
    <w:rsid w:val="008E0651"/>
    <w:rsid w:val="008E103C"/>
    <w:rsid w:val="008E2262"/>
    <w:rsid w:val="008E51C5"/>
    <w:rsid w:val="008E63B3"/>
    <w:rsid w:val="008E6856"/>
    <w:rsid w:val="008F13F0"/>
    <w:rsid w:val="008F2018"/>
    <w:rsid w:val="008F30E0"/>
    <w:rsid w:val="008F3F0D"/>
    <w:rsid w:val="008F4618"/>
    <w:rsid w:val="008F5931"/>
    <w:rsid w:val="008F5C0D"/>
    <w:rsid w:val="008F7DF2"/>
    <w:rsid w:val="00903136"/>
    <w:rsid w:val="00903879"/>
    <w:rsid w:val="0090404B"/>
    <w:rsid w:val="00907330"/>
    <w:rsid w:val="00910595"/>
    <w:rsid w:val="00910857"/>
    <w:rsid w:val="00912146"/>
    <w:rsid w:val="00912576"/>
    <w:rsid w:val="009136D8"/>
    <w:rsid w:val="009158A0"/>
    <w:rsid w:val="00915D43"/>
    <w:rsid w:val="00916057"/>
    <w:rsid w:val="009164F0"/>
    <w:rsid w:val="00916750"/>
    <w:rsid w:val="009173B3"/>
    <w:rsid w:val="00917893"/>
    <w:rsid w:val="00917C7B"/>
    <w:rsid w:val="00921FB2"/>
    <w:rsid w:val="009243D4"/>
    <w:rsid w:val="00924966"/>
    <w:rsid w:val="009329C8"/>
    <w:rsid w:val="00932A15"/>
    <w:rsid w:val="009337AC"/>
    <w:rsid w:val="00933D54"/>
    <w:rsid w:val="00933E90"/>
    <w:rsid w:val="00934BBD"/>
    <w:rsid w:val="00935DDB"/>
    <w:rsid w:val="0093697D"/>
    <w:rsid w:val="00940519"/>
    <w:rsid w:val="00947765"/>
    <w:rsid w:val="00947ABA"/>
    <w:rsid w:val="00947B3D"/>
    <w:rsid w:val="009506E5"/>
    <w:rsid w:val="00951872"/>
    <w:rsid w:val="0095211C"/>
    <w:rsid w:val="009522CC"/>
    <w:rsid w:val="00954C5B"/>
    <w:rsid w:val="00957AE9"/>
    <w:rsid w:val="00960AF2"/>
    <w:rsid w:val="00961CB0"/>
    <w:rsid w:val="009632AD"/>
    <w:rsid w:val="00963C20"/>
    <w:rsid w:val="00963F4C"/>
    <w:rsid w:val="009649BE"/>
    <w:rsid w:val="00964BA4"/>
    <w:rsid w:val="00966E91"/>
    <w:rsid w:val="00967196"/>
    <w:rsid w:val="00970B41"/>
    <w:rsid w:val="00973F50"/>
    <w:rsid w:val="00976563"/>
    <w:rsid w:val="00976875"/>
    <w:rsid w:val="00987AB2"/>
    <w:rsid w:val="00990B34"/>
    <w:rsid w:val="009912F9"/>
    <w:rsid w:val="0099450D"/>
    <w:rsid w:val="0099579B"/>
    <w:rsid w:val="00996B4D"/>
    <w:rsid w:val="009A0DDD"/>
    <w:rsid w:val="009A1521"/>
    <w:rsid w:val="009A3BDF"/>
    <w:rsid w:val="009A65EE"/>
    <w:rsid w:val="009A6894"/>
    <w:rsid w:val="009B2179"/>
    <w:rsid w:val="009B3153"/>
    <w:rsid w:val="009B6251"/>
    <w:rsid w:val="009B67AD"/>
    <w:rsid w:val="009B7850"/>
    <w:rsid w:val="009D0291"/>
    <w:rsid w:val="009D1103"/>
    <w:rsid w:val="009D431D"/>
    <w:rsid w:val="009E009D"/>
    <w:rsid w:val="009E1F79"/>
    <w:rsid w:val="009E20DF"/>
    <w:rsid w:val="009E23DD"/>
    <w:rsid w:val="009E2698"/>
    <w:rsid w:val="009E3571"/>
    <w:rsid w:val="009E3853"/>
    <w:rsid w:val="009E3AC5"/>
    <w:rsid w:val="009E4985"/>
    <w:rsid w:val="009E5704"/>
    <w:rsid w:val="009E6844"/>
    <w:rsid w:val="009E6FD9"/>
    <w:rsid w:val="009F25F4"/>
    <w:rsid w:val="009F2AF5"/>
    <w:rsid w:val="009F4206"/>
    <w:rsid w:val="009F6033"/>
    <w:rsid w:val="009F74B2"/>
    <w:rsid w:val="00A03B35"/>
    <w:rsid w:val="00A06D59"/>
    <w:rsid w:val="00A0737D"/>
    <w:rsid w:val="00A07C86"/>
    <w:rsid w:val="00A100DC"/>
    <w:rsid w:val="00A11918"/>
    <w:rsid w:val="00A125AB"/>
    <w:rsid w:val="00A125B5"/>
    <w:rsid w:val="00A136E7"/>
    <w:rsid w:val="00A136F7"/>
    <w:rsid w:val="00A23E63"/>
    <w:rsid w:val="00A25595"/>
    <w:rsid w:val="00A269FE"/>
    <w:rsid w:val="00A278B0"/>
    <w:rsid w:val="00A301E4"/>
    <w:rsid w:val="00A31281"/>
    <w:rsid w:val="00A315C4"/>
    <w:rsid w:val="00A31DE6"/>
    <w:rsid w:val="00A32742"/>
    <w:rsid w:val="00A33AB9"/>
    <w:rsid w:val="00A34D2D"/>
    <w:rsid w:val="00A34EA3"/>
    <w:rsid w:val="00A35F7A"/>
    <w:rsid w:val="00A37112"/>
    <w:rsid w:val="00A4074A"/>
    <w:rsid w:val="00A419B0"/>
    <w:rsid w:val="00A42181"/>
    <w:rsid w:val="00A43BE3"/>
    <w:rsid w:val="00A43F89"/>
    <w:rsid w:val="00A45C5E"/>
    <w:rsid w:val="00A52B9A"/>
    <w:rsid w:val="00A53F2A"/>
    <w:rsid w:val="00A53F77"/>
    <w:rsid w:val="00A543C7"/>
    <w:rsid w:val="00A544E2"/>
    <w:rsid w:val="00A573BC"/>
    <w:rsid w:val="00A57CA9"/>
    <w:rsid w:val="00A62CD5"/>
    <w:rsid w:val="00A650FC"/>
    <w:rsid w:val="00A66536"/>
    <w:rsid w:val="00A66769"/>
    <w:rsid w:val="00A70231"/>
    <w:rsid w:val="00A7105F"/>
    <w:rsid w:val="00A760C2"/>
    <w:rsid w:val="00A77333"/>
    <w:rsid w:val="00A7785E"/>
    <w:rsid w:val="00A77964"/>
    <w:rsid w:val="00A779EF"/>
    <w:rsid w:val="00A81FAD"/>
    <w:rsid w:val="00A923C9"/>
    <w:rsid w:val="00A92E6D"/>
    <w:rsid w:val="00A937B8"/>
    <w:rsid w:val="00A93D79"/>
    <w:rsid w:val="00A94A58"/>
    <w:rsid w:val="00A95ABF"/>
    <w:rsid w:val="00A95D73"/>
    <w:rsid w:val="00A9691F"/>
    <w:rsid w:val="00A96B17"/>
    <w:rsid w:val="00AA46A4"/>
    <w:rsid w:val="00AA7C47"/>
    <w:rsid w:val="00AB06DC"/>
    <w:rsid w:val="00AB08FF"/>
    <w:rsid w:val="00AB11E6"/>
    <w:rsid w:val="00AB2072"/>
    <w:rsid w:val="00AB4E9C"/>
    <w:rsid w:val="00AB5107"/>
    <w:rsid w:val="00AC18B8"/>
    <w:rsid w:val="00AC2FAD"/>
    <w:rsid w:val="00AC636C"/>
    <w:rsid w:val="00AC772A"/>
    <w:rsid w:val="00AC7FA0"/>
    <w:rsid w:val="00AD1249"/>
    <w:rsid w:val="00AD3D4B"/>
    <w:rsid w:val="00AD5A89"/>
    <w:rsid w:val="00AD732A"/>
    <w:rsid w:val="00AE06D2"/>
    <w:rsid w:val="00AE41D2"/>
    <w:rsid w:val="00AE6A10"/>
    <w:rsid w:val="00AE7794"/>
    <w:rsid w:val="00AF0BEC"/>
    <w:rsid w:val="00AF1437"/>
    <w:rsid w:val="00AF197F"/>
    <w:rsid w:val="00AF4CC1"/>
    <w:rsid w:val="00B00300"/>
    <w:rsid w:val="00B004FD"/>
    <w:rsid w:val="00B00702"/>
    <w:rsid w:val="00B02982"/>
    <w:rsid w:val="00B04B29"/>
    <w:rsid w:val="00B05468"/>
    <w:rsid w:val="00B07E2B"/>
    <w:rsid w:val="00B131B5"/>
    <w:rsid w:val="00B16302"/>
    <w:rsid w:val="00B17437"/>
    <w:rsid w:val="00B20C55"/>
    <w:rsid w:val="00B21034"/>
    <w:rsid w:val="00B2327E"/>
    <w:rsid w:val="00B24C0C"/>
    <w:rsid w:val="00B25352"/>
    <w:rsid w:val="00B26840"/>
    <w:rsid w:val="00B31D8B"/>
    <w:rsid w:val="00B35F49"/>
    <w:rsid w:val="00B36EBC"/>
    <w:rsid w:val="00B37062"/>
    <w:rsid w:val="00B403BD"/>
    <w:rsid w:val="00B40CE4"/>
    <w:rsid w:val="00B4173C"/>
    <w:rsid w:val="00B417AE"/>
    <w:rsid w:val="00B41D51"/>
    <w:rsid w:val="00B442C2"/>
    <w:rsid w:val="00B44628"/>
    <w:rsid w:val="00B454C8"/>
    <w:rsid w:val="00B47898"/>
    <w:rsid w:val="00B50FEF"/>
    <w:rsid w:val="00B52D0B"/>
    <w:rsid w:val="00B52FCE"/>
    <w:rsid w:val="00B535AF"/>
    <w:rsid w:val="00B55153"/>
    <w:rsid w:val="00B55579"/>
    <w:rsid w:val="00B60574"/>
    <w:rsid w:val="00B606AE"/>
    <w:rsid w:val="00B6196E"/>
    <w:rsid w:val="00B6350E"/>
    <w:rsid w:val="00B64BB9"/>
    <w:rsid w:val="00B65D2C"/>
    <w:rsid w:val="00B66370"/>
    <w:rsid w:val="00B66FFA"/>
    <w:rsid w:val="00B71F97"/>
    <w:rsid w:val="00B72A01"/>
    <w:rsid w:val="00B75DE3"/>
    <w:rsid w:val="00B76892"/>
    <w:rsid w:val="00B76986"/>
    <w:rsid w:val="00B80C92"/>
    <w:rsid w:val="00B80D31"/>
    <w:rsid w:val="00B81DD9"/>
    <w:rsid w:val="00B8293D"/>
    <w:rsid w:val="00B83709"/>
    <w:rsid w:val="00B83846"/>
    <w:rsid w:val="00B87365"/>
    <w:rsid w:val="00B917EB"/>
    <w:rsid w:val="00B91FDB"/>
    <w:rsid w:val="00B9218C"/>
    <w:rsid w:val="00B92318"/>
    <w:rsid w:val="00B95CA0"/>
    <w:rsid w:val="00B96343"/>
    <w:rsid w:val="00B97811"/>
    <w:rsid w:val="00BA0F71"/>
    <w:rsid w:val="00BA1438"/>
    <w:rsid w:val="00BA16C0"/>
    <w:rsid w:val="00BA340B"/>
    <w:rsid w:val="00BA63ED"/>
    <w:rsid w:val="00BA7013"/>
    <w:rsid w:val="00BA76A8"/>
    <w:rsid w:val="00BB0D2C"/>
    <w:rsid w:val="00BB261B"/>
    <w:rsid w:val="00BB28B2"/>
    <w:rsid w:val="00BB4179"/>
    <w:rsid w:val="00BB41C7"/>
    <w:rsid w:val="00BB456F"/>
    <w:rsid w:val="00BB5065"/>
    <w:rsid w:val="00BB6597"/>
    <w:rsid w:val="00BB67E4"/>
    <w:rsid w:val="00BB6C7B"/>
    <w:rsid w:val="00BB74BB"/>
    <w:rsid w:val="00BB7BC6"/>
    <w:rsid w:val="00BC36AB"/>
    <w:rsid w:val="00BC396C"/>
    <w:rsid w:val="00BC3ED4"/>
    <w:rsid w:val="00BC698E"/>
    <w:rsid w:val="00BD3228"/>
    <w:rsid w:val="00BD79AC"/>
    <w:rsid w:val="00BE11B5"/>
    <w:rsid w:val="00BE4342"/>
    <w:rsid w:val="00BE614D"/>
    <w:rsid w:val="00BF0472"/>
    <w:rsid w:val="00BF2557"/>
    <w:rsid w:val="00BF43E9"/>
    <w:rsid w:val="00BF46EA"/>
    <w:rsid w:val="00BF5E51"/>
    <w:rsid w:val="00BF7028"/>
    <w:rsid w:val="00C0076F"/>
    <w:rsid w:val="00C01AAD"/>
    <w:rsid w:val="00C02E88"/>
    <w:rsid w:val="00C03A57"/>
    <w:rsid w:val="00C0701E"/>
    <w:rsid w:val="00C11847"/>
    <w:rsid w:val="00C129CF"/>
    <w:rsid w:val="00C136DC"/>
    <w:rsid w:val="00C14D8B"/>
    <w:rsid w:val="00C20FA7"/>
    <w:rsid w:val="00C23A31"/>
    <w:rsid w:val="00C2582D"/>
    <w:rsid w:val="00C26FFA"/>
    <w:rsid w:val="00C27BF4"/>
    <w:rsid w:val="00C313F9"/>
    <w:rsid w:val="00C320A4"/>
    <w:rsid w:val="00C3309C"/>
    <w:rsid w:val="00C363F9"/>
    <w:rsid w:val="00C367E6"/>
    <w:rsid w:val="00C36B79"/>
    <w:rsid w:val="00C378E0"/>
    <w:rsid w:val="00C430F9"/>
    <w:rsid w:val="00C44436"/>
    <w:rsid w:val="00C45AA4"/>
    <w:rsid w:val="00C46C76"/>
    <w:rsid w:val="00C5066E"/>
    <w:rsid w:val="00C51DEB"/>
    <w:rsid w:val="00C529D3"/>
    <w:rsid w:val="00C54A68"/>
    <w:rsid w:val="00C56E69"/>
    <w:rsid w:val="00C57431"/>
    <w:rsid w:val="00C6120C"/>
    <w:rsid w:val="00C62877"/>
    <w:rsid w:val="00C62F83"/>
    <w:rsid w:val="00C63ECD"/>
    <w:rsid w:val="00C64620"/>
    <w:rsid w:val="00C660BB"/>
    <w:rsid w:val="00C66EEB"/>
    <w:rsid w:val="00C7167E"/>
    <w:rsid w:val="00C72182"/>
    <w:rsid w:val="00C749C1"/>
    <w:rsid w:val="00C74E1D"/>
    <w:rsid w:val="00C8039B"/>
    <w:rsid w:val="00C8273C"/>
    <w:rsid w:val="00C8361D"/>
    <w:rsid w:val="00C8406B"/>
    <w:rsid w:val="00C84D21"/>
    <w:rsid w:val="00C853AF"/>
    <w:rsid w:val="00C866E5"/>
    <w:rsid w:val="00C86C64"/>
    <w:rsid w:val="00C9034C"/>
    <w:rsid w:val="00C90737"/>
    <w:rsid w:val="00C9230C"/>
    <w:rsid w:val="00C93BD3"/>
    <w:rsid w:val="00CA0EAF"/>
    <w:rsid w:val="00CA1D97"/>
    <w:rsid w:val="00CB105E"/>
    <w:rsid w:val="00CB2756"/>
    <w:rsid w:val="00CB3C3F"/>
    <w:rsid w:val="00CB6112"/>
    <w:rsid w:val="00CC2DA0"/>
    <w:rsid w:val="00CC30B5"/>
    <w:rsid w:val="00CC5259"/>
    <w:rsid w:val="00CC56D7"/>
    <w:rsid w:val="00CC6EDE"/>
    <w:rsid w:val="00CD30F4"/>
    <w:rsid w:val="00CD47A5"/>
    <w:rsid w:val="00CE0D2E"/>
    <w:rsid w:val="00CE2ABA"/>
    <w:rsid w:val="00CE350E"/>
    <w:rsid w:val="00CE4883"/>
    <w:rsid w:val="00CF2281"/>
    <w:rsid w:val="00CF2774"/>
    <w:rsid w:val="00CF2FE0"/>
    <w:rsid w:val="00CF7664"/>
    <w:rsid w:val="00D019B2"/>
    <w:rsid w:val="00D01E9E"/>
    <w:rsid w:val="00D02B5E"/>
    <w:rsid w:val="00D0466A"/>
    <w:rsid w:val="00D048BB"/>
    <w:rsid w:val="00D057B3"/>
    <w:rsid w:val="00D07422"/>
    <w:rsid w:val="00D0747E"/>
    <w:rsid w:val="00D07744"/>
    <w:rsid w:val="00D135DE"/>
    <w:rsid w:val="00D14B66"/>
    <w:rsid w:val="00D222AC"/>
    <w:rsid w:val="00D246D7"/>
    <w:rsid w:val="00D24FB4"/>
    <w:rsid w:val="00D27D0B"/>
    <w:rsid w:val="00D339DE"/>
    <w:rsid w:val="00D352A5"/>
    <w:rsid w:val="00D35371"/>
    <w:rsid w:val="00D36DEB"/>
    <w:rsid w:val="00D441AB"/>
    <w:rsid w:val="00D453B4"/>
    <w:rsid w:val="00D45F19"/>
    <w:rsid w:val="00D46AEB"/>
    <w:rsid w:val="00D4778B"/>
    <w:rsid w:val="00D57026"/>
    <w:rsid w:val="00D5729C"/>
    <w:rsid w:val="00D60621"/>
    <w:rsid w:val="00D61B11"/>
    <w:rsid w:val="00D62946"/>
    <w:rsid w:val="00D64680"/>
    <w:rsid w:val="00D66CFF"/>
    <w:rsid w:val="00D6723F"/>
    <w:rsid w:val="00D6763D"/>
    <w:rsid w:val="00D6786F"/>
    <w:rsid w:val="00D67CBF"/>
    <w:rsid w:val="00D715C7"/>
    <w:rsid w:val="00D72537"/>
    <w:rsid w:val="00D735C4"/>
    <w:rsid w:val="00D76063"/>
    <w:rsid w:val="00D77E97"/>
    <w:rsid w:val="00D80C67"/>
    <w:rsid w:val="00D84C1C"/>
    <w:rsid w:val="00D90F89"/>
    <w:rsid w:val="00D91544"/>
    <w:rsid w:val="00D92BF1"/>
    <w:rsid w:val="00D968BC"/>
    <w:rsid w:val="00D96EE4"/>
    <w:rsid w:val="00D9777B"/>
    <w:rsid w:val="00DA176F"/>
    <w:rsid w:val="00DA177C"/>
    <w:rsid w:val="00DA3A85"/>
    <w:rsid w:val="00DA4476"/>
    <w:rsid w:val="00DB206A"/>
    <w:rsid w:val="00DB33B0"/>
    <w:rsid w:val="00DC0563"/>
    <w:rsid w:val="00DC0A70"/>
    <w:rsid w:val="00DC13E7"/>
    <w:rsid w:val="00DC2A94"/>
    <w:rsid w:val="00DC44A5"/>
    <w:rsid w:val="00DC4E4E"/>
    <w:rsid w:val="00DC57DB"/>
    <w:rsid w:val="00DC5932"/>
    <w:rsid w:val="00DC7A2E"/>
    <w:rsid w:val="00DD06B6"/>
    <w:rsid w:val="00DD0A9A"/>
    <w:rsid w:val="00DD3CA0"/>
    <w:rsid w:val="00DD3F06"/>
    <w:rsid w:val="00DD48E0"/>
    <w:rsid w:val="00DD5B0E"/>
    <w:rsid w:val="00DE07A8"/>
    <w:rsid w:val="00DE314E"/>
    <w:rsid w:val="00DF1B00"/>
    <w:rsid w:val="00DF4A2A"/>
    <w:rsid w:val="00DF5A2A"/>
    <w:rsid w:val="00DF6538"/>
    <w:rsid w:val="00DF6F48"/>
    <w:rsid w:val="00DF74D7"/>
    <w:rsid w:val="00E03860"/>
    <w:rsid w:val="00E0416C"/>
    <w:rsid w:val="00E04243"/>
    <w:rsid w:val="00E06C29"/>
    <w:rsid w:val="00E070F5"/>
    <w:rsid w:val="00E10ABF"/>
    <w:rsid w:val="00E113DB"/>
    <w:rsid w:val="00E12A9A"/>
    <w:rsid w:val="00E12DD7"/>
    <w:rsid w:val="00E169B1"/>
    <w:rsid w:val="00E16A52"/>
    <w:rsid w:val="00E17853"/>
    <w:rsid w:val="00E17A3F"/>
    <w:rsid w:val="00E17B63"/>
    <w:rsid w:val="00E20144"/>
    <w:rsid w:val="00E20467"/>
    <w:rsid w:val="00E20A7E"/>
    <w:rsid w:val="00E22D08"/>
    <w:rsid w:val="00E23128"/>
    <w:rsid w:val="00E2564B"/>
    <w:rsid w:val="00E323FD"/>
    <w:rsid w:val="00E35DDB"/>
    <w:rsid w:val="00E365F9"/>
    <w:rsid w:val="00E4004A"/>
    <w:rsid w:val="00E41C57"/>
    <w:rsid w:val="00E43668"/>
    <w:rsid w:val="00E44A1B"/>
    <w:rsid w:val="00E457D1"/>
    <w:rsid w:val="00E458AD"/>
    <w:rsid w:val="00E45BFB"/>
    <w:rsid w:val="00E46259"/>
    <w:rsid w:val="00E472FD"/>
    <w:rsid w:val="00E50CA7"/>
    <w:rsid w:val="00E5119A"/>
    <w:rsid w:val="00E51C25"/>
    <w:rsid w:val="00E51D8D"/>
    <w:rsid w:val="00E53709"/>
    <w:rsid w:val="00E5382D"/>
    <w:rsid w:val="00E53881"/>
    <w:rsid w:val="00E53D83"/>
    <w:rsid w:val="00E563FE"/>
    <w:rsid w:val="00E57147"/>
    <w:rsid w:val="00E625F9"/>
    <w:rsid w:val="00E647C3"/>
    <w:rsid w:val="00E6554B"/>
    <w:rsid w:val="00E65D97"/>
    <w:rsid w:val="00E71E36"/>
    <w:rsid w:val="00E72053"/>
    <w:rsid w:val="00E74190"/>
    <w:rsid w:val="00E74DB6"/>
    <w:rsid w:val="00E76616"/>
    <w:rsid w:val="00E864C7"/>
    <w:rsid w:val="00E87511"/>
    <w:rsid w:val="00E90153"/>
    <w:rsid w:val="00E90C91"/>
    <w:rsid w:val="00E91AC7"/>
    <w:rsid w:val="00E92722"/>
    <w:rsid w:val="00E93D6A"/>
    <w:rsid w:val="00E9495E"/>
    <w:rsid w:val="00EA0616"/>
    <w:rsid w:val="00EA34A7"/>
    <w:rsid w:val="00EA366B"/>
    <w:rsid w:val="00EA3AA2"/>
    <w:rsid w:val="00EA63D3"/>
    <w:rsid w:val="00EA6762"/>
    <w:rsid w:val="00EA7B3B"/>
    <w:rsid w:val="00EA7D4A"/>
    <w:rsid w:val="00EC0111"/>
    <w:rsid w:val="00EC270F"/>
    <w:rsid w:val="00EC2F71"/>
    <w:rsid w:val="00EC3FEE"/>
    <w:rsid w:val="00EC61E0"/>
    <w:rsid w:val="00EC6525"/>
    <w:rsid w:val="00EC7F4A"/>
    <w:rsid w:val="00ED2CE0"/>
    <w:rsid w:val="00ED741A"/>
    <w:rsid w:val="00ED74A1"/>
    <w:rsid w:val="00EE0572"/>
    <w:rsid w:val="00EE3E6A"/>
    <w:rsid w:val="00EE6020"/>
    <w:rsid w:val="00EE747C"/>
    <w:rsid w:val="00EE7B57"/>
    <w:rsid w:val="00EE7D71"/>
    <w:rsid w:val="00EF10E5"/>
    <w:rsid w:val="00EF1C33"/>
    <w:rsid w:val="00EF4739"/>
    <w:rsid w:val="00EF5980"/>
    <w:rsid w:val="00F00F85"/>
    <w:rsid w:val="00F02E56"/>
    <w:rsid w:val="00F04636"/>
    <w:rsid w:val="00F0552C"/>
    <w:rsid w:val="00F06FB0"/>
    <w:rsid w:val="00F07B11"/>
    <w:rsid w:val="00F11721"/>
    <w:rsid w:val="00F122FD"/>
    <w:rsid w:val="00F13657"/>
    <w:rsid w:val="00F17B7A"/>
    <w:rsid w:val="00F20062"/>
    <w:rsid w:val="00F249D8"/>
    <w:rsid w:val="00F27258"/>
    <w:rsid w:val="00F30845"/>
    <w:rsid w:val="00F3356F"/>
    <w:rsid w:val="00F3420A"/>
    <w:rsid w:val="00F34443"/>
    <w:rsid w:val="00F34EB2"/>
    <w:rsid w:val="00F3679F"/>
    <w:rsid w:val="00F37F4D"/>
    <w:rsid w:val="00F40ADB"/>
    <w:rsid w:val="00F419F3"/>
    <w:rsid w:val="00F42135"/>
    <w:rsid w:val="00F42FA2"/>
    <w:rsid w:val="00F4339C"/>
    <w:rsid w:val="00F43D69"/>
    <w:rsid w:val="00F44AE3"/>
    <w:rsid w:val="00F44CE6"/>
    <w:rsid w:val="00F44E5E"/>
    <w:rsid w:val="00F50085"/>
    <w:rsid w:val="00F501CC"/>
    <w:rsid w:val="00F504C8"/>
    <w:rsid w:val="00F51DAA"/>
    <w:rsid w:val="00F54B6F"/>
    <w:rsid w:val="00F56F68"/>
    <w:rsid w:val="00F57753"/>
    <w:rsid w:val="00F60CD7"/>
    <w:rsid w:val="00F624F3"/>
    <w:rsid w:val="00F6299C"/>
    <w:rsid w:val="00F63253"/>
    <w:rsid w:val="00F63757"/>
    <w:rsid w:val="00F66452"/>
    <w:rsid w:val="00F742E4"/>
    <w:rsid w:val="00F76890"/>
    <w:rsid w:val="00F76F2B"/>
    <w:rsid w:val="00F77C96"/>
    <w:rsid w:val="00F85D1E"/>
    <w:rsid w:val="00F9495D"/>
    <w:rsid w:val="00F95E38"/>
    <w:rsid w:val="00F9763E"/>
    <w:rsid w:val="00FA057A"/>
    <w:rsid w:val="00FA7804"/>
    <w:rsid w:val="00FA7B41"/>
    <w:rsid w:val="00FA7D37"/>
    <w:rsid w:val="00FB04C1"/>
    <w:rsid w:val="00FB0E60"/>
    <w:rsid w:val="00FB1219"/>
    <w:rsid w:val="00FB2845"/>
    <w:rsid w:val="00FB3AF3"/>
    <w:rsid w:val="00FB3C88"/>
    <w:rsid w:val="00FC0AA0"/>
    <w:rsid w:val="00FC0C8C"/>
    <w:rsid w:val="00FC6416"/>
    <w:rsid w:val="00FC653F"/>
    <w:rsid w:val="00FD0178"/>
    <w:rsid w:val="00FD3E29"/>
    <w:rsid w:val="00FD53F1"/>
    <w:rsid w:val="00FD5A39"/>
    <w:rsid w:val="00FE06CD"/>
    <w:rsid w:val="00FE1399"/>
    <w:rsid w:val="00FE16D4"/>
    <w:rsid w:val="00FE1F78"/>
    <w:rsid w:val="00FE35F1"/>
    <w:rsid w:val="00FE54E7"/>
    <w:rsid w:val="00FE55D7"/>
    <w:rsid w:val="00FE5D1A"/>
    <w:rsid w:val="00FF0E1B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1A30BEE"/>
  <w15:docId w15:val="{402A6BC0-CCA8-4702-B261-CB7A8AE1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D1DA4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qFormat/>
    <w:rsid w:val="00342431"/>
    <w:pPr>
      <w:keepNext/>
      <w:outlineLvl w:val="0"/>
    </w:pPr>
    <w:rPr>
      <w:b/>
      <w:snapToGrid w:val="0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1DA4"/>
    <w:pPr>
      <w:spacing w:after="120" w:line="480" w:lineRule="auto"/>
      <w:ind w:left="283"/>
    </w:pPr>
  </w:style>
  <w:style w:type="paragraph" w:styleId="Zarkazkladnhotextu">
    <w:name w:val="Body Text Indent"/>
    <w:basedOn w:val="Normlny"/>
    <w:link w:val="ZarkazkladnhotextuChar"/>
    <w:rsid w:val="00025CC0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025CC0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uiPriority w:val="99"/>
    <w:rsid w:val="00025CC0"/>
    <w:pPr>
      <w:spacing w:after="120"/>
      <w:ind w:left="283"/>
    </w:pPr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E12DD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12DD7"/>
  </w:style>
  <w:style w:type="paragraph" w:styleId="Textbubliny">
    <w:name w:val="Balloon Text"/>
    <w:basedOn w:val="Normlny"/>
    <w:link w:val="TextbublinyChar"/>
    <w:semiHidden/>
    <w:rsid w:val="00464E1D"/>
    <w:rPr>
      <w:rFonts w:ascii="Tahoma" w:hAnsi="Tahoma" w:cs="Tahoma"/>
      <w:sz w:val="16"/>
      <w:szCs w:val="16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B347F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11721"/>
    <w:rPr>
      <w:rFonts w:ascii="Arial" w:hAnsi="Arial"/>
      <w:sz w:val="24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BB28B2"/>
    <w:pPr>
      <w:ind w:left="720"/>
      <w:contextualSpacing/>
    </w:pPr>
  </w:style>
  <w:style w:type="paragraph" w:styleId="Hlavika">
    <w:name w:val="header"/>
    <w:basedOn w:val="Normlny"/>
    <w:link w:val="HlavikaChar"/>
    <w:rsid w:val="009164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164F0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547911"/>
    <w:rPr>
      <w:rFonts w:ascii="Arial" w:hAnsi="Arial"/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5E5E4E"/>
    <w:rPr>
      <w:rFonts w:ascii="Arial" w:hAnsi="Arial"/>
      <w:sz w:val="16"/>
      <w:szCs w:val="16"/>
    </w:rPr>
  </w:style>
  <w:style w:type="paragraph" w:styleId="Obyajntext">
    <w:name w:val="Plain Text"/>
    <w:basedOn w:val="Normlny"/>
    <w:link w:val="ObyajntextChar"/>
    <w:uiPriority w:val="99"/>
    <w:unhideWhenUsed/>
    <w:rsid w:val="000E2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E2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770F20"/>
    <w:rPr>
      <w:rFonts w:ascii="Arial" w:hAnsi="Arial"/>
      <w:sz w:val="24"/>
    </w:rPr>
  </w:style>
  <w:style w:type="character" w:customStyle="1" w:styleId="Nadpis1Char">
    <w:name w:val="Nadpis 1 Char"/>
    <w:basedOn w:val="Predvolenpsmoodseku"/>
    <w:link w:val="Nadpis1"/>
    <w:rsid w:val="00D6723F"/>
    <w:rPr>
      <w:rFonts w:ascii="Arial" w:hAnsi="Arial"/>
      <w:b/>
      <w:snapToGrid w:val="0"/>
      <w:color w:val="000000"/>
      <w:sz w:val="22"/>
    </w:rPr>
  </w:style>
  <w:style w:type="character" w:customStyle="1" w:styleId="Zkladntext2Char">
    <w:name w:val="Základný text 2 Char"/>
    <w:basedOn w:val="Predvolenpsmoodseku"/>
    <w:link w:val="Zkladntext2"/>
    <w:rsid w:val="00D6723F"/>
    <w:rPr>
      <w:rFonts w:ascii="Arial" w:hAnsi="Arial"/>
      <w:sz w:val="24"/>
    </w:rPr>
  </w:style>
  <w:style w:type="character" w:customStyle="1" w:styleId="TextbublinyChar">
    <w:name w:val="Text bubliny Char"/>
    <w:basedOn w:val="Predvolenpsmoodseku"/>
    <w:link w:val="Textbubliny"/>
    <w:semiHidden/>
    <w:rsid w:val="00D6723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36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9B88-5385-47C1-BFFA-E8CB851D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Výdavky na nemocenské dávky</vt:lpstr>
    </vt:vector>
  </TitlesOfParts>
  <Company>Sociálna poisťovňa</Company>
  <LinksUpToDate>false</LinksUpToDate>
  <CharactersWithSpaces>22786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Výdavky na nemocenské dávky</dc:title>
  <dc:creator>FARKASOVA_K</dc:creator>
  <cp:lastModifiedBy>Farkašová Kamila</cp:lastModifiedBy>
  <cp:revision>2</cp:revision>
  <cp:lastPrinted>2025-10-09T10:21:00Z</cp:lastPrinted>
  <dcterms:created xsi:type="dcterms:W3CDTF">2025-10-09T12:17:00Z</dcterms:created>
  <dcterms:modified xsi:type="dcterms:W3CDTF">2025-10-09T12:17:00Z</dcterms:modified>
</cp:coreProperties>
</file>