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57E1" w14:textId="3B00E59A" w:rsidR="00E428CD" w:rsidRPr="004850C5" w:rsidRDefault="00E428CD" w:rsidP="00EC62C7">
      <w:pPr>
        <w:pStyle w:val="Nadpis2"/>
        <w:tabs>
          <w:tab w:val="left" w:pos="3686"/>
        </w:tabs>
        <w:ind w:hanging="3649"/>
        <w:jc w:val="left"/>
      </w:pPr>
      <w:bookmarkStart w:id="0" w:name="_Hlk53653997"/>
      <w:r w:rsidRPr="004850C5">
        <w:t>ÚSTAVNOPRÁVNY VÝBOR</w:t>
      </w:r>
    </w:p>
    <w:p w14:paraId="6D3B1918" w14:textId="77777777" w:rsidR="00E428CD" w:rsidRPr="004850C5" w:rsidRDefault="00E428CD" w:rsidP="00E428CD">
      <w:pPr>
        <w:spacing w:line="360" w:lineRule="auto"/>
        <w:rPr>
          <w:b/>
        </w:rPr>
      </w:pPr>
      <w:r w:rsidRPr="004850C5">
        <w:rPr>
          <w:b/>
        </w:rPr>
        <w:t>NÁRODNEJ RADY SLOVENSKEJ REPUBLIKY</w:t>
      </w:r>
    </w:p>
    <w:p w14:paraId="7C54B4F0" w14:textId="77777777" w:rsidR="003953AB" w:rsidRPr="004850C5" w:rsidRDefault="003953AB" w:rsidP="00C42C9A">
      <w:pPr>
        <w:rPr>
          <w:b/>
        </w:rPr>
      </w:pPr>
    </w:p>
    <w:p w14:paraId="0F6FAE34" w14:textId="1BEA545D" w:rsidR="000D3D78" w:rsidRPr="004850C5" w:rsidRDefault="00750583" w:rsidP="000D3D78">
      <w:pPr>
        <w:ind w:left="4955" w:firstLine="709"/>
      </w:pPr>
      <w:r w:rsidRPr="004850C5">
        <w:t>10</w:t>
      </w:r>
      <w:r w:rsidR="002074C4" w:rsidRPr="004850C5">
        <w:t>4</w:t>
      </w:r>
      <w:r w:rsidR="000D3D78" w:rsidRPr="004850C5">
        <w:t>. schôdza</w:t>
      </w:r>
    </w:p>
    <w:p w14:paraId="4A7ACAB2" w14:textId="55858126" w:rsidR="000D3D78" w:rsidRPr="004850C5" w:rsidRDefault="000D3D78" w:rsidP="000D3D78">
      <w:pPr>
        <w:ind w:left="4956" w:firstLine="708"/>
      </w:pPr>
      <w:r w:rsidRPr="004850C5">
        <w:t>Č.: KNR-UPV-</w:t>
      </w:r>
      <w:r w:rsidR="007D6723" w:rsidRPr="004850C5">
        <w:t>5749</w:t>
      </w:r>
      <w:r w:rsidRPr="004850C5">
        <w:t>/2025-</w:t>
      </w:r>
      <w:r w:rsidR="00C4640C" w:rsidRPr="004850C5">
        <w:t>14</w:t>
      </w:r>
    </w:p>
    <w:p w14:paraId="63BEE548" w14:textId="77777777" w:rsidR="000D3D78" w:rsidRPr="004850C5" w:rsidRDefault="000D3D78" w:rsidP="000D3D78">
      <w:pPr>
        <w:ind w:left="4956" w:firstLine="708"/>
      </w:pPr>
    </w:p>
    <w:p w14:paraId="2D6ED419" w14:textId="77777777" w:rsidR="000D3D78" w:rsidRPr="004850C5" w:rsidRDefault="000D3D78" w:rsidP="000D3D78">
      <w:pPr>
        <w:jc w:val="center"/>
        <w:rPr>
          <w:i/>
          <w:iCs/>
        </w:rPr>
      </w:pPr>
    </w:p>
    <w:p w14:paraId="0FCB8DDD" w14:textId="1A00DD9A" w:rsidR="000D3D78" w:rsidRPr="004850C5" w:rsidRDefault="00C4640C" w:rsidP="000D3D78">
      <w:pPr>
        <w:jc w:val="center"/>
        <w:rPr>
          <w:i/>
          <w:iCs/>
          <w:sz w:val="36"/>
          <w:szCs w:val="36"/>
        </w:rPr>
      </w:pPr>
      <w:r w:rsidRPr="004850C5">
        <w:rPr>
          <w:iCs/>
          <w:sz w:val="36"/>
          <w:szCs w:val="36"/>
        </w:rPr>
        <w:t>355</w:t>
      </w:r>
    </w:p>
    <w:p w14:paraId="0F0E1567" w14:textId="77777777" w:rsidR="000D3D78" w:rsidRPr="004850C5" w:rsidRDefault="000D3D78" w:rsidP="000D3D78">
      <w:pPr>
        <w:jc w:val="center"/>
        <w:rPr>
          <w:b/>
        </w:rPr>
      </w:pPr>
      <w:r w:rsidRPr="004850C5">
        <w:rPr>
          <w:b/>
        </w:rPr>
        <w:t xml:space="preserve">U z n e s e n i e </w:t>
      </w:r>
    </w:p>
    <w:p w14:paraId="2A57DA26" w14:textId="77777777" w:rsidR="000D3D78" w:rsidRPr="004850C5" w:rsidRDefault="000D3D78" w:rsidP="000D3D78">
      <w:pPr>
        <w:jc w:val="center"/>
        <w:rPr>
          <w:b/>
        </w:rPr>
      </w:pPr>
      <w:r w:rsidRPr="004850C5">
        <w:rPr>
          <w:b/>
        </w:rPr>
        <w:t>Ústavnoprávneho výboru Národnej rady Slovenskej republiky</w:t>
      </w:r>
    </w:p>
    <w:p w14:paraId="0758B375" w14:textId="77777777" w:rsidR="000D3D78" w:rsidRPr="004850C5" w:rsidRDefault="000D3D78" w:rsidP="000D3D78">
      <w:pPr>
        <w:jc w:val="center"/>
        <w:rPr>
          <w:b/>
        </w:rPr>
      </w:pPr>
      <w:r w:rsidRPr="004850C5">
        <w:rPr>
          <w:b/>
        </w:rPr>
        <w:t>z 9. októbra 2025</w:t>
      </w:r>
    </w:p>
    <w:p w14:paraId="70E94633" w14:textId="77777777" w:rsidR="000D3D78" w:rsidRPr="004850C5" w:rsidRDefault="000D3D78" w:rsidP="000D3D78">
      <w:pPr>
        <w:jc w:val="center"/>
      </w:pPr>
    </w:p>
    <w:p w14:paraId="02E83DF6" w14:textId="3BFED2AE" w:rsidR="005E5C52" w:rsidRPr="004850C5" w:rsidRDefault="00E428CD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Cs/>
          <w:sz w:val="24"/>
          <w:szCs w:val="24"/>
        </w:rPr>
      </w:pPr>
      <w:r w:rsidRPr="004850C5">
        <w:rPr>
          <w:bCs/>
          <w:sz w:val="24"/>
          <w:szCs w:val="24"/>
        </w:rPr>
        <w:t>k</w:t>
      </w:r>
      <w:r w:rsidR="005E5C52" w:rsidRPr="004850C5">
        <w:rPr>
          <w:bCs/>
          <w:sz w:val="24"/>
          <w:szCs w:val="24"/>
        </w:rPr>
        <w:t> v</w:t>
      </w:r>
      <w:r w:rsidR="005E5C52" w:rsidRPr="004850C5">
        <w:rPr>
          <w:sz w:val="24"/>
          <w:szCs w:val="24"/>
          <w:shd w:val="clear" w:color="auto" w:fill="FFFFFF"/>
        </w:rPr>
        <w:t xml:space="preserve">ládnemu návrhu </w:t>
      </w:r>
      <w:r w:rsidR="005E5C52" w:rsidRPr="004850C5">
        <w:rPr>
          <w:b/>
          <w:sz w:val="24"/>
          <w:szCs w:val="24"/>
          <w:shd w:val="clear" w:color="auto" w:fill="FFFFFF"/>
        </w:rPr>
        <w:t>zákona o niektorých administratívnych opatreniach súvisiacich so  zhromažďovaním elektronických dôkazov v trestnom konaní</w:t>
      </w:r>
      <w:r w:rsidR="005E5C52" w:rsidRPr="004850C5">
        <w:rPr>
          <w:sz w:val="24"/>
          <w:szCs w:val="24"/>
          <w:shd w:val="clear" w:color="auto" w:fill="FFFFFF"/>
        </w:rPr>
        <w:t xml:space="preserve"> a o zmene a doplnení niektorých zákonov (tlač</w:t>
      </w:r>
      <w:r w:rsidR="00046EC9" w:rsidRPr="004850C5">
        <w:rPr>
          <w:sz w:val="24"/>
          <w:szCs w:val="24"/>
          <w:shd w:val="clear" w:color="auto" w:fill="FFFFFF"/>
        </w:rPr>
        <w:t xml:space="preserve"> 954</w:t>
      </w:r>
      <w:r w:rsidR="005E5C52" w:rsidRPr="004850C5">
        <w:rPr>
          <w:sz w:val="24"/>
          <w:szCs w:val="24"/>
          <w:shd w:val="clear" w:color="auto" w:fill="FFFFFF"/>
        </w:rPr>
        <w:t>)</w:t>
      </w:r>
    </w:p>
    <w:p w14:paraId="0C296D8B" w14:textId="1857AF16" w:rsidR="00C42C9A" w:rsidRPr="004850C5" w:rsidRDefault="00C42C9A" w:rsidP="00187AFD">
      <w:pPr>
        <w:pStyle w:val="Bezriadkovania"/>
      </w:pPr>
    </w:p>
    <w:p w14:paraId="76E4A2E0" w14:textId="77777777" w:rsidR="005E5C52" w:rsidRPr="004850C5" w:rsidRDefault="005E5C52" w:rsidP="00D97C97">
      <w:pPr>
        <w:pStyle w:val="Bezriadkovania"/>
      </w:pPr>
    </w:p>
    <w:p w14:paraId="4CC6FEEF" w14:textId="77777777" w:rsidR="00E428CD" w:rsidRPr="004850C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4850C5">
        <w:tab/>
      </w:r>
      <w:r w:rsidRPr="004850C5">
        <w:rPr>
          <w:b/>
        </w:rPr>
        <w:t>Ústavnoprávny výbor Národnej rady Slovenskej republiky</w:t>
      </w:r>
    </w:p>
    <w:p w14:paraId="092EE3C7" w14:textId="77777777" w:rsidR="00E428CD" w:rsidRPr="004850C5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4850C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850C5">
        <w:rPr>
          <w:b/>
        </w:rPr>
        <w:tab/>
        <w:t>A.   s ú h l a s í</w:t>
      </w:r>
      <w:r w:rsidRPr="004850C5">
        <w:t xml:space="preserve"> </w:t>
      </w:r>
    </w:p>
    <w:p w14:paraId="7CE3DF27" w14:textId="77777777" w:rsidR="00E428CD" w:rsidRPr="004850C5" w:rsidRDefault="00E428CD" w:rsidP="00187AFD">
      <w:pPr>
        <w:pStyle w:val="Bezriadkovania"/>
      </w:pPr>
    </w:p>
    <w:p w14:paraId="42DF3AD0" w14:textId="337B9056" w:rsidR="005E5C52" w:rsidRPr="004850C5" w:rsidRDefault="00E428CD" w:rsidP="005E5C52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bCs/>
          <w:sz w:val="24"/>
          <w:szCs w:val="24"/>
        </w:rPr>
      </w:pPr>
      <w:r w:rsidRPr="004850C5">
        <w:rPr>
          <w:bCs/>
          <w:sz w:val="24"/>
          <w:szCs w:val="24"/>
        </w:rPr>
        <w:tab/>
      </w:r>
      <w:r w:rsidRPr="004850C5">
        <w:rPr>
          <w:bCs/>
          <w:sz w:val="24"/>
          <w:szCs w:val="24"/>
        </w:rPr>
        <w:tab/>
        <w:t>s</w:t>
      </w:r>
      <w:r w:rsidR="003953AB" w:rsidRPr="004850C5">
        <w:rPr>
          <w:bCs/>
          <w:sz w:val="24"/>
          <w:szCs w:val="24"/>
        </w:rPr>
        <w:t> </w:t>
      </w:r>
      <w:r w:rsidR="005E5C52" w:rsidRPr="004850C5">
        <w:rPr>
          <w:bCs/>
          <w:sz w:val="24"/>
          <w:szCs w:val="24"/>
        </w:rPr>
        <w:t>v</w:t>
      </w:r>
      <w:r w:rsidR="005E5C52" w:rsidRPr="004850C5">
        <w:rPr>
          <w:sz w:val="24"/>
          <w:szCs w:val="24"/>
          <w:shd w:val="clear" w:color="auto" w:fill="FFFFFF"/>
        </w:rPr>
        <w:t>ládnym návrhom zákona o niektorých administratívnych opatreniach súvisiacich so  zhromažďovaním elektronických dôkazov v trestnom konaní a o zmene a  doplnení niektorých zákonov (tlač</w:t>
      </w:r>
      <w:r w:rsidR="00046EC9" w:rsidRPr="004850C5">
        <w:rPr>
          <w:sz w:val="24"/>
          <w:szCs w:val="24"/>
          <w:shd w:val="clear" w:color="auto" w:fill="FFFFFF"/>
        </w:rPr>
        <w:t xml:space="preserve"> 954</w:t>
      </w:r>
      <w:r w:rsidR="005E5C52" w:rsidRPr="004850C5">
        <w:rPr>
          <w:sz w:val="24"/>
          <w:szCs w:val="24"/>
          <w:shd w:val="clear" w:color="auto" w:fill="FFFFFF"/>
        </w:rPr>
        <w:t>);</w:t>
      </w:r>
    </w:p>
    <w:p w14:paraId="68AA7C04" w14:textId="0A1D2F68" w:rsidR="00E428CD" w:rsidRPr="004850C5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6F64A67A" w14:textId="77777777" w:rsidR="00E428CD" w:rsidRPr="004850C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850C5">
        <w:rPr>
          <w:b/>
        </w:rPr>
        <w:tab/>
        <w:t>  B.  o d p o r ú č a</w:t>
      </w:r>
    </w:p>
    <w:p w14:paraId="03538E49" w14:textId="77777777" w:rsidR="00E428CD" w:rsidRPr="004850C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78632A7" w14:textId="5C654A4F" w:rsidR="00E428CD" w:rsidRPr="004850C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850C5">
        <w:rPr>
          <w:b/>
        </w:rPr>
        <w:tab/>
      </w:r>
      <w:r w:rsidRPr="004850C5">
        <w:rPr>
          <w:b/>
        </w:rPr>
        <w:tab/>
      </w:r>
      <w:r w:rsidRPr="004850C5">
        <w:rPr>
          <w:b/>
        </w:rPr>
        <w:tab/>
        <w:t xml:space="preserve">  </w:t>
      </w:r>
      <w:r w:rsidRPr="004850C5">
        <w:t>Národnej rade Slovenskej republiky</w:t>
      </w:r>
    </w:p>
    <w:p w14:paraId="603BF329" w14:textId="77777777" w:rsidR="005E5C52" w:rsidRPr="004850C5" w:rsidRDefault="005E5C52" w:rsidP="005E5C52">
      <w:pPr>
        <w:ind w:firstLine="1134"/>
        <w:jc w:val="both"/>
        <w:rPr>
          <w:shd w:val="clear" w:color="auto" w:fill="FFFFFF"/>
        </w:rPr>
      </w:pPr>
    </w:p>
    <w:p w14:paraId="3B8CC3FA" w14:textId="1A549169" w:rsidR="002B6BD5" w:rsidRPr="004850C5" w:rsidRDefault="005E5C52" w:rsidP="005E5C52">
      <w:pPr>
        <w:ind w:firstLine="1134"/>
        <w:jc w:val="both"/>
        <w:rPr>
          <w:rFonts w:cs="Arial"/>
        </w:rPr>
      </w:pPr>
      <w:r w:rsidRPr="004850C5">
        <w:rPr>
          <w:shd w:val="clear" w:color="auto" w:fill="FFFFFF"/>
        </w:rPr>
        <w:t>vládny návrh zákona o niektorých administratívnych opatreniach súvisiacich so  zhromažďovaním elektronických dôkazov v trestnom konaní a o zmene a doplnení niektorých zákonov (tlač</w:t>
      </w:r>
      <w:r w:rsidR="00046EC9" w:rsidRPr="004850C5">
        <w:rPr>
          <w:shd w:val="clear" w:color="auto" w:fill="FFFFFF"/>
        </w:rPr>
        <w:t xml:space="preserve"> 954</w:t>
      </w:r>
      <w:r w:rsidRPr="004850C5">
        <w:rPr>
          <w:shd w:val="clear" w:color="auto" w:fill="FFFFFF"/>
        </w:rPr>
        <w:t>)</w:t>
      </w:r>
      <w:r w:rsidR="00F15C51" w:rsidRPr="004850C5">
        <w:rPr>
          <w:rFonts w:cs="Arial"/>
        </w:rPr>
        <w:t xml:space="preserve"> </w:t>
      </w:r>
      <w:r w:rsidR="002B6BD5" w:rsidRPr="004850C5">
        <w:rPr>
          <w:rFonts w:cs="Arial"/>
          <w:b/>
          <w:bCs/>
        </w:rPr>
        <w:t>schváliť</w:t>
      </w:r>
      <w:r w:rsidR="002B6BD5" w:rsidRPr="004850C5">
        <w:rPr>
          <w:rFonts w:cs="Arial"/>
        </w:rPr>
        <w:t xml:space="preserve"> </w:t>
      </w:r>
      <w:r w:rsidR="002B6BD5" w:rsidRPr="004850C5">
        <w:t xml:space="preserve">so zmenami a doplnkami uvedenými v prílohe tohto uznesenia; </w:t>
      </w:r>
    </w:p>
    <w:p w14:paraId="4A845A02" w14:textId="77777777" w:rsidR="00E428CD" w:rsidRPr="004850C5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527DCB27" w14:textId="77777777" w:rsidR="00E428CD" w:rsidRPr="004850C5" w:rsidRDefault="00E428CD" w:rsidP="00E428CD">
      <w:pPr>
        <w:tabs>
          <w:tab w:val="left" w:pos="1134"/>
        </w:tabs>
        <w:ind w:firstLine="708"/>
        <w:rPr>
          <w:b/>
        </w:rPr>
      </w:pPr>
      <w:r w:rsidRPr="004850C5">
        <w:rPr>
          <w:b/>
        </w:rPr>
        <w:t> C.</w:t>
      </w:r>
      <w:r w:rsidRPr="004850C5">
        <w:rPr>
          <w:b/>
        </w:rPr>
        <w:tab/>
        <w:t>p o v e r u j e</w:t>
      </w:r>
    </w:p>
    <w:p w14:paraId="3EE77B7F" w14:textId="77777777" w:rsidR="00E428CD" w:rsidRPr="004850C5" w:rsidRDefault="00E428CD" w:rsidP="00691232">
      <w:pPr>
        <w:pStyle w:val="Zkladntext"/>
        <w:tabs>
          <w:tab w:val="left" w:pos="1134"/>
          <w:tab w:val="left" w:pos="1276"/>
        </w:tabs>
      </w:pPr>
      <w:r w:rsidRPr="004850C5">
        <w:tab/>
      </w:r>
    </w:p>
    <w:p w14:paraId="04ED7208" w14:textId="2BDB1059" w:rsidR="00F15C51" w:rsidRPr="004850C5" w:rsidRDefault="00E428CD" w:rsidP="00691232">
      <w:pPr>
        <w:tabs>
          <w:tab w:val="left" w:pos="1134"/>
        </w:tabs>
        <w:jc w:val="both"/>
      </w:pPr>
      <w:r w:rsidRPr="004850C5">
        <w:tab/>
      </w:r>
      <w:r w:rsidR="009B055C" w:rsidRPr="004850C5">
        <w:t>predsedu výboru</w:t>
      </w:r>
      <w:r w:rsidR="00F15C51" w:rsidRPr="004850C5">
        <w:t>, aby spracoval výsledky rokovania Ústavnoprávneho výboru</w:t>
      </w:r>
      <w:r w:rsidR="00691232" w:rsidRPr="004850C5">
        <w:t xml:space="preserve"> </w:t>
      </w:r>
      <w:r w:rsidR="00F15C51" w:rsidRPr="004850C5">
        <w:t>Národnej rady Slovenskej republiky z</w:t>
      </w:r>
      <w:r w:rsidR="000D3D78" w:rsidRPr="004850C5">
        <w:t> 9. októbra</w:t>
      </w:r>
      <w:r w:rsidR="00F15C51" w:rsidRPr="004850C5">
        <w:t xml:space="preserve"> 2025 spolu s výsledkami rokovania Výboru Národnej rady Slovenskej republiky </w:t>
      </w:r>
      <w:r w:rsidR="00F15C51" w:rsidRPr="004850C5">
        <w:rPr>
          <w:iCs/>
        </w:rPr>
        <w:t xml:space="preserve">pre </w:t>
      </w:r>
      <w:r w:rsidR="00AE2CAB" w:rsidRPr="004850C5">
        <w:rPr>
          <w:iCs/>
        </w:rPr>
        <w:t>kultúru a médiá</w:t>
      </w:r>
      <w:r w:rsidR="00F15C51" w:rsidRPr="004850C5">
        <w:t xml:space="preserve"> do písomnej spoločnej správy výborov Národnej rady Slovenskej republiky a predložil ju na schválenie gestorskému výboru.</w:t>
      </w:r>
    </w:p>
    <w:p w14:paraId="56E3B5A9" w14:textId="4F3BCA24" w:rsidR="006B57B7" w:rsidRPr="004850C5" w:rsidRDefault="006B57B7" w:rsidP="009B055C">
      <w:pPr>
        <w:tabs>
          <w:tab w:val="left" w:pos="1134"/>
        </w:tabs>
        <w:jc w:val="both"/>
      </w:pPr>
    </w:p>
    <w:p w14:paraId="43C6B66C" w14:textId="395123ED" w:rsidR="006B57B7" w:rsidRPr="004850C5" w:rsidRDefault="006B57B7" w:rsidP="009B055C">
      <w:pPr>
        <w:tabs>
          <w:tab w:val="left" w:pos="1134"/>
        </w:tabs>
        <w:jc w:val="both"/>
      </w:pPr>
    </w:p>
    <w:p w14:paraId="78DC1B01" w14:textId="2F04E263" w:rsidR="006B57B7" w:rsidRPr="004850C5" w:rsidRDefault="006B57B7" w:rsidP="009B055C">
      <w:pPr>
        <w:tabs>
          <w:tab w:val="left" w:pos="1134"/>
        </w:tabs>
        <w:jc w:val="both"/>
      </w:pPr>
    </w:p>
    <w:p w14:paraId="75988569" w14:textId="774312D0" w:rsidR="006B57B7" w:rsidRPr="004850C5" w:rsidRDefault="006B57B7" w:rsidP="009B055C">
      <w:pPr>
        <w:tabs>
          <w:tab w:val="left" w:pos="1134"/>
        </w:tabs>
        <w:jc w:val="both"/>
      </w:pPr>
    </w:p>
    <w:p w14:paraId="183817DA" w14:textId="667A7292" w:rsidR="002B6BD5" w:rsidRPr="004850C5" w:rsidRDefault="009B055C" w:rsidP="002B6BD5">
      <w:pPr>
        <w:jc w:val="both"/>
      </w:pPr>
      <w:r w:rsidRPr="004850C5">
        <w:tab/>
      </w:r>
      <w:r w:rsidR="002B6BD5" w:rsidRPr="004850C5">
        <w:tab/>
      </w:r>
      <w:r w:rsidR="002B6BD5" w:rsidRPr="004850C5">
        <w:tab/>
      </w:r>
      <w:r w:rsidR="002B6BD5" w:rsidRPr="004850C5">
        <w:tab/>
      </w:r>
      <w:r w:rsidR="002B6BD5" w:rsidRPr="004850C5">
        <w:tab/>
      </w:r>
      <w:r w:rsidR="002B6BD5" w:rsidRPr="004850C5">
        <w:tab/>
      </w:r>
      <w:r w:rsidR="002B6BD5" w:rsidRPr="004850C5">
        <w:tab/>
      </w:r>
      <w:r w:rsidR="002B6BD5" w:rsidRPr="004850C5">
        <w:tab/>
      </w:r>
      <w:r w:rsidR="002B6BD5" w:rsidRPr="004850C5">
        <w:tab/>
      </w:r>
      <w:r w:rsidR="002B6BD5" w:rsidRPr="004850C5">
        <w:tab/>
      </w:r>
      <w:r w:rsidR="005E5C52" w:rsidRPr="004850C5">
        <w:t xml:space="preserve"> </w:t>
      </w:r>
      <w:r w:rsidR="002B6BD5" w:rsidRPr="004850C5">
        <w:t xml:space="preserve">Miroslav Čellár </w:t>
      </w:r>
    </w:p>
    <w:p w14:paraId="3AF7BE78" w14:textId="77777777" w:rsidR="002B6BD5" w:rsidRPr="004850C5" w:rsidRDefault="002B6BD5" w:rsidP="002B6BD5">
      <w:pPr>
        <w:jc w:val="both"/>
        <w:rPr>
          <w:rFonts w:ascii="AT*Toronto" w:hAnsi="AT*Toronto"/>
          <w:szCs w:val="20"/>
        </w:rPr>
      </w:pPr>
      <w:r w:rsidRPr="004850C5">
        <w:t xml:space="preserve">                                                                                                                       predseda výboru</w:t>
      </w:r>
    </w:p>
    <w:p w14:paraId="4D52C4E1" w14:textId="77777777" w:rsidR="002B6BD5" w:rsidRPr="004850C5" w:rsidRDefault="002B6BD5" w:rsidP="002B6BD5">
      <w:pPr>
        <w:tabs>
          <w:tab w:val="left" w:pos="1021"/>
        </w:tabs>
        <w:jc w:val="both"/>
      </w:pPr>
      <w:r w:rsidRPr="004850C5">
        <w:t>overovatelia výboru:</w:t>
      </w:r>
    </w:p>
    <w:p w14:paraId="7B57C9EB" w14:textId="77777777" w:rsidR="002B6BD5" w:rsidRPr="004850C5" w:rsidRDefault="002B6BD5" w:rsidP="002B6BD5">
      <w:r w:rsidRPr="004850C5">
        <w:t>Štefan Gašparovič</w:t>
      </w:r>
    </w:p>
    <w:p w14:paraId="71EA48EF" w14:textId="77777777" w:rsidR="002B6BD5" w:rsidRPr="004850C5" w:rsidRDefault="002B6BD5" w:rsidP="002B6BD5">
      <w:r w:rsidRPr="004850C5">
        <w:t xml:space="preserve">Branislav Vančo </w:t>
      </w:r>
    </w:p>
    <w:p w14:paraId="750E9B49" w14:textId="2C56B2A5" w:rsidR="00391992" w:rsidRPr="004850C5" w:rsidRDefault="00391992" w:rsidP="00391992">
      <w:pPr>
        <w:pStyle w:val="Nadpis2"/>
        <w:jc w:val="left"/>
      </w:pPr>
      <w:r w:rsidRPr="004850C5">
        <w:lastRenderedPageBreak/>
        <w:t>P r í l o h a</w:t>
      </w:r>
    </w:p>
    <w:p w14:paraId="4C6841AC" w14:textId="77777777" w:rsidR="00391992" w:rsidRPr="004850C5" w:rsidRDefault="00391992" w:rsidP="00391992">
      <w:pPr>
        <w:ind w:left="4253" w:firstLine="708"/>
        <w:jc w:val="both"/>
        <w:rPr>
          <w:b/>
          <w:bCs/>
        </w:rPr>
      </w:pPr>
      <w:r w:rsidRPr="004850C5">
        <w:rPr>
          <w:b/>
          <w:bCs/>
        </w:rPr>
        <w:t xml:space="preserve">k uzneseniu Ústavnoprávneho </w:t>
      </w:r>
    </w:p>
    <w:p w14:paraId="56AC4185" w14:textId="4C5C7EAF" w:rsidR="00391992" w:rsidRPr="004850C5" w:rsidRDefault="00391992" w:rsidP="00391992">
      <w:pPr>
        <w:ind w:left="4253" w:firstLine="708"/>
        <w:jc w:val="both"/>
        <w:rPr>
          <w:b/>
        </w:rPr>
      </w:pPr>
      <w:r w:rsidRPr="004850C5">
        <w:rPr>
          <w:b/>
        </w:rPr>
        <w:t>výboru Národnej rady SR č.</w:t>
      </w:r>
      <w:r w:rsidR="0051091B" w:rsidRPr="004850C5">
        <w:rPr>
          <w:b/>
        </w:rPr>
        <w:t xml:space="preserve"> </w:t>
      </w:r>
      <w:r w:rsidR="00C4640C" w:rsidRPr="004850C5">
        <w:rPr>
          <w:b/>
        </w:rPr>
        <w:t>355</w:t>
      </w:r>
    </w:p>
    <w:p w14:paraId="295A6395" w14:textId="6D2FA193" w:rsidR="00391992" w:rsidRPr="004850C5" w:rsidRDefault="00391992" w:rsidP="00391992">
      <w:pPr>
        <w:ind w:left="4253" w:firstLine="708"/>
        <w:jc w:val="both"/>
        <w:rPr>
          <w:b/>
        </w:rPr>
      </w:pPr>
      <w:r w:rsidRPr="004850C5">
        <w:rPr>
          <w:b/>
        </w:rPr>
        <w:t>z</w:t>
      </w:r>
      <w:r w:rsidR="005E5C52" w:rsidRPr="004850C5">
        <w:rPr>
          <w:b/>
        </w:rPr>
        <w:t> 9. októbra</w:t>
      </w:r>
      <w:r w:rsidR="003953AB" w:rsidRPr="004850C5">
        <w:rPr>
          <w:b/>
        </w:rPr>
        <w:t xml:space="preserve"> </w:t>
      </w:r>
      <w:r w:rsidR="007C6A8C" w:rsidRPr="004850C5">
        <w:rPr>
          <w:b/>
        </w:rPr>
        <w:t>202</w:t>
      </w:r>
      <w:r w:rsidR="003953AB" w:rsidRPr="004850C5">
        <w:rPr>
          <w:b/>
        </w:rPr>
        <w:t>5</w:t>
      </w:r>
    </w:p>
    <w:p w14:paraId="0BAB23EC" w14:textId="3C2E679A" w:rsidR="00391992" w:rsidRPr="004850C5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4850C5">
        <w:rPr>
          <w:b/>
          <w:bCs/>
        </w:rPr>
        <w:t>_______________________</w:t>
      </w:r>
      <w:r w:rsidR="00391992" w:rsidRPr="004850C5">
        <w:rPr>
          <w:b/>
          <w:bCs/>
        </w:rPr>
        <w:t>__</w:t>
      </w:r>
      <w:r w:rsidR="0051091B" w:rsidRPr="004850C5">
        <w:rPr>
          <w:b/>
          <w:bCs/>
        </w:rPr>
        <w:t>___</w:t>
      </w:r>
    </w:p>
    <w:p w14:paraId="3F8DD194" w14:textId="77777777" w:rsidR="00391992" w:rsidRPr="004850C5" w:rsidRDefault="00391992" w:rsidP="00391992">
      <w:pPr>
        <w:jc w:val="center"/>
        <w:rPr>
          <w:lang w:eastAsia="en-US"/>
        </w:rPr>
      </w:pPr>
    </w:p>
    <w:p w14:paraId="3EADE120" w14:textId="4DD66E2C" w:rsidR="00391992" w:rsidRPr="004850C5" w:rsidRDefault="00391992" w:rsidP="00391992">
      <w:pPr>
        <w:jc w:val="center"/>
        <w:rPr>
          <w:lang w:eastAsia="en-US"/>
        </w:rPr>
      </w:pPr>
    </w:p>
    <w:p w14:paraId="364D6667" w14:textId="77777777" w:rsidR="005E5C52" w:rsidRPr="004850C5" w:rsidRDefault="005E5C52" w:rsidP="00391992">
      <w:pPr>
        <w:jc w:val="center"/>
        <w:rPr>
          <w:lang w:eastAsia="en-US"/>
        </w:rPr>
      </w:pPr>
    </w:p>
    <w:p w14:paraId="01217E01" w14:textId="77777777" w:rsidR="00391992" w:rsidRPr="004850C5" w:rsidRDefault="00391992" w:rsidP="00391992">
      <w:pPr>
        <w:rPr>
          <w:lang w:eastAsia="en-US"/>
        </w:rPr>
      </w:pPr>
    </w:p>
    <w:p w14:paraId="7CEBA5E8" w14:textId="77777777" w:rsidR="00391992" w:rsidRPr="004850C5" w:rsidRDefault="00391992" w:rsidP="00391992">
      <w:pPr>
        <w:pStyle w:val="Nadpis2"/>
        <w:ind w:left="0" w:firstLine="0"/>
        <w:jc w:val="center"/>
      </w:pPr>
      <w:r w:rsidRPr="004850C5">
        <w:t>Pozmeňujúce a doplňujúce návrhy</w:t>
      </w:r>
    </w:p>
    <w:p w14:paraId="7748A24D" w14:textId="77777777" w:rsidR="00391992" w:rsidRPr="004850C5" w:rsidRDefault="00391992" w:rsidP="00391992">
      <w:pPr>
        <w:tabs>
          <w:tab w:val="left" w:pos="1021"/>
        </w:tabs>
        <w:jc w:val="both"/>
        <w:rPr>
          <w:b/>
        </w:rPr>
      </w:pPr>
    </w:p>
    <w:bookmarkEnd w:id="0"/>
    <w:p w14:paraId="6A6C0A5C" w14:textId="7EAA5F63" w:rsidR="005E5C52" w:rsidRPr="004850C5" w:rsidRDefault="00F15C51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  <w:shd w:val="clear" w:color="auto" w:fill="FFFFFF"/>
        </w:rPr>
      </w:pPr>
      <w:r w:rsidRPr="004850C5">
        <w:rPr>
          <w:b/>
          <w:sz w:val="24"/>
          <w:szCs w:val="24"/>
        </w:rPr>
        <w:t>k </w:t>
      </w:r>
      <w:r w:rsidR="005E5C52" w:rsidRPr="004850C5">
        <w:rPr>
          <w:b/>
          <w:sz w:val="24"/>
          <w:szCs w:val="24"/>
        </w:rPr>
        <w:t>v</w:t>
      </w:r>
      <w:r w:rsidR="005E5C52" w:rsidRPr="004850C5">
        <w:rPr>
          <w:b/>
          <w:sz w:val="24"/>
          <w:szCs w:val="24"/>
          <w:shd w:val="clear" w:color="auto" w:fill="FFFFFF"/>
        </w:rPr>
        <w:t>ládnemu návrhu zákona o niektorých administratívnych opatreniach súvisiacich so  zhromažďovaním elektronických dôkazov v trestnom konaní a o zmene a doplnení niektorých zákonov (tlač</w:t>
      </w:r>
      <w:r w:rsidR="00046EC9" w:rsidRPr="004850C5">
        <w:rPr>
          <w:b/>
          <w:sz w:val="24"/>
          <w:szCs w:val="24"/>
          <w:shd w:val="clear" w:color="auto" w:fill="FFFFFF"/>
        </w:rPr>
        <w:t xml:space="preserve"> 954</w:t>
      </w:r>
      <w:r w:rsidR="005E5C52" w:rsidRPr="004850C5">
        <w:rPr>
          <w:b/>
          <w:sz w:val="24"/>
          <w:szCs w:val="24"/>
          <w:shd w:val="clear" w:color="auto" w:fill="FFFFFF"/>
        </w:rPr>
        <w:t>)</w:t>
      </w:r>
    </w:p>
    <w:p w14:paraId="6E66A315" w14:textId="6B34E81C" w:rsidR="005E5C52" w:rsidRPr="004850C5" w:rsidRDefault="005E5C52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  <w:shd w:val="clear" w:color="auto" w:fill="FFFFFF"/>
        </w:rPr>
      </w:pPr>
      <w:r w:rsidRPr="004850C5">
        <w:rPr>
          <w:b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67B966E4" w14:textId="32EF6B56" w:rsidR="001F2D82" w:rsidRPr="004850C5" w:rsidRDefault="001F2D82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25F5A393" w14:textId="5B638248" w:rsidR="001F2D82" w:rsidRPr="004850C5" w:rsidRDefault="001F2D82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2C8C007F" w14:textId="77777777" w:rsidR="005C7101" w:rsidRPr="00D05BBB" w:rsidRDefault="005C7101" w:rsidP="005C7101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11FBE2E1" w14:textId="77777777" w:rsidR="005C7101" w:rsidRPr="00D05BBB" w:rsidRDefault="005C7101" w:rsidP="005C7101">
      <w:pPr>
        <w:jc w:val="both"/>
      </w:pPr>
      <w:r w:rsidRPr="00D05BBB">
        <w:t>1. V čl. I § 2 ods. 1 písm. b) sa slová „Európskej únii“ nahrádzajú slovami „členskom štáte, ktorý je viazaný osobitným predpisom</w:t>
      </w:r>
      <w:r w:rsidRPr="00D05BBB">
        <w:rPr>
          <w:vertAlign w:val="superscript"/>
        </w:rPr>
        <w:t>1</w:t>
      </w:r>
      <w:r w:rsidRPr="00D05BBB">
        <w:t xml:space="preserve">) a podlieha jeho uplatňovaniu“. </w:t>
      </w:r>
    </w:p>
    <w:p w14:paraId="073B83F2" w14:textId="77777777" w:rsidR="005C7101" w:rsidRPr="00D05BBB" w:rsidRDefault="005C7101" w:rsidP="005C7101">
      <w:pPr>
        <w:ind w:left="2832" w:hanging="2832"/>
        <w:jc w:val="both"/>
      </w:pPr>
    </w:p>
    <w:p w14:paraId="114182DB" w14:textId="77777777" w:rsidR="005C7101" w:rsidRPr="00D05BBB" w:rsidRDefault="005C7101" w:rsidP="005C7101">
      <w:pPr>
        <w:ind w:left="2832" w:hanging="2832"/>
        <w:jc w:val="both"/>
        <w:rPr>
          <w:rFonts w:eastAsiaTheme="minorHAnsi"/>
        </w:rPr>
      </w:pPr>
      <w:r w:rsidRPr="00D05BBB">
        <w:tab/>
        <w:t xml:space="preserve">Pozmeňujúcim návrhom sa zohľadňuje nové písmeno c) dopĺňané v bode 2 pozmeňujúceho návrhu, čím sa bude rozlišovať medzi členskými štátmi, ktoré participujú a ktoré neparticipujú na nástrojoch justičnej spolupráce spojených so zabezpečovaní elektronických dôkazov. </w:t>
      </w:r>
    </w:p>
    <w:p w14:paraId="1945B7EB" w14:textId="0737BBB3" w:rsidR="005C7101" w:rsidRPr="00D05BBB" w:rsidRDefault="005C7101" w:rsidP="005C7101">
      <w:pPr>
        <w:jc w:val="both"/>
      </w:pPr>
    </w:p>
    <w:p w14:paraId="00287B81" w14:textId="77777777" w:rsidR="005C7101" w:rsidRPr="00D05BBB" w:rsidRDefault="005C7101" w:rsidP="005C7101">
      <w:pPr>
        <w:jc w:val="both"/>
      </w:pPr>
    </w:p>
    <w:p w14:paraId="22AD7A3B" w14:textId="77777777" w:rsidR="005C7101" w:rsidRPr="00D05BBB" w:rsidRDefault="005C7101" w:rsidP="005C7101">
      <w:pPr>
        <w:jc w:val="both"/>
      </w:pPr>
      <w:r w:rsidRPr="00D05BBB">
        <w:t>2. V čl. I § 2 ods. 1 sa za písmeno b) vkladá nové písmeno c), ktoré znie:</w:t>
      </w:r>
    </w:p>
    <w:p w14:paraId="7436E453" w14:textId="77777777" w:rsidR="005C7101" w:rsidRPr="00D05BBB" w:rsidRDefault="005C7101" w:rsidP="005C7101">
      <w:pPr>
        <w:jc w:val="both"/>
      </w:pPr>
      <w:r w:rsidRPr="00D05BBB">
        <w:t>„c) má trvalý pobyt alebo sídlo v členskom štáte, ktorý nie je viazaný osobitným predpisom</w:t>
      </w:r>
      <w:r w:rsidRPr="00D05BBB">
        <w:rPr>
          <w:vertAlign w:val="superscript"/>
        </w:rPr>
        <w:t>1</w:t>
      </w:r>
      <w:r w:rsidRPr="00D05BBB">
        <w:t xml:space="preserve">) a nepodlieha jeho uplatňovaniu a ktorý ponúka služby na území Slovenskej republiky,“. </w:t>
      </w:r>
    </w:p>
    <w:p w14:paraId="78E23B83" w14:textId="77777777" w:rsidR="005C7101" w:rsidRPr="00D05BBB" w:rsidRDefault="005C7101" w:rsidP="005C7101">
      <w:pPr>
        <w:jc w:val="both"/>
      </w:pPr>
    </w:p>
    <w:p w14:paraId="1A11F812" w14:textId="4A4CE18F" w:rsidR="005C7101" w:rsidRPr="00D05BBB" w:rsidRDefault="005C7101" w:rsidP="005C7101">
      <w:pPr>
        <w:jc w:val="both"/>
      </w:pPr>
      <w:r w:rsidRPr="00D05BBB">
        <w:t>Nasledujúce ustanovenie sa primerane prečísluje.</w:t>
      </w:r>
    </w:p>
    <w:p w14:paraId="02761607" w14:textId="77777777" w:rsidR="005C7101" w:rsidRPr="00D05BBB" w:rsidRDefault="005C7101" w:rsidP="005C7101">
      <w:pPr>
        <w:jc w:val="both"/>
      </w:pPr>
    </w:p>
    <w:p w14:paraId="3E66782C" w14:textId="77777777" w:rsidR="005C7101" w:rsidRPr="00D05BBB" w:rsidRDefault="005C7101" w:rsidP="005C7101">
      <w:pPr>
        <w:ind w:left="2832" w:hanging="2832"/>
        <w:jc w:val="both"/>
        <w:rPr>
          <w:rFonts w:eastAsiaTheme="minorHAnsi"/>
        </w:rPr>
      </w:pPr>
      <w:r w:rsidRPr="00D05BBB">
        <w:tab/>
        <w:t>Pozmeňujúcim návrhom sa precizuje transpozícia čl. 3 ods. 1 písm. c) smernice 2023/1544 tak, aby návrh zákona výslovne zohľadňoval situáciu poskytovateľov služieb, ktorí sú usadení v tých členských štátoch, ktoré neparticipujú na nástrojoch justičnej spolupráce spojených so zabezpečovaní elektronických dôkazov. V súčasnosti je takýmto členským štátom Dánsko a Írsko</w:t>
      </w:r>
      <w:r w:rsidRPr="00D05BBB">
        <w:rPr>
          <w:rFonts w:eastAsiaTheme="minorHAnsi"/>
        </w:rPr>
        <w:t xml:space="preserve">.   </w:t>
      </w:r>
    </w:p>
    <w:p w14:paraId="7C1CFB36" w14:textId="77777777" w:rsidR="005C7101" w:rsidRPr="00D05BBB" w:rsidRDefault="005C7101" w:rsidP="005C7101">
      <w:pPr>
        <w:jc w:val="both"/>
      </w:pPr>
    </w:p>
    <w:p w14:paraId="1389E7BD" w14:textId="77777777" w:rsidR="005C7101" w:rsidRPr="00D05BBB" w:rsidRDefault="005C7101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378D584B" w14:textId="3D6266AF" w:rsidR="001F2D82" w:rsidRPr="00D05BBB" w:rsidRDefault="001F2D82" w:rsidP="005C7101">
      <w:pPr>
        <w:pStyle w:val="Odsekzoznamu"/>
        <w:numPr>
          <w:ilvl w:val="0"/>
          <w:numId w:val="19"/>
        </w:numPr>
        <w:tabs>
          <w:tab w:val="left" w:pos="0"/>
          <w:tab w:val="left" w:pos="284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D05BBB">
        <w:rPr>
          <w:sz w:val="24"/>
          <w:szCs w:val="24"/>
        </w:rPr>
        <w:t>V čl. I § 3 písm. b) prvom bode sa vypúšťa slovo „jednom“  a v druhom bode sa za slová „poskytovateľ služieb v“ vkladá slovo „tomto“.</w:t>
      </w:r>
    </w:p>
    <w:p w14:paraId="44810B1D" w14:textId="36C31FED" w:rsidR="001F2D82" w:rsidRPr="00D05BBB" w:rsidRDefault="001F2D82" w:rsidP="001F2D82">
      <w:pPr>
        <w:ind w:left="2835"/>
      </w:pPr>
      <w:r w:rsidRPr="00D05BBB">
        <w:t>Ide o legislatívno-technickú pripomienku, ktorou sa ozrejmuje, že ide o členský štát podľa prvého bodu.</w:t>
      </w:r>
    </w:p>
    <w:p w14:paraId="76AC9971" w14:textId="2C16B42F" w:rsidR="005C7101" w:rsidRPr="00D05BBB" w:rsidRDefault="005C7101" w:rsidP="001F2D82">
      <w:pPr>
        <w:ind w:left="2835"/>
      </w:pPr>
    </w:p>
    <w:p w14:paraId="7E0B3FB9" w14:textId="77777777" w:rsidR="005C7101" w:rsidRPr="00D05BBB" w:rsidRDefault="005C7101" w:rsidP="001F2D82">
      <w:pPr>
        <w:ind w:left="2835"/>
      </w:pPr>
    </w:p>
    <w:p w14:paraId="31C5B04A" w14:textId="51D8AA42" w:rsidR="005C7101" w:rsidRPr="00D05BBB" w:rsidRDefault="005C7101" w:rsidP="005C7101">
      <w:pPr>
        <w:jc w:val="both"/>
      </w:pPr>
      <w:r w:rsidRPr="00D05BBB">
        <w:lastRenderedPageBreak/>
        <w:t xml:space="preserve">4. V čl. I § 3 písm. f) sa za slová „písm. c)“ vkladajú slová „alebo písm. d)“. </w:t>
      </w:r>
    </w:p>
    <w:p w14:paraId="0808E18D" w14:textId="77777777" w:rsidR="005C7101" w:rsidRPr="00D05BBB" w:rsidRDefault="005C7101" w:rsidP="005C7101">
      <w:pPr>
        <w:jc w:val="both"/>
      </w:pPr>
    </w:p>
    <w:p w14:paraId="57C18975" w14:textId="77777777" w:rsidR="005C7101" w:rsidRPr="00D05BBB" w:rsidRDefault="005C7101" w:rsidP="005C7101">
      <w:pPr>
        <w:ind w:left="2832" w:hanging="2832"/>
        <w:jc w:val="both"/>
        <w:rPr>
          <w:rFonts w:eastAsiaTheme="minorHAnsi"/>
        </w:rPr>
      </w:pPr>
      <w:r w:rsidRPr="00D05BBB">
        <w:tab/>
        <w:t>Podľa čl. 3 ods. 1 písm. c) smernice 2023/1544 má poskytovateľ služieb usadený v neparticipujúcom štáte vymenovať právneho zástupcu</w:t>
      </w:r>
      <w:r w:rsidRPr="00D05BBB">
        <w:rPr>
          <w:rFonts w:eastAsiaTheme="minorHAnsi"/>
        </w:rPr>
        <w:t xml:space="preserve">. Doplnením vnútorného odkazu sa tento cieľ smernice potvrdí.   </w:t>
      </w:r>
    </w:p>
    <w:p w14:paraId="25943785" w14:textId="7C9CD3F4" w:rsidR="001F2D82" w:rsidRPr="00D05BBB" w:rsidRDefault="001F2D82" w:rsidP="001F2D82">
      <w:pPr>
        <w:ind w:left="4247"/>
      </w:pPr>
    </w:p>
    <w:p w14:paraId="408C16C3" w14:textId="62051C1F" w:rsidR="005C7101" w:rsidRPr="00D05BBB" w:rsidRDefault="005C7101" w:rsidP="005C7101">
      <w:pPr>
        <w:jc w:val="both"/>
      </w:pPr>
      <w:r w:rsidRPr="00D05BBB">
        <w:t>5. V čl. I § 4 ods. 1 sa na konci pripájajú tieto slová: „a ktorý je viazaný osobitným predpisom</w:t>
      </w:r>
      <w:r w:rsidRPr="00D05BBB">
        <w:rPr>
          <w:vertAlign w:val="superscript"/>
        </w:rPr>
        <w:t>1</w:t>
      </w:r>
      <w:r w:rsidRPr="00D05BBB">
        <w:t xml:space="preserve">) a podlieha jeho uplatňovaniu“. </w:t>
      </w:r>
    </w:p>
    <w:p w14:paraId="5951FBFF" w14:textId="77777777" w:rsidR="005C7101" w:rsidRPr="00D05BBB" w:rsidRDefault="005C7101" w:rsidP="005C7101">
      <w:pPr>
        <w:jc w:val="both"/>
      </w:pPr>
    </w:p>
    <w:p w14:paraId="393D5894" w14:textId="77777777" w:rsidR="005C7101" w:rsidRPr="00D05BBB" w:rsidRDefault="005C7101" w:rsidP="005C7101">
      <w:pPr>
        <w:ind w:left="2832" w:hanging="2832"/>
        <w:jc w:val="both"/>
        <w:rPr>
          <w:rFonts w:eastAsiaTheme="minorHAnsi"/>
        </w:rPr>
      </w:pPr>
      <w:r w:rsidRPr="00D05BBB">
        <w:tab/>
        <w:t>Podľa smernice 2023/1544 má poskytovateľ služieb určiť určenú prevádzkareň v členskom štáte, ktorý participuje na nástrojoch justičnej spolupráce spojených so zabezpečovaní elektronických dôkazov, čo sa dosiahne pozmeňujúcim návrhom</w:t>
      </w:r>
      <w:r w:rsidRPr="00D05BBB">
        <w:rPr>
          <w:rFonts w:eastAsiaTheme="minorHAnsi"/>
        </w:rPr>
        <w:t xml:space="preserve">.   </w:t>
      </w:r>
    </w:p>
    <w:p w14:paraId="017BF1AC" w14:textId="77777777" w:rsidR="005C7101" w:rsidRPr="00D05BBB" w:rsidRDefault="005C7101" w:rsidP="005C7101">
      <w:pPr>
        <w:jc w:val="both"/>
      </w:pPr>
    </w:p>
    <w:p w14:paraId="0033478F" w14:textId="77777777" w:rsidR="005C7101" w:rsidRPr="00D05BBB" w:rsidRDefault="005C7101" w:rsidP="005C7101">
      <w:pPr>
        <w:jc w:val="both"/>
      </w:pPr>
    </w:p>
    <w:p w14:paraId="0AF3070A" w14:textId="2A9B70BF" w:rsidR="005C7101" w:rsidRPr="00D05BBB" w:rsidRDefault="005C7101" w:rsidP="005C7101">
      <w:pPr>
        <w:jc w:val="both"/>
      </w:pPr>
      <w:r w:rsidRPr="00D05BBB">
        <w:t>6. V čl. I § 4 ods. 2 sa za slová „písm. c)“ vkladajú slová „a d)“ a na konci sa pripájajú tieto slová: „a ktorý je viazaný osobitným predpisom</w:t>
      </w:r>
      <w:r w:rsidRPr="00D05BBB">
        <w:rPr>
          <w:vertAlign w:val="superscript"/>
        </w:rPr>
        <w:t>1</w:t>
      </w:r>
      <w:r w:rsidRPr="00D05BBB">
        <w:t xml:space="preserve">) a podlieha jeho uplatňovaniu“. </w:t>
      </w:r>
    </w:p>
    <w:p w14:paraId="2861BCEA" w14:textId="77777777" w:rsidR="005C7101" w:rsidRPr="00D05BBB" w:rsidRDefault="005C7101" w:rsidP="005C7101">
      <w:pPr>
        <w:jc w:val="both"/>
      </w:pPr>
    </w:p>
    <w:p w14:paraId="4899176A" w14:textId="160C9CC0" w:rsidR="005C7101" w:rsidRPr="00D05BBB" w:rsidRDefault="005C7101" w:rsidP="005C7101">
      <w:pPr>
        <w:ind w:left="2832" w:hanging="2832"/>
        <w:jc w:val="both"/>
        <w:rPr>
          <w:rFonts w:eastAsiaTheme="minorHAnsi"/>
        </w:rPr>
      </w:pPr>
      <w:r w:rsidRPr="00D05BBB">
        <w:tab/>
        <w:t>Podľa smernice 2023/1544 má poskytovateľ služieb vymenovať právneho zástupcu v členskom štáte, ktorý participuje na nástrojoch justičnej spolupráce spojených so zabezpečovaní elektronických dôkazov, čo sa dosiahne pozmeňujúcim návrhom</w:t>
      </w:r>
      <w:r w:rsidRPr="00D05BBB">
        <w:rPr>
          <w:rFonts w:eastAsiaTheme="minorHAnsi"/>
        </w:rPr>
        <w:t xml:space="preserve">.  </w:t>
      </w:r>
    </w:p>
    <w:p w14:paraId="7CE63E53" w14:textId="27F1E86B" w:rsidR="005C7101" w:rsidRPr="00D05BBB" w:rsidRDefault="005C7101" w:rsidP="005C7101">
      <w:pPr>
        <w:ind w:left="2832" w:hanging="2832"/>
        <w:jc w:val="both"/>
        <w:rPr>
          <w:rFonts w:eastAsiaTheme="minorHAnsi"/>
        </w:rPr>
      </w:pPr>
    </w:p>
    <w:p w14:paraId="066E2ADD" w14:textId="77777777" w:rsidR="005C7101" w:rsidRPr="00D05BBB" w:rsidRDefault="005C7101" w:rsidP="005C7101">
      <w:pPr>
        <w:ind w:left="2832" w:hanging="2832"/>
        <w:jc w:val="both"/>
        <w:rPr>
          <w:rFonts w:eastAsiaTheme="minorHAnsi"/>
        </w:rPr>
      </w:pPr>
    </w:p>
    <w:p w14:paraId="4222B6F1" w14:textId="6B1386B9" w:rsidR="001F2D82" w:rsidRPr="00D05BBB" w:rsidRDefault="001F2D82" w:rsidP="005C7101">
      <w:pPr>
        <w:pStyle w:val="Odsekzoznamu"/>
        <w:numPr>
          <w:ilvl w:val="0"/>
          <w:numId w:val="20"/>
        </w:numPr>
        <w:tabs>
          <w:tab w:val="left" w:pos="284"/>
        </w:tabs>
        <w:suppressAutoHyphens/>
        <w:spacing w:line="100" w:lineRule="atLeast"/>
        <w:ind w:left="284" w:hanging="284"/>
        <w:jc w:val="both"/>
        <w:rPr>
          <w:sz w:val="24"/>
          <w:szCs w:val="24"/>
        </w:rPr>
      </w:pPr>
      <w:r w:rsidRPr="00D05BBB">
        <w:rPr>
          <w:sz w:val="24"/>
          <w:szCs w:val="24"/>
        </w:rPr>
        <w:t>V čl. II 1. bode poznámka pod čiarou k odkazu 72 znie:</w:t>
      </w:r>
    </w:p>
    <w:p w14:paraId="48D11C48" w14:textId="77777777" w:rsidR="001F2D82" w:rsidRPr="00D05BBB" w:rsidRDefault="001F2D82" w:rsidP="001F2D82">
      <w:pPr>
        <w:spacing w:line="360" w:lineRule="auto"/>
        <w:jc w:val="both"/>
      </w:pPr>
      <w:r w:rsidRPr="00D05BBB">
        <w:t>„</w:t>
      </w:r>
      <w:r w:rsidRPr="00D05BBB">
        <w:rPr>
          <w:vertAlign w:val="superscript"/>
        </w:rPr>
        <w:t>72</w:t>
      </w:r>
      <w:r w:rsidRPr="00D05BBB">
        <w:t>) Nariadenie (EÚ) 2019/1150.</w:t>
      </w:r>
      <w:bookmarkStart w:id="1" w:name="_GoBack"/>
      <w:bookmarkEnd w:id="1"/>
    </w:p>
    <w:p w14:paraId="1936E31B" w14:textId="77777777" w:rsidR="001F2D82" w:rsidRPr="00D05BBB" w:rsidRDefault="001F2D82" w:rsidP="001F2D82">
      <w:pPr>
        <w:spacing w:line="360" w:lineRule="auto"/>
        <w:jc w:val="both"/>
      </w:pPr>
      <w:r w:rsidRPr="00D05BBB">
        <w:t>Nariadenie (EÚ) 2022/2065.</w:t>
      </w:r>
    </w:p>
    <w:p w14:paraId="69B33A54" w14:textId="77777777" w:rsidR="001F2D82" w:rsidRPr="00D05BBB" w:rsidRDefault="001F2D82" w:rsidP="001F2D82">
      <w:pPr>
        <w:spacing w:line="360" w:lineRule="auto"/>
        <w:jc w:val="both"/>
      </w:pPr>
      <w:r w:rsidRPr="00D05BBB">
        <w:t>Nariadenie (EÚ) 2024/1083.</w:t>
      </w:r>
    </w:p>
    <w:p w14:paraId="1BD19936" w14:textId="77777777" w:rsidR="001F2D82" w:rsidRPr="00D05BBB" w:rsidRDefault="001F2D82" w:rsidP="001F2D82">
      <w:pPr>
        <w:spacing w:line="360" w:lineRule="auto"/>
        <w:jc w:val="both"/>
      </w:pPr>
      <w:r w:rsidRPr="00D05BBB">
        <w:t>§ 22 a 24 zákona č. 265/2022 Z. z.</w:t>
      </w:r>
    </w:p>
    <w:p w14:paraId="52EF6749" w14:textId="1B8A1B65" w:rsidR="001F2D82" w:rsidRPr="00D05BBB" w:rsidRDefault="001F2D82" w:rsidP="001F2D82">
      <w:pPr>
        <w:spacing w:line="360" w:lineRule="auto"/>
        <w:jc w:val="both"/>
      </w:pPr>
      <w:r w:rsidRPr="00D05BBB">
        <w:t>Zákon č. .../2025 Z. z. o niektorých administra</w:t>
      </w:r>
      <w:r w:rsidR="001371FB" w:rsidRPr="00D05BBB">
        <w:t xml:space="preserve">tívnych opatreniach súvisiacich </w:t>
      </w:r>
      <w:r w:rsidRPr="00D05BBB">
        <w:t xml:space="preserve">so </w:t>
      </w:r>
      <w:r w:rsidR="001371FB" w:rsidRPr="00D05BBB">
        <w:t> </w:t>
      </w:r>
      <w:r w:rsidRPr="00D05BBB">
        <w:t>zhromažďovaním elektronických dôkazov v trestnom konaní a o zmene a doplnení niektorých zákonov.“.</w:t>
      </w:r>
    </w:p>
    <w:p w14:paraId="455A3DFA" w14:textId="07EF8ACE" w:rsidR="001F2D82" w:rsidRPr="00D05BBB" w:rsidRDefault="001F2D82" w:rsidP="005C7101">
      <w:pPr>
        <w:ind w:left="2835"/>
        <w:jc w:val="both"/>
      </w:pPr>
      <w:r w:rsidRPr="00D05BBB">
        <w:t xml:space="preserve">Ide o legislatívno-technickú úpravu, ktorou sa dopĺňa poznámka pod čiarou k odkazu 72 o  Nariadenie (EÚ) 2024/1083, ktoré sa do  zákona o mediálnych službách doplnilo tlačou 808 (v čl. I 24. bode), s účinnosťou 1. novembra 2025. Poznámka pod čiarou odkazuje na Nariadenie Európskeho parlamentu a Rady (EÚ) 2024/1083 (Európsky akt o slobode médií), z ktorého vyplýva viacero povinností, nad  plnením ktorých bude vykonávať dohľad práve regulátor.  </w:t>
      </w:r>
    </w:p>
    <w:p w14:paraId="32086D39" w14:textId="7CE4727C" w:rsidR="001F2D82" w:rsidRPr="00D05BBB" w:rsidRDefault="001F2D82" w:rsidP="001F2D82">
      <w:pPr>
        <w:jc w:val="both"/>
      </w:pPr>
    </w:p>
    <w:p w14:paraId="0852EF8A" w14:textId="501F0EB4" w:rsidR="001F2D82" w:rsidRPr="00D05BBB" w:rsidRDefault="001F2D82" w:rsidP="005C7101">
      <w:pPr>
        <w:pStyle w:val="Odsekzoznamu"/>
        <w:numPr>
          <w:ilvl w:val="0"/>
          <w:numId w:val="20"/>
        </w:numPr>
        <w:suppressAutoHyphens/>
        <w:spacing w:line="360" w:lineRule="auto"/>
        <w:ind w:left="284" w:hanging="284"/>
        <w:jc w:val="both"/>
        <w:rPr>
          <w:sz w:val="24"/>
          <w:szCs w:val="24"/>
        </w:rPr>
      </w:pPr>
      <w:r w:rsidRPr="00D05BBB">
        <w:rPr>
          <w:sz w:val="24"/>
          <w:szCs w:val="24"/>
        </w:rPr>
        <w:t>V čl. II 3. bod znie:</w:t>
      </w:r>
    </w:p>
    <w:p w14:paraId="70BC2DB6" w14:textId="77777777" w:rsidR="001F2D82" w:rsidRPr="00D05BBB" w:rsidRDefault="001F2D82" w:rsidP="001F2D82">
      <w:pPr>
        <w:spacing w:line="360" w:lineRule="auto"/>
        <w:jc w:val="both"/>
      </w:pPr>
      <w:r w:rsidRPr="00D05BBB">
        <w:t>„3. V § 132 ods. 1 sa odkaz „</w:t>
      </w:r>
      <w:r w:rsidRPr="00D05BBB">
        <w:rPr>
          <w:vertAlign w:val="superscript"/>
        </w:rPr>
        <w:t>65e</w:t>
      </w:r>
      <w:r w:rsidRPr="00D05BBB">
        <w:t>)“ nahrádza odkazom „</w:t>
      </w:r>
      <w:r w:rsidRPr="00D05BBB">
        <w:rPr>
          <w:vertAlign w:val="superscript"/>
        </w:rPr>
        <w:t>89b</w:t>
      </w:r>
      <w:r w:rsidRPr="00D05BBB">
        <w:t xml:space="preserve">)“. </w:t>
      </w:r>
    </w:p>
    <w:p w14:paraId="7E32A23D" w14:textId="77777777" w:rsidR="001F2D82" w:rsidRPr="004850C5" w:rsidRDefault="001F2D82" w:rsidP="001F2D82">
      <w:pPr>
        <w:spacing w:line="360" w:lineRule="auto"/>
        <w:jc w:val="both"/>
      </w:pPr>
      <w:r w:rsidRPr="004850C5">
        <w:lastRenderedPageBreak/>
        <w:t>Poznámka pod čiarou k odkazu 89b znie:</w:t>
      </w:r>
    </w:p>
    <w:p w14:paraId="7786F990" w14:textId="77777777" w:rsidR="001F2D82" w:rsidRPr="004850C5" w:rsidRDefault="001F2D82" w:rsidP="001F2D82">
      <w:pPr>
        <w:spacing w:line="360" w:lineRule="auto"/>
        <w:jc w:val="both"/>
      </w:pPr>
      <w:r w:rsidRPr="004850C5">
        <w:t>„</w:t>
      </w:r>
      <w:r w:rsidRPr="004850C5">
        <w:rPr>
          <w:vertAlign w:val="superscript"/>
        </w:rPr>
        <w:t>89b</w:t>
      </w:r>
      <w:r w:rsidRPr="004850C5">
        <w:t>) Nariadenie (EÚ) 2019/1150.</w:t>
      </w:r>
    </w:p>
    <w:p w14:paraId="10210FD0" w14:textId="77777777" w:rsidR="001F2D82" w:rsidRPr="004850C5" w:rsidRDefault="001F2D82" w:rsidP="001F2D82">
      <w:pPr>
        <w:spacing w:line="360" w:lineRule="auto"/>
        <w:jc w:val="both"/>
      </w:pPr>
      <w:r w:rsidRPr="004850C5">
        <w:t>Nariadenie (EÚ) 2022/2065.</w:t>
      </w:r>
    </w:p>
    <w:p w14:paraId="5F6853D6" w14:textId="77777777" w:rsidR="001F2D82" w:rsidRPr="004850C5" w:rsidRDefault="001F2D82" w:rsidP="001F2D82">
      <w:pPr>
        <w:spacing w:line="360" w:lineRule="auto"/>
        <w:jc w:val="both"/>
      </w:pPr>
      <w:r w:rsidRPr="004850C5">
        <w:t>Nariadenie (EÚ) 2024/1083</w:t>
      </w:r>
    </w:p>
    <w:p w14:paraId="40651833" w14:textId="77777777" w:rsidR="001F2D82" w:rsidRPr="004850C5" w:rsidRDefault="001F2D82" w:rsidP="005C7101">
      <w:pPr>
        <w:tabs>
          <w:tab w:val="left" w:pos="2835"/>
        </w:tabs>
        <w:spacing w:line="360" w:lineRule="auto"/>
        <w:jc w:val="both"/>
      </w:pPr>
      <w:r w:rsidRPr="004850C5">
        <w:t>Zákon č. .../2025 Z. z.“.“.</w:t>
      </w:r>
    </w:p>
    <w:p w14:paraId="015E461B" w14:textId="4C936648" w:rsidR="001F2D82" w:rsidRPr="004850C5" w:rsidRDefault="001F2D82" w:rsidP="005C7101">
      <w:pPr>
        <w:tabs>
          <w:tab w:val="left" w:pos="2835"/>
        </w:tabs>
        <w:ind w:left="2835"/>
        <w:jc w:val="both"/>
      </w:pPr>
      <w:r w:rsidRPr="004850C5">
        <w:t xml:space="preserve">Ide o legislatívno-technickú úpravu. V tlači 808 (v čl. I 40. bode), s účinnosťou 1. novembra 2025, sa upravuje nové znenie § 127 ods. 3 aj s novým znením poznámky pod čiarou k odkazu 89a, pričom ide o odkaz, ktorý odkazuje na vecne odlišnú úpravu (čl. 4 nariadenia (EÚ) 2024/1083 a § 6 zákona č. 265/2022 Z. z.), ako sa navrhuje v čl. II 3. bode. Preto sa navrhuje prečíslovanie navrhovanej poznámky pod čiarou. Zároveň sa navrhuje doplnenie poznámky pod čiarou o Nariadenie Európskeho parlamentu a Rady (EÚ) 2024/1083 (Európsky akt o slobode médií), z ktorého vyplýva viacero povinností, nad plnením ktorých bude vykonávať dohľad práve regulátor.  </w:t>
      </w:r>
    </w:p>
    <w:p w14:paraId="4DC7C4E0" w14:textId="77777777" w:rsidR="001F2D82" w:rsidRPr="004850C5" w:rsidRDefault="001F2D82" w:rsidP="001F2D82">
      <w:pPr>
        <w:ind w:left="4394"/>
        <w:jc w:val="both"/>
      </w:pPr>
    </w:p>
    <w:p w14:paraId="18B42AAA" w14:textId="77777777" w:rsidR="001F2D82" w:rsidRPr="004850C5" w:rsidRDefault="001F2D82" w:rsidP="005C7101">
      <w:pPr>
        <w:pStyle w:val="Odsekzoznamu"/>
        <w:numPr>
          <w:ilvl w:val="0"/>
          <w:numId w:val="20"/>
        </w:numPr>
        <w:suppressAutoHyphens/>
        <w:spacing w:after="0" w:line="100" w:lineRule="atLeast"/>
        <w:ind w:left="284" w:hanging="284"/>
        <w:jc w:val="both"/>
        <w:rPr>
          <w:sz w:val="24"/>
          <w:szCs w:val="24"/>
        </w:rPr>
      </w:pPr>
      <w:r w:rsidRPr="004850C5">
        <w:rPr>
          <w:sz w:val="24"/>
          <w:szCs w:val="24"/>
        </w:rPr>
        <w:t>V čl. II sa vypúšťa 5. bod. </w:t>
      </w:r>
    </w:p>
    <w:p w14:paraId="6F23D446" w14:textId="77777777" w:rsidR="001F2D82" w:rsidRPr="004850C5" w:rsidRDefault="001F2D82" w:rsidP="001F2D82">
      <w:pPr>
        <w:jc w:val="both"/>
      </w:pPr>
    </w:p>
    <w:p w14:paraId="63919184" w14:textId="03D8B4B9" w:rsidR="001F2D82" w:rsidRPr="004850C5" w:rsidRDefault="001F2D82" w:rsidP="001F2D82">
      <w:pPr>
        <w:jc w:val="both"/>
      </w:pPr>
      <w:r w:rsidRPr="004850C5">
        <w:t>Doterajší šiesty bod sa označuje ako piaty bod.</w:t>
      </w:r>
    </w:p>
    <w:p w14:paraId="2B99CD8A" w14:textId="77777777" w:rsidR="001F2D82" w:rsidRPr="004850C5" w:rsidRDefault="001F2D82" w:rsidP="001F2D82">
      <w:pPr>
        <w:jc w:val="both"/>
      </w:pPr>
    </w:p>
    <w:p w14:paraId="62886B0A" w14:textId="77777777" w:rsidR="001F2D82" w:rsidRPr="004850C5" w:rsidRDefault="001F2D82" w:rsidP="005C7101">
      <w:pPr>
        <w:ind w:left="2835"/>
        <w:jc w:val="both"/>
      </w:pPr>
      <w:r w:rsidRPr="004850C5">
        <w:t>Ide o legislatívno-technickú úpravu. Navrhuje sa vypustenie 5. bodu v čl. II z dôvodu, že rovnaká zmena už bola schválená v tlači 808 (v čl. I 68. bode), s účinnosťou 1. novembra 2025.</w:t>
      </w:r>
    </w:p>
    <w:p w14:paraId="267F42AA" w14:textId="77777777" w:rsidR="001F2D82" w:rsidRPr="004850C5" w:rsidRDefault="001F2D82" w:rsidP="005C7101">
      <w:pPr>
        <w:ind w:left="2835"/>
        <w:jc w:val="both"/>
      </w:pPr>
    </w:p>
    <w:p w14:paraId="7B2D3A0A" w14:textId="77777777" w:rsidR="001F2D82" w:rsidRPr="004850C5" w:rsidRDefault="001F2D82" w:rsidP="001F2D82">
      <w:pPr>
        <w:ind w:left="4395"/>
        <w:jc w:val="both"/>
      </w:pPr>
    </w:p>
    <w:p w14:paraId="578E81D8" w14:textId="77777777" w:rsidR="005C7101" w:rsidRPr="004850C5" w:rsidRDefault="005C7101" w:rsidP="005C7101">
      <w:pPr>
        <w:ind w:firstLine="708"/>
        <w:jc w:val="both"/>
      </w:pPr>
    </w:p>
    <w:p w14:paraId="11181995" w14:textId="77777777" w:rsidR="005C7101" w:rsidRPr="004850C5" w:rsidRDefault="005C7101" w:rsidP="005C7101">
      <w:pPr>
        <w:jc w:val="both"/>
      </w:pPr>
    </w:p>
    <w:p w14:paraId="649A21FF" w14:textId="77777777" w:rsidR="005C7101" w:rsidRPr="004850C5" w:rsidRDefault="005C7101" w:rsidP="005C7101">
      <w:pPr>
        <w:jc w:val="both"/>
      </w:pPr>
    </w:p>
    <w:p w14:paraId="08172EAC" w14:textId="77777777" w:rsidR="005C7101" w:rsidRPr="004850C5" w:rsidRDefault="005C7101" w:rsidP="005C7101">
      <w:pPr>
        <w:ind w:firstLine="708"/>
        <w:jc w:val="both"/>
      </w:pPr>
    </w:p>
    <w:p w14:paraId="7C6639B3" w14:textId="77777777" w:rsidR="005C7101" w:rsidRPr="004850C5" w:rsidRDefault="005C7101" w:rsidP="005C7101">
      <w:pPr>
        <w:ind w:firstLine="708"/>
        <w:jc w:val="both"/>
      </w:pPr>
    </w:p>
    <w:p w14:paraId="06489BC4" w14:textId="77777777" w:rsidR="005C7101" w:rsidRPr="004850C5" w:rsidRDefault="005C7101" w:rsidP="005E5C52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</w:rPr>
      </w:pPr>
    </w:p>
    <w:sectPr w:rsidR="005C7101" w:rsidRPr="00485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40C"/>
    <w:multiLevelType w:val="hybridMultilevel"/>
    <w:tmpl w:val="DE2E0DC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4B5"/>
    <w:multiLevelType w:val="hybridMultilevel"/>
    <w:tmpl w:val="40903F0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40F4196"/>
    <w:multiLevelType w:val="hybridMultilevel"/>
    <w:tmpl w:val="9D0C7184"/>
    <w:lvl w:ilvl="0" w:tplc="8F8C7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5359BD"/>
    <w:multiLevelType w:val="hybridMultilevel"/>
    <w:tmpl w:val="DDB2AE9A"/>
    <w:numStyleLink w:val="Importovantl1"/>
  </w:abstractNum>
  <w:abstractNum w:abstractNumId="7" w15:restartNumberingAfterBreak="0">
    <w:nsid w:val="1A626045"/>
    <w:multiLevelType w:val="hybridMultilevel"/>
    <w:tmpl w:val="F9666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C38AE"/>
    <w:multiLevelType w:val="hybridMultilevel"/>
    <w:tmpl w:val="89D2C080"/>
    <w:lvl w:ilvl="0" w:tplc="3A08A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379B6"/>
    <w:multiLevelType w:val="hybridMultilevel"/>
    <w:tmpl w:val="C40213A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01D00"/>
    <w:multiLevelType w:val="hybridMultilevel"/>
    <w:tmpl w:val="8B9451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4"/>
  </w:num>
  <w:num w:numId="5">
    <w:abstractNumId w:val="8"/>
  </w:num>
  <w:num w:numId="6">
    <w:abstractNumId w:val="12"/>
  </w:num>
  <w:num w:numId="7">
    <w:abstractNumId w:val="4"/>
  </w:num>
  <w:num w:numId="8">
    <w:abstractNumId w:val="15"/>
  </w:num>
  <w:num w:numId="9">
    <w:abstractNumId w:val="6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8"/>
  </w:num>
  <w:num w:numId="14">
    <w:abstractNumId w:val="7"/>
  </w:num>
  <w:num w:numId="15">
    <w:abstractNumId w:val="1"/>
  </w:num>
  <w:num w:numId="16">
    <w:abstractNumId w:val="5"/>
  </w:num>
  <w:num w:numId="17">
    <w:abstractNumId w:val="19"/>
  </w:num>
  <w:num w:numId="18">
    <w:abstractNumId w:val="11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46EC9"/>
    <w:rsid w:val="000831C0"/>
    <w:rsid w:val="00093569"/>
    <w:rsid w:val="000A23F5"/>
    <w:rsid w:val="000A6EC2"/>
    <w:rsid w:val="000C44AA"/>
    <w:rsid w:val="000D3027"/>
    <w:rsid w:val="000D3D78"/>
    <w:rsid w:val="000E5095"/>
    <w:rsid w:val="000F5094"/>
    <w:rsid w:val="00121AA0"/>
    <w:rsid w:val="001330D7"/>
    <w:rsid w:val="001371FB"/>
    <w:rsid w:val="00170F78"/>
    <w:rsid w:val="00187AFD"/>
    <w:rsid w:val="00187C94"/>
    <w:rsid w:val="00191F1D"/>
    <w:rsid w:val="001936D6"/>
    <w:rsid w:val="001F2D82"/>
    <w:rsid w:val="002074C4"/>
    <w:rsid w:val="0022102D"/>
    <w:rsid w:val="0023486F"/>
    <w:rsid w:val="002571D8"/>
    <w:rsid w:val="00284E5E"/>
    <w:rsid w:val="00297A5C"/>
    <w:rsid w:val="002B6BD5"/>
    <w:rsid w:val="002F3849"/>
    <w:rsid w:val="00315035"/>
    <w:rsid w:val="003315B1"/>
    <w:rsid w:val="0033457C"/>
    <w:rsid w:val="00365EA9"/>
    <w:rsid w:val="003802F7"/>
    <w:rsid w:val="00391992"/>
    <w:rsid w:val="003953AB"/>
    <w:rsid w:val="003B45F1"/>
    <w:rsid w:val="003C7040"/>
    <w:rsid w:val="003D4B88"/>
    <w:rsid w:val="003F2912"/>
    <w:rsid w:val="0044350D"/>
    <w:rsid w:val="004850C5"/>
    <w:rsid w:val="0048696C"/>
    <w:rsid w:val="00496E3E"/>
    <w:rsid w:val="004C273F"/>
    <w:rsid w:val="004D0AD7"/>
    <w:rsid w:val="004E641D"/>
    <w:rsid w:val="0051091B"/>
    <w:rsid w:val="005125FD"/>
    <w:rsid w:val="00530752"/>
    <w:rsid w:val="005379FF"/>
    <w:rsid w:val="005B29B7"/>
    <w:rsid w:val="005B7CBC"/>
    <w:rsid w:val="005C6145"/>
    <w:rsid w:val="005C7101"/>
    <w:rsid w:val="005E5C52"/>
    <w:rsid w:val="006221F7"/>
    <w:rsid w:val="00672D2A"/>
    <w:rsid w:val="00691232"/>
    <w:rsid w:val="00691D01"/>
    <w:rsid w:val="00696255"/>
    <w:rsid w:val="006A278F"/>
    <w:rsid w:val="006A4D8E"/>
    <w:rsid w:val="006B1BF1"/>
    <w:rsid w:val="006B57B7"/>
    <w:rsid w:val="006C14EF"/>
    <w:rsid w:val="00725496"/>
    <w:rsid w:val="0074278D"/>
    <w:rsid w:val="00744EA5"/>
    <w:rsid w:val="00750583"/>
    <w:rsid w:val="00765460"/>
    <w:rsid w:val="0079425B"/>
    <w:rsid w:val="007C6A8C"/>
    <w:rsid w:val="007D6723"/>
    <w:rsid w:val="007F1592"/>
    <w:rsid w:val="007F1DCE"/>
    <w:rsid w:val="00804BFE"/>
    <w:rsid w:val="0081117D"/>
    <w:rsid w:val="00830CEB"/>
    <w:rsid w:val="00842749"/>
    <w:rsid w:val="00846CE1"/>
    <w:rsid w:val="0086796F"/>
    <w:rsid w:val="008953EC"/>
    <w:rsid w:val="008A6D30"/>
    <w:rsid w:val="008E1E87"/>
    <w:rsid w:val="008E4E0E"/>
    <w:rsid w:val="0090285D"/>
    <w:rsid w:val="009562C4"/>
    <w:rsid w:val="00981E60"/>
    <w:rsid w:val="009920C6"/>
    <w:rsid w:val="00992469"/>
    <w:rsid w:val="009B055C"/>
    <w:rsid w:val="009B6796"/>
    <w:rsid w:val="009E72B8"/>
    <w:rsid w:val="009F6464"/>
    <w:rsid w:val="00A107BB"/>
    <w:rsid w:val="00A11DB6"/>
    <w:rsid w:val="00A21852"/>
    <w:rsid w:val="00A26254"/>
    <w:rsid w:val="00A30102"/>
    <w:rsid w:val="00A4568E"/>
    <w:rsid w:val="00A52738"/>
    <w:rsid w:val="00A6122E"/>
    <w:rsid w:val="00A663BA"/>
    <w:rsid w:val="00A73995"/>
    <w:rsid w:val="00A90BE9"/>
    <w:rsid w:val="00A96228"/>
    <w:rsid w:val="00AB3BCD"/>
    <w:rsid w:val="00AD58A0"/>
    <w:rsid w:val="00AE2CAB"/>
    <w:rsid w:val="00AF4CC6"/>
    <w:rsid w:val="00B15DB1"/>
    <w:rsid w:val="00B2288E"/>
    <w:rsid w:val="00B33E14"/>
    <w:rsid w:val="00B45FB0"/>
    <w:rsid w:val="00B7482A"/>
    <w:rsid w:val="00B850C4"/>
    <w:rsid w:val="00B90F7A"/>
    <w:rsid w:val="00BC4D87"/>
    <w:rsid w:val="00BD0F1D"/>
    <w:rsid w:val="00BE0A66"/>
    <w:rsid w:val="00BE5845"/>
    <w:rsid w:val="00BF3DED"/>
    <w:rsid w:val="00C11C19"/>
    <w:rsid w:val="00C125CB"/>
    <w:rsid w:val="00C1534B"/>
    <w:rsid w:val="00C42C9A"/>
    <w:rsid w:val="00C4640C"/>
    <w:rsid w:val="00C47906"/>
    <w:rsid w:val="00C719AF"/>
    <w:rsid w:val="00C75700"/>
    <w:rsid w:val="00C92939"/>
    <w:rsid w:val="00C945F3"/>
    <w:rsid w:val="00CA1049"/>
    <w:rsid w:val="00CA1860"/>
    <w:rsid w:val="00CA4E08"/>
    <w:rsid w:val="00CE7B39"/>
    <w:rsid w:val="00CF4469"/>
    <w:rsid w:val="00D05BBB"/>
    <w:rsid w:val="00D05DFD"/>
    <w:rsid w:val="00D54E6A"/>
    <w:rsid w:val="00D67E24"/>
    <w:rsid w:val="00D80BA8"/>
    <w:rsid w:val="00D86D9E"/>
    <w:rsid w:val="00D97C97"/>
    <w:rsid w:val="00DB0275"/>
    <w:rsid w:val="00DC6119"/>
    <w:rsid w:val="00DD0B49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62C7"/>
    <w:rsid w:val="00EC7126"/>
    <w:rsid w:val="00ED105A"/>
    <w:rsid w:val="00ED12BD"/>
    <w:rsid w:val="00F15C51"/>
    <w:rsid w:val="00F231B2"/>
    <w:rsid w:val="00F2516F"/>
    <w:rsid w:val="00F85870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Okruhlicová, Martina, JUDr.</cp:lastModifiedBy>
  <cp:revision>177</cp:revision>
  <cp:lastPrinted>2025-10-07T14:48:00Z</cp:lastPrinted>
  <dcterms:created xsi:type="dcterms:W3CDTF">2021-04-01T09:49:00Z</dcterms:created>
  <dcterms:modified xsi:type="dcterms:W3CDTF">2025-10-09T10:51:00Z</dcterms:modified>
</cp:coreProperties>
</file>