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2A8A" w14:textId="177DFBE8" w:rsidR="00B107C4" w:rsidRDefault="00B107C4" w:rsidP="00B107C4">
      <w:pPr>
        <w:pStyle w:val="Normlnywebov"/>
        <w:spacing w:before="0" w:after="0"/>
        <w:jc w:val="center"/>
        <w:rPr>
          <w:b/>
          <w:bCs/>
        </w:rPr>
      </w:pPr>
      <w:bookmarkStart w:id="0" w:name="OLE_LINK15"/>
      <w:bookmarkStart w:id="1" w:name="OLE_LINK16"/>
    </w:p>
    <w:p w14:paraId="450C3321" w14:textId="77777777" w:rsidR="00AB6C09" w:rsidRDefault="00AB6C09" w:rsidP="00B107C4">
      <w:pPr>
        <w:pStyle w:val="Normlnywebov"/>
        <w:spacing w:before="0" w:after="0"/>
        <w:jc w:val="center"/>
        <w:rPr>
          <w:b/>
          <w:bCs/>
        </w:rPr>
      </w:pPr>
    </w:p>
    <w:p w14:paraId="2E2EAEB2" w14:textId="77777777" w:rsidR="00E10EDC" w:rsidRDefault="00E10EDC" w:rsidP="00B107C4">
      <w:pPr>
        <w:pStyle w:val="Normlnywebov"/>
        <w:spacing w:before="0" w:after="0"/>
        <w:jc w:val="center"/>
        <w:rPr>
          <w:bCs/>
        </w:rPr>
      </w:pPr>
      <w:bookmarkStart w:id="2" w:name="OLE_LINK5"/>
      <w:bookmarkStart w:id="3" w:name="OLE_LINK6"/>
      <w:bookmarkStart w:id="4" w:name="OLE_LINK7"/>
      <w:bookmarkStart w:id="5" w:name="OLE_LINK8"/>
    </w:p>
    <w:p w14:paraId="3EAE6B86" w14:textId="77777777" w:rsidR="00E10EDC" w:rsidRDefault="00E10EDC" w:rsidP="00B107C4">
      <w:pPr>
        <w:pStyle w:val="Normlnywebov"/>
        <w:spacing w:before="0" w:after="0"/>
        <w:jc w:val="center"/>
        <w:rPr>
          <w:bCs/>
        </w:rPr>
      </w:pPr>
    </w:p>
    <w:p w14:paraId="212780F3" w14:textId="77777777" w:rsidR="00E10EDC" w:rsidRDefault="00E10EDC" w:rsidP="00B107C4">
      <w:pPr>
        <w:pStyle w:val="Normlnywebov"/>
        <w:spacing w:before="0" w:after="0"/>
        <w:jc w:val="center"/>
        <w:rPr>
          <w:bCs/>
        </w:rPr>
      </w:pPr>
    </w:p>
    <w:p w14:paraId="5F230D17" w14:textId="77777777" w:rsidR="00E10EDC" w:rsidRDefault="00E10EDC" w:rsidP="00B107C4">
      <w:pPr>
        <w:pStyle w:val="Normlnywebov"/>
        <w:spacing w:before="0" w:after="0"/>
        <w:jc w:val="center"/>
        <w:rPr>
          <w:bCs/>
        </w:rPr>
      </w:pPr>
    </w:p>
    <w:p w14:paraId="162FB7C2" w14:textId="77777777" w:rsidR="00E10EDC" w:rsidRDefault="00E10EDC" w:rsidP="00B107C4">
      <w:pPr>
        <w:pStyle w:val="Normlnywebov"/>
        <w:spacing w:before="0" w:after="0"/>
        <w:jc w:val="center"/>
        <w:rPr>
          <w:bCs/>
        </w:rPr>
      </w:pPr>
    </w:p>
    <w:p w14:paraId="5007B011" w14:textId="77777777" w:rsidR="00E10EDC" w:rsidRDefault="00E10EDC" w:rsidP="00B107C4">
      <w:pPr>
        <w:pStyle w:val="Normlnywebov"/>
        <w:spacing w:before="0" w:after="0"/>
        <w:jc w:val="center"/>
        <w:rPr>
          <w:bCs/>
        </w:rPr>
      </w:pPr>
    </w:p>
    <w:p w14:paraId="212D11F7" w14:textId="77777777" w:rsidR="00E10EDC" w:rsidRDefault="00E10EDC" w:rsidP="00B107C4">
      <w:pPr>
        <w:pStyle w:val="Normlnywebov"/>
        <w:spacing w:before="0" w:after="0"/>
        <w:jc w:val="center"/>
        <w:rPr>
          <w:bCs/>
        </w:rPr>
      </w:pPr>
    </w:p>
    <w:p w14:paraId="0778BF60" w14:textId="77777777" w:rsidR="00E10EDC" w:rsidRDefault="00E10EDC" w:rsidP="00B107C4">
      <w:pPr>
        <w:pStyle w:val="Normlnywebov"/>
        <w:spacing w:before="0" w:after="0"/>
        <w:jc w:val="center"/>
        <w:rPr>
          <w:bCs/>
        </w:rPr>
      </w:pPr>
    </w:p>
    <w:p w14:paraId="41C49A43" w14:textId="77777777" w:rsidR="00E10EDC" w:rsidRDefault="00E10EDC" w:rsidP="00B107C4">
      <w:pPr>
        <w:pStyle w:val="Normlnywebov"/>
        <w:spacing w:before="0" w:after="0"/>
        <w:jc w:val="center"/>
        <w:rPr>
          <w:bCs/>
        </w:rPr>
      </w:pPr>
    </w:p>
    <w:p w14:paraId="7BB8C2FA" w14:textId="77777777" w:rsidR="00E10EDC" w:rsidRDefault="00E10EDC" w:rsidP="00B107C4">
      <w:pPr>
        <w:pStyle w:val="Normlnywebov"/>
        <w:spacing w:before="0" w:after="0"/>
        <w:jc w:val="center"/>
        <w:rPr>
          <w:bCs/>
        </w:rPr>
      </w:pPr>
    </w:p>
    <w:p w14:paraId="5AAA45B1" w14:textId="77777777" w:rsidR="00E10EDC" w:rsidRDefault="00E10EDC" w:rsidP="00B107C4">
      <w:pPr>
        <w:pStyle w:val="Normlnywebov"/>
        <w:spacing w:before="0" w:after="0"/>
        <w:jc w:val="center"/>
        <w:rPr>
          <w:bCs/>
        </w:rPr>
      </w:pPr>
    </w:p>
    <w:p w14:paraId="6AAA8BB4" w14:textId="77777777" w:rsidR="00E10EDC" w:rsidRDefault="00E10EDC" w:rsidP="00B107C4">
      <w:pPr>
        <w:pStyle w:val="Normlnywebov"/>
        <w:spacing w:before="0" w:after="0"/>
        <w:jc w:val="center"/>
        <w:rPr>
          <w:bCs/>
        </w:rPr>
      </w:pPr>
    </w:p>
    <w:p w14:paraId="3702F759" w14:textId="28C84128" w:rsidR="00B107C4" w:rsidRPr="00B107C4" w:rsidRDefault="00B107C4" w:rsidP="00B107C4">
      <w:pPr>
        <w:pStyle w:val="Normlnywebov"/>
        <w:spacing w:before="0" w:after="0"/>
        <w:jc w:val="center"/>
        <w:rPr>
          <w:bCs/>
        </w:rPr>
      </w:pPr>
      <w:r w:rsidRPr="00B107C4">
        <w:rPr>
          <w:bCs/>
        </w:rPr>
        <w:t>z</w:t>
      </w:r>
      <w:r w:rsidR="00E10EDC">
        <w:rPr>
          <w:bCs/>
        </w:rPr>
        <w:t> 30. septembra</w:t>
      </w:r>
      <w:r w:rsidRPr="00B107C4">
        <w:rPr>
          <w:bCs/>
        </w:rPr>
        <w:t xml:space="preserve"> 2025,</w:t>
      </w:r>
    </w:p>
    <w:p w14:paraId="07D7E93A" w14:textId="77777777" w:rsidR="00B107C4" w:rsidRPr="00B107C4" w:rsidRDefault="00B107C4" w:rsidP="00B107C4">
      <w:pPr>
        <w:jc w:val="center"/>
        <w:rPr>
          <w:b/>
          <w:bCs/>
        </w:rPr>
      </w:pPr>
    </w:p>
    <w:p w14:paraId="011B0C06" w14:textId="77777777" w:rsidR="00B107C4" w:rsidRPr="00B107C4" w:rsidRDefault="00B107C4" w:rsidP="00B107C4">
      <w:pPr>
        <w:jc w:val="center"/>
        <w:rPr>
          <w:b/>
          <w:bCs/>
        </w:rPr>
      </w:pPr>
      <w:r w:rsidRPr="00B107C4">
        <w:rPr>
          <w:b/>
          <w:bCs/>
        </w:rPr>
        <w:t>ktorým sa mení a dopĺňa zákon č. 279/2024 Z. z. o dani z finančných transakcií a o zmene a doplnení niektorých zákonov v znení neskorších predpisov</w:t>
      </w:r>
    </w:p>
    <w:p w14:paraId="05A8ED44" w14:textId="77777777" w:rsidR="00B107C4" w:rsidRPr="00B107C4" w:rsidRDefault="00B107C4" w:rsidP="00B107C4">
      <w:pPr>
        <w:jc w:val="center"/>
        <w:rPr>
          <w:b/>
          <w:bCs/>
        </w:rPr>
      </w:pPr>
    </w:p>
    <w:p w14:paraId="3CA30E30" w14:textId="77777777" w:rsidR="00B107C4" w:rsidRPr="00B107C4" w:rsidRDefault="00B107C4" w:rsidP="00B107C4">
      <w:bookmarkStart w:id="6" w:name="OLE_LINK17"/>
      <w:bookmarkStart w:id="7" w:name="OLE_LINK18"/>
      <w:r w:rsidRPr="00B107C4">
        <w:t>Národná rada Slovenskej republiky sa uzniesla na tomto zákone:</w:t>
      </w:r>
    </w:p>
    <w:p w14:paraId="56642D86" w14:textId="77777777" w:rsidR="00B107C4" w:rsidRPr="00B107C4" w:rsidRDefault="00B107C4" w:rsidP="00B107C4">
      <w:pPr>
        <w:jc w:val="center"/>
      </w:pPr>
    </w:p>
    <w:p w14:paraId="5C333F5A" w14:textId="77777777" w:rsidR="00B107C4" w:rsidRPr="00B107C4" w:rsidRDefault="00B107C4" w:rsidP="00B107C4">
      <w:pPr>
        <w:jc w:val="center"/>
      </w:pPr>
    </w:p>
    <w:p w14:paraId="35123916" w14:textId="77777777" w:rsidR="00B107C4" w:rsidRPr="00B107C4" w:rsidRDefault="00B107C4" w:rsidP="00B107C4">
      <w:pPr>
        <w:jc w:val="center"/>
        <w:rPr>
          <w:b/>
          <w:bCs/>
        </w:rPr>
      </w:pPr>
      <w:r w:rsidRPr="00B107C4">
        <w:rPr>
          <w:b/>
          <w:bCs/>
        </w:rPr>
        <w:t xml:space="preserve">Čl. I </w:t>
      </w:r>
    </w:p>
    <w:p w14:paraId="1724CF38" w14:textId="77777777" w:rsidR="00B107C4" w:rsidRPr="00B107C4" w:rsidRDefault="00B107C4" w:rsidP="00B107C4"/>
    <w:p w14:paraId="7A2E6318" w14:textId="77777777" w:rsidR="00B107C4" w:rsidRPr="00B107C4" w:rsidRDefault="00B107C4" w:rsidP="00B107C4">
      <w:pPr>
        <w:jc w:val="both"/>
      </w:pPr>
      <w:r w:rsidRPr="00B107C4">
        <w:t>Zákon č. 279/2024 Z. z. o dani z finančných transakcií a o zmene a doplnení niektorých zákonov v znení zákona č. 354/2024 Z. z. a zákona č. 26/2025 Z. z. sa mení a dopĺňa takto:</w:t>
      </w:r>
    </w:p>
    <w:p w14:paraId="609C820F" w14:textId="77777777" w:rsidR="00B107C4" w:rsidRPr="00B107C4" w:rsidRDefault="00B107C4" w:rsidP="00B107C4">
      <w:pPr>
        <w:autoSpaceDE w:val="0"/>
        <w:autoSpaceDN w:val="0"/>
        <w:adjustRightInd w:val="0"/>
        <w:jc w:val="both"/>
      </w:pPr>
    </w:p>
    <w:p w14:paraId="32054F77" w14:textId="2578754C" w:rsidR="004031B1" w:rsidRPr="004031B1" w:rsidRDefault="004031B1" w:rsidP="004031B1">
      <w:pPr>
        <w:pStyle w:val="Odsekzoznamu"/>
        <w:numPr>
          <w:ilvl w:val="0"/>
          <w:numId w:val="3"/>
        </w:numPr>
        <w:autoSpaceDE w:val="0"/>
        <w:autoSpaceDN w:val="0"/>
        <w:adjustRightInd w:val="0"/>
        <w:ind w:left="0"/>
        <w:jc w:val="both"/>
        <w:rPr>
          <w:rFonts w:ascii="Times New Roman" w:hAnsi="Times New Roman" w:cs="Times New Roman"/>
        </w:rPr>
      </w:pPr>
      <w:r w:rsidRPr="004031B1">
        <w:rPr>
          <w:rFonts w:ascii="Times New Roman" w:hAnsi="Times New Roman" w:cs="Times New Roman"/>
        </w:rPr>
        <w:t>V § 2 písmeno</w:t>
      </w:r>
      <w:r w:rsidRPr="004031B1">
        <w:rPr>
          <w:rFonts w:ascii="Times New Roman" w:hAnsi="Times New Roman" w:cs="Times New Roman"/>
          <w:b/>
          <w:bCs/>
        </w:rPr>
        <w:t xml:space="preserve"> </w:t>
      </w:r>
      <w:r w:rsidRPr="004031B1">
        <w:rPr>
          <w:rFonts w:ascii="Times New Roman" w:hAnsi="Times New Roman" w:cs="Times New Roman"/>
        </w:rPr>
        <w:t>c) znie:</w:t>
      </w:r>
    </w:p>
    <w:p w14:paraId="21E4F128" w14:textId="2EAA6D93" w:rsidR="004031B1" w:rsidRPr="00B107C4" w:rsidRDefault="004031B1" w:rsidP="00606F68">
      <w:pPr>
        <w:pStyle w:val="Odsekzoznamu"/>
        <w:autoSpaceDE w:val="0"/>
        <w:autoSpaceDN w:val="0"/>
        <w:adjustRightInd w:val="0"/>
        <w:ind w:left="0"/>
        <w:jc w:val="both"/>
        <w:rPr>
          <w:rFonts w:ascii="Times New Roman" w:hAnsi="Times New Roman" w:cs="Times New Roman"/>
        </w:rPr>
      </w:pPr>
      <w:r w:rsidRPr="004031B1">
        <w:rPr>
          <w:rFonts w:ascii="Times New Roman" w:hAnsi="Times New Roman" w:cs="Times New Roman"/>
        </w:rPr>
        <w:t>„c) transakčným účtom platobný účet</w:t>
      </w:r>
      <w:r w:rsidRPr="004031B1">
        <w:rPr>
          <w:rFonts w:ascii="Times New Roman" w:hAnsi="Times New Roman" w:cs="Times New Roman"/>
          <w:vertAlign w:val="superscript"/>
        </w:rPr>
        <w:t>1a</w:t>
      </w:r>
      <w:r w:rsidRPr="004031B1">
        <w:rPr>
          <w:rFonts w:ascii="Times New Roman" w:hAnsi="Times New Roman" w:cs="Times New Roman"/>
        </w:rPr>
        <w:t>) daňovníka</w:t>
      </w:r>
      <w:r w:rsidR="00E10EDC">
        <w:rPr>
          <w:rFonts w:ascii="Times New Roman" w:hAnsi="Times New Roman" w:cs="Times New Roman"/>
        </w:rPr>
        <w:t>,</w:t>
      </w:r>
      <w:r w:rsidRPr="004031B1">
        <w:rPr>
          <w:rFonts w:ascii="Times New Roman" w:hAnsi="Times New Roman" w:cs="Times New Roman"/>
        </w:rPr>
        <w:t>“.</w:t>
      </w:r>
    </w:p>
    <w:p w14:paraId="339749A1" w14:textId="77777777" w:rsidR="00B107C4" w:rsidRPr="00B107C4" w:rsidRDefault="00B107C4" w:rsidP="00606F68">
      <w:pPr>
        <w:pStyle w:val="Odsekzoznamu"/>
        <w:autoSpaceDE w:val="0"/>
        <w:autoSpaceDN w:val="0"/>
        <w:adjustRightInd w:val="0"/>
        <w:ind w:left="0"/>
        <w:jc w:val="both"/>
      </w:pPr>
    </w:p>
    <w:p w14:paraId="567E8D48" w14:textId="50DAB832" w:rsidR="004031B1" w:rsidRPr="00606F68" w:rsidRDefault="004031B1" w:rsidP="004031B1">
      <w:pPr>
        <w:pStyle w:val="Odsekzoznamu"/>
        <w:numPr>
          <w:ilvl w:val="0"/>
          <w:numId w:val="3"/>
        </w:numPr>
        <w:autoSpaceDE w:val="0"/>
        <w:autoSpaceDN w:val="0"/>
        <w:adjustRightInd w:val="0"/>
        <w:ind w:left="0"/>
        <w:rPr>
          <w:rFonts w:ascii="Times New Roman" w:hAnsi="Times New Roman" w:cs="Times New Roman"/>
        </w:rPr>
      </w:pPr>
      <w:r w:rsidRPr="004031B1">
        <w:rPr>
          <w:rFonts w:ascii="Times New Roman" w:hAnsi="Times New Roman" w:cs="Times New Roman"/>
        </w:rPr>
        <w:t>§</w:t>
      </w:r>
      <w:r>
        <w:rPr>
          <w:rFonts w:ascii="Times New Roman" w:hAnsi="Times New Roman" w:cs="Times New Roman"/>
        </w:rPr>
        <w:t xml:space="preserve"> </w:t>
      </w:r>
      <w:r w:rsidRPr="00606F68">
        <w:rPr>
          <w:rFonts w:ascii="Times New Roman" w:hAnsi="Times New Roman" w:cs="Times New Roman"/>
        </w:rPr>
        <w:t>2 sa dopĺňa písmenom d), ktoré znie:</w:t>
      </w:r>
    </w:p>
    <w:p w14:paraId="4FFEE2FD" w14:textId="77777777" w:rsidR="004031B1" w:rsidRPr="004031B1" w:rsidRDefault="004031B1" w:rsidP="00606F68">
      <w:pPr>
        <w:pStyle w:val="Odsekzoznamu"/>
        <w:autoSpaceDE w:val="0"/>
        <w:autoSpaceDN w:val="0"/>
        <w:adjustRightInd w:val="0"/>
        <w:ind w:left="0"/>
      </w:pPr>
    </w:p>
    <w:p w14:paraId="034952FE" w14:textId="40FECF06" w:rsidR="004031B1" w:rsidRDefault="004031B1" w:rsidP="004031B1">
      <w:pPr>
        <w:pStyle w:val="Odsekzoznamu"/>
        <w:autoSpaceDE w:val="0"/>
        <w:autoSpaceDN w:val="0"/>
        <w:adjustRightInd w:val="0"/>
        <w:ind w:left="0"/>
        <w:jc w:val="both"/>
        <w:rPr>
          <w:rFonts w:ascii="Times New Roman" w:hAnsi="Times New Roman" w:cs="Times New Roman"/>
        </w:rPr>
      </w:pPr>
      <w:r w:rsidRPr="004031B1">
        <w:rPr>
          <w:rFonts w:ascii="Times New Roman" w:hAnsi="Times New Roman" w:cs="Times New Roman"/>
        </w:rPr>
        <w:t>„d) preúčtovaným nákladom suma finančnej transakcie, ktorú za daňovníka vykoná osoba iná ako daňovník, pričom ak ide o daňovníka s obmedzenou daňovou povinnosťou, táto finančná transakcia musí súvisieť s jeho činnosťou v tuzemsku.“.</w:t>
      </w:r>
    </w:p>
    <w:p w14:paraId="2DA568E8" w14:textId="77777777" w:rsidR="004031B1" w:rsidRDefault="004031B1" w:rsidP="00606F68">
      <w:pPr>
        <w:pStyle w:val="Odsekzoznamu"/>
        <w:autoSpaceDE w:val="0"/>
        <w:autoSpaceDN w:val="0"/>
        <w:adjustRightInd w:val="0"/>
        <w:ind w:left="0"/>
        <w:jc w:val="both"/>
        <w:rPr>
          <w:rFonts w:ascii="Times New Roman" w:hAnsi="Times New Roman" w:cs="Times New Roman"/>
        </w:rPr>
      </w:pPr>
    </w:p>
    <w:p w14:paraId="2FD31831" w14:textId="3AC4E726" w:rsidR="004031B1" w:rsidRPr="004031B1" w:rsidRDefault="004031B1" w:rsidP="004031B1">
      <w:pPr>
        <w:pStyle w:val="Odsekzoznamu"/>
        <w:numPr>
          <w:ilvl w:val="0"/>
          <w:numId w:val="3"/>
        </w:numPr>
        <w:autoSpaceDE w:val="0"/>
        <w:autoSpaceDN w:val="0"/>
        <w:adjustRightInd w:val="0"/>
        <w:ind w:left="0"/>
        <w:jc w:val="both"/>
        <w:rPr>
          <w:rFonts w:ascii="Times New Roman" w:hAnsi="Times New Roman" w:cs="Times New Roman"/>
        </w:rPr>
      </w:pPr>
      <w:r w:rsidRPr="004031B1">
        <w:rPr>
          <w:rFonts w:ascii="Times New Roman" w:hAnsi="Times New Roman" w:cs="Times New Roman"/>
        </w:rPr>
        <w:t>Doterajší text § 2 sa označuje ako odsek 1 a dopĺňa sa odsekom 2, ktorý znie:</w:t>
      </w:r>
    </w:p>
    <w:p w14:paraId="5053CD9E" w14:textId="77777777" w:rsidR="004031B1" w:rsidRPr="00606F68" w:rsidRDefault="004031B1" w:rsidP="00606F68">
      <w:pPr>
        <w:pStyle w:val="Odsekzoznamu"/>
        <w:autoSpaceDE w:val="0"/>
        <w:autoSpaceDN w:val="0"/>
        <w:adjustRightInd w:val="0"/>
        <w:ind w:left="0"/>
        <w:jc w:val="both"/>
        <w:rPr>
          <w:rFonts w:ascii="Times New Roman" w:hAnsi="Times New Roman" w:cs="Times New Roman"/>
        </w:rPr>
      </w:pPr>
      <w:r w:rsidRPr="00606F68">
        <w:rPr>
          <w:rFonts w:ascii="Times New Roman" w:hAnsi="Times New Roman" w:cs="Times New Roman"/>
        </w:rPr>
        <w:t xml:space="preserve">„(2) Stálou prevádzkarňou sa na účely tohto zákona rozumie trvalé miesto alebo zariadenie na výkon činnosti, prostredníctvom ktorého daňovník s obmedzenou daňovou povinnosťou podľa § 3 ods. 1 písm. b) vykonáva úplne alebo sčasti svoju činnosť v tuzemsku, a to najmä miesto, z ktorého je činnosť daňovníka organizovaná, pobočka, kancelária, dielňa, pracovisko, miesto predaja, technické zariadenie alebo miesto prieskumu a ťažby prírodných zdrojov. Miesto alebo zariadenie na výkon činnosti sa považuje za trvalé, ak sa na výkon činnosti využíva sústavne alebo opakovane. Ak ide o jednorazovo vykonávanú činnosť, miesto alebo zariadenie, v ktorom sa činnosť vykonáva, sa považuje za trvalé, ak doba výkonu činnosti presiahne 15 dní počas zdaňovacieho obdobia podľa § 9 ods. 1 a 3. Za stálu prevádzkareň sa považuje aj </w:t>
      </w:r>
    </w:p>
    <w:p w14:paraId="3A03FA9E" w14:textId="77777777" w:rsidR="004031B1" w:rsidRPr="00606F68" w:rsidRDefault="004031B1" w:rsidP="00606F68">
      <w:pPr>
        <w:pStyle w:val="Odsekzoznamu"/>
        <w:autoSpaceDE w:val="0"/>
        <w:autoSpaceDN w:val="0"/>
        <w:adjustRightInd w:val="0"/>
        <w:ind w:left="0"/>
        <w:jc w:val="both"/>
        <w:rPr>
          <w:rFonts w:ascii="Times New Roman" w:hAnsi="Times New Roman" w:cs="Times New Roman"/>
        </w:rPr>
      </w:pPr>
    </w:p>
    <w:p w14:paraId="45B25F88" w14:textId="77777777" w:rsidR="004031B1" w:rsidRPr="00606F68" w:rsidRDefault="004031B1" w:rsidP="00606F68">
      <w:pPr>
        <w:pStyle w:val="Odsekzoznamu"/>
        <w:autoSpaceDE w:val="0"/>
        <w:autoSpaceDN w:val="0"/>
        <w:adjustRightInd w:val="0"/>
        <w:ind w:left="0"/>
        <w:jc w:val="both"/>
        <w:rPr>
          <w:rFonts w:ascii="Times New Roman" w:hAnsi="Times New Roman" w:cs="Times New Roman"/>
        </w:rPr>
      </w:pPr>
      <w:r w:rsidRPr="00606F68">
        <w:rPr>
          <w:rFonts w:ascii="Times New Roman" w:hAnsi="Times New Roman" w:cs="Times New Roman"/>
        </w:rPr>
        <w:t>a) poskytovanie služby informačnej spoločnosti</w:t>
      </w:r>
      <w:r w:rsidRPr="00606F68">
        <w:rPr>
          <w:rFonts w:ascii="Times New Roman" w:hAnsi="Times New Roman" w:cs="Times New Roman"/>
          <w:vertAlign w:val="superscript"/>
        </w:rPr>
        <w:t>1b</w:t>
      </w:r>
      <w:r w:rsidRPr="00606F68">
        <w:rPr>
          <w:rFonts w:ascii="Times New Roman" w:hAnsi="Times New Roman" w:cs="Times New Roman"/>
        </w:rPr>
        <w:t xml:space="preserve">), ktorá predstavuje predaj tovaru alebo služby alebo sprostredkovanie predaja medzi predávajúcim a kupujúcim prostredníctvom elektronického rozhrania, ktoré je umiestnené v tuzemsku,  </w:t>
      </w:r>
    </w:p>
    <w:p w14:paraId="6707BFF7" w14:textId="77777777" w:rsidR="004031B1" w:rsidRPr="00606F68" w:rsidRDefault="004031B1" w:rsidP="00606F68">
      <w:pPr>
        <w:pStyle w:val="Odsekzoznamu"/>
        <w:autoSpaceDE w:val="0"/>
        <w:autoSpaceDN w:val="0"/>
        <w:adjustRightInd w:val="0"/>
        <w:ind w:left="0"/>
        <w:jc w:val="both"/>
        <w:rPr>
          <w:rFonts w:ascii="Times New Roman" w:hAnsi="Times New Roman" w:cs="Times New Roman"/>
        </w:rPr>
      </w:pPr>
    </w:p>
    <w:p w14:paraId="2F5C6596" w14:textId="4863A5F4" w:rsidR="004031B1" w:rsidRPr="00606F68" w:rsidRDefault="004031B1" w:rsidP="00606F68">
      <w:pPr>
        <w:pStyle w:val="Odsekzoznamu"/>
        <w:autoSpaceDE w:val="0"/>
        <w:autoSpaceDN w:val="0"/>
        <w:adjustRightInd w:val="0"/>
        <w:ind w:left="0"/>
        <w:jc w:val="both"/>
        <w:rPr>
          <w:rFonts w:ascii="Times New Roman" w:hAnsi="Times New Roman" w:cs="Times New Roman"/>
        </w:rPr>
      </w:pPr>
      <w:r w:rsidRPr="00606F68">
        <w:rPr>
          <w:rFonts w:ascii="Times New Roman" w:hAnsi="Times New Roman" w:cs="Times New Roman"/>
        </w:rPr>
        <w:t xml:space="preserve">b) stavenisko, miesto vykonávania stavebných projektov a montážnych projektov, ak výkon činnosti daňovníka s obmedzenou daňovou povinnosťou alebo jeho závislých osôb na nich presiahne 15 dní počas zdaňovacieho obdobia podľa § 9 ods. 1 a 3, </w:t>
      </w:r>
    </w:p>
    <w:p w14:paraId="06B1F2D4" w14:textId="77777777" w:rsidR="004031B1" w:rsidRPr="00606F68" w:rsidRDefault="004031B1" w:rsidP="00606F68">
      <w:pPr>
        <w:pStyle w:val="Odsekzoznamu"/>
        <w:autoSpaceDE w:val="0"/>
        <w:autoSpaceDN w:val="0"/>
        <w:adjustRightInd w:val="0"/>
        <w:ind w:left="0"/>
        <w:jc w:val="both"/>
        <w:rPr>
          <w:rFonts w:ascii="Times New Roman" w:hAnsi="Times New Roman" w:cs="Times New Roman"/>
        </w:rPr>
      </w:pPr>
    </w:p>
    <w:p w14:paraId="73BD5F7E" w14:textId="77777777" w:rsidR="004031B1" w:rsidRPr="00606F68" w:rsidRDefault="004031B1" w:rsidP="00606F68">
      <w:pPr>
        <w:pStyle w:val="Odsekzoznamu"/>
        <w:autoSpaceDE w:val="0"/>
        <w:autoSpaceDN w:val="0"/>
        <w:adjustRightInd w:val="0"/>
        <w:ind w:left="0"/>
        <w:jc w:val="both"/>
        <w:rPr>
          <w:rFonts w:ascii="Times New Roman" w:hAnsi="Times New Roman" w:cs="Times New Roman"/>
        </w:rPr>
      </w:pPr>
      <w:r w:rsidRPr="00606F68">
        <w:rPr>
          <w:rFonts w:ascii="Times New Roman" w:hAnsi="Times New Roman" w:cs="Times New Roman"/>
        </w:rPr>
        <w:t xml:space="preserve">c) poskytovanie služieb daňovníkom alebo osobami pre neho pracujúcimi, ak doba výkonu tejto činnosti presiahne 15 dní počas zdaňovacieho obdobia podľa § 9 ods. 1 a 3, </w:t>
      </w:r>
    </w:p>
    <w:p w14:paraId="4305529E" w14:textId="77777777" w:rsidR="004031B1" w:rsidRPr="00606F68" w:rsidRDefault="004031B1" w:rsidP="00606F68">
      <w:pPr>
        <w:pStyle w:val="Odsekzoznamu"/>
        <w:autoSpaceDE w:val="0"/>
        <w:autoSpaceDN w:val="0"/>
        <w:adjustRightInd w:val="0"/>
        <w:ind w:left="0"/>
        <w:jc w:val="both"/>
        <w:rPr>
          <w:rFonts w:ascii="Times New Roman" w:hAnsi="Times New Roman" w:cs="Times New Roman"/>
        </w:rPr>
      </w:pPr>
    </w:p>
    <w:p w14:paraId="3E3F5C54" w14:textId="26210A2E" w:rsidR="004031B1" w:rsidRPr="00606F68" w:rsidRDefault="004031B1" w:rsidP="00606F68">
      <w:pPr>
        <w:pStyle w:val="Odsekzoznamu"/>
        <w:autoSpaceDE w:val="0"/>
        <w:autoSpaceDN w:val="0"/>
        <w:adjustRightInd w:val="0"/>
        <w:ind w:left="0"/>
        <w:jc w:val="both"/>
        <w:rPr>
          <w:rFonts w:ascii="Times New Roman" w:hAnsi="Times New Roman" w:cs="Times New Roman"/>
        </w:rPr>
      </w:pPr>
      <w:r w:rsidRPr="00606F68">
        <w:rPr>
          <w:rFonts w:ascii="Times New Roman" w:hAnsi="Times New Roman" w:cs="Times New Roman"/>
        </w:rPr>
        <w:t>d) osoba, ktorá koná v zastúpení daňovníka s obmedzenou daňovou povinnosťou a sústavne alebo opakovane prerokováva, uzatvára, sprostredkováva uzavretie zmlúv alebo zohráva hlavnú úlohu smerujúcu k uzatváraniu zmlúv, ktoré sú následne uzatvorené daňovníkom bez zmeny ich podstatných náležitostí</w:t>
      </w:r>
      <w:r w:rsidR="003C10C8">
        <w:rPr>
          <w:rFonts w:ascii="Times New Roman" w:hAnsi="Times New Roman" w:cs="Times New Roman"/>
        </w:rPr>
        <w:t>,</w:t>
      </w:r>
      <w:r w:rsidRPr="00606F68">
        <w:rPr>
          <w:rFonts w:ascii="Times New Roman" w:hAnsi="Times New Roman" w:cs="Times New Roman"/>
        </w:rPr>
        <w:t xml:space="preserve"> a tieto zmluvy sú uzatvorené v mene daňovníka alebo ich predmetom je prevod vlastníckeho práva alebo udelenie práva na užívanie majetku vo vlastníctve daňovníka alebo majetku, ktorý má daňovník právo užívať</w:t>
      </w:r>
      <w:r w:rsidR="00EB255D">
        <w:rPr>
          <w:rFonts w:ascii="Times New Roman" w:hAnsi="Times New Roman" w:cs="Times New Roman"/>
        </w:rPr>
        <w:t>,</w:t>
      </w:r>
      <w:r w:rsidRPr="00606F68">
        <w:rPr>
          <w:rFonts w:ascii="Times New Roman" w:hAnsi="Times New Roman" w:cs="Times New Roman"/>
        </w:rPr>
        <w:t xml:space="preserve"> alebo poskytnutie služieb daňovníkom; osoba koná v zastúpení daňovníka, ak koná na základe jeho pokynov, pričom daňovník výsledky jej činnosti kontroluje a nesie za </w:t>
      </w:r>
      <w:proofErr w:type="spellStart"/>
      <w:r w:rsidRPr="00606F68">
        <w:rPr>
          <w:rFonts w:ascii="Times New Roman" w:hAnsi="Times New Roman" w:cs="Times New Roman"/>
        </w:rPr>
        <w:t>ne</w:t>
      </w:r>
      <w:proofErr w:type="spellEnd"/>
      <w:r w:rsidRPr="00606F68">
        <w:rPr>
          <w:rFonts w:ascii="Times New Roman" w:hAnsi="Times New Roman" w:cs="Times New Roman"/>
        </w:rPr>
        <w:t xml:space="preserve"> podnikateľské riziko,</w:t>
      </w:r>
    </w:p>
    <w:p w14:paraId="1FC5CFB2" w14:textId="77777777" w:rsidR="004031B1" w:rsidRPr="00606F68" w:rsidRDefault="004031B1" w:rsidP="00606F68">
      <w:pPr>
        <w:pStyle w:val="Odsekzoznamu"/>
        <w:autoSpaceDE w:val="0"/>
        <w:autoSpaceDN w:val="0"/>
        <w:adjustRightInd w:val="0"/>
        <w:ind w:left="0"/>
        <w:jc w:val="both"/>
        <w:rPr>
          <w:rFonts w:ascii="Times New Roman" w:hAnsi="Times New Roman" w:cs="Times New Roman"/>
        </w:rPr>
      </w:pPr>
    </w:p>
    <w:p w14:paraId="02BD9697" w14:textId="77777777" w:rsidR="004031B1" w:rsidRPr="00606F68" w:rsidRDefault="004031B1" w:rsidP="00606F68">
      <w:pPr>
        <w:pStyle w:val="Odsekzoznamu"/>
        <w:autoSpaceDE w:val="0"/>
        <w:autoSpaceDN w:val="0"/>
        <w:adjustRightInd w:val="0"/>
        <w:ind w:left="0"/>
        <w:jc w:val="both"/>
        <w:rPr>
          <w:rFonts w:ascii="Times New Roman" w:hAnsi="Times New Roman" w:cs="Times New Roman"/>
        </w:rPr>
      </w:pPr>
      <w:r w:rsidRPr="00606F68">
        <w:rPr>
          <w:rFonts w:ascii="Times New Roman" w:hAnsi="Times New Roman" w:cs="Times New Roman"/>
        </w:rPr>
        <w:t xml:space="preserve">e) poistné riziko umiestnené v tuzemsku, ktoré súvisí s činnosťou daňovníka s obmedzenou daňovou povinnosťou; poistné riziko sa považuje za umiestnené v tuzemsku, ak sa </w:t>
      </w:r>
    </w:p>
    <w:p w14:paraId="3E46D7CD" w14:textId="77777777" w:rsidR="004031B1" w:rsidRPr="00606F68" w:rsidRDefault="004031B1" w:rsidP="00606F68">
      <w:pPr>
        <w:pStyle w:val="Odsekzoznamu"/>
        <w:autoSpaceDE w:val="0"/>
        <w:autoSpaceDN w:val="0"/>
        <w:adjustRightInd w:val="0"/>
        <w:ind w:left="0"/>
        <w:jc w:val="both"/>
        <w:rPr>
          <w:rFonts w:ascii="Times New Roman" w:hAnsi="Times New Roman" w:cs="Times New Roman"/>
        </w:rPr>
      </w:pPr>
    </w:p>
    <w:p w14:paraId="3ED1AF1D" w14:textId="77777777" w:rsidR="004031B1" w:rsidRPr="00606F68" w:rsidRDefault="004031B1" w:rsidP="00606F68">
      <w:pPr>
        <w:pStyle w:val="Odsekzoznamu"/>
        <w:autoSpaceDE w:val="0"/>
        <w:autoSpaceDN w:val="0"/>
        <w:adjustRightInd w:val="0"/>
        <w:ind w:left="0"/>
        <w:jc w:val="both"/>
        <w:rPr>
          <w:rFonts w:ascii="Times New Roman" w:hAnsi="Times New Roman" w:cs="Times New Roman"/>
        </w:rPr>
      </w:pPr>
      <w:r w:rsidRPr="00606F68">
        <w:rPr>
          <w:rFonts w:ascii="Times New Roman" w:hAnsi="Times New Roman" w:cs="Times New Roman"/>
        </w:rPr>
        <w:t xml:space="preserve">1. poistená nehnuteľnosť, jej súčasť, príslušenstvo, vrátane vecí, ktoré sa v nej nachádzajú, okrem tovaru v obchodnej preprave, nachádzajú v tuzemsku, </w:t>
      </w:r>
    </w:p>
    <w:p w14:paraId="0D37BBA3" w14:textId="77777777" w:rsidR="004031B1" w:rsidRPr="00606F68" w:rsidRDefault="004031B1" w:rsidP="00606F68">
      <w:pPr>
        <w:pStyle w:val="Odsekzoznamu"/>
        <w:autoSpaceDE w:val="0"/>
        <w:autoSpaceDN w:val="0"/>
        <w:adjustRightInd w:val="0"/>
        <w:ind w:left="0"/>
        <w:jc w:val="both"/>
        <w:rPr>
          <w:rFonts w:ascii="Times New Roman" w:hAnsi="Times New Roman" w:cs="Times New Roman"/>
        </w:rPr>
      </w:pPr>
    </w:p>
    <w:p w14:paraId="2E26165C" w14:textId="469C6B50" w:rsidR="004031B1" w:rsidRPr="00606F68" w:rsidRDefault="004031B1" w:rsidP="00606F68">
      <w:pPr>
        <w:pStyle w:val="Odsekzoznamu"/>
        <w:autoSpaceDE w:val="0"/>
        <w:autoSpaceDN w:val="0"/>
        <w:adjustRightInd w:val="0"/>
        <w:ind w:left="0"/>
        <w:jc w:val="both"/>
        <w:rPr>
          <w:rFonts w:ascii="Times New Roman" w:hAnsi="Times New Roman" w:cs="Times New Roman"/>
          <w:i/>
          <w:iCs/>
        </w:rPr>
      </w:pPr>
      <w:r w:rsidRPr="00606F68">
        <w:rPr>
          <w:rFonts w:ascii="Times New Roman" w:hAnsi="Times New Roman" w:cs="Times New Roman"/>
        </w:rPr>
        <w:t>2. poistenie vzťahuje na akýkoľvek dopravný prostriedok, ktorý je alebo má byť evidovaný v príslušnom registri vedenom v</w:t>
      </w:r>
      <w:r w:rsidR="00426442">
        <w:rPr>
          <w:rFonts w:ascii="Times New Roman" w:hAnsi="Times New Roman" w:cs="Times New Roman"/>
        </w:rPr>
        <w:t> </w:t>
      </w:r>
      <w:r w:rsidRPr="00606F68">
        <w:rPr>
          <w:rFonts w:ascii="Times New Roman" w:hAnsi="Times New Roman" w:cs="Times New Roman"/>
        </w:rPr>
        <w:t>tuzemsku</w:t>
      </w:r>
      <w:r w:rsidR="00426442">
        <w:rPr>
          <w:rFonts w:ascii="Times New Roman" w:hAnsi="Times New Roman" w:cs="Times New Roman"/>
        </w:rPr>
        <w:t>,</w:t>
      </w:r>
      <w:r w:rsidRPr="00606F68">
        <w:rPr>
          <w:rFonts w:ascii="Times New Roman" w:hAnsi="Times New Roman" w:cs="Times New Roman"/>
        </w:rPr>
        <w:t xml:space="preserve"> alebo, </w:t>
      </w:r>
    </w:p>
    <w:p w14:paraId="06349F77" w14:textId="77777777" w:rsidR="004031B1" w:rsidRPr="00606F68" w:rsidRDefault="004031B1" w:rsidP="00606F68">
      <w:pPr>
        <w:pStyle w:val="Odsekzoznamu"/>
        <w:autoSpaceDE w:val="0"/>
        <w:autoSpaceDN w:val="0"/>
        <w:adjustRightInd w:val="0"/>
        <w:ind w:left="0"/>
        <w:jc w:val="both"/>
        <w:rPr>
          <w:rFonts w:ascii="Times New Roman" w:hAnsi="Times New Roman" w:cs="Times New Roman"/>
        </w:rPr>
      </w:pPr>
    </w:p>
    <w:p w14:paraId="6699FA6B" w14:textId="2BD65C1E" w:rsidR="004031B1" w:rsidRDefault="004031B1" w:rsidP="004031B1">
      <w:pPr>
        <w:pStyle w:val="Odsekzoznamu"/>
        <w:autoSpaceDE w:val="0"/>
        <w:autoSpaceDN w:val="0"/>
        <w:adjustRightInd w:val="0"/>
        <w:ind w:left="0"/>
        <w:jc w:val="both"/>
        <w:rPr>
          <w:rFonts w:ascii="Times New Roman" w:hAnsi="Times New Roman" w:cs="Times New Roman"/>
        </w:rPr>
      </w:pPr>
      <w:r w:rsidRPr="004031B1">
        <w:rPr>
          <w:rFonts w:ascii="Times New Roman" w:hAnsi="Times New Roman" w:cs="Times New Roman"/>
        </w:rPr>
        <w:t>f) organizačná zložka zapísaná v príslušnom registri v tuzemsku.“.</w:t>
      </w:r>
    </w:p>
    <w:p w14:paraId="6628E84F" w14:textId="77777777" w:rsidR="004031B1" w:rsidRDefault="004031B1" w:rsidP="004031B1">
      <w:pPr>
        <w:pStyle w:val="Odsekzoznamu"/>
        <w:autoSpaceDE w:val="0"/>
        <w:autoSpaceDN w:val="0"/>
        <w:adjustRightInd w:val="0"/>
        <w:ind w:left="0"/>
        <w:jc w:val="both"/>
        <w:rPr>
          <w:rFonts w:ascii="Times New Roman" w:hAnsi="Times New Roman" w:cs="Times New Roman"/>
        </w:rPr>
      </w:pPr>
    </w:p>
    <w:p w14:paraId="795C52E8" w14:textId="77777777" w:rsidR="004031B1" w:rsidRPr="004031B1" w:rsidRDefault="004031B1" w:rsidP="00606F68">
      <w:pPr>
        <w:autoSpaceDE w:val="0"/>
        <w:autoSpaceDN w:val="0"/>
        <w:adjustRightInd w:val="0"/>
      </w:pPr>
      <w:r w:rsidRPr="004031B1">
        <w:rPr>
          <w:rFonts w:eastAsiaTheme="minorHAnsi"/>
        </w:rPr>
        <w:t>Poznámka pod čiarou k odkazu 1b znie:</w:t>
      </w:r>
    </w:p>
    <w:p w14:paraId="22811BD7" w14:textId="65E58CD5" w:rsidR="004031B1" w:rsidRDefault="004031B1" w:rsidP="004031B1">
      <w:pPr>
        <w:pStyle w:val="Odsekzoznamu"/>
        <w:autoSpaceDE w:val="0"/>
        <w:autoSpaceDN w:val="0"/>
        <w:adjustRightInd w:val="0"/>
        <w:ind w:left="0"/>
        <w:jc w:val="both"/>
        <w:rPr>
          <w:rFonts w:ascii="Times New Roman" w:hAnsi="Times New Roman" w:cs="Times New Roman"/>
        </w:rPr>
      </w:pPr>
      <w:r w:rsidRPr="004031B1">
        <w:rPr>
          <w:rFonts w:ascii="Times New Roman" w:hAnsi="Times New Roman" w:cs="Times New Roman"/>
        </w:rPr>
        <w:t>„</w:t>
      </w:r>
      <w:r w:rsidRPr="004031B1">
        <w:rPr>
          <w:rFonts w:ascii="Times New Roman" w:hAnsi="Times New Roman" w:cs="Times New Roman"/>
          <w:vertAlign w:val="superscript"/>
        </w:rPr>
        <w:t>1b</w:t>
      </w:r>
      <w:r w:rsidRPr="004031B1">
        <w:rPr>
          <w:rFonts w:ascii="Times New Roman" w:hAnsi="Times New Roman" w:cs="Times New Roman"/>
        </w:rPr>
        <w:t>) § 2 písm. a) a b) zákona č. 22/2004 Z. z. o elektronickom obchode a o zmene a doplnení zákona č. 128/2002 Z. z. o štátnej kontrole vnútorného trhu vo veciach ochrany spotrebiteľa a o zmene a doplnení niektorých zákonov v znení zákona č. 284/2002 Z. z.“.</w:t>
      </w:r>
    </w:p>
    <w:p w14:paraId="57587A95" w14:textId="77777777" w:rsidR="004031B1" w:rsidRPr="004031B1" w:rsidRDefault="004031B1" w:rsidP="00606F68">
      <w:pPr>
        <w:pStyle w:val="Odsekzoznamu"/>
        <w:autoSpaceDE w:val="0"/>
        <w:autoSpaceDN w:val="0"/>
        <w:adjustRightInd w:val="0"/>
        <w:ind w:left="0"/>
        <w:jc w:val="both"/>
        <w:rPr>
          <w:rFonts w:ascii="Times New Roman" w:hAnsi="Times New Roman" w:cs="Times New Roman"/>
        </w:rPr>
      </w:pPr>
    </w:p>
    <w:p w14:paraId="4DF07F40" w14:textId="46C54143" w:rsidR="00B107C4" w:rsidRDefault="00AA72A6" w:rsidP="00B107C4">
      <w:pPr>
        <w:pStyle w:val="Odsekzoznamu"/>
        <w:numPr>
          <w:ilvl w:val="0"/>
          <w:numId w:val="3"/>
        </w:numPr>
        <w:autoSpaceDE w:val="0"/>
        <w:autoSpaceDN w:val="0"/>
        <w:adjustRightInd w:val="0"/>
        <w:ind w:left="0"/>
        <w:jc w:val="both"/>
        <w:rPr>
          <w:rFonts w:ascii="Times New Roman" w:hAnsi="Times New Roman" w:cs="Times New Roman"/>
        </w:rPr>
      </w:pPr>
      <w:r w:rsidRPr="00AA72A6">
        <w:rPr>
          <w:rFonts w:ascii="Times New Roman" w:hAnsi="Times New Roman" w:cs="Times New Roman"/>
        </w:rPr>
        <w:t>§ 3 znie vrátane nadpisu znie:</w:t>
      </w:r>
    </w:p>
    <w:p w14:paraId="1E8A7318" w14:textId="77777777" w:rsidR="00AA72A6" w:rsidRPr="00AA72A6" w:rsidRDefault="00AA72A6" w:rsidP="00AA72A6">
      <w:pPr>
        <w:ind w:left="644"/>
        <w:contextualSpacing/>
        <w:jc w:val="center"/>
        <w:rPr>
          <w14:ligatures w14:val="standardContextual"/>
        </w:rPr>
      </w:pPr>
      <w:r w:rsidRPr="00AA72A6">
        <w:rPr>
          <w14:ligatures w14:val="standardContextual"/>
        </w:rPr>
        <w:t>„§ 3</w:t>
      </w:r>
    </w:p>
    <w:p w14:paraId="406E0F73" w14:textId="77777777" w:rsidR="00AA72A6" w:rsidRPr="00AA72A6" w:rsidRDefault="00AA72A6" w:rsidP="00AA72A6">
      <w:pPr>
        <w:ind w:left="644"/>
        <w:contextualSpacing/>
        <w:jc w:val="center"/>
        <w:rPr>
          <w14:ligatures w14:val="standardContextual"/>
        </w:rPr>
      </w:pPr>
      <w:r w:rsidRPr="00AA72A6">
        <w:rPr>
          <w14:ligatures w14:val="standardContextual"/>
        </w:rPr>
        <w:t>Daňovník a platiteľ dane</w:t>
      </w:r>
    </w:p>
    <w:p w14:paraId="59537D4D" w14:textId="13A44150" w:rsidR="00AA72A6" w:rsidRPr="00AA72A6" w:rsidRDefault="00AA72A6" w:rsidP="00AA72A6">
      <w:pPr>
        <w:ind w:left="644"/>
        <w:contextualSpacing/>
        <w:jc w:val="both"/>
        <w:rPr>
          <w:color w:val="000000"/>
          <w14:ligatures w14:val="standardContextual"/>
        </w:rPr>
      </w:pPr>
      <w:r w:rsidRPr="00AA72A6">
        <w:rPr>
          <w:color w:val="000000"/>
          <w14:ligatures w14:val="standardContextual"/>
        </w:rPr>
        <w:t>(1) Daňovníkom je právnická osoba, ktorá vykonáva finančné transakcie a ktorá je používateľom platobných služieb poskytovateľa platobných služieb vykonávajúceho finančné transakcie (ďalej len „poskytovateľ“)</w:t>
      </w:r>
      <w:r w:rsidR="00426442">
        <w:rPr>
          <w:color w:val="000000"/>
          <w14:ligatures w14:val="standardContextual"/>
        </w:rPr>
        <w:t>,</w:t>
      </w:r>
      <w:r w:rsidRPr="00AA72A6">
        <w:rPr>
          <w:color w:val="000000"/>
          <w14:ligatures w14:val="standardContextual"/>
        </w:rPr>
        <w:t xml:space="preserve"> alebo právnická osoba, za ktorú sú vykonávané finančné transakcie, pričom</w:t>
      </w:r>
    </w:p>
    <w:p w14:paraId="72FADA98" w14:textId="77777777" w:rsidR="00AA72A6" w:rsidRPr="00AA72A6" w:rsidRDefault="00AA72A6" w:rsidP="00AA72A6">
      <w:pPr>
        <w:ind w:left="644"/>
        <w:contextualSpacing/>
        <w:jc w:val="both"/>
        <w:rPr>
          <w:color w:val="000000"/>
          <w14:ligatures w14:val="standardContextual"/>
        </w:rPr>
      </w:pPr>
    </w:p>
    <w:p w14:paraId="1CA10171" w14:textId="77777777" w:rsidR="00AA72A6" w:rsidRPr="00AA72A6" w:rsidRDefault="00AA72A6" w:rsidP="00AA72A6">
      <w:pPr>
        <w:numPr>
          <w:ilvl w:val="0"/>
          <w:numId w:val="5"/>
        </w:numPr>
        <w:contextualSpacing/>
        <w:jc w:val="both"/>
        <w:rPr>
          <w:color w:val="000000"/>
          <w14:ligatures w14:val="standardContextual"/>
        </w:rPr>
      </w:pPr>
      <w:r w:rsidRPr="00AA72A6">
        <w:rPr>
          <w:color w:val="000000"/>
          <w14:ligatures w14:val="standardContextual"/>
        </w:rPr>
        <w:t xml:space="preserve">daňovníkom s neobmedzenou daňovou povinnosťou je právnická osoba, ktorá má v tuzemsku sídlo, </w:t>
      </w:r>
    </w:p>
    <w:p w14:paraId="67C10837" w14:textId="77777777" w:rsidR="00AA72A6" w:rsidRPr="00AA72A6" w:rsidRDefault="00AA72A6" w:rsidP="00AA72A6">
      <w:pPr>
        <w:ind w:left="1004"/>
        <w:contextualSpacing/>
        <w:jc w:val="both"/>
        <w:rPr>
          <w:color w:val="000000"/>
          <w14:ligatures w14:val="standardContextual"/>
        </w:rPr>
      </w:pPr>
    </w:p>
    <w:p w14:paraId="736520B6" w14:textId="77777777" w:rsidR="00AA72A6" w:rsidRPr="00AA72A6" w:rsidRDefault="00AA72A6" w:rsidP="00AA72A6">
      <w:pPr>
        <w:numPr>
          <w:ilvl w:val="0"/>
          <w:numId w:val="5"/>
        </w:numPr>
        <w:contextualSpacing/>
        <w:jc w:val="both"/>
        <w:rPr>
          <w:color w:val="000000"/>
          <w14:ligatures w14:val="standardContextual"/>
        </w:rPr>
      </w:pPr>
      <w:r w:rsidRPr="00AA72A6">
        <w:rPr>
          <w:color w:val="000000"/>
          <w14:ligatures w14:val="standardContextual"/>
        </w:rPr>
        <w:t>daňovníkom s obmedzenou daňovou povinnosťou je právnická osoba, ktorá nemá v tuzemsku sídlo a</w:t>
      </w:r>
    </w:p>
    <w:p w14:paraId="09A4D431" w14:textId="77777777" w:rsidR="00AA72A6" w:rsidRPr="00AA72A6" w:rsidRDefault="00AA72A6" w:rsidP="00AA72A6">
      <w:pPr>
        <w:ind w:left="720"/>
        <w:contextualSpacing/>
        <w:rPr>
          <w:color w:val="000000"/>
          <w14:ligatures w14:val="standardContextual"/>
        </w:rPr>
      </w:pPr>
    </w:p>
    <w:p w14:paraId="136D08D6" w14:textId="77777777" w:rsidR="00AA72A6" w:rsidRPr="00AA72A6" w:rsidRDefault="00AA72A6" w:rsidP="00AA72A6">
      <w:pPr>
        <w:numPr>
          <w:ilvl w:val="3"/>
          <w:numId w:val="5"/>
        </w:numPr>
        <w:ind w:left="1701"/>
        <w:contextualSpacing/>
        <w:jc w:val="both"/>
        <w:rPr>
          <w:color w:val="000000"/>
          <w14:ligatures w14:val="standardContextual"/>
        </w:rPr>
      </w:pPr>
      <w:r w:rsidRPr="00AA72A6">
        <w:rPr>
          <w:color w:val="000000"/>
          <w14:ligatures w14:val="standardContextual"/>
        </w:rPr>
        <w:t xml:space="preserve">je používateľom platobných služieb poskytovateľa so sídlom v tuzemsku alebo </w:t>
      </w:r>
    </w:p>
    <w:p w14:paraId="58F8B396" w14:textId="77777777" w:rsidR="00AA72A6" w:rsidRPr="00AA72A6" w:rsidRDefault="00AA72A6" w:rsidP="00AA72A6">
      <w:pPr>
        <w:ind w:left="1701"/>
        <w:contextualSpacing/>
        <w:jc w:val="both"/>
        <w:rPr>
          <w:color w:val="000000"/>
          <w14:ligatures w14:val="standardContextual"/>
        </w:rPr>
      </w:pPr>
    </w:p>
    <w:p w14:paraId="580E6406" w14:textId="77777777" w:rsidR="00AA72A6" w:rsidRPr="00AA72A6" w:rsidRDefault="00AA72A6" w:rsidP="00AA72A6">
      <w:pPr>
        <w:numPr>
          <w:ilvl w:val="3"/>
          <w:numId w:val="5"/>
        </w:numPr>
        <w:ind w:left="1701"/>
        <w:contextualSpacing/>
        <w:jc w:val="both"/>
        <w:rPr>
          <w:color w:val="000000"/>
          <w14:ligatures w14:val="standardContextual"/>
        </w:rPr>
      </w:pPr>
      <w:r w:rsidRPr="00AA72A6">
        <w:rPr>
          <w:color w:val="000000"/>
          <w14:ligatures w14:val="standardContextual"/>
        </w:rPr>
        <w:lastRenderedPageBreak/>
        <w:t>vykonáva činnosť v tuzemsku prostredníctvom stálej prevádzkarne.</w:t>
      </w:r>
    </w:p>
    <w:p w14:paraId="3B200E8D" w14:textId="77777777" w:rsidR="00AA72A6" w:rsidRPr="00AA72A6" w:rsidRDefault="00AA72A6" w:rsidP="00AA72A6">
      <w:pPr>
        <w:ind w:left="720"/>
        <w:contextualSpacing/>
        <w:rPr>
          <w:color w:val="000000"/>
          <w:highlight w:val="yellow"/>
          <w14:ligatures w14:val="standardContextual"/>
        </w:rPr>
      </w:pPr>
    </w:p>
    <w:p w14:paraId="57DAFEEE" w14:textId="77777777" w:rsidR="00AA72A6" w:rsidRPr="00AA72A6" w:rsidRDefault="00AA72A6" w:rsidP="00AA72A6">
      <w:pPr>
        <w:ind w:left="644"/>
        <w:jc w:val="both"/>
        <w:rPr>
          <w:color w:val="000000"/>
          <w14:ligatures w14:val="standardContextual"/>
        </w:rPr>
      </w:pPr>
      <w:r w:rsidRPr="00AA72A6">
        <w:rPr>
          <w:color w:val="000000"/>
          <w14:ligatures w14:val="standardContextual"/>
        </w:rPr>
        <w:t xml:space="preserve">(2)  Daňovníkom nie je </w:t>
      </w:r>
    </w:p>
    <w:p w14:paraId="0772C3C9" w14:textId="77777777" w:rsidR="00AA72A6" w:rsidRPr="00AA72A6" w:rsidRDefault="00AA72A6" w:rsidP="00AA72A6">
      <w:pPr>
        <w:ind w:left="644"/>
        <w:jc w:val="both"/>
        <w:rPr>
          <w:color w:val="000000"/>
          <w14:ligatures w14:val="standardContextual"/>
        </w:rPr>
      </w:pPr>
    </w:p>
    <w:p w14:paraId="58CDA8E5" w14:textId="77777777" w:rsidR="00AA72A6" w:rsidRPr="00AA72A6" w:rsidRDefault="00AA72A6" w:rsidP="00AA72A6">
      <w:pPr>
        <w:numPr>
          <w:ilvl w:val="0"/>
          <w:numId w:val="6"/>
        </w:numPr>
        <w:contextualSpacing/>
        <w:jc w:val="both"/>
        <w:rPr>
          <w:color w:val="000000"/>
          <w14:ligatures w14:val="standardContextual"/>
        </w:rPr>
      </w:pPr>
      <w:r w:rsidRPr="00AA72A6">
        <w:rPr>
          <w:color w:val="000000"/>
          <w14:ligatures w14:val="standardContextual"/>
        </w:rPr>
        <w:t xml:space="preserve">Sociálna poisťovňa, Matica slovenská, Slovenská akadémia vied </w:t>
      </w:r>
      <w:r w:rsidRPr="00AA72A6">
        <w:rPr>
          <w:bCs/>
          <w14:ligatures w14:val="standardContextual"/>
        </w:rPr>
        <w:t>a jej verejné výskumné inštitúcie</w:t>
      </w:r>
      <w:r w:rsidRPr="00AA72A6">
        <w:rPr>
          <w:color w:val="000000"/>
          <w14:ligatures w14:val="standardContextual"/>
        </w:rPr>
        <w:t xml:space="preserve">, Úrad pre dohľad nad zdravotnou starostlivosťou, </w:t>
      </w:r>
      <w:r w:rsidRPr="00AA72A6">
        <w:rPr>
          <w14:ligatures w14:val="standardContextual"/>
        </w:rPr>
        <w:t>Úrad pre dohľad nad výkonom auditu,</w:t>
      </w:r>
      <w:r w:rsidRPr="00AA72A6">
        <w:rPr>
          <w:bCs/>
          <w14:ligatures w14:val="standardContextual"/>
        </w:rPr>
        <w:t xml:space="preserve"> Ústav pamäti národa, Úrad komisára pre osoby so zdravotným postihnutím a Úrad komisára pre deti</w:t>
      </w:r>
      <w:r w:rsidRPr="00AA72A6">
        <w:rPr>
          <w:color w:val="000000"/>
          <w14:ligatures w14:val="standardContextual"/>
        </w:rPr>
        <w:t xml:space="preserve">, </w:t>
      </w:r>
    </w:p>
    <w:p w14:paraId="64D53FD7" w14:textId="77777777" w:rsidR="00AA72A6" w:rsidRPr="00AA72A6" w:rsidRDefault="00AA72A6" w:rsidP="00AA72A6">
      <w:pPr>
        <w:ind w:left="1004"/>
        <w:contextualSpacing/>
        <w:jc w:val="both"/>
        <w:rPr>
          <w:color w:val="000000"/>
          <w14:ligatures w14:val="standardContextual"/>
        </w:rPr>
      </w:pPr>
    </w:p>
    <w:p w14:paraId="63FF1576" w14:textId="77777777" w:rsidR="00AA72A6" w:rsidRPr="00AA72A6" w:rsidRDefault="00AA72A6" w:rsidP="00AA72A6">
      <w:pPr>
        <w:numPr>
          <w:ilvl w:val="0"/>
          <w:numId w:val="6"/>
        </w:numPr>
        <w:contextualSpacing/>
        <w:jc w:val="both"/>
        <w:rPr>
          <w:color w:val="000000"/>
          <w14:ligatures w14:val="standardContextual"/>
        </w:rPr>
      </w:pPr>
      <w:r w:rsidRPr="00AA72A6">
        <w:rPr>
          <w:color w:val="000000"/>
          <w14:ligatures w14:val="standardContextual"/>
        </w:rPr>
        <w:t>rozpočtová organizácia a príspevková organizácia,</w:t>
      </w:r>
      <w:r w:rsidRPr="00AA72A6">
        <w:rPr>
          <w:color w:val="000000"/>
          <w:vertAlign w:val="superscript"/>
          <w14:ligatures w14:val="standardContextual"/>
        </w:rPr>
        <w:t>2</w:t>
      </w:r>
      <w:r w:rsidRPr="00AA72A6">
        <w:rPr>
          <w:color w:val="000000"/>
          <w14:ligatures w14:val="standardContextual"/>
        </w:rPr>
        <w:t xml:space="preserve">) </w:t>
      </w:r>
    </w:p>
    <w:p w14:paraId="4BE74175" w14:textId="77777777" w:rsidR="00AA72A6" w:rsidRPr="00AA72A6" w:rsidRDefault="00AA72A6" w:rsidP="00AA72A6">
      <w:pPr>
        <w:ind w:left="1004"/>
        <w:contextualSpacing/>
        <w:jc w:val="both"/>
        <w:rPr>
          <w:color w:val="000000"/>
          <w14:ligatures w14:val="standardContextual"/>
        </w:rPr>
      </w:pPr>
    </w:p>
    <w:p w14:paraId="01C70D6F" w14:textId="77777777" w:rsidR="00AA72A6" w:rsidRPr="00AA72A6" w:rsidRDefault="00AA72A6" w:rsidP="00AA72A6">
      <w:pPr>
        <w:numPr>
          <w:ilvl w:val="0"/>
          <w:numId w:val="6"/>
        </w:numPr>
        <w:contextualSpacing/>
        <w:jc w:val="both"/>
        <w:rPr>
          <w:color w:val="000000"/>
          <w14:ligatures w14:val="standardContextual"/>
        </w:rPr>
      </w:pPr>
      <w:r w:rsidRPr="00AA72A6">
        <w:rPr>
          <w:color w:val="000000"/>
          <w14:ligatures w14:val="standardContextual"/>
        </w:rPr>
        <w:t xml:space="preserve">obec a vyšší územný celok, </w:t>
      </w:r>
    </w:p>
    <w:p w14:paraId="4C5B0C54" w14:textId="77777777" w:rsidR="00AA72A6" w:rsidRPr="00AA72A6" w:rsidRDefault="00AA72A6" w:rsidP="00AA72A6">
      <w:pPr>
        <w:ind w:left="1004"/>
        <w:contextualSpacing/>
        <w:jc w:val="both"/>
        <w:rPr>
          <w:color w:val="000000"/>
          <w14:ligatures w14:val="standardContextual"/>
        </w:rPr>
      </w:pPr>
    </w:p>
    <w:p w14:paraId="5BF4C46A" w14:textId="2D8BC096" w:rsidR="00AA72A6" w:rsidRPr="00AA72A6" w:rsidRDefault="00AA72A6" w:rsidP="00AA72A6">
      <w:pPr>
        <w:numPr>
          <w:ilvl w:val="0"/>
          <w:numId w:val="6"/>
        </w:numPr>
        <w:contextualSpacing/>
        <w:jc w:val="both"/>
        <w:rPr>
          <w:color w:val="000000"/>
          <w14:ligatures w14:val="standardContextual"/>
        </w:rPr>
      </w:pPr>
      <w:r w:rsidRPr="00AA72A6">
        <w:rPr>
          <w:color w:val="000000"/>
          <w14:ligatures w14:val="standardContextual"/>
        </w:rPr>
        <w:t>občianske združenie,</w:t>
      </w:r>
      <w:r w:rsidRPr="00AA72A6">
        <w:rPr>
          <w:color w:val="000000"/>
          <w:vertAlign w:val="superscript"/>
          <w14:ligatures w14:val="standardContextual"/>
        </w:rPr>
        <w:t>2a</w:t>
      </w:r>
      <w:r w:rsidRPr="00AA72A6">
        <w:rPr>
          <w:color w:val="000000"/>
          <w14:ligatures w14:val="standardContextual"/>
        </w:rPr>
        <w:t>) nadácia,</w:t>
      </w:r>
      <w:r w:rsidRPr="00AA72A6">
        <w:rPr>
          <w:color w:val="000000"/>
          <w:vertAlign w:val="superscript"/>
          <w14:ligatures w14:val="standardContextual"/>
        </w:rPr>
        <w:t>2b</w:t>
      </w:r>
      <w:r w:rsidRPr="00AA72A6">
        <w:rPr>
          <w:color w:val="000000"/>
          <w14:ligatures w14:val="standardContextual"/>
        </w:rPr>
        <w:t>) neinvestičný fond,</w:t>
      </w:r>
      <w:r w:rsidRPr="00AA72A6">
        <w:rPr>
          <w:color w:val="000000"/>
          <w:vertAlign w:val="superscript"/>
          <w14:ligatures w14:val="standardContextual"/>
        </w:rPr>
        <w:t>2c</w:t>
      </w:r>
      <w:r w:rsidRPr="00AA72A6">
        <w:rPr>
          <w:color w:val="000000"/>
          <w14:ligatures w14:val="standardContextual"/>
        </w:rPr>
        <w:t>) nezisková organizácia poskytujúca všeobecne prospešné služby,</w:t>
      </w:r>
      <w:r w:rsidRPr="00AA72A6">
        <w:rPr>
          <w:color w:val="000000"/>
          <w:vertAlign w:val="superscript"/>
          <w14:ligatures w14:val="standardContextual"/>
        </w:rPr>
        <w:t>2d</w:t>
      </w:r>
      <w:r w:rsidRPr="00AA72A6">
        <w:rPr>
          <w:color w:val="000000"/>
          <w14:ligatures w14:val="standardContextual"/>
        </w:rPr>
        <w:t>) účelové zariadenie cirkvi a náboženskej spoločnosti,</w:t>
      </w:r>
      <w:r w:rsidRPr="00AA72A6">
        <w:rPr>
          <w:color w:val="000000"/>
          <w:vertAlign w:val="superscript"/>
          <w14:ligatures w14:val="standardContextual"/>
        </w:rPr>
        <w:t>2e</w:t>
      </w:r>
      <w:r w:rsidRPr="00AA72A6">
        <w:rPr>
          <w:color w:val="000000"/>
          <w14:ligatures w14:val="standardContextual"/>
        </w:rPr>
        <w:t>) záujmové združenie právnických osôb,</w:t>
      </w:r>
      <w:r w:rsidRPr="00AA72A6">
        <w:rPr>
          <w:color w:val="000000"/>
          <w:vertAlign w:val="superscript"/>
          <w14:ligatures w14:val="standardContextual"/>
        </w:rPr>
        <w:t>2f</w:t>
      </w:r>
      <w:r w:rsidRPr="00AA72A6">
        <w:rPr>
          <w:color w:val="000000"/>
          <w14:ligatures w14:val="standardContextual"/>
        </w:rPr>
        <w:t>) subjekt výskumu a</w:t>
      </w:r>
      <w:r w:rsidR="003C10C8">
        <w:rPr>
          <w:color w:val="000000"/>
          <w14:ligatures w14:val="standardContextual"/>
        </w:rPr>
        <w:t> </w:t>
      </w:r>
      <w:r w:rsidRPr="00AA72A6">
        <w:rPr>
          <w:color w:val="000000"/>
          <w14:ligatures w14:val="standardContextual"/>
        </w:rPr>
        <w:t>vývoja</w:t>
      </w:r>
      <w:r w:rsidR="003C10C8">
        <w:rPr>
          <w:color w:val="000000"/>
          <w14:ligatures w14:val="standardContextual"/>
        </w:rPr>
        <w:t>,</w:t>
      </w:r>
      <w:r w:rsidRPr="00AA72A6">
        <w:rPr>
          <w:color w:val="000000"/>
          <w:vertAlign w:val="superscript"/>
          <w14:ligatures w14:val="standardContextual"/>
        </w:rPr>
        <w:t>2g</w:t>
      </w:r>
      <w:r w:rsidRPr="00AA72A6">
        <w:rPr>
          <w:color w:val="000000"/>
          <w14:ligatures w14:val="standardContextual"/>
        </w:rPr>
        <w:t>) organizácia s medzinárodným prvkom,</w:t>
      </w:r>
      <w:r w:rsidRPr="00AA72A6">
        <w:rPr>
          <w:color w:val="000000"/>
          <w:vertAlign w:val="superscript"/>
          <w14:ligatures w14:val="standardContextual"/>
        </w:rPr>
        <w:t>2h</w:t>
      </w:r>
      <w:r w:rsidRPr="00AA72A6">
        <w:rPr>
          <w:color w:val="000000"/>
          <w14:ligatures w14:val="standardContextual"/>
        </w:rPr>
        <w:t>) Slovenský červený kríž, a ktorých predmetom činnosti sú činnosti podľa osobitného predpisu,</w:t>
      </w:r>
      <w:r w:rsidRPr="00AA72A6">
        <w:rPr>
          <w:color w:val="000000"/>
          <w:vertAlign w:val="superscript"/>
          <w14:ligatures w14:val="standardContextual"/>
        </w:rPr>
        <w:t>2i</w:t>
      </w:r>
      <w:r w:rsidRPr="00AA72A6">
        <w:rPr>
          <w:color w:val="000000"/>
          <w14:ligatures w14:val="standardContextual"/>
        </w:rPr>
        <w:t xml:space="preserve">) </w:t>
      </w:r>
    </w:p>
    <w:p w14:paraId="581FF571" w14:textId="77777777" w:rsidR="00AA72A6" w:rsidRPr="00AA72A6" w:rsidRDefault="00AA72A6" w:rsidP="00AA72A6">
      <w:pPr>
        <w:jc w:val="both"/>
        <w:rPr>
          <w:color w:val="000000"/>
          <w14:ligatures w14:val="standardContextual"/>
        </w:rPr>
      </w:pPr>
    </w:p>
    <w:p w14:paraId="5D17CF35" w14:textId="77777777" w:rsidR="00AA72A6" w:rsidRPr="00AA72A6" w:rsidRDefault="00AA72A6" w:rsidP="00AA72A6">
      <w:pPr>
        <w:numPr>
          <w:ilvl w:val="0"/>
          <w:numId w:val="6"/>
        </w:numPr>
        <w:contextualSpacing/>
        <w:jc w:val="both"/>
        <w:rPr>
          <w:color w:val="000000"/>
          <w14:ligatures w14:val="standardContextual"/>
        </w:rPr>
      </w:pPr>
      <w:r w:rsidRPr="00AA72A6">
        <w:rPr>
          <w:color w:val="000000"/>
          <w14:ligatures w14:val="standardContextual"/>
        </w:rPr>
        <w:t>krajská organizácia cestovného ruchu, oblastná organizácia cestovného ruchu, turistické informačné centrum,</w:t>
      </w:r>
      <w:r w:rsidRPr="00AA72A6">
        <w:rPr>
          <w:color w:val="000000"/>
          <w:vertAlign w:val="superscript"/>
          <w14:ligatures w14:val="standardContextual"/>
        </w:rPr>
        <w:t>2j</w:t>
      </w:r>
      <w:r w:rsidRPr="00AA72A6">
        <w:rPr>
          <w:color w:val="000000"/>
          <w14:ligatures w14:val="standardContextual"/>
        </w:rPr>
        <w:t xml:space="preserve">) </w:t>
      </w:r>
    </w:p>
    <w:p w14:paraId="75751851" w14:textId="77777777" w:rsidR="00AA72A6" w:rsidRPr="00AA72A6" w:rsidRDefault="00AA72A6" w:rsidP="00AA72A6">
      <w:pPr>
        <w:ind w:left="720"/>
        <w:contextualSpacing/>
        <w:rPr>
          <w:color w:val="000000"/>
          <w14:ligatures w14:val="standardContextual"/>
        </w:rPr>
      </w:pPr>
    </w:p>
    <w:p w14:paraId="2832C321" w14:textId="77777777" w:rsidR="00AA72A6" w:rsidRPr="00AA72A6" w:rsidRDefault="00AA72A6" w:rsidP="00AA72A6">
      <w:pPr>
        <w:numPr>
          <w:ilvl w:val="0"/>
          <w:numId w:val="6"/>
        </w:numPr>
        <w:contextualSpacing/>
        <w:jc w:val="both"/>
        <w:rPr>
          <w:color w:val="000000"/>
          <w14:ligatures w14:val="standardContextual"/>
        </w:rPr>
      </w:pPr>
      <w:r w:rsidRPr="00AA72A6">
        <w:rPr>
          <w:color w:val="000000"/>
          <w14:ligatures w14:val="standardContextual"/>
        </w:rPr>
        <w:t xml:space="preserve">diplomatická misia a konzulárny úrad so sídlom v tuzemsku okrem konzulárneho úradu vedeného honorárnym konzulom, </w:t>
      </w:r>
    </w:p>
    <w:p w14:paraId="3E748B73" w14:textId="77777777" w:rsidR="00AA72A6" w:rsidRPr="00AA72A6" w:rsidRDefault="00AA72A6" w:rsidP="00AA72A6">
      <w:pPr>
        <w:ind w:left="720"/>
        <w:contextualSpacing/>
        <w:rPr>
          <w:color w:val="000000"/>
          <w14:ligatures w14:val="standardContextual"/>
        </w:rPr>
      </w:pPr>
    </w:p>
    <w:p w14:paraId="1816990A" w14:textId="77777777" w:rsidR="00AA72A6" w:rsidRPr="00AA72A6" w:rsidRDefault="00AA72A6" w:rsidP="00AA72A6">
      <w:pPr>
        <w:numPr>
          <w:ilvl w:val="0"/>
          <w:numId w:val="6"/>
        </w:numPr>
        <w:contextualSpacing/>
        <w:jc w:val="both"/>
        <w:rPr>
          <w:color w:val="000000"/>
          <w14:ligatures w14:val="standardContextual"/>
        </w:rPr>
      </w:pPr>
      <w:r w:rsidRPr="00AA72A6">
        <w:rPr>
          <w:color w:val="000000"/>
          <w14:ligatures w14:val="standardContextual"/>
        </w:rPr>
        <w:t xml:space="preserve">diplomatická misia a konzulárny úrad, ktoré sú akreditované pre Slovenskú republiku a majú sídlo mimo územia Slovenskej republiky, okrem konzulárneho úradu vedeného honorárnym konzulom, </w:t>
      </w:r>
    </w:p>
    <w:p w14:paraId="35F9DB71" w14:textId="77777777" w:rsidR="00AA72A6" w:rsidRPr="00AA72A6" w:rsidRDefault="00AA72A6" w:rsidP="00AA72A6">
      <w:pPr>
        <w:ind w:left="720"/>
        <w:contextualSpacing/>
        <w:rPr>
          <w:color w:val="000000"/>
          <w14:ligatures w14:val="standardContextual"/>
        </w:rPr>
      </w:pPr>
    </w:p>
    <w:p w14:paraId="4D644A7A" w14:textId="77777777" w:rsidR="00AA72A6" w:rsidRPr="00AA72A6" w:rsidRDefault="00AA72A6" w:rsidP="00AA72A6">
      <w:pPr>
        <w:numPr>
          <w:ilvl w:val="0"/>
          <w:numId w:val="6"/>
        </w:numPr>
        <w:contextualSpacing/>
        <w:jc w:val="both"/>
        <w:rPr>
          <w:color w:val="000000"/>
          <w14:ligatures w14:val="standardContextual"/>
        </w:rPr>
      </w:pPr>
      <w:r w:rsidRPr="00AA72A6">
        <w:rPr>
          <w:color w:val="000000"/>
          <w14:ligatures w14:val="standardContextual"/>
        </w:rPr>
        <w:t>škola a školské zariadenie zaradené do siete škôl a školských zariadení Slovenskej republiky okrem školy a školského zariadenia, ktoré je obchodnou spoločnosťou.</w:t>
      </w:r>
    </w:p>
    <w:p w14:paraId="1B8A0EA7" w14:textId="77777777" w:rsidR="00AA72A6" w:rsidRPr="00AA72A6" w:rsidRDefault="00AA72A6" w:rsidP="00AA72A6">
      <w:pPr>
        <w:ind w:left="1004"/>
        <w:contextualSpacing/>
        <w:jc w:val="both"/>
        <w:rPr>
          <w:color w:val="000000"/>
          <w14:ligatures w14:val="standardContextual"/>
        </w:rPr>
      </w:pPr>
    </w:p>
    <w:p w14:paraId="1A60D877" w14:textId="77777777" w:rsidR="00AA72A6" w:rsidRPr="00AA72A6" w:rsidRDefault="00AA72A6" w:rsidP="00AA72A6">
      <w:pPr>
        <w:jc w:val="both"/>
        <w:rPr>
          <w14:ligatures w14:val="standardContextual"/>
        </w:rPr>
      </w:pPr>
      <w:r w:rsidRPr="00AA72A6">
        <w:rPr>
          <w14:ligatures w14:val="standardContextual"/>
        </w:rPr>
        <w:t xml:space="preserve">(3) Platiteľom dane je </w:t>
      </w:r>
    </w:p>
    <w:p w14:paraId="105CFEC3" w14:textId="77777777" w:rsidR="00AA72A6" w:rsidRPr="00AA72A6" w:rsidRDefault="00AA72A6" w:rsidP="00AA72A6">
      <w:pPr>
        <w:numPr>
          <w:ilvl w:val="0"/>
          <w:numId w:val="7"/>
        </w:numPr>
        <w:contextualSpacing/>
        <w:jc w:val="both"/>
        <w:rPr>
          <w14:ligatures w14:val="standardContextual"/>
        </w:rPr>
      </w:pPr>
      <w:r w:rsidRPr="00AA72A6">
        <w:rPr>
          <w14:ligatures w14:val="standardContextual"/>
        </w:rPr>
        <w:t xml:space="preserve">poskytovateľ so sídlom v tuzemsku, </w:t>
      </w:r>
    </w:p>
    <w:p w14:paraId="5AA634C9" w14:textId="77777777" w:rsidR="00AA72A6" w:rsidRPr="00AA72A6" w:rsidRDefault="00AA72A6" w:rsidP="00AA72A6">
      <w:pPr>
        <w:numPr>
          <w:ilvl w:val="0"/>
          <w:numId w:val="7"/>
        </w:numPr>
        <w:contextualSpacing/>
        <w:jc w:val="both"/>
        <w:rPr>
          <w14:ligatures w14:val="standardContextual"/>
        </w:rPr>
      </w:pPr>
      <w:r w:rsidRPr="00AA72A6">
        <w:rPr>
          <w14:ligatures w14:val="standardContextual"/>
        </w:rPr>
        <w:t xml:space="preserve">organizačná zložka poskytovateľa umiestnená v tuzemsku, </w:t>
      </w:r>
    </w:p>
    <w:p w14:paraId="3543FAD5" w14:textId="77777777" w:rsidR="00AA72A6" w:rsidRPr="00AA72A6" w:rsidRDefault="00AA72A6" w:rsidP="00AA72A6">
      <w:pPr>
        <w:numPr>
          <w:ilvl w:val="0"/>
          <w:numId w:val="7"/>
        </w:numPr>
        <w:contextualSpacing/>
        <w:jc w:val="both"/>
        <w:rPr>
          <w14:ligatures w14:val="standardContextual"/>
        </w:rPr>
      </w:pPr>
      <w:r w:rsidRPr="00AA72A6">
        <w:rPr>
          <w14:ligatures w14:val="standardContextual"/>
        </w:rPr>
        <w:t xml:space="preserve">daňovník, ktorý je používateľom platobných služieb poskytovateľa so sídlom mimo územia Slovenskej republiky, </w:t>
      </w:r>
    </w:p>
    <w:p w14:paraId="0BFA81DE" w14:textId="77777777" w:rsidR="00AA72A6" w:rsidRPr="00AA72A6" w:rsidRDefault="00AA72A6" w:rsidP="00AA72A6">
      <w:pPr>
        <w:numPr>
          <w:ilvl w:val="0"/>
          <w:numId w:val="7"/>
        </w:numPr>
        <w:contextualSpacing/>
        <w:jc w:val="both"/>
        <w:rPr>
          <w14:ligatures w14:val="standardContextual"/>
        </w:rPr>
      </w:pPr>
      <w:r w:rsidRPr="00AA72A6">
        <w:rPr>
          <w14:ligatures w14:val="standardContextual"/>
        </w:rPr>
        <w:t xml:space="preserve">daňovník, ktorému sú preúčtované náklady, </w:t>
      </w:r>
    </w:p>
    <w:p w14:paraId="0C7ECE1D" w14:textId="108F86A9" w:rsidR="00AA72A6" w:rsidRPr="00606F68" w:rsidRDefault="00AA72A6" w:rsidP="00AA72A6">
      <w:pPr>
        <w:pStyle w:val="Odsekzoznamu"/>
        <w:numPr>
          <w:ilvl w:val="0"/>
          <w:numId w:val="7"/>
        </w:numPr>
        <w:autoSpaceDE w:val="0"/>
        <w:autoSpaceDN w:val="0"/>
        <w:adjustRightInd w:val="0"/>
        <w:jc w:val="both"/>
        <w:rPr>
          <w:rFonts w:ascii="Times New Roman" w:hAnsi="Times New Roman" w:cs="Times New Roman"/>
        </w:rPr>
      </w:pPr>
      <w:r w:rsidRPr="00AA72A6">
        <w:rPr>
          <w:rFonts w:ascii="Times New Roman" w:eastAsia="Times New Roman" w:hAnsi="Times New Roman" w:cs="Times New Roman"/>
          <w:kern w:val="0"/>
          <w:lang w:eastAsia="sk-SK"/>
        </w:rPr>
        <w:t>daňovník, ktorý vykonal finančnú transakciu na inom ako transakčnom účte</w:t>
      </w:r>
      <w:r w:rsidR="007D3321">
        <w:rPr>
          <w:rFonts w:ascii="Times New Roman" w:eastAsia="Times New Roman" w:hAnsi="Times New Roman" w:cs="Times New Roman"/>
          <w:kern w:val="0"/>
          <w:lang w:eastAsia="sk-SK"/>
        </w:rPr>
        <w:t>,</w:t>
      </w:r>
      <w:r w:rsidRPr="00AA72A6">
        <w:rPr>
          <w:rFonts w:ascii="Times New Roman" w:eastAsia="Times New Roman" w:hAnsi="Times New Roman" w:cs="Times New Roman"/>
          <w:kern w:val="0"/>
          <w:lang w:eastAsia="sk-SK"/>
        </w:rPr>
        <w:t xml:space="preserve"> alebo </w:t>
      </w:r>
      <w:r w:rsidRPr="00AA72A6">
        <w:rPr>
          <w:rFonts w:ascii="Times New Roman" w:eastAsia="Times New Roman" w:hAnsi="Times New Roman" w:cs="Times New Roman"/>
          <w:color w:val="000000"/>
          <w:kern w:val="0"/>
          <w:lang w:eastAsia="sk-SK"/>
        </w:rPr>
        <w:t>daňovník, ktorý vykonal finančnú transakciu, ktorá nie je vylúčená z predmetu dane podľa § 4 ods. 2</w:t>
      </w:r>
      <w:r w:rsidR="007D3321">
        <w:rPr>
          <w:rFonts w:ascii="Times New Roman" w:eastAsia="Times New Roman" w:hAnsi="Times New Roman" w:cs="Times New Roman"/>
          <w:color w:val="000000"/>
          <w:kern w:val="0"/>
          <w:lang w:eastAsia="sk-SK"/>
        </w:rPr>
        <w:t>,</w:t>
      </w:r>
      <w:r w:rsidRPr="00AA72A6">
        <w:rPr>
          <w:rFonts w:ascii="Times New Roman" w:eastAsia="Times New Roman" w:hAnsi="Times New Roman" w:cs="Times New Roman"/>
          <w:color w:val="000000"/>
          <w:kern w:val="0"/>
          <w:lang w:eastAsia="sk-SK"/>
        </w:rPr>
        <w:t xml:space="preserve"> na osobitnom </w:t>
      </w:r>
      <w:r w:rsidRPr="00AA72A6">
        <w:rPr>
          <w:rFonts w:ascii="Times New Roman" w:eastAsia="Times New Roman" w:hAnsi="Times New Roman" w:cs="Times New Roman"/>
          <w:kern w:val="0"/>
          <w:lang w:eastAsia="sk-SK"/>
        </w:rPr>
        <w:t>účte, na ktorom sa vykonávajú finančné transakcie, ktoré nie sú predmetom dane podľa § 4 ods. 2.“.</w:t>
      </w:r>
    </w:p>
    <w:p w14:paraId="676B1DDB" w14:textId="77777777" w:rsidR="00AA72A6" w:rsidRDefault="00AA72A6" w:rsidP="00AA72A6">
      <w:pPr>
        <w:autoSpaceDE w:val="0"/>
        <w:autoSpaceDN w:val="0"/>
        <w:adjustRightInd w:val="0"/>
        <w:jc w:val="both"/>
      </w:pPr>
    </w:p>
    <w:p w14:paraId="368A24D5" w14:textId="77777777" w:rsidR="00AA72A6" w:rsidRPr="00AA72A6" w:rsidRDefault="00AA72A6" w:rsidP="00AA72A6">
      <w:pPr>
        <w:autoSpaceDE w:val="0"/>
        <w:autoSpaceDN w:val="0"/>
        <w:adjustRightInd w:val="0"/>
        <w:jc w:val="both"/>
      </w:pPr>
      <w:r w:rsidRPr="00AA72A6">
        <w:t>Poznámka pod čiarou k odkazu 2k znie:</w:t>
      </w:r>
    </w:p>
    <w:p w14:paraId="45D35F1E" w14:textId="6CB3CEF3" w:rsidR="00AA72A6" w:rsidRPr="00AA72A6" w:rsidRDefault="00AA72A6" w:rsidP="00606F68">
      <w:pPr>
        <w:autoSpaceDE w:val="0"/>
        <w:autoSpaceDN w:val="0"/>
        <w:adjustRightInd w:val="0"/>
        <w:jc w:val="both"/>
      </w:pPr>
      <w:r w:rsidRPr="00AA72A6">
        <w:t>„</w:t>
      </w:r>
      <w:r w:rsidRPr="00AA72A6">
        <w:rPr>
          <w:vertAlign w:val="superscript"/>
        </w:rPr>
        <w:t>2k</w:t>
      </w:r>
      <w:r w:rsidRPr="00AA72A6">
        <w:t>) § 41 zákona č. 595/2003 Z. z. v znení neskorších prepisov.“.</w:t>
      </w:r>
    </w:p>
    <w:p w14:paraId="1E4EAB52" w14:textId="77777777" w:rsidR="00B107C4" w:rsidRPr="00B107C4" w:rsidRDefault="00B107C4" w:rsidP="00B107C4">
      <w:pPr>
        <w:autoSpaceDE w:val="0"/>
        <w:autoSpaceDN w:val="0"/>
        <w:adjustRightInd w:val="0"/>
        <w:jc w:val="both"/>
      </w:pPr>
    </w:p>
    <w:p w14:paraId="0262A960" w14:textId="7B705434" w:rsidR="008C4434" w:rsidRPr="00B107C4" w:rsidRDefault="008C4434" w:rsidP="008C4434">
      <w:pPr>
        <w:pStyle w:val="Odsekzoznamu"/>
        <w:numPr>
          <w:ilvl w:val="0"/>
          <w:numId w:val="3"/>
        </w:numPr>
        <w:autoSpaceDE w:val="0"/>
        <w:autoSpaceDN w:val="0"/>
        <w:adjustRightInd w:val="0"/>
        <w:ind w:left="0"/>
        <w:jc w:val="both"/>
        <w:rPr>
          <w:rFonts w:ascii="Times New Roman" w:hAnsi="Times New Roman" w:cs="Times New Roman"/>
        </w:rPr>
      </w:pPr>
      <w:r w:rsidRPr="008C4434">
        <w:rPr>
          <w:rFonts w:ascii="Times New Roman" w:hAnsi="Times New Roman" w:cs="Times New Roman"/>
        </w:rPr>
        <w:t xml:space="preserve">V § 4 ods. 1 písmená a) a b) znejú: </w:t>
      </w:r>
    </w:p>
    <w:p w14:paraId="2022CAFF" w14:textId="77777777" w:rsidR="008C4434" w:rsidRPr="00606F68" w:rsidRDefault="008C4434" w:rsidP="008C4434">
      <w:pPr>
        <w:pStyle w:val="Odsekzoznamu"/>
        <w:ind w:left="567"/>
        <w:jc w:val="both"/>
        <w:rPr>
          <w:rFonts w:ascii="Times New Roman" w:hAnsi="Times New Roman" w:cs="Times New Roman"/>
          <w:color w:val="000000" w:themeColor="text1"/>
        </w:rPr>
      </w:pPr>
      <w:r w:rsidRPr="00606F68">
        <w:rPr>
          <w:rFonts w:ascii="Times New Roman" w:hAnsi="Times New Roman" w:cs="Times New Roman"/>
        </w:rPr>
        <w:t>„</w:t>
      </w:r>
      <w:r w:rsidRPr="00606F68">
        <w:rPr>
          <w:rFonts w:ascii="Times New Roman" w:hAnsi="Times New Roman" w:cs="Times New Roman"/>
          <w:color w:val="000000" w:themeColor="text1"/>
        </w:rPr>
        <w:t xml:space="preserve">a) finančná transakcia, pri ktorej dochádza k odpísaniu sumy finančných prostriedkov z platobného účtu </w:t>
      </w:r>
    </w:p>
    <w:p w14:paraId="71D26297" w14:textId="77777777" w:rsidR="008C4434" w:rsidRPr="00606F68" w:rsidRDefault="008C4434" w:rsidP="008C4434">
      <w:pPr>
        <w:pStyle w:val="Odsekzoznamu"/>
        <w:ind w:left="567"/>
        <w:jc w:val="both"/>
        <w:rPr>
          <w:rFonts w:ascii="Times New Roman" w:hAnsi="Times New Roman" w:cs="Times New Roman"/>
          <w:color w:val="000000" w:themeColor="text1"/>
        </w:rPr>
      </w:pPr>
    </w:p>
    <w:p w14:paraId="2F1D1F69" w14:textId="77777777" w:rsidR="008C4434" w:rsidRPr="00606F68" w:rsidRDefault="008C4434" w:rsidP="008C4434">
      <w:pPr>
        <w:pStyle w:val="Odsekzoznamu"/>
        <w:numPr>
          <w:ilvl w:val="6"/>
          <w:numId w:val="5"/>
        </w:numPr>
        <w:ind w:left="1276"/>
        <w:jc w:val="both"/>
        <w:rPr>
          <w:rFonts w:ascii="Times New Roman" w:hAnsi="Times New Roman" w:cs="Times New Roman"/>
          <w:color w:val="000000" w:themeColor="text1"/>
        </w:rPr>
      </w:pPr>
      <w:r w:rsidRPr="00606F68">
        <w:rPr>
          <w:rFonts w:ascii="Times New Roman" w:hAnsi="Times New Roman" w:cs="Times New Roman"/>
          <w:color w:val="000000" w:themeColor="text1"/>
        </w:rPr>
        <w:lastRenderedPageBreak/>
        <w:t>daňovníka s neobmedzenou daňovou povinnosťou, ktorý je vedený v tuzemsku alebo v zahraničí,</w:t>
      </w:r>
    </w:p>
    <w:p w14:paraId="0B4ACFFF" w14:textId="7AD07DA1" w:rsidR="008C4434" w:rsidRPr="00606F68" w:rsidRDefault="008C4434" w:rsidP="008C4434">
      <w:pPr>
        <w:pStyle w:val="Odsekzoznamu"/>
        <w:numPr>
          <w:ilvl w:val="6"/>
          <w:numId w:val="5"/>
        </w:numPr>
        <w:ind w:left="1276"/>
        <w:jc w:val="both"/>
        <w:rPr>
          <w:rFonts w:ascii="Times New Roman" w:hAnsi="Times New Roman" w:cs="Times New Roman"/>
          <w:color w:val="000000" w:themeColor="text1"/>
        </w:rPr>
      </w:pPr>
      <w:r w:rsidRPr="00606F68">
        <w:rPr>
          <w:rFonts w:ascii="Times New Roman" w:hAnsi="Times New Roman" w:cs="Times New Roman"/>
          <w:color w:val="000000" w:themeColor="text1"/>
        </w:rPr>
        <w:t>daňovníka s obmedzenou daňovou povinnosťou, ktorý je vedený v</w:t>
      </w:r>
      <w:r w:rsidR="007D3321">
        <w:rPr>
          <w:rFonts w:ascii="Times New Roman" w:hAnsi="Times New Roman" w:cs="Times New Roman"/>
          <w:color w:val="000000" w:themeColor="text1"/>
        </w:rPr>
        <w:t> </w:t>
      </w:r>
      <w:r w:rsidRPr="00606F68">
        <w:rPr>
          <w:rFonts w:ascii="Times New Roman" w:hAnsi="Times New Roman" w:cs="Times New Roman"/>
          <w:color w:val="000000" w:themeColor="text1"/>
        </w:rPr>
        <w:t>tuzemsku</w:t>
      </w:r>
      <w:r w:rsidR="007D3321">
        <w:rPr>
          <w:rFonts w:ascii="Times New Roman" w:hAnsi="Times New Roman" w:cs="Times New Roman"/>
          <w:color w:val="000000" w:themeColor="text1"/>
        </w:rPr>
        <w:t>,</w:t>
      </w:r>
      <w:r w:rsidRPr="00606F68">
        <w:rPr>
          <w:rFonts w:ascii="Times New Roman" w:hAnsi="Times New Roman" w:cs="Times New Roman"/>
          <w:color w:val="000000" w:themeColor="text1"/>
        </w:rPr>
        <w:t xml:space="preserve"> alebo</w:t>
      </w:r>
    </w:p>
    <w:p w14:paraId="501A1CBD" w14:textId="77777777" w:rsidR="008C4434" w:rsidRPr="00606F68" w:rsidRDefault="008C4434" w:rsidP="008C4434">
      <w:pPr>
        <w:pStyle w:val="Odsekzoznamu"/>
        <w:numPr>
          <w:ilvl w:val="6"/>
          <w:numId w:val="5"/>
        </w:numPr>
        <w:ind w:left="1276"/>
        <w:jc w:val="both"/>
        <w:rPr>
          <w:rFonts w:ascii="Times New Roman" w:hAnsi="Times New Roman" w:cs="Times New Roman"/>
          <w:color w:val="000000" w:themeColor="text1"/>
        </w:rPr>
      </w:pPr>
      <w:r w:rsidRPr="00606F68">
        <w:rPr>
          <w:rFonts w:ascii="Times New Roman" w:hAnsi="Times New Roman" w:cs="Times New Roman"/>
          <w:color w:val="000000" w:themeColor="text1"/>
        </w:rPr>
        <w:t xml:space="preserve">daňovníka s obmedzenou daňovou povinnosťou, ak je táto finančná transakcia </w:t>
      </w:r>
      <w:r w:rsidRPr="00606F68">
        <w:rPr>
          <w:rFonts w:ascii="Times New Roman" w:hAnsi="Times New Roman" w:cs="Times New Roman"/>
          <w:color w:val="000000" w:themeColor="text1"/>
          <w:highlight w:val="yellow"/>
        </w:rPr>
        <w:t xml:space="preserve"> </w:t>
      </w:r>
      <w:r w:rsidRPr="00606F68">
        <w:rPr>
          <w:rFonts w:ascii="Times New Roman" w:hAnsi="Times New Roman" w:cs="Times New Roman"/>
          <w:color w:val="000000" w:themeColor="text1"/>
        </w:rPr>
        <w:t>vykonaná v súvislosti s činnosťou stálej prevádzkarne,</w:t>
      </w:r>
      <w:r w:rsidRPr="00606F68">
        <w:rPr>
          <w:rFonts w:ascii="Times New Roman" w:hAnsi="Times New Roman" w:cs="Times New Roman"/>
          <w:i/>
          <w:iCs/>
          <w:color w:val="FF0000"/>
        </w:rPr>
        <w:t xml:space="preserve"> </w:t>
      </w:r>
    </w:p>
    <w:p w14:paraId="14CD53DB" w14:textId="77777777" w:rsidR="008C4434" w:rsidRPr="00606F68" w:rsidRDefault="008C4434" w:rsidP="008C4434">
      <w:pPr>
        <w:pStyle w:val="Odsekzoznamu"/>
        <w:ind w:left="1276"/>
        <w:jc w:val="both"/>
        <w:rPr>
          <w:rFonts w:ascii="Times New Roman" w:hAnsi="Times New Roman" w:cs="Times New Roman"/>
          <w:color w:val="000000" w:themeColor="text1"/>
        </w:rPr>
      </w:pPr>
    </w:p>
    <w:p w14:paraId="0BD17295" w14:textId="0C6663EF" w:rsidR="008C4434" w:rsidRDefault="008C4434" w:rsidP="00606F68">
      <w:pPr>
        <w:pStyle w:val="Odsekzoznamu"/>
        <w:autoSpaceDE w:val="0"/>
        <w:autoSpaceDN w:val="0"/>
        <w:adjustRightInd w:val="0"/>
        <w:ind w:left="540"/>
        <w:jc w:val="both"/>
      </w:pPr>
      <w:r w:rsidRPr="00606F68">
        <w:rPr>
          <w:rFonts w:ascii="Times New Roman" w:hAnsi="Times New Roman" w:cs="Times New Roman"/>
          <w:color w:val="000000" w:themeColor="text1"/>
        </w:rPr>
        <w:t>b) použitie platobnej karty vydanej k transakčnému účtu, na účely vykonania finančnej transakcie, pričom za použitie platobnej karty sa považuje jej využite za účelom vykonania finančnej transakcie podľa písmena a)</w:t>
      </w:r>
      <w:r w:rsidRPr="00606F68">
        <w:rPr>
          <w:rFonts w:ascii="Times New Roman" w:hAnsi="Times New Roman" w:cs="Times New Roman"/>
        </w:rPr>
        <w:t>,</w:t>
      </w:r>
      <w:r w:rsidRPr="00606F68">
        <w:rPr>
          <w:rFonts w:ascii="Times New Roman" w:hAnsi="Times New Roman" w:cs="Times New Roman"/>
          <w:color w:val="000000" w:themeColor="text1"/>
        </w:rPr>
        <w:t>“.</w:t>
      </w:r>
      <w:r w:rsidRPr="00606F68" w:rsidDel="008C4434">
        <w:rPr>
          <w:rFonts w:ascii="Times New Roman" w:hAnsi="Times New Roman" w:cs="Times New Roman"/>
        </w:rPr>
        <w:t xml:space="preserve"> </w:t>
      </w:r>
    </w:p>
    <w:p w14:paraId="47E90E36" w14:textId="77777777" w:rsidR="009534AB" w:rsidRPr="00B107C4" w:rsidRDefault="009534AB" w:rsidP="00606F68">
      <w:pPr>
        <w:pStyle w:val="Odsekzoznamu"/>
        <w:autoSpaceDE w:val="0"/>
        <w:autoSpaceDN w:val="0"/>
        <w:adjustRightInd w:val="0"/>
        <w:ind w:left="0"/>
        <w:jc w:val="both"/>
      </w:pPr>
    </w:p>
    <w:p w14:paraId="68E3B7F9" w14:textId="61D1FCC5" w:rsidR="008C4434" w:rsidRPr="00B107C4" w:rsidRDefault="008C4434" w:rsidP="00606F68">
      <w:pPr>
        <w:pStyle w:val="Odsekzoznamu"/>
        <w:numPr>
          <w:ilvl w:val="0"/>
          <w:numId w:val="3"/>
        </w:numPr>
        <w:autoSpaceDE w:val="0"/>
        <w:autoSpaceDN w:val="0"/>
        <w:adjustRightInd w:val="0"/>
        <w:ind w:left="0" w:hanging="357"/>
        <w:jc w:val="both"/>
        <w:rPr>
          <w:rFonts w:ascii="Times New Roman" w:hAnsi="Times New Roman" w:cs="Times New Roman"/>
        </w:rPr>
      </w:pPr>
      <w:r w:rsidRPr="008C4434">
        <w:rPr>
          <w:rFonts w:ascii="Times New Roman" w:hAnsi="Times New Roman" w:cs="Times New Roman"/>
        </w:rPr>
        <w:t>V § 5 ods. 2 úvodnej vete, § 9 ods. 3 a § 10 ods. 5 prvej vete sa slová „štvrtého bodu“ nahrádzajú slovami „písm. d)“.</w:t>
      </w:r>
    </w:p>
    <w:p w14:paraId="5DF3382E" w14:textId="77777777" w:rsidR="00B107C4" w:rsidRPr="00B107C4" w:rsidRDefault="00B107C4" w:rsidP="00606F68">
      <w:pPr>
        <w:pStyle w:val="Odsekzoznamu"/>
        <w:autoSpaceDE w:val="0"/>
        <w:autoSpaceDN w:val="0"/>
        <w:adjustRightInd w:val="0"/>
        <w:ind w:left="0"/>
        <w:rPr>
          <w:rFonts w:ascii="Times New Roman" w:hAnsi="Times New Roman" w:cs="Times New Roman"/>
        </w:rPr>
      </w:pPr>
    </w:p>
    <w:p w14:paraId="0BD6DB3D" w14:textId="77345AD4" w:rsidR="009534AB" w:rsidRPr="00B107C4" w:rsidRDefault="00DD5BAE" w:rsidP="009534AB">
      <w:pPr>
        <w:pStyle w:val="Odsekzoznamu"/>
        <w:numPr>
          <w:ilvl w:val="0"/>
          <w:numId w:val="3"/>
        </w:numPr>
        <w:autoSpaceDE w:val="0"/>
        <w:autoSpaceDN w:val="0"/>
        <w:adjustRightInd w:val="0"/>
        <w:ind w:left="0"/>
        <w:jc w:val="both"/>
        <w:rPr>
          <w:rFonts w:ascii="Times New Roman" w:hAnsi="Times New Roman" w:cs="Times New Roman"/>
        </w:rPr>
      </w:pPr>
      <w:r>
        <w:rPr>
          <w:rFonts w:ascii="Times New Roman" w:hAnsi="Times New Roman" w:cs="Times New Roman"/>
        </w:rPr>
        <w:t xml:space="preserve">V </w:t>
      </w:r>
      <w:r w:rsidR="009534AB" w:rsidRPr="00B107C4">
        <w:rPr>
          <w:rFonts w:ascii="Times New Roman" w:hAnsi="Times New Roman" w:cs="Times New Roman"/>
        </w:rPr>
        <w:t>§ 10 odsek 2 znie:</w:t>
      </w:r>
    </w:p>
    <w:p w14:paraId="4CA57339" w14:textId="77777777" w:rsidR="009534AB" w:rsidRPr="00B107C4" w:rsidRDefault="009534AB" w:rsidP="009534AB">
      <w:pPr>
        <w:autoSpaceDE w:val="0"/>
        <w:autoSpaceDN w:val="0"/>
        <w:adjustRightInd w:val="0"/>
        <w:jc w:val="both"/>
      </w:pPr>
      <w:r w:rsidRPr="00B107C4">
        <w:t>„(2) V oznámení podľa odseku 1 platiteľ dane uvedie najmä zdaňovacie obdobie, sumu vybratej dane a</w:t>
      </w:r>
    </w:p>
    <w:p w14:paraId="0242372A" w14:textId="77777777" w:rsidR="009534AB" w:rsidRPr="00B107C4" w:rsidRDefault="009534AB" w:rsidP="009534AB">
      <w:pPr>
        <w:autoSpaceDE w:val="0"/>
        <w:autoSpaceDN w:val="0"/>
        <w:adjustRightInd w:val="0"/>
        <w:ind w:firstLine="708"/>
        <w:jc w:val="both"/>
      </w:pPr>
      <w:r w:rsidRPr="00B107C4">
        <w:t>1. obchodné meno,</w:t>
      </w:r>
    </w:p>
    <w:p w14:paraId="414AF77C" w14:textId="77777777" w:rsidR="009534AB" w:rsidRPr="00B107C4" w:rsidRDefault="009534AB" w:rsidP="009534AB">
      <w:pPr>
        <w:pStyle w:val="Odsekzoznamu"/>
        <w:autoSpaceDE w:val="0"/>
        <w:autoSpaceDN w:val="0"/>
        <w:adjustRightInd w:val="0"/>
        <w:jc w:val="both"/>
        <w:rPr>
          <w:rFonts w:ascii="Times New Roman" w:hAnsi="Times New Roman" w:cs="Times New Roman"/>
        </w:rPr>
      </w:pPr>
      <w:r w:rsidRPr="00B107C4">
        <w:rPr>
          <w:rFonts w:ascii="Times New Roman" w:hAnsi="Times New Roman" w:cs="Times New Roman"/>
        </w:rPr>
        <w:t>2. adresu sídla,</w:t>
      </w:r>
    </w:p>
    <w:p w14:paraId="740536D9" w14:textId="77777777" w:rsidR="009534AB" w:rsidRPr="00B107C4" w:rsidRDefault="009534AB" w:rsidP="009534AB">
      <w:pPr>
        <w:pStyle w:val="Odsekzoznamu"/>
        <w:autoSpaceDE w:val="0"/>
        <w:autoSpaceDN w:val="0"/>
        <w:adjustRightInd w:val="0"/>
        <w:jc w:val="both"/>
        <w:rPr>
          <w:rFonts w:ascii="Times New Roman" w:hAnsi="Times New Roman" w:cs="Times New Roman"/>
        </w:rPr>
      </w:pPr>
      <w:r w:rsidRPr="00B107C4">
        <w:rPr>
          <w:rFonts w:ascii="Times New Roman" w:hAnsi="Times New Roman" w:cs="Times New Roman"/>
        </w:rPr>
        <w:t>3. identifikačné číslo organizácie,</w:t>
      </w:r>
    </w:p>
    <w:p w14:paraId="07161BC5" w14:textId="20AD994C" w:rsidR="009534AB" w:rsidRDefault="009534AB" w:rsidP="009534AB">
      <w:pPr>
        <w:pStyle w:val="Odsekzoznamu"/>
        <w:autoSpaceDE w:val="0"/>
        <w:autoSpaceDN w:val="0"/>
        <w:adjustRightInd w:val="0"/>
        <w:jc w:val="both"/>
        <w:rPr>
          <w:rFonts w:ascii="Times New Roman" w:hAnsi="Times New Roman" w:cs="Times New Roman"/>
        </w:rPr>
      </w:pPr>
      <w:r w:rsidRPr="00B107C4">
        <w:rPr>
          <w:rFonts w:ascii="Times New Roman" w:hAnsi="Times New Roman" w:cs="Times New Roman"/>
        </w:rPr>
        <w:t>4. daňové identifikačné číslo, ak mu bolo pridelené.“.</w:t>
      </w:r>
    </w:p>
    <w:p w14:paraId="3EDEBBD2" w14:textId="77777777" w:rsidR="009534AB" w:rsidRPr="009534AB" w:rsidRDefault="009534AB" w:rsidP="009534AB">
      <w:pPr>
        <w:pStyle w:val="Odsekzoznamu"/>
        <w:autoSpaceDE w:val="0"/>
        <w:autoSpaceDN w:val="0"/>
        <w:adjustRightInd w:val="0"/>
        <w:jc w:val="both"/>
        <w:rPr>
          <w:rFonts w:ascii="Times New Roman" w:hAnsi="Times New Roman" w:cs="Times New Roman"/>
        </w:rPr>
      </w:pPr>
    </w:p>
    <w:p w14:paraId="04FE86A5" w14:textId="0098FEA2" w:rsidR="008C4434" w:rsidRDefault="008C4434" w:rsidP="00B107C4">
      <w:pPr>
        <w:pStyle w:val="Odsekzoznamu"/>
        <w:numPr>
          <w:ilvl w:val="0"/>
          <w:numId w:val="3"/>
        </w:numPr>
        <w:autoSpaceDE w:val="0"/>
        <w:autoSpaceDN w:val="0"/>
        <w:adjustRightInd w:val="0"/>
        <w:ind w:left="0"/>
        <w:jc w:val="both"/>
        <w:rPr>
          <w:rFonts w:ascii="Times New Roman" w:hAnsi="Times New Roman" w:cs="Times New Roman"/>
        </w:rPr>
      </w:pPr>
      <w:r w:rsidRPr="008C4434">
        <w:rPr>
          <w:rFonts w:ascii="Times New Roman" w:hAnsi="Times New Roman" w:cs="Times New Roman"/>
        </w:rPr>
        <w:t>V § 10 odsek 4 znie:</w:t>
      </w:r>
    </w:p>
    <w:p w14:paraId="356C884D" w14:textId="387EB273" w:rsidR="008C4434" w:rsidRDefault="008C4434" w:rsidP="008C4434">
      <w:pPr>
        <w:pStyle w:val="Odsekzoznamu"/>
        <w:autoSpaceDE w:val="0"/>
        <w:autoSpaceDN w:val="0"/>
        <w:adjustRightInd w:val="0"/>
        <w:ind w:left="0"/>
        <w:jc w:val="both"/>
        <w:rPr>
          <w:rFonts w:ascii="Times New Roman" w:hAnsi="Times New Roman" w:cs="Times New Roman"/>
        </w:rPr>
      </w:pPr>
      <w:r w:rsidRPr="008C4434">
        <w:rPr>
          <w:rFonts w:ascii="Times New Roman" w:hAnsi="Times New Roman" w:cs="Times New Roman"/>
        </w:rPr>
        <w:t>„(4) Platiteľ dane, ktorý je zároveň daňovníkom podľa § 3 ods. 3 písm. c) až</w:t>
      </w:r>
      <w:r w:rsidRPr="008C4434">
        <w:rPr>
          <w:rFonts w:ascii="Times New Roman" w:hAnsi="Times New Roman" w:cs="Times New Roman"/>
          <w:b/>
          <w:bCs/>
        </w:rPr>
        <w:t xml:space="preserve"> </w:t>
      </w:r>
      <w:r w:rsidRPr="008C4434">
        <w:rPr>
          <w:rFonts w:ascii="Times New Roman" w:hAnsi="Times New Roman" w:cs="Times New Roman"/>
        </w:rPr>
        <w:t>e), je povinný sám vypočítať daň a zaplatiť daň za príslušné zdaňovacie obdobie správcovi dane do konca kalendárneho mesiaca nasledujúceho po zdaňovacom období; odseky 1 a 2 sa použijú primerane. Ak platiteľovi dane podľa prvej vety do uplynutia lehoty na podanie oznámenia správca dane neoznámil číslo účtu správcu dane vedeného pre platiteľa dane, je tento platiteľ dane povinný zaplatiť daň správcovi dane v lehote do ôsmich dní od</w:t>
      </w:r>
      <w:r w:rsidR="00BB6298">
        <w:rPr>
          <w:rFonts w:ascii="Times New Roman" w:hAnsi="Times New Roman" w:cs="Times New Roman"/>
        </w:rPr>
        <w:t>o</w:t>
      </w:r>
      <w:r w:rsidRPr="008C4434">
        <w:rPr>
          <w:rFonts w:ascii="Times New Roman" w:hAnsi="Times New Roman" w:cs="Times New Roman"/>
        </w:rPr>
        <w:t xml:space="preserve"> </w:t>
      </w:r>
      <w:r w:rsidR="00BB6298">
        <w:rPr>
          <w:rFonts w:ascii="Times New Roman" w:hAnsi="Times New Roman" w:cs="Times New Roman"/>
        </w:rPr>
        <w:t xml:space="preserve">dňa </w:t>
      </w:r>
      <w:r w:rsidRPr="008C4434">
        <w:rPr>
          <w:rFonts w:ascii="Times New Roman" w:hAnsi="Times New Roman" w:cs="Times New Roman"/>
        </w:rPr>
        <w:t>doručenia oznámenia správcu dane.“.</w:t>
      </w:r>
    </w:p>
    <w:p w14:paraId="47ADE679" w14:textId="77777777" w:rsidR="008C4434" w:rsidRDefault="008C4434" w:rsidP="00606F68">
      <w:pPr>
        <w:pStyle w:val="Odsekzoznamu"/>
        <w:autoSpaceDE w:val="0"/>
        <w:autoSpaceDN w:val="0"/>
        <w:adjustRightInd w:val="0"/>
        <w:ind w:left="0"/>
        <w:jc w:val="both"/>
        <w:rPr>
          <w:rFonts w:ascii="Times New Roman" w:hAnsi="Times New Roman" w:cs="Times New Roman"/>
        </w:rPr>
      </w:pPr>
    </w:p>
    <w:p w14:paraId="144313DD" w14:textId="0EB9B26C" w:rsidR="009534AB" w:rsidRDefault="009534AB" w:rsidP="00B107C4">
      <w:pPr>
        <w:pStyle w:val="Odsekzoznamu"/>
        <w:numPr>
          <w:ilvl w:val="0"/>
          <w:numId w:val="3"/>
        </w:numPr>
        <w:autoSpaceDE w:val="0"/>
        <w:autoSpaceDN w:val="0"/>
        <w:adjustRightInd w:val="0"/>
        <w:ind w:left="0"/>
        <w:jc w:val="both"/>
        <w:rPr>
          <w:rFonts w:ascii="Times New Roman" w:hAnsi="Times New Roman" w:cs="Times New Roman"/>
        </w:rPr>
      </w:pPr>
      <w:r>
        <w:rPr>
          <w:rFonts w:ascii="Times New Roman" w:hAnsi="Times New Roman" w:cs="Times New Roman"/>
        </w:rPr>
        <w:t>V § 12 sa vypúšťa odsek 2.</w:t>
      </w:r>
    </w:p>
    <w:p w14:paraId="7F3C4888" w14:textId="40FE2AF3" w:rsidR="009534AB" w:rsidRDefault="009534AB" w:rsidP="009534AB">
      <w:pPr>
        <w:autoSpaceDE w:val="0"/>
        <w:autoSpaceDN w:val="0"/>
        <w:adjustRightInd w:val="0"/>
        <w:jc w:val="both"/>
      </w:pPr>
    </w:p>
    <w:p w14:paraId="5FE2C52F" w14:textId="42C552E2" w:rsidR="009534AB" w:rsidRDefault="009534AB" w:rsidP="009534AB">
      <w:pPr>
        <w:autoSpaceDE w:val="0"/>
        <w:autoSpaceDN w:val="0"/>
        <w:adjustRightInd w:val="0"/>
        <w:jc w:val="both"/>
      </w:pPr>
      <w:r>
        <w:t>Doterajšie odseky 3 až 7 sa označujú ako odseky 2 až 6.</w:t>
      </w:r>
    </w:p>
    <w:p w14:paraId="33C16E3B" w14:textId="77777777" w:rsidR="009534AB" w:rsidRPr="009534AB" w:rsidRDefault="009534AB" w:rsidP="009534AB">
      <w:pPr>
        <w:autoSpaceDE w:val="0"/>
        <w:autoSpaceDN w:val="0"/>
        <w:adjustRightInd w:val="0"/>
        <w:jc w:val="both"/>
      </w:pPr>
    </w:p>
    <w:p w14:paraId="0C2AC806" w14:textId="2D705C4B" w:rsidR="009534AB" w:rsidRDefault="009534AB" w:rsidP="00B107C4">
      <w:pPr>
        <w:pStyle w:val="Odsekzoznamu"/>
        <w:numPr>
          <w:ilvl w:val="0"/>
          <w:numId w:val="3"/>
        </w:numPr>
        <w:autoSpaceDE w:val="0"/>
        <w:autoSpaceDN w:val="0"/>
        <w:adjustRightInd w:val="0"/>
        <w:ind w:left="0"/>
        <w:jc w:val="both"/>
        <w:rPr>
          <w:rFonts w:ascii="Times New Roman" w:hAnsi="Times New Roman" w:cs="Times New Roman"/>
        </w:rPr>
      </w:pPr>
      <w:bookmarkStart w:id="8" w:name="_Hlk209792871"/>
      <w:bookmarkEnd w:id="0"/>
      <w:bookmarkEnd w:id="1"/>
      <w:bookmarkEnd w:id="2"/>
      <w:bookmarkEnd w:id="3"/>
      <w:bookmarkEnd w:id="4"/>
      <w:bookmarkEnd w:id="5"/>
      <w:r>
        <w:rPr>
          <w:rFonts w:ascii="Times New Roman" w:hAnsi="Times New Roman" w:cs="Times New Roman"/>
        </w:rPr>
        <w:t>V § 12 ods. 5 sa slová „</w:t>
      </w:r>
      <w:r w:rsidRPr="009534AB">
        <w:rPr>
          <w:rFonts w:ascii="Times New Roman" w:hAnsi="Times New Roman" w:cs="Times New Roman"/>
        </w:rPr>
        <w:t>podľa odseku 3 alebo odseku 4</w:t>
      </w:r>
      <w:r>
        <w:rPr>
          <w:rFonts w:ascii="Times New Roman" w:hAnsi="Times New Roman" w:cs="Times New Roman"/>
        </w:rPr>
        <w:t>“ nahrádzajú slovami „</w:t>
      </w:r>
      <w:r w:rsidRPr="009534AB">
        <w:rPr>
          <w:rFonts w:ascii="Times New Roman" w:hAnsi="Times New Roman" w:cs="Times New Roman"/>
        </w:rPr>
        <w:t xml:space="preserve">podľa odseku </w:t>
      </w:r>
      <w:r>
        <w:rPr>
          <w:rFonts w:ascii="Times New Roman" w:hAnsi="Times New Roman" w:cs="Times New Roman"/>
        </w:rPr>
        <w:t>2</w:t>
      </w:r>
      <w:r w:rsidRPr="009534AB">
        <w:rPr>
          <w:rFonts w:ascii="Times New Roman" w:hAnsi="Times New Roman" w:cs="Times New Roman"/>
        </w:rPr>
        <w:t xml:space="preserve"> alebo odseku </w:t>
      </w:r>
      <w:r>
        <w:rPr>
          <w:rFonts w:ascii="Times New Roman" w:hAnsi="Times New Roman" w:cs="Times New Roman"/>
        </w:rPr>
        <w:t>3“.</w:t>
      </w:r>
    </w:p>
    <w:bookmarkEnd w:id="8"/>
    <w:p w14:paraId="4A916557" w14:textId="77777777" w:rsidR="009534AB" w:rsidRPr="009534AB" w:rsidRDefault="009534AB" w:rsidP="009534AB">
      <w:pPr>
        <w:pStyle w:val="Odsekzoznamu"/>
        <w:autoSpaceDE w:val="0"/>
        <w:autoSpaceDN w:val="0"/>
        <w:adjustRightInd w:val="0"/>
        <w:ind w:left="0"/>
        <w:jc w:val="both"/>
        <w:rPr>
          <w:rFonts w:ascii="Times New Roman" w:hAnsi="Times New Roman" w:cs="Times New Roman"/>
        </w:rPr>
      </w:pPr>
    </w:p>
    <w:p w14:paraId="640FFFD3" w14:textId="3AD1ABEA" w:rsidR="00B107C4" w:rsidRPr="00606F68" w:rsidRDefault="008C4434" w:rsidP="00606F68">
      <w:pPr>
        <w:pStyle w:val="Odsekzoznamu"/>
        <w:numPr>
          <w:ilvl w:val="0"/>
          <w:numId w:val="3"/>
        </w:numPr>
        <w:autoSpaceDE w:val="0"/>
        <w:autoSpaceDN w:val="0"/>
        <w:adjustRightInd w:val="0"/>
        <w:ind w:left="0" w:hanging="357"/>
        <w:jc w:val="both"/>
        <w:rPr>
          <w:rFonts w:ascii="Times New Roman" w:hAnsi="Times New Roman" w:cs="Times New Roman"/>
          <w:color w:val="000000"/>
        </w:rPr>
      </w:pPr>
      <w:r w:rsidRPr="008C4434">
        <w:rPr>
          <w:rFonts w:ascii="Times New Roman" w:hAnsi="Times New Roman" w:cs="Times New Roman"/>
          <w:color w:val="000000"/>
        </w:rPr>
        <w:t>V § 12 ods. 6 sa na konci pripája táto veta:</w:t>
      </w:r>
    </w:p>
    <w:p w14:paraId="54D63D95" w14:textId="3429149D" w:rsidR="00B107C4" w:rsidRDefault="008C4434" w:rsidP="00B107C4">
      <w:pPr>
        <w:jc w:val="both"/>
      </w:pPr>
      <w:r>
        <w:rPr>
          <w:color w:val="000000" w:themeColor="text1"/>
        </w:rPr>
        <w:t>„A</w:t>
      </w:r>
      <w:r w:rsidRPr="00B26418">
        <w:rPr>
          <w:color w:val="000000" w:themeColor="text1"/>
        </w:rPr>
        <w:t>k daňovník vykonal finančnú transakciu, ktorá nie je vylúčená z predmetu dane podľa § 4 ods. 2</w:t>
      </w:r>
      <w:r w:rsidR="00634917">
        <w:rPr>
          <w:color w:val="000000" w:themeColor="text1"/>
        </w:rPr>
        <w:t>,</w:t>
      </w:r>
      <w:r w:rsidRPr="00B26418">
        <w:rPr>
          <w:color w:val="000000" w:themeColor="text1"/>
        </w:rPr>
        <w:t xml:space="preserve"> na osobitnom účte</w:t>
      </w:r>
      <w:r>
        <w:rPr>
          <w:color w:val="000000" w:themeColor="text1"/>
        </w:rPr>
        <w:t xml:space="preserve">, </w:t>
      </w:r>
      <w:r w:rsidRPr="00DF1303">
        <w:t>na ktorom sa vykonávajú finančné transakcie, ktoré nie sú predmetom dane</w:t>
      </w:r>
      <w:r>
        <w:t xml:space="preserve"> podľa § 4 ods. 2, </w:t>
      </w:r>
      <w:r w:rsidRPr="00C71881">
        <w:rPr>
          <w:color w:val="000000" w:themeColor="text1"/>
        </w:rPr>
        <w:t xml:space="preserve">správca dane </w:t>
      </w:r>
      <w:r>
        <w:rPr>
          <w:color w:val="000000" w:themeColor="text1"/>
        </w:rPr>
        <w:t xml:space="preserve">mu </w:t>
      </w:r>
      <w:r w:rsidRPr="00C71881">
        <w:rPr>
          <w:color w:val="000000" w:themeColor="text1"/>
        </w:rPr>
        <w:t>uloží pokutu za správny delikt podľa § 154 ods. 1 písm. j) Daňového poriadk</w:t>
      </w:r>
      <w:r w:rsidRPr="00016DA4">
        <w:t>u.</w:t>
      </w:r>
      <w:r>
        <w:t>“.</w:t>
      </w:r>
    </w:p>
    <w:p w14:paraId="2F1BFF2B" w14:textId="77777777" w:rsidR="008C4434" w:rsidRDefault="008C4434" w:rsidP="00B107C4">
      <w:pPr>
        <w:jc w:val="both"/>
        <w:rPr>
          <w:b/>
          <w:bCs/>
          <w:color w:val="000000"/>
        </w:rPr>
      </w:pPr>
    </w:p>
    <w:p w14:paraId="3370F23D" w14:textId="423D0C95" w:rsidR="008C4434" w:rsidRDefault="008C4434" w:rsidP="008C4434">
      <w:pPr>
        <w:pStyle w:val="Odsekzoznamu"/>
        <w:numPr>
          <w:ilvl w:val="0"/>
          <w:numId w:val="3"/>
        </w:numPr>
        <w:autoSpaceDE w:val="0"/>
        <w:autoSpaceDN w:val="0"/>
        <w:adjustRightInd w:val="0"/>
        <w:ind w:left="0" w:hanging="357"/>
        <w:jc w:val="both"/>
        <w:rPr>
          <w:rFonts w:ascii="Times New Roman" w:hAnsi="Times New Roman" w:cs="Times New Roman"/>
        </w:rPr>
      </w:pPr>
      <w:r>
        <w:rPr>
          <w:rFonts w:ascii="Times New Roman" w:hAnsi="Times New Roman" w:cs="Times New Roman"/>
        </w:rPr>
        <w:t xml:space="preserve">V </w:t>
      </w:r>
      <w:r w:rsidR="00FA1857" w:rsidRPr="00FA1857">
        <w:rPr>
          <w:rFonts w:ascii="Times New Roman" w:hAnsi="Times New Roman" w:cs="Times New Roman"/>
        </w:rPr>
        <w:t>§ 12 ods. 7 prvej vete sa slová „prvého bodu, štvrtého bodu a piateho bodu“  nahrádzajú slovami „písm. a), d) a e)“.</w:t>
      </w:r>
    </w:p>
    <w:p w14:paraId="25B43DFE" w14:textId="77777777" w:rsidR="00FA1857" w:rsidRDefault="00FA1857" w:rsidP="00606F68">
      <w:pPr>
        <w:pStyle w:val="Odsekzoznamu"/>
        <w:autoSpaceDE w:val="0"/>
        <w:autoSpaceDN w:val="0"/>
        <w:adjustRightInd w:val="0"/>
        <w:ind w:left="0"/>
        <w:jc w:val="both"/>
        <w:rPr>
          <w:rFonts w:ascii="Times New Roman" w:hAnsi="Times New Roman" w:cs="Times New Roman"/>
        </w:rPr>
      </w:pPr>
    </w:p>
    <w:p w14:paraId="2A1D241B" w14:textId="77777777" w:rsidR="00553F2F" w:rsidRDefault="00553F2F" w:rsidP="00606F68">
      <w:pPr>
        <w:pStyle w:val="Odsekzoznamu"/>
        <w:autoSpaceDE w:val="0"/>
        <w:autoSpaceDN w:val="0"/>
        <w:adjustRightInd w:val="0"/>
        <w:ind w:left="0"/>
        <w:jc w:val="both"/>
        <w:rPr>
          <w:rFonts w:ascii="Times New Roman" w:hAnsi="Times New Roman" w:cs="Times New Roman"/>
        </w:rPr>
      </w:pPr>
    </w:p>
    <w:p w14:paraId="62B0A77E" w14:textId="77777777" w:rsidR="00553F2F" w:rsidRDefault="00553F2F" w:rsidP="00606F68">
      <w:pPr>
        <w:pStyle w:val="Odsekzoznamu"/>
        <w:autoSpaceDE w:val="0"/>
        <w:autoSpaceDN w:val="0"/>
        <w:adjustRightInd w:val="0"/>
        <w:ind w:left="0"/>
        <w:jc w:val="both"/>
        <w:rPr>
          <w:rFonts w:ascii="Times New Roman" w:hAnsi="Times New Roman" w:cs="Times New Roman"/>
        </w:rPr>
      </w:pPr>
    </w:p>
    <w:p w14:paraId="2ED28B08" w14:textId="77777777" w:rsidR="00553F2F" w:rsidRDefault="00553F2F" w:rsidP="00606F68">
      <w:pPr>
        <w:pStyle w:val="Odsekzoznamu"/>
        <w:autoSpaceDE w:val="0"/>
        <w:autoSpaceDN w:val="0"/>
        <w:adjustRightInd w:val="0"/>
        <w:ind w:left="0"/>
        <w:jc w:val="both"/>
        <w:rPr>
          <w:rFonts w:ascii="Times New Roman" w:hAnsi="Times New Roman" w:cs="Times New Roman"/>
        </w:rPr>
      </w:pPr>
    </w:p>
    <w:p w14:paraId="258D18FD" w14:textId="5A48548B" w:rsidR="00FA1857" w:rsidRDefault="00FA1857" w:rsidP="008C4434">
      <w:pPr>
        <w:pStyle w:val="Odsekzoznamu"/>
        <w:numPr>
          <w:ilvl w:val="0"/>
          <w:numId w:val="3"/>
        </w:numPr>
        <w:autoSpaceDE w:val="0"/>
        <w:autoSpaceDN w:val="0"/>
        <w:adjustRightInd w:val="0"/>
        <w:ind w:left="0" w:hanging="357"/>
        <w:jc w:val="both"/>
        <w:rPr>
          <w:rFonts w:ascii="Times New Roman" w:hAnsi="Times New Roman" w:cs="Times New Roman"/>
        </w:rPr>
      </w:pPr>
      <w:r w:rsidRPr="00FA1857">
        <w:rPr>
          <w:rFonts w:ascii="Times New Roman" w:hAnsi="Times New Roman" w:cs="Times New Roman"/>
        </w:rPr>
        <w:lastRenderedPageBreak/>
        <w:t>Za § 13 sa vkladá § 14, ktorý vrátane nadpisu znie:</w:t>
      </w:r>
    </w:p>
    <w:p w14:paraId="68C100D5" w14:textId="77777777" w:rsidR="00FA1857" w:rsidRPr="00606F68" w:rsidRDefault="00FA1857" w:rsidP="00606F68">
      <w:pPr>
        <w:pStyle w:val="Odsekzoznamu"/>
        <w:rPr>
          <w:rFonts w:ascii="Times New Roman" w:hAnsi="Times New Roman" w:cs="Times New Roman"/>
        </w:rPr>
      </w:pPr>
    </w:p>
    <w:p w14:paraId="3ED18B61" w14:textId="77777777" w:rsidR="00FA1857" w:rsidRDefault="00FA1857" w:rsidP="00FA1857">
      <w:pPr>
        <w:jc w:val="center"/>
      </w:pPr>
      <w:r w:rsidRPr="00C71881">
        <w:t>„§ 14</w:t>
      </w:r>
    </w:p>
    <w:p w14:paraId="07DCCC6D" w14:textId="77777777" w:rsidR="00FA1857" w:rsidRPr="00FA1857" w:rsidRDefault="00FA1857" w:rsidP="00FA1857">
      <w:pPr>
        <w:ind w:left="851" w:hanging="284"/>
        <w:jc w:val="center"/>
        <w:rPr>
          <w:color w:val="000000" w:themeColor="text1"/>
        </w:rPr>
      </w:pPr>
      <w:r w:rsidRPr="00FA1857">
        <w:rPr>
          <w:color w:val="000000" w:themeColor="text1"/>
        </w:rPr>
        <w:t>Prechodné ustanovenie k úprave účinnej od 1. januára 2026</w:t>
      </w:r>
    </w:p>
    <w:p w14:paraId="3C9B3050" w14:textId="77777777" w:rsidR="00FA1857" w:rsidRPr="00FA1857" w:rsidRDefault="00FA1857" w:rsidP="00FA1857">
      <w:pPr>
        <w:jc w:val="center"/>
      </w:pPr>
    </w:p>
    <w:p w14:paraId="5E8328CC" w14:textId="2899482D" w:rsidR="00FA1857" w:rsidRPr="00FA1857" w:rsidRDefault="00FA1857" w:rsidP="00606F68">
      <w:pPr>
        <w:pStyle w:val="Odsekzoznamu"/>
        <w:autoSpaceDE w:val="0"/>
        <w:autoSpaceDN w:val="0"/>
        <w:adjustRightInd w:val="0"/>
        <w:ind w:left="0"/>
        <w:jc w:val="both"/>
        <w:rPr>
          <w:rFonts w:ascii="Times New Roman" w:hAnsi="Times New Roman" w:cs="Times New Roman"/>
        </w:rPr>
      </w:pPr>
      <w:r w:rsidRPr="00606F68">
        <w:rPr>
          <w:rFonts w:ascii="Times New Roman" w:hAnsi="Times New Roman" w:cs="Times New Roman"/>
          <w:bCs/>
        </w:rPr>
        <w:t>Ustanovenie § 3 ods. 1 v znení účinnom od 1. januára 2026 sa uplatní na zdaňovacie obdobia začínajúce po 31. decembri 2025.“.</w:t>
      </w:r>
    </w:p>
    <w:p w14:paraId="15EE8D36" w14:textId="77777777" w:rsidR="008C4434" w:rsidRPr="009534AB" w:rsidRDefault="008C4434" w:rsidP="00B107C4">
      <w:pPr>
        <w:jc w:val="both"/>
        <w:rPr>
          <w:b/>
          <w:bCs/>
          <w:color w:val="000000"/>
        </w:rPr>
      </w:pPr>
    </w:p>
    <w:p w14:paraId="4BB007B8" w14:textId="59AE393E" w:rsidR="00B107C4" w:rsidRPr="00B107C4" w:rsidRDefault="00B107C4" w:rsidP="00B107C4">
      <w:pPr>
        <w:spacing w:before="100" w:beforeAutospacing="1" w:after="100" w:afterAutospacing="1"/>
        <w:jc w:val="center"/>
        <w:outlineLvl w:val="1"/>
        <w:rPr>
          <w:b/>
          <w:bCs/>
          <w:color w:val="000000"/>
        </w:rPr>
      </w:pPr>
      <w:r w:rsidRPr="00DA79AC">
        <w:rPr>
          <w:b/>
          <w:bCs/>
          <w:color w:val="000000"/>
        </w:rPr>
        <w:t>Čl. I</w:t>
      </w:r>
      <w:r w:rsidRPr="00B107C4">
        <w:rPr>
          <w:b/>
          <w:bCs/>
          <w:color w:val="000000"/>
        </w:rPr>
        <w:t>I</w:t>
      </w:r>
    </w:p>
    <w:p w14:paraId="3B24F908" w14:textId="46C69D14" w:rsidR="00B107C4" w:rsidRPr="00B107C4" w:rsidRDefault="00B107C4" w:rsidP="00B107C4">
      <w:pPr>
        <w:autoSpaceDE w:val="0"/>
        <w:autoSpaceDN w:val="0"/>
        <w:adjustRightInd w:val="0"/>
        <w:rPr>
          <w:color w:val="000000"/>
        </w:rPr>
      </w:pPr>
      <w:r w:rsidRPr="00B107C4">
        <w:rPr>
          <w:color w:val="000000"/>
        </w:rPr>
        <w:t xml:space="preserve">Tento zákon nadobúda účinnosť </w:t>
      </w:r>
      <w:r w:rsidR="00FA1857" w:rsidRPr="00FA1857">
        <w:rPr>
          <w:color w:val="000000"/>
        </w:rPr>
        <w:t>1. januára 2026</w:t>
      </w:r>
      <w:r w:rsidRPr="00B107C4">
        <w:rPr>
          <w:color w:val="000000"/>
        </w:rPr>
        <w:t>.</w:t>
      </w:r>
    </w:p>
    <w:bookmarkEnd w:id="6"/>
    <w:bookmarkEnd w:id="7"/>
    <w:p w14:paraId="308B4984" w14:textId="4092C91B" w:rsidR="00E76434" w:rsidRDefault="00E76434" w:rsidP="00B107C4"/>
    <w:p w14:paraId="5A39D97D" w14:textId="78597197" w:rsidR="009534AB" w:rsidRDefault="009534AB" w:rsidP="00B107C4"/>
    <w:p w14:paraId="1A679E40" w14:textId="142EC269" w:rsidR="009534AB" w:rsidRDefault="009534AB" w:rsidP="00B107C4"/>
    <w:p w14:paraId="60E502B8" w14:textId="0A151ACF" w:rsidR="009534AB" w:rsidRDefault="009534AB" w:rsidP="00B107C4"/>
    <w:p w14:paraId="04239DC2" w14:textId="77777777" w:rsidR="00CC3BFD" w:rsidRDefault="00CC3BFD" w:rsidP="00B107C4"/>
    <w:p w14:paraId="06650F89" w14:textId="77777777" w:rsidR="00CC3BFD" w:rsidRDefault="00CC3BFD" w:rsidP="00B107C4"/>
    <w:p w14:paraId="4AA3E96C" w14:textId="77777777" w:rsidR="00CC3BFD" w:rsidRDefault="00CC3BFD" w:rsidP="00B107C4"/>
    <w:p w14:paraId="58EEBE46" w14:textId="77777777" w:rsidR="00CC3BFD" w:rsidRDefault="00CC3BFD" w:rsidP="00B107C4"/>
    <w:p w14:paraId="05BD5D99" w14:textId="77777777" w:rsidR="00CC3BFD" w:rsidRDefault="00CC3BFD" w:rsidP="00B107C4"/>
    <w:p w14:paraId="204EC6E3" w14:textId="77777777" w:rsidR="00CC3BFD" w:rsidRDefault="00CC3BFD" w:rsidP="00B107C4"/>
    <w:p w14:paraId="6AA107D8" w14:textId="77777777" w:rsidR="00CC3BFD" w:rsidRDefault="00CC3BFD" w:rsidP="00B107C4"/>
    <w:p w14:paraId="6E5A53DB" w14:textId="77777777" w:rsidR="00CC3BFD" w:rsidRDefault="00CC3BFD" w:rsidP="00B107C4"/>
    <w:p w14:paraId="531A3D39" w14:textId="77777777" w:rsidR="00CC3BFD" w:rsidRDefault="00CC3BFD" w:rsidP="00B107C4"/>
    <w:p w14:paraId="5F0E833C" w14:textId="77777777" w:rsidR="00CC3BFD" w:rsidRPr="006C4BDE" w:rsidRDefault="00CC3BFD" w:rsidP="00CC3BFD">
      <w:pPr>
        <w:jc w:val="center"/>
      </w:pPr>
      <w:r>
        <w:t xml:space="preserve">prezident </w:t>
      </w:r>
      <w:r w:rsidRPr="006C4BDE">
        <w:t>Slovenskej republiky</w:t>
      </w:r>
    </w:p>
    <w:p w14:paraId="4ACD8DE1" w14:textId="77777777" w:rsidR="00CC3BFD" w:rsidRPr="006C4BDE" w:rsidRDefault="00CC3BFD" w:rsidP="00CC3BFD">
      <w:pPr>
        <w:ind w:firstLine="426"/>
        <w:jc w:val="center"/>
      </w:pPr>
    </w:p>
    <w:p w14:paraId="4AC8DEF5" w14:textId="77777777" w:rsidR="00CC3BFD" w:rsidRPr="006C4BDE" w:rsidRDefault="00CC3BFD" w:rsidP="00CC3BFD">
      <w:pPr>
        <w:ind w:firstLine="426"/>
        <w:jc w:val="center"/>
      </w:pPr>
    </w:p>
    <w:p w14:paraId="171E3E43" w14:textId="77777777" w:rsidR="00CC3BFD" w:rsidRDefault="00CC3BFD" w:rsidP="00CC3BFD">
      <w:pPr>
        <w:ind w:firstLine="426"/>
        <w:jc w:val="center"/>
      </w:pPr>
    </w:p>
    <w:p w14:paraId="79A20134" w14:textId="77777777" w:rsidR="00CC3BFD" w:rsidRDefault="00CC3BFD" w:rsidP="00CC3BFD">
      <w:pPr>
        <w:ind w:firstLine="426"/>
        <w:jc w:val="center"/>
      </w:pPr>
    </w:p>
    <w:p w14:paraId="50CC4E3D" w14:textId="77777777" w:rsidR="00CC3BFD" w:rsidRDefault="00CC3BFD" w:rsidP="00CC3BFD">
      <w:pPr>
        <w:ind w:firstLine="426"/>
        <w:jc w:val="center"/>
      </w:pPr>
    </w:p>
    <w:p w14:paraId="4F92FA11" w14:textId="77777777" w:rsidR="00CC3BFD" w:rsidRPr="006C4BDE" w:rsidRDefault="00CC3BFD" w:rsidP="00CC3BFD">
      <w:pPr>
        <w:ind w:firstLine="426"/>
        <w:jc w:val="center"/>
      </w:pPr>
    </w:p>
    <w:p w14:paraId="7E476155" w14:textId="77777777" w:rsidR="00CC3BFD" w:rsidRPr="006C4BDE" w:rsidRDefault="00CC3BFD" w:rsidP="00CC3BFD">
      <w:pPr>
        <w:ind w:firstLine="426"/>
        <w:jc w:val="center"/>
      </w:pPr>
    </w:p>
    <w:p w14:paraId="136E07A5" w14:textId="77777777" w:rsidR="00CC3BFD" w:rsidRPr="006C4BDE" w:rsidRDefault="00CC3BFD" w:rsidP="00CC3BFD">
      <w:pPr>
        <w:jc w:val="center"/>
      </w:pPr>
      <w:r w:rsidRPr="006C4BDE">
        <w:t>predseda Národnej rady Slovenskej republiky</w:t>
      </w:r>
    </w:p>
    <w:p w14:paraId="7F2811E4" w14:textId="77777777" w:rsidR="00CC3BFD" w:rsidRPr="006C4BDE" w:rsidRDefault="00CC3BFD" w:rsidP="00CC3BFD">
      <w:pPr>
        <w:ind w:firstLine="426"/>
        <w:jc w:val="center"/>
      </w:pPr>
    </w:p>
    <w:p w14:paraId="3F434693" w14:textId="77777777" w:rsidR="00CC3BFD" w:rsidRDefault="00CC3BFD" w:rsidP="00CC3BFD">
      <w:pPr>
        <w:ind w:firstLine="426"/>
        <w:jc w:val="center"/>
      </w:pPr>
    </w:p>
    <w:p w14:paraId="12F73ADD" w14:textId="77777777" w:rsidR="00CC3BFD" w:rsidRDefault="00CC3BFD" w:rsidP="00CC3BFD">
      <w:pPr>
        <w:ind w:firstLine="426"/>
        <w:jc w:val="center"/>
      </w:pPr>
    </w:p>
    <w:p w14:paraId="4D1B6FF9" w14:textId="77777777" w:rsidR="00CC3BFD" w:rsidRDefault="00CC3BFD" w:rsidP="00CC3BFD">
      <w:pPr>
        <w:ind w:firstLine="426"/>
        <w:jc w:val="center"/>
      </w:pPr>
    </w:p>
    <w:p w14:paraId="6F5F7176" w14:textId="77777777" w:rsidR="00CC3BFD" w:rsidRDefault="00CC3BFD" w:rsidP="00CC3BFD">
      <w:pPr>
        <w:ind w:firstLine="426"/>
        <w:jc w:val="center"/>
      </w:pPr>
    </w:p>
    <w:p w14:paraId="593F1CE0" w14:textId="77777777" w:rsidR="00CC3BFD" w:rsidRDefault="00CC3BFD" w:rsidP="00CC3BFD">
      <w:pPr>
        <w:ind w:firstLine="426"/>
        <w:jc w:val="center"/>
      </w:pPr>
    </w:p>
    <w:p w14:paraId="3199F260" w14:textId="77777777" w:rsidR="00CC3BFD" w:rsidRPr="006C4BDE" w:rsidRDefault="00CC3BFD" w:rsidP="00CC3BFD">
      <w:pPr>
        <w:ind w:firstLine="426"/>
        <w:jc w:val="center"/>
      </w:pPr>
    </w:p>
    <w:p w14:paraId="79F4084A" w14:textId="77777777" w:rsidR="00CC3BFD" w:rsidRPr="006C4BDE" w:rsidRDefault="00CC3BFD" w:rsidP="00CC3BFD">
      <w:pPr>
        <w:ind w:firstLine="426"/>
        <w:jc w:val="center"/>
      </w:pPr>
    </w:p>
    <w:p w14:paraId="21EF00A9" w14:textId="77777777" w:rsidR="00CC3BFD" w:rsidRPr="006C4BDE" w:rsidRDefault="00CC3BFD" w:rsidP="00CC3BFD">
      <w:pPr>
        <w:jc w:val="center"/>
      </w:pPr>
      <w:r w:rsidRPr="006C4BDE">
        <w:t>predseda vlády Slovenskej republiky</w:t>
      </w:r>
    </w:p>
    <w:p w14:paraId="68F91DF2" w14:textId="77777777" w:rsidR="00CC3BFD" w:rsidRDefault="00CC3BFD" w:rsidP="00CC3BFD">
      <w:pPr>
        <w:jc w:val="center"/>
      </w:pPr>
    </w:p>
    <w:p w14:paraId="4999F2F6" w14:textId="77777777" w:rsidR="00CC3BFD" w:rsidRDefault="00CC3BFD" w:rsidP="00B107C4"/>
    <w:sectPr w:rsidR="00CC3BF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F817" w14:textId="77777777" w:rsidR="00CC3BFD" w:rsidRDefault="00CC3BFD" w:rsidP="00CC3BFD">
      <w:r>
        <w:separator/>
      </w:r>
    </w:p>
  </w:endnote>
  <w:endnote w:type="continuationSeparator" w:id="0">
    <w:p w14:paraId="431F606A" w14:textId="77777777" w:rsidR="00CC3BFD" w:rsidRDefault="00CC3BFD" w:rsidP="00CC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024449"/>
      <w:docPartObj>
        <w:docPartGallery w:val="Page Numbers (Bottom of Page)"/>
        <w:docPartUnique/>
      </w:docPartObj>
    </w:sdtPr>
    <w:sdtEndPr/>
    <w:sdtContent>
      <w:p w14:paraId="0F0CD3F6" w14:textId="53C85760" w:rsidR="00CC3BFD" w:rsidRDefault="00CC3BFD">
        <w:pPr>
          <w:pStyle w:val="Pta"/>
          <w:jc w:val="center"/>
        </w:pPr>
        <w:r>
          <w:fldChar w:fldCharType="begin"/>
        </w:r>
        <w:r>
          <w:instrText>PAGE   \* MERGEFORMAT</w:instrText>
        </w:r>
        <w:r>
          <w:fldChar w:fldCharType="separate"/>
        </w:r>
        <w:r>
          <w:t>2</w:t>
        </w:r>
        <w:r>
          <w:fldChar w:fldCharType="end"/>
        </w:r>
      </w:p>
    </w:sdtContent>
  </w:sdt>
  <w:p w14:paraId="6923C5DC" w14:textId="77777777" w:rsidR="00CC3BFD" w:rsidRDefault="00CC3B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4606" w14:textId="77777777" w:rsidR="00CC3BFD" w:rsidRDefault="00CC3BFD" w:rsidP="00CC3BFD">
      <w:r>
        <w:separator/>
      </w:r>
    </w:p>
  </w:footnote>
  <w:footnote w:type="continuationSeparator" w:id="0">
    <w:p w14:paraId="37603E69" w14:textId="77777777" w:rsidR="00CC3BFD" w:rsidRDefault="00CC3BFD" w:rsidP="00CC3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61AA4"/>
    <w:multiLevelType w:val="hybridMultilevel"/>
    <w:tmpl w:val="F1366F7A"/>
    <w:lvl w:ilvl="0" w:tplc="FFFFFFFF">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1D131EE1"/>
    <w:multiLevelType w:val="hybridMultilevel"/>
    <w:tmpl w:val="CC38F5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DE12A7F"/>
    <w:multiLevelType w:val="hybridMultilevel"/>
    <w:tmpl w:val="3216DF20"/>
    <w:lvl w:ilvl="0" w:tplc="2260164E">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58EF0B30"/>
    <w:multiLevelType w:val="hybridMultilevel"/>
    <w:tmpl w:val="D9CE72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48B7F08"/>
    <w:multiLevelType w:val="hybridMultilevel"/>
    <w:tmpl w:val="34C4CD9A"/>
    <w:lvl w:ilvl="0" w:tplc="E05A6CAA">
      <w:start w:val="1"/>
      <w:numFmt w:val="lowerLetter"/>
      <w:lvlText w:val="%1)"/>
      <w:lvlJc w:val="left"/>
      <w:pPr>
        <w:ind w:left="1364" w:hanging="360"/>
      </w:pPr>
    </w:lvl>
    <w:lvl w:ilvl="1" w:tplc="041B0019">
      <w:start w:val="1"/>
      <w:numFmt w:val="lowerLetter"/>
      <w:lvlText w:val="%2."/>
      <w:lvlJc w:val="left"/>
      <w:pPr>
        <w:ind w:left="2084" w:hanging="360"/>
      </w:pPr>
    </w:lvl>
    <w:lvl w:ilvl="2" w:tplc="041B001B">
      <w:start w:val="1"/>
      <w:numFmt w:val="lowerRoman"/>
      <w:lvlText w:val="%3."/>
      <w:lvlJc w:val="right"/>
      <w:pPr>
        <w:ind w:left="2804" w:hanging="180"/>
      </w:pPr>
    </w:lvl>
    <w:lvl w:ilvl="3" w:tplc="041B000F">
      <w:start w:val="1"/>
      <w:numFmt w:val="decimal"/>
      <w:lvlText w:val="%4."/>
      <w:lvlJc w:val="left"/>
      <w:pPr>
        <w:ind w:left="3524" w:hanging="360"/>
      </w:pPr>
    </w:lvl>
    <w:lvl w:ilvl="4" w:tplc="041B0019">
      <w:start w:val="1"/>
      <w:numFmt w:val="lowerLetter"/>
      <w:lvlText w:val="%5."/>
      <w:lvlJc w:val="left"/>
      <w:pPr>
        <w:ind w:left="4244" w:hanging="360"/>
      </w:pPr>
    </w:lvl>
    <w:lvl w:ilvl="5" w:tplc="041B001B">
      <w:start w:val="1"/>
      <w:numFmt w:val="lowerRoman"/>
      <w:lvlText w:val="%6."/>
      <w:lvlJc w:val="right"/>
      <w:pPr>
        <w:ind w:left="4964" w:hanging="180"/>
      </w:pPr>
    </w:lvl>
    <w:lvl w:ilvl="6" w:tplc="041B000F">
      <w:start w:val="1"/>
      <w:numFmt w:val="decimal"/>
      <w:lvlText w:val="%7."/>
      <w:lvlJc w:val="left"/>
      <w:pPr>
        <w:ind w:left="5684" w:hanging="360"/>
      </w:pPr>
    </w:lvl>
    <w:lvl w:ilvl="7" w:tplc="041B0019">
      <w:start w:val="1"/>
      <w:numFmt w:val="lowerLetter"/>
      <w:lvlText w:val="%8."/>
      <w:lvlJc w:val="left"/>
      <w:pPr>
        <w:ind w:left="6404" w:hanging="360"/>
      </w:pPr>
    </w:lvl>
    <w:lvl w:ilvl="8" w:tplc="041B001B">
      <w:start w:val="1"/>
      <w:numFmt w:val="lowerRoman"/>
      <w:lvlText w:val="%9."/>
      <w:lvlJc w:val="right"/>
      <w:pPr>
        <w:ind w:left="7124" w:hanging="180"/>
      </w:pPr>
    </w:lvl>
  </w:abstractNum>
  <w:abstractNum w:abstractNumId="5" w15:restartNumberingAfterBreak="0">
    <w:nsid w:val="657D2DAD"/>
    <w:multiLevelType w:val="hybridMultilevel"/>
    <w:tmpl w:val="13B697DA"/>
    <w:lvl w:ilvl="0" w:tplc="FFFFFFFF">
      <w:start w:val="1"/>
      <w:numFmt w:val="lowerLetter"/>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6" w15:restartNumberingAfterBreak="0">
    <w:nsid w:val="66CF59E8"/>
    <w:multiLevelType w:val="hybridMultilevel"/>
    <w:tmpl w:val="C3E851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90403037">
    <w:abstractNumId w:val="6"/>
  </w:num>
  <w:num w:numId="2" w16cid:durableId="1311446396">
    <w:abstractNumId w:val="3"/>
  </w:num>
  <w:num w:numId="3" w16cid:durableId="49305389">
    <w:abstractNumId w:val="1"/>
  </w:num>
  <w:num w:numId="4" w16cid:durableId="333722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2908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3898197">
    <w:abstractNumId w:val="2"/>
  </w:num>
  <w:num w:numId="7" w16cid:durableId="127266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B9"/>
    <w:rsid w:val="00030527"/>
    <w:rsid w:val="000422B1"/>
    <w:rsid w:val="00043623"/>
    <w:rsid w:val="000473C8"/>
    <w:rsid w:val="000A5A86"/>
    <w:rsid w:val="00116D99"/>
    <w:rsid w:val="001C52B9"/>
    <w:rsid w:val="0024771C"/>
    <w:rsid w:val="00286936"/>
    <w:rsid w:val="002A416B"/>
    <w:rsid w:val="00320A37"/>
    <w:rsid w:val="003C10C8"/>
    <w:rsid w:val="003F6372"/>
    <w:rsid w:val="004031B1"/>
    <w:rsid w:val="00426442"/>
    <w:rsid w:val="00481EDB"/>
    <w:rsid w:val="004932C3"/>
    <w:rsid w:val="00500785"/>
    <w:rsid w:val="0052170F"/>
    <w:rsid w:val="005352C0"/>
    <w:rsid w:val="00553F2F"/>
    <w:rsid w:val="0058650A"/>
    <w:rsid w:val="005933B8"/>
    <w:rsid w:val="005E3547"/>
    <w:rsid w:val="00606F68"/>
    <w:rsid w:val="00611AC3"/>
    <w:rsid w:val="00615D02"/>
    <w:rsid w:val="00634917"/>
    <w:rsid w:val="0065063D"/>
    <w:rsid w:val="006B6322"/>
    <w:rsid w:val="006B77CA"/>
    <w:rsid w:val="0073504E"/>
    <w:rsid w:val="007750A5"/>
    <w:rsid w:val="007876D7"/>
    <w:rsid w:val="007D3321"/>
    <w:rsid w:val="0080530E"/>
    <w:rsid w:val="00853EEF"/>
    <w:rsid w:val="008C4434"/>
    <w:rsid w:val="00945910"/>
    <w:rsid w:val="009534AB"/>
    <w:rsid w:val="00AA72A6"/>
    <w:rsid w:val="00AB0742"/>
    <w:rsid w:val="00AB6C09"/>
    <w:rsid w:val="00AE7FA2"/>
    <w:rsid w:val="00B107C4"/>
    <w:rsid w:val="00B90860"/>
    <w:rsid w:val="00BB6298"/>
    <w:rsid w:val="00BC2839"/>
    <w:rsid w:val="00BE08B7"/>
    <w:rsid w:val="00C56B57"/>
    <w:rsid w:val="00C77ECF"/>
    <w:rsid w:val="00CA75C7"/>
    <w:rsid w:val="00CC3BFD"/>
    <w:rsid w:val="00CD549F"/>
    <w:rsid w:val="00D5739A"/>
    <w:rsid w:val="00DD5BAE"/>
    <w:rsid w:val="00DE2607"/>
    <w:rsid w:val="00E10EDC"/>
    <w:rsid w:val="00E5492D"/>
    <w:rsid w:val="00E76434"/>
    <w:rsid w:val="00EB255D"/>
    <w:rsid w:val="00EC22B0"/>
    <w:rsid w:val="00EC6573"/>
    <w:rsid w:val="00EF6374"/>
    <w:rsid w:val="00F1522D"/>
    <w:rsid w:val="00FA1857"/>
    <w:rsid w:val="00FC5F64"/>
    <w:rsid w:val="00FD1B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0402"/>
  <w15:chartTrackingRefBased/>
  <w15:docId w15:val="{281BB11A-C9C2-D64C-9796-14C2D7DA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534AB"/>
    <w:rPr>
      <w:rFonts w:ascii="Times New Roman" w:eastAsia="Times New Roman" w:hAnsi="Times New Roman" w:cs="Times New Roman"/>
      <w:kern w:val="0"/>
      <w:lang w:eastAsia="sk-SK"/>
      <w14:ligatures w14:val="none"/>
    </w:rPr>
  </w:style>
  <w:style w:type="paragraph" w:styleId="Nadpis1">
    <w:name w:val="heading 1"/>
    <w:basedOn w:val="Normlny"/>
    <w:next w:val="Normlny"/>
    <w:link w:val="Nadpis1Char"/>
    <w:uiPriority w:val="9"/>
    <w:qFormat/>
    <w:rsid w:val="001C52B9"/>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1C52B9"/>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1C52B9"/>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1C52B9"/>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dpis5">
    <w:name w:val="heading 5"/>
    <w:basedOn w:val="Normlny"/>
    <w:next w:val="Normlny"/>
    <w:link w:val="Nadpis5Char"/>
    <w:uiPriority w:val="9"/>
    <w:semiHidden/>
    <w:unhideWhenUsed/>
    <w:qFormat/>
    <w:rsid w:val="001C52B9"/>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dpis6">
    <w:name w:val="heading 6"/>
    <w:basedOn w:val="Normlny"/>
    <w:next w:val="Normlny"/>
    <w:link w:val="Nadpis6Char"/>
    <w:uiPriority w:val="9"/>
    <w:semiHidden/>
    <w:unhideWhenUsed/>
    <w:qFormat/>
    <w:rsid w:val="001C52B9"/>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y"/>
    <w:next w:val="Normlny"/>
    <w:link w:val="Nadpis7Char"/>
    <w:uiPriority w:val="9"/>
    <w:semiHidden/>
    <w:unhideWhenUsed/>
    <w:qFormat/>
    <w:rsid w:val="001C52B9"/>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y"/>
    <w:next w:val="Normlny"/>
    <w:link w:val="Nadpis8Char"/>
    <w:uiPriority w:val="9"/>
    <w:semiHidden/>
    <w:unhideWhenUsed/>
    <w:qFormat/>
    <w:rsid w:val="001C52B9"/>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y"/>
    <w:next w:val="Normlny"/>
    <w:link w:val="Nadpis9Char"/>
    <w:uiPriority w:val="9"/>
    <w:semiHidden/>
    <w:unhideWhenUsed/>
    <w:qFormat/>
    <w:rsid w:val="001C52B9"/>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C52B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C52B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C52B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C52B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C52B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C52B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C52B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C52B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C52B9"/>
    <w:rPr>
      <w:rFonts w:eastAsiaTheme="majorEastAsia" w:cstheme="majorBidi"/>
      <w:color w:val="272727" w:themeColor="text1" w:themeTint="D8"/>
    </w:rPr>
  </w:style>
  <w:style w:type="paragraph" w:styleId="Nzov">
    <w:name w:val="Title"/>
    <w:basedOn w:val="Normlny"/>
    <w:next w:val="Normlny"/>
    <w:link w:val="NzovChar"/>
    <w:uiPriority w:val="10"/>
    <w:qFormat/>
    <w:rsid w:val="001C52B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1C52B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C52B9"/>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1C52B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C52B9"/>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1C52B9"/>
    <w:rPr>
      <w:i/>
      <w:iCs/>
      <w:color w:val="404040" w:themeColor="text1" w:themeTint="BF"/>
    </w:r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numbered li"/>
    <w:basedOn w:val="Normlny"/>
    <w:link w:val="OdsekzoznamuChar"/>
    <w:uiPriority w:val="34"/>
    <w:qFormat/>
    <w:rsid w:val="001C52B9"/>
    <w:pPr>
      <w:ind w:left="720"/>
      <w:contextualSpacing/>
    </w:pPr>
    <w:rPr>
      <w:rFonts w:asciiTheme="minorHAnsi" w:eastAsiaTheme="minorHAnsi" w:hAnsiTheme="minorHAnsi" w:cstheme="minorBidi"/>
      <w:kern w:val="2"/>
      <w:lang w:eastAsia="en-US"/>
      <w14:ligatures w14:val="standardContextual"/>
    </w:rPr>
  </w:style>
  <w:style w:type="character" w:styleId="Intenzvnezvraznenie">
    <w:name w:val="Intense Emphasis"/>
    <w:basedOn w:val="Predvolenpsmoodseku"/>
    <w:uiPriority w:val="21"/>
    <w:qFormat/>
    <w:rsid w:val="001C52B9"/>
    <w:rPr>
      <w:i/>
      <w:iCs/>
      <w:color w:val="0F4761" w:themeColor="accent1" w:themeShade="BF"/>
    </w:rPr>
  </w:style>
  <w:style w:type="paragraph" w:styleId="Zvraznencitcia">
    <w:name w:val="Intense Quote"/>
    <w:basedOn w:val="Normlny"/>
    <w:next w:val="Normlny"/>
    <w:link w:val="ZvraznencitciaChar"/>
    <w:uiPriority w:val="30"/>
    <w:qFormat/>
    <w:rsid w:val="001C52B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1C52B9"/>
    <w:rPr>
      <w:i/>
      <w:iCs/>
      <w:color w:val="0F4761" w:themeColor="accent1" w:themeShade="BF"/>
    </w:rPr>
  </w:style>
  <w:style w:type="character" w:styleId="Zvraznenodkaz">
    <w:name w:val="Intense Reference"/>
    <w:basedOn w:val="Predvolenpsmoodseku"/>
    <w:uiPriority w:val="32"/>
    <w:qFormat/>
    <w:rsid w:val="001C52B9"/>
    <w:rPr>
      <w:b/>
      <w:bCs/>
      <w:smallCaps/>
      <w:color w:val="0F4761" w:themeColor="accent1" w:themeShade="BF"/>
      <w:spacing w:val="5"/>
    </w:rPr>
  </w:style>
  <w:style w:type="character" w:styleId="Odkaznakomentr">
    <w:name w:val="annotation reference"/>
    <w:basedOn w:val="Predvolenpsmoodseku"/>
    <w:uiPriority w:val="99"/>
    <w:semiHidden/>
    <w:unhideWhenUsed/>
    <w:rsid w:val="005352C0"/>
    <w:rPr>
      <w:sz w:val="16"/>
      <w:szCs w:val="16"/>
    </w:rPr>
  </w:style>
  <w:style w:type="paragraph" w:styleId="Textkomentra">
    <w:name w:val="annotation text"/>
    <w:basedOn w:val="Normlny"/>
    <w:link w:val="TextkomentraChar"/>
    <w:uiPriority w:val="99"/>
    <w:semiHidden/>
    <w:unhideWhenUsed/>
    <w:rsid w:val="005352C0"/>
    <w:rPr>
      <w:rFonts w:asciiTheme="minorHAnsi" w:eastAsiaTheme="minorHAnsi" w:hAnsiTheme="minorHAnsi" w:cstheme="minorBidi"/>
      <w:kern w:val="2"/>
      <w:sz w:val="20"/>
      <w:szCs w:val="20"/>
      <w:lang w:eastAsia="en-US"/>
      <w14:ligatures w14:val="standardContextual"/>
    </w:rPr>
  </w:style>
  <w:style w:type="character" w:customStyle="1" w:styleId="TextkomentraChar">
    <w:name w:val="Text komentára Char"/>
    <w:basedOn w:val="Predvolenpsmoodseku"/>
    <w:link w:val="Textkomentra"/>
    <w:uiPriority w:val="99"/>
    <w:semiHidden/>
    <w:rsid w:val="005352C0"/>
    <w:rPr>
      <w:sz w:val="20"/>
      <w:szCs w:val="20"/>
    </w:rPr>
  </w:style>
  <w:style w:type="paragraph" w:styleId="Predmetkomentra">
    <w:name w:val="annotation subject"/>
    <w:basedOn w:val="Textkomentra"/>
    <w:next w:val="Textkomentra"/>
    <w:link w:val="PredmetkomentraChar"/>
    <w:uiPriority w:val="99"/>
    <w:semiHidden/>
    <w:unhideWhenUsed/>
    <w:rsid w:val="005352C0"/>
    <w:rPr>
      <w:b/>
      <w:bCs/>
    </w:rPr>
  </w:style>
  <w:style w:type="character" w:customStyle="1" w:styleId="PredmetkomentraChar">
    <w:name w:val="Predmet komentára Char"/>
    <w:basedOn w:val="TextkomentraChar"/>
    <w:link w:val="Predmetkomentra"/>
    <w:uiPriority w:val="99"/>
    <w:semiHidden/>
    <w:rsid w:val="005352C0"/>
    <w:rPr>
      <w:b/>
      <w:bCs/>
      <w:sz w:val="20"/>
      <w:szCs w:val="20"/>
    </w:rPr>
  </w:style>
  <w:style w:type="character" w:styleId="Hypertextovprepojenie">
    <w:name w:val="Hyperlink"/>
    <w:basedOn w:val="Predvolenpsmoodseku"/>
    <w:uiPriority w:val="99"/>
    <w:unhideWhenUsed/>
    <w:rsid w:val="006B6322"/>
    <w:rPr>
      <w:color w:val="467886" w:themeColor="hyperlink"/>
      <w:u w:val="single"/>
    </w:rPr>
  </w:style>
  <w:style w:type="character" w:styleId="Nevyrieenzmienka">
    <w:name w:val="Unresolved Mention"/>
    <w:basedOn w:val="Predvolenpsmoodseku"/>
    <w:uiPriority w:val="99"/>
    <w:semiHidden/>
    <w:unhideWhenUsed/>
    <w:rsid w:val="006B6322"/>
    <w:rPr>
      <w:color w:val="605E5C"/>
      <w:shd w:val="clear" w:color="auto" w:fill="E1DFDD"/>
    </w:rPr>
  </w:style>
  <w:style w:type="paragraph" w:styleId="Textbubliny">
    <w:name w:val="Balloon Text"/>
    <w:basedOn w:val="Normlny"/>
    <w:link w:val="TextbublinyChar"/>
    <w:uiPriority w:val="99"/>
    <w:semiHidden/>
    <w:unhideWhenUsed/>
    <w:rsid w:val="007750A5"/>
    <w:rPr>
      <w:rFonts w:eastAsiaTheme="minorHAnsi"/>
      <w:kern w:val="2"/>
      <w:sz w:val="18"/>
      <w:szCs w:val="18"/>
      <w:lang w:eastAsia="en-US"/>
      <w14:ligatures w14:val="standardContextual"/>
    </w:rPr>
  </w:style>
  <w:style w:type="character" w:customStyle="1" w:styleId="TextbublinyChar">
    <w:name w:val="Text bubliny Char"/>
    <w:basedOn w:val="Predvolenpsmoodseku"/>
    <w:link w:val="Textbubliny"/>
    <w:uiPriority w:val="99"/>
    <w:semiHidden/>
    <w:rsid w:val="007750A5"/>
    <w:rPr>
      <w:rFonts w:ascii="Times New Roman" w:hAnsi="Times New Roman" w:cs="Times New Roman"/>
      <w:sz w:val="18"/>
      <w:szCs w:val="18"/>
    </w:rPr>
  </w:style>
  <w:style w:type="paragraph" w:styleId="Normlnywebov">
    <w:name w:val="Normal (Web)"/>
    <w:basedOn w:val="Normlny"/>
    <w:uiPriority w:val="99"/>
    <w:unhideWhenUsed/>
    <w:rsid w:val="005933B8"/>
    <w:pPr>
      <w:spacing w:before="144" w:after="144"/>
    </w:pPr>
  </w:style>
  <w:style w:type="character" w:styleId="Vrazn">
    <w:name w:val="Strong"/>
    <w:basedOn w:val="Predvolenpsmoodseku"/>
    <w:uiPriority w:val="22"/>
    <w:qFormat/>
    <w:rsid w:val="00B107C4"/>
    <w:rPr>
      <w:b/>
      <w:bCs/>
    </w:rPr>
  </w:style>
  <w:style w:type="character" w:customStyle="1" w:styleId="apple-converted-space">
    <w:name w:val="apple-converted-space"/>
    <w:basedOn w:val="Predvolenpsmoodseku"/>
    <w:rsid w:val="00B107C4"/>
  </w:style>
  <w:style w:type="paragraph" w:styleId="Revzia">
    <w:name w:val="Revision"/>
    <w:hidden/>
    <w:uiPriority w:val="99"/>
    <w:semiHidden/>
    <w:rsid w:val="004031B1"/>
    <w:rPr>
      <w:rFonts w:ascii="Times New Roman" w:eastAsia="Times New Roman" w:hAnsi="Times New Roman" w:cs="Times New Roman"/>
      <w:kern w:val="0"/>
      <w:lang w:eastAsia="sk-SK"/>
      <w14:ligatures w14:val="none"/>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34"/>
    <w:qFormat/>
    <w:locked/>
    <w:rsid w:val="008C4434"/>
  </w:style>
  <w:style w:type="paragraph" w:styleId="Hlavika">
    <w:name w:val="header"/>
    <w:basedOn w:val="Normlny"/>
    <w:link w:val="HlavikaChar"/>
    <w:uiPriority w:val="99"/>
    <w:unhideWhenUsed/>
    <w:rsid w:val="00CC3BFD"/>
    <w:pPr>
      <w:tabs>
        <w:tab w:val="center" w:pos="4536"/>
        <w:tab w:val="right" w:pos="9072"/>
      </w:tabs>
    </w:pPr>
  </w:style>
  <w:style w:type="character" w:customStyle="1" w:styleId="HlavikaChar">
    <w:name w:val="Hlavička Char"/>
    <w:basedOn w:val="Predvolenpsmoodseku"/>
    <w:link w:val="Hlavika"/>
    <w:uiPriority w:val="99"/>
    <w:rsid w:val="00CC3BFD"/>
    <w:rPr>
      <w:rFonts w:ascii="Times New Roman" w:eastAsia="Times New Roman" w:hAnsi="Times New Roman" w:cs="Times New Roman"/>
      <w:kern w:val="0"/>
      <w:lang w:eastAsia="sk-SK"/>
      <w14:ligatures w14:val="none"/>
    </w:rPr>
  </w:style>
  <w:style w:type="paragraph" w:styleId="Pta">
    <w:name w:val="footer"/>
    <w:basedOn w:val="Normlny"/>
    <w:link w:val="PtaChar"/>
    <w:uiPriority w:val="99"/>
    <w:unhideWhenUsed/>
    <w:rsid w:val="00CC3BFD"/>
    <w:pPr>
      <w:tabs>
        <w:tab w:val="center" w:pos="4536"/>
        <w:tab w:val="right" w:pos="9072"/>
      </w:tabs>
    </w:pPr>
  </w:style>
  <w:style w:type="character" w:customStyle="1" w:styleId="PtaChar">
    <w:name w:val="Päta Char"/>
    <w:basedOn w:val="Predvolenpsmoodseku"/>
    <w:link w:val="Pta"/>
    <w:uiPriority w:val="99"/>
    <w:rsid w:val="00CC3BFD"/>
    <w:rPr>
      <w:rFonts w:ascii="Times New Roman" w:eastAsia="Times New Roman" w:hAnsi="Times New Roman" w:cs="Times New Roman"/>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994703">
      <w:bodyDiv w:val="1"/>
      <w:marLeft w:val="0"/>
      <w:marRight w:val="0"/>
      <w:marTop w:val="0"/>
      <w:marBottom w:val="0"/>
      <w:divBdr>
        <w:top w:val="none" w:sz="0" w:space="0" w:color="auto"/>
        <w:left w:val="none" w:sz="0" w:space="0" w:color="auto"/>
        <w:bottom w:val="none" w:sz="0" w:space="0" w:color="auto"/>
        <w:right w:val="none" w:sz="0" w:space="0" w:color="auto"/>
      </w:divBdr>
    </w:div>
    <w:div w:id="19008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1383</Words>
  <Characters>7886</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Wolfová Laura</dc:creator>
  <cp:keywords/>
  <dc:description/>
  <cp:lastModifiedBy>Janišová, Anežka</cp:lastModifiedBy>
  <cp:revision>3</cp:revision>
  <cp:lastPrinted>2025-09-30T12:50:00Z</cp:lastPrinted>
  <dcterms:created xsi:type="dcterms:W3CDTF">2025-09-30T05:40:00Z</dcterms:created>
  <dcterms:modified xsi:type="dcterms:W3CDTF">2025-09-30T12:52:00Z</dcterms:modified>
</cp:coreProperties>
</file>